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8A3E" w14:textId="77777777" w:rsidR="00DF4DB6" w:rsidRDefault="00C91494">
      <w:pPr>
        <w:rPr>
          <w:rFonts w:cs="Times New Roman"/>
          <w:lang w:val="en-US"/>
        </w:rPr>
      </w:pPr>
      <w:r w:rsidRPr="00C91494">
        <w:rPr>
          <w:rFonts w:cs="Times New Roman"/>
          <w:lang w:val="en-US"/>
        </w:rPr>
        <w:t xml:space="preserve">Supplemental Digital Content 4. Table. </w:t>
      </w:r>
      <w:r>
        <w:rPr>
          <w:rFonts w:cs="Times New Roman"/>
          <w:lang w:val="en-US"/>
        </w:rPr>
        <w:t xml:space="preserve">Comparison between the quartile- and BMI-unit-based analyses for </w:t>
      </w:r>
      <w:r w:rsidR="002D0479">
        <w:rPr>
          <w:rFonts w:cs="Times New Roman"/>
          <w:lang w:val="en-US"/>
        </w:rPr>
        <w:t xml:space="preserve">the </w:t>
      </w:r>
      <w:r>
        <w:rPr>
          <w:rFonts w:cs="Times New Roman"/>
          <w:lang w:val="en-US"/>
        </w:rPr>
        <w:t xml:space="preserve">association </w:t>
      </w:r>
      <w:r w:rsidR="001D3DD0">
        <w:rPr>
          <w:rFonts w:cs="Times New Roman"/>
          <w:lang w:val="en-US"/>
        </w:rPr>
        <w:t>between</w:t>
      </w:r>
      <w:r>
        <w:rPr>
          <w:rFonts w:cs="Times New Roman"/>
          <w:lang w:val="en-US"/>
        </w:rPr>
        <w:t xml:space="preserve"> BMI </w:t>
      </w:r>
      <w:r w:rsidR="001D3DD0">
        <w:rPr>
          <w:rFonts w:cs="Times New Roman"/>
          <w:lang w:val="en-US"/>
        </w:rPr>
        <w:t xml:space="preserve">and aSAH outcome </w:t>
      </w:r>
      <w:r w:rsidR="001D3DD0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3-month poor outcome and mortality</w:t>
      </w:r>
      <w:r w:rsidR="001D3DD0">
        <w:rPr>
          <w:rFonts w:cs="Times New Roman"/>
          <w:lang w:val="en-US"/>
        </w:rPr>
        <w:t>)</w:t>
      </w:r>
      <w:r>
        <w:rPr>
          <w:rFonts w:cs="Times New Roman"/>
          <w:lang w:val="en-US"/>
        </w:rPr>
        <w:t>.</w:t>
      </w:r>
      <w:r w:rsidR="001277E1">
        <w:rPr>
          <w:rFonts w:cs="Times New Roman"/>
          <w:lang w:val="en-US"/>
        </w:rPr>
        <w:t xml:space="preserve"> </w:t>
      </w:r>
      <w:r w:rsidR="001D3DD0">
        <w:rPr>
          <w:rFonts w:cs="Times New Roman"/>
          <w:lang w:val="en-US"/>
        </w:rPr>
        <w:t>I</w:t>
      </w:r>
      <w:r w:rsidR="001D3DD0" w:rsidRPr="001277E1">
        <w:rPr>
          <w:rFonts w:cs="Times New Roman"/>
          <w:lang w:val="en-US"/>
        </w:rPr>
        <w:t>n the partly adjusted model</w:t>
      </w:r>
      <w:r w:rsidR="001D3DD0">
        <w:rPr>
          <w:rFonts w:cs="Times New Roman"/>
          <w:lang w:val="en-US"/>
        </w:rPr>
        <w:t>,</w:t>
      </w:r>
      <w:r w:rsidR="001D3DD0" w:rsidRPr="001277E1">
        <w:rPr>
          <w:rFonts w:cs="Times New Roman"/>
          <w:lang w:val="en-US"/>
        </w:rPr>
        <w:t xml:space="preserve"> </w:t>
      </w:r>
      <w:r w:rsidR="001D3DD0">
        <w:rPr>
          <w:rFonts w:cs="Times New Roman"/>
          <w:lang w:val="en-US"/>
        </w:rPr>
        <w:t>r</w:t>
      </w:r>
      <w:r w:rsidR="001277E1" w:rsidRPr="001277E1">
        <w:rPr>
          <w:rFonts w:cs="Times New Roman"/>
          <w:lang w:val="en-US"/>
        </w:rPr>
        <w:t>isk estimates are adjusted for age, sex and study cohort</w:t>
      </w:r>
      <w:r w:rsidR="001D3DD0">
        <w:rPr>
          <w:rFonts w:cs="Times New Roman"/>
          <w:lang w:val="en-US"/>
        </w:rPr>
        <w:t>.</w:t>
      </w:r>
      <w:r w:rsidR="001277E1" w:rsidRPr="001277E1">
        <w:rPr>
          <w:rFonts w:cs="Times New Roman"/>
          <w:lang w:val="en-US"/>
        </w:rPr>
        <w:t xml:space="preserve"> </w:t>
      </w:r>
      <w:r w:rsidR="001D3DD0">
        <w:rPr>
          <w:rFonts w:cs="Times New Roman"/>
          <w:lang w:val="en-US"/>
        </w:rPr>
        <w:t>I</w:t>
      </w:r>
      <w:r w:rsidR="001D3DD0" w:rsidRPr="001277E1">
        <w:rPr>
          <w:rFonts w:cs="Times New Roman"/>
          <w:lang w:val="en-US"/>
        </w:rPr>
        <w:t>n the fully adjusted model</w:t>
      </w:r>
      <w:r w:rsidR="001D3DD0">
        <w:rPr>
          <w:rFonts w:cs="Times New Roman"/>
          <w:lang w:val="en-US"/>
        </w:rPr>
        <w:t>,</w:t>
      </w:r>
      <w:r w:rsidR="001277E1" w:rsidRPr="001277E1">
        <w:rPr>
          <w:rFonts w:cs="Times New Roman"/>
          <w:lang w:val="en-US"/>
        </w:rPr>
        <w:t xml:space="preserve"> </w:t>
      </w:r>
      <w:r w:rsidR="001D3DD0">
        <w:rPr>
          <w:rFonts w:cs="Times New Roman"/>
          <w:lang w:val="en-US"/>
        </w:rPr>
        <w:t>r</w:t>
      </w:r>
      <w:r w:rsidR="001D3DD0" w:rsidRPr="001277E1">
        <w:rPr>
          <w:rFonts w:cs="Times New Roman"/>
          <w:lang w:val="en-US"/>
        </w:rPr>
        <w:t xml:space="preserve">isk estimates are adjusted </w:t>
      </w:r>
      <w:r w:rsidR="001277E1" w:rsidRPr="001277E1">
        <w:rPr>
          <w:rFonts w:cs="Times New Roman"/>
          <w:lang w:val="en-US"/>
        </w:rPr>
        <w:t>for age, sex, study cohort, hypertension and aneurysm location.</w:t>
      </w:r>
    </w:p>
    <w:p w14:paraId="4B7A7308" w14:textId="339BCE20" w:rsidR="00C91494" w:rsidRDefault="00C91494">
      <w:pPr>
        <w:rPr>
          <w:rFonts w:cs="Times New Roman"/>
          <w:lang w:val="en-US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559"/>
        <w:gridCol w:w="1547"/>
      </w:tblGrid>
      <w:tr w:rsidR="00C91494" w:rsidRPr="00C91494" w14:paraId="10B3AD65" w14:textId="77777777" w:rsidTr="003456A3">
        <w:tc>
          <w:tcPr>
            <w:tcW w:w="3402" w:type="dxa"/>
          </w:tcPr>
          <w:p w14:paraId="565ECBFE" w14:textId="77777777" w:rsidR="00C91494" w:rsidRPr="00C91494" w:rsidRDefault="00C91494" w:rsidP="003456A3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4DF73F6E" w14:textId="25D59133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C91494">
              <w:rPr>
                <w:sz w:val="20"/>
                <w:szCs w:val="20"/>
                <w:lang w:val="en-US"/>
              </w:rPr>
              <w:t>ORs (95% CIs) for poor outcome</w:t>
            </w:r>
          </w:p>
        </w:tc>
        <w:tc>
          <w:tcPr>
            <w:tcW w:w="3106" w:type="dxa"/>
            <w:gridSpan w:val="2"/>
          </w:tcPr>
          <w:p w14:paraId="106869E8" w14:textId="63644AAE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C91494">
              <w:rPr>
                <w:sz w:val="20"/>
                <w:szCs w:val="20"/>
                <w:lang w:val="en-US"/>
              </w:rPr>
              <w:t>ORs (95% CIs) for mortality</w:t>
            </w:r>
          </w:p>
        </w:tc>
      </w:tr>
      <w:tr w:rsidR="00C91494" w:rsidRPr="00C91494" w14:paraId="17E42F86" w14:textId="77777777" w:rsidTr="003456A3">
        <w:tc>
          <w:tcPr>
            <w:tcW w:w="3402" w:type="dxa"/>
          </w:tcPr>
          <w:p w14:paraId="323A8295" w14:textId="77777777" w:rsidR="00C91494" w:rsidRPr="00C91494" w:rsidRDefault="00C91494" w:rsidP="003456A3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9B04A9A" w14:textId="09371AB8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Partly adjusted</w:t>
            </w:r>
            <w:r w:rsidR="004167C2">
              <w:rPr>
                <w:sz w:val="20"/>
                <w:szCs w:val="20"/>
                <w:lang w:val="en-US"/>
              </w:rPr>
              <w:t xml:space="preserve"> model</w:t>
            </w:r>
          </w:p>
        </w:tc>
        <w:tc>
          <w:tcPr>
            <w:tcW w:w="1559" w:type="dxa"/>
          </w:tcPr>
          <w:p w14:paraId="4B2A9976" w14:textId="1392F961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Fully adjusted</w:t>
            </w:r>
            <w:r w:rsidR="004167C2">
              <w:rPr>
                <w:sz w:val="20"/>
                <w:szCs w:val="20"/>
                <w:lang w:val="en-US"/>
              </w:rPr>
              <w:t xml:space="preserve"> model</w:t>
            </w:r>
          </w:p>
        </w:tc>
        <w:tc>
          <w:tcPr>
            <w:tcW w:w="1559" w:type="dxa"/>
          </w:tcPr>
          <w:p w14:paraId="3C4E2174" w14:textId="21D7EE22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Partly adjusted</w:t>
            </w:r>
            <w:r w:rsidR="004167C2">
              <w:rPr>
                <w:sz w:val="20"/>
                <w:szCs w:val="20"/>
                <w:lang w:val="en-US"/>
              </w:rPr>
              <w:t xml:space="preserve"> model</w:t>
            </w:r>
          </w:p>
        </w:tc>
        <w:tc>
          <w:tcPr>
            <w:tcW w:w="1547" w:type="dxa"/>
          </w:tcPr>
          <w:p w14:paraId="1C6633F6" w14:textId="775157A5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Fully adjusted</w:t>
            </w:r>
            <w:r w:rsidR="004167C2">
              <w:rPr>
                <w:sz w:val="20"/>
                <w:szCs w:val="20"/>
                <w:lang w:val="en-US"/>
              </w:rPr>
              <w:t xml:space="preserve"> model</w:t>
            </w:r>
          </w:p>
        </w:tc>
      </w:tr>
      <w:tr w:rsidR="00C91494" w:rsidRPr="00C91494" w14:paraId="454E0D26" w14:textId="77777777" w:rsidTr="003456A3">
        <w:tc>
          <w:tcPr>
            <w:tcW w:w="3402" w:type="dxa"/>
          </w:tcPr>
          <w:p w14:paraId="27FFE247" w14:textId="3C8714CC" w:rsidR="00C91494" w:rsidRPr="00C91494" w:rsidRDefault="00C91494" w:rsidP="003456A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C91494">
              <w:rPr>
                <w:sz w:val="20"/>
                <w:szCs w:val="20"/>
                <w:lang w:val="en-US"/>
              </w:rPr>
              <w:t xml:space="preserve">BMI </w:t>
            </w:r>
            <w:r>
              <w:rPr>
                <w:sz w:val="20"/>
                <w:szCs w:val="20"/>
                <w:lang w:val="en-US"/>
              </w:rPr>
              <w:t>categories (BMI quartiles)</w:t>
            </w:r>
          </w:p>
        </w:tc>
        <w:tc>
          <w:tcPr>
            <w:tcW w:w="1560" w:type="dxa"/>
          </w:tcPr>
          <w:p w14:paraId="1E9872EB" w14:textId="7777777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97D72E4" w14:textId="7777777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CAD86A5" w14:textId="7777777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14:paraId="68133E68" w14:textId="7777777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1494" w:rsidRPr="00C91494" w14:paraId="6B9CB90D" w14:textId="77777777" w:rsidTr="003456A3">
        <w:tc>
          <w:tcPr>
            <w:tcW w:w="3402" w:type="dxa"/>
          </w:tcPr>
          <w:p w14:paraId="5E5B3DD3" w14:textId="4E304586" w:rsidR="00C91494" w:rsidRPr="00C91494" w:rsidRDefault="00C91494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 w:rsidRPr="00C91494">
              <w:rPr>
                <w:sz w:val="20"/>
                <w:szCs w:val="20"/>
                <w:lang w:val="en-US"/>
              </w:rPr>
              <w:t>Low</w:t>
            </w:r>
            <w:r>
              <w:rPr>
                <w:sz w:val="20"/>
                <w:szCs w:val="20"/>
                <w:lang w:val="en-US"/>
              </w:rPr>
              <w:t>est</w:t>
            </w:r>
            <w:r w:rsidRPr="00C91494">
              <w:rPr>
                <w:sz w:val="20"/>
                <w:szCs w:val="20"/>
                <w:lang w:val="en-US"/>
              </w:rPr>
              <w:t xml:space="preserve"> BMI</w:t>
            </w:r>
            <w:r w:rsidR="003456A3">
              <w:rPr>
                <w:sz w:val="20"/>
                <w:szCs w:val="20"/>
                <w:lang w:val="en-US"/>
              </w:rPr>
              <w:t xml:space="preserve"> (the lowest BMI quartile of each cohort)</w:t>
            </w:r>
          </w:p>
        </w:tc>
        <w:tc>
          <w:tcPr>
            <w:tcW w:w="1560" w:type="dxa"/>
          </w:tcPr>
          <w:p w14:paraId="6D5FAB61" w14:textId="1D6C750D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559" w:type="dxa"/>
          </w:tcPr>
          <w:p w14:paraId="0A3E9F61" w14:textId="37DB06CB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B43631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559" w:type="dxa"/>
          </w:tcPr>
          <w:p w14:paraId="1F74F886" w14:textId="68A06D4A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B43631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547" w:type="dxa"/>
          </w:tcPr>
          <w:p w14:paraId="656EED91" w14:textId="6D8D9E06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B43631">
              <w:rPr>
                <w:sz w:val="20"/>
                <w:szCs w:val="20"/>
                <w:lang w:val="en-US"/>
              </w:rPr>
              <w:t>(Reference)</w:t>
            </w:r>
          </w:p>
        </w:tc>
      </w:tr>
      <w:tr w:rsidR="00C91494" w:rsidRPr="00C91494" w14:paraId="5E772220" w14:textId="77777777" w:rsidTr="003456A3">
        <w:tc>
          <w:tcPr>
            <w:tcW w:w="3402" w:type="dxa"/>
          </w:tcPr>
          <w:p w14:paraId="76741EB5" w14:textId="14C0808F" w:rsidR="00C91494" w:rsidRPr="00C91494" w:rsidRDefault="00C91494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 w:rsidRPr="00C91494">
              <w:rPr>
                <w:sz w:val="20"/>
                <w:szCs w:val="20"/>
                <w:lang w:val="en-US"/>
              </w:rPr>
              <w:t>Moderate BMI</w:t>
            </w:r>
            <w:r w:rsidR="003456A3">
              <w:rPr>
                <w:sz w:val="20"/>
                <w:szCs w:val="20"/>
                <w:lang w:val="en-US"/>
              </w:rPr>
              <w:t xml:space="preserve"> (the </w:t>
            </w:r>
            <w:r w:rsidR="001D3DD0">
              <w:rPr>
                <w:sz w:val="20"/>
                <w:szCs w:val="20"/>
                <w:lang w:val="en-US"/>
              </w:rPr>
              <w:t>2</w:t>
            </w:r>
            <w:r w:rsidR="001D3DD0" w:rsidRPr="00DF4DB6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1D3DD0">
              <w:rPr>
                <w:sz w:val="20"/>
                <w:szCs w:val="20"/>
                <w:lang w:val="en-US"/>
              </w:rPr>
              <w:t xml:space="preserve"> </w:t>
            </w:r>
            <w:r w:rsidR="003456A3">
              <w:rPr>
                <w:sz w:val="20"/>
                <w:szCs w:val="20"/>
                <w:lang w:val="en-US"/>
              </w:rPr>
              <w:t>BMI quartile of each cohort)</w:t>
            </w:r>
          </w:p>
        </w:tc>
        <w:tc>
          <w:tcPr>
            <w:tcW w:w="1560" w:type="dxa"/>
          </w:tcPr>
          <w:p w14:paraId="5FCAF0AD" w14:textId="5C63928B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1.34 (0.91–1.97)</w:t>
            </w:r>
          </w:p>
        </w:tc>
        <w:tc>
          <w:tcPr>
            <w:tcW w:w="1559" w:type="dxa"/>
          </w:tcPr>
          <w:p w14:paraId="077FFE7C" w14:textId="76ED7CE3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1.26 (0.85–1.86)</w:t>
            </w:r>
          </w:p>
        </w:tc>
        <w:tc>
          <w:tcPr>
            <w:tcW w:w="1559" w:type="dxa"/>
          </w:tcPr>
          <w:p w14:paraId="54528229" w14:textId="25889B7B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1.38 (0.77–2.46)</w:t>
            </w:r>
          </w:p>
        </w:tc>
        <w:tc>
          <w:tcPr>
            <w:tcW w:w="1547" w:type="dxa"/>
          </w:tcPr>
          <w:p w14:paraId="7C5831B0" w14:textId="634D2AED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1.27 (0.70–2.31)</w:t>
            </w:r>
          </w:p>
        </w:tc>
      </w:tr>
      <w:tr w:rsidR="00C91494" w:rsidRPr="00C91494" w14:paraId="30ED5A22" w14:textId="77777777" w:rsidTr="003456A3">
        <w:tc>
          <w:tcPr>
            <w:tcW w:w="3402" w:type="dxa"/>
          </w:tcPr>
          <w:p w14:paraId="1B6502C3" w14:textId="3810A4A6" w:rsidR="00C91494" w:rsidRPr="00C91494" w:rsidRDefault="00C91494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 w:rsidRPr="00C91494">
              <w:rPr>
                <w:sz w:val="20"/>
                <w:szCs w:val="20"/>
                <w:lang w:val="en-US"/>
              </w:rPr>
              <w:t>High BMI</w:t>
            </w:r>
            <w:r w:rsidR="003456A3">
              <w:rPr>
                <w:sz w:val="20"/>
                <w:szCs w:val="20"/>
                <w:lang w:val="en-US"/>
              </w:rPr>
              <w:t xml:space="preserve"> (the </w:t>
            </w:r>
            <w:r w:rsidR="001D3DD0">
              <w:rPr>
                <w:sz w:val="20"/>
                <w:szCs w:val="20"/>
                <w:lang w:val="en-US"/>
              </w:rPr>
              <w:t>3</w:t>
            </w:r>
            <w:r w:rsidR="001D3DD0" w:rsidRPr="00DF4DB6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="001D3DD0">
              <w:rPr>
                <w:sz w:val="20"/>
                <w:szCs w:val="20"/>
                <w:lang w:val="en-US"/>
              </w:rPr>
              <w:t xml:space="preserve"> </w:t>
            </w:r>
            <w:r w:rsidR="003456A3">
              <w:rPr>
                <w:sz w:val="20"/>
                <w:szCs w:val="20"/>
                <w:lang w:val="en-US"/>
              </w:rPr>
              <w:t>BMI quartile of each cohort)</w:t>
            </w:r>
          </w:p>
        </w:tc>
        <w:tc>
          <w:tcPr>
            <w:tcW w:w="1560" w:type="dxa"/>
          </w:tcPr>
          <w:p w14:paraId="0D27C437" w14:textId="7140C67D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1.21 (0.81–1.81)</w:t>
            </w:r>
          </w:p>
        </w:tc>
        <w:tc>
          <w:tcPr>
            <w:tcW w:w="1559" w:type="dxa"/>
          </w:tcPr>
          <w:p w14:paraId="499F2F7F" w14:textId="7431E329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1.14 (0.76–1.72)</w:t>
            </w:r>
          </w:p>
        </w:tc>
        <w:tc>
          <w:tcPr>
            <w:tcW w:w="1559" w:type="dxa"/>
          </w:tcPr>
          <w:p w14:paraId="7AEDF9D8" w14:textId="5E99C06E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0.76 (0.39–1.49)</w:t>
            </w:r>
          </w:p>
        </w:tc>
        <w:tc>
          <w:tcPr>
            <w:tcW w:w="1547" w:type="dxa"/>
          </w:tcPr>
          <w:p w14:paraId="1696C417" w14:textId="4F93E7D5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0.72 (0.36–1.44)</w:t>
            </w:r>
          </w:p>
        </w:tc>
      </w:tr>
      <w:tr w:rsidR="00C91494" w:rsidRPr="00C91494" w14:paraId="1FF9DEAB" w14:textId="77777777" w:rsidTr="003456A3">
        <w:tc>
          <w:tcPr>
            <w:tcW w:w="3402" w:type="dxa"/>
          </w:tcPr>
          <w:p w14:paraId="1CA79189" w14:textId="171EA350" w:rsidR="00C91494" w:rsidRPr="00C91494" w:rsidRDefault="00C91494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 w:rsidRPr="00C91494">
              <w:rPr>
                <w:sz w:val="20"/>
                <w:szCs w:val="20"/>
                <w:lang w:val="en-US"/>
              </w:rPr>
              <w:t>Highest BMI</w:t>
            </w:r>
            <w:r w:rsidR="003456A3">
              <w:rPr>
                <w:sz w:val="20"/>
                <w:szCs w:val="20"/>
                <w:lang w:val="en-US"/>
              </w:rPr>
              <w:t xml:space="preserve"> (the highest BMI quartile of each cohort)</w:t>
            </w:r>
          </w:p>
        </w:tc>
        <w:tc>
          <w:tcPr>
            <w:tcW w:w="1560" w:type="dxa"/>
          </w:tcPr>
          <w:p w14:paraId="6386FDAC" w14:textId="10C255D8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1.66 (1.13–2.43)</w:t>
            </w:r>
          </w:p>
        </w:tc>
        <w:tc>
          <w:tcPr>
            <w:tcW w:w="1559" w:type="dxa"/>
          </w:tcPr>
          <w:p w14:paraId="4CBEA592" w14:textId="77783A33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1.49 (1.00–2.21)</w:t>
            </w:r>
          </w:p>
        </w:tc>
        <w:tc>
          <w:tcPr>
            <w:tcW w:w="1559" w:type="dxa"/>
          </w:tcPr>
          <w:p w14:paraId="48E2B611" w14:textId="23BFEAD7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1.39 (0.77–2.50)</w:t>
            </w:r>
          </w:p>
        </w:tc>
        <w:tc>
          <w:tcPr>
            <w:tcW w:w="1547" w:type="dxa"/>
          </w:tcPr>
          <w:p w14:paraId="3C6F96D3" w14:textId="1D4C0534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 (0.67–2.30)</w:t>
            </w:r>
          </w:p>
        </w:tc>
      </w:tr>
      <w:tr w:rsidR="00C91494" w:rsidRPr="00C91494" w14:paraId="7731C96E" w14:textId="77777777" w:rsidTr="003456A3">
        <w:tc>
          <w:tcPr>
            <w:tcW w:w="3402" w:type="dxa"/>
          </w:tcPr>
          <w:p w14:paraId="4FDFFA92" w14:textId="3985A5CD" w:rsidR="00C91494" w:rsidRPr="00C91494" w:rsidRDefault="00C91494" w:rsidP="003456A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BMI categories (BMI-units)</w:t>
            </w:r>
          </w:p>
        </w:tc>
        <w:tc>
          <w:tcPr>
            <w:tcW w:w="1560" w:type="dxa"/>
          </w:tcPr>
          <w:p w14:paraId="5E9C9292" w14:textId="7777777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7AFDB95" w14:textId="7777777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087B639" w14:textId="7777777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14:paraId="21669368" w14:textId="7777777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1494" w:rsidRPr="00C91494" w14:paraId="71AAC153" w14:textId="77777777" w:rsidTr="003456A3">
        <w:tc>
          <w:tcPr>
            <w:tcW w:w="3402" w:type="dxa"/>
          </w:tcPr>
          <w:p w14:paraId="4C097A32" w14:textId="711195CA" w:rsidR="00C91494" w:rsidRPr="00C91494" w:rsidRDefault="003456A3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Underweight/normal weight*</w:t>
            </w:r>
            <w:r w:rsidR="00C91494">
              <w:rPr>
                <w:sz w:val="20"/>
                <w:szCs w:val="20"/>
                <w:lang w:val="en-US"/>
              </w:rPr>
              <w:t xml:space="preserve"> (BMI &lt; 22.5)</w:t>
            </w:r>
          </w:p>
        </w:tc>
        <w:tc>
          <w:tcPr>
            <w:tcW w:w="1560" w:type="dxa"/>
          </w:tcPr>
          <w:p w14:paraId="22A1A61C" w14:textId="368179BC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CF6177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559" w:type="dxa"/>
          </w:tcPr>
          <w:p w14:paraId="2E6E40C3" w14:textId="2027EDA7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CF6177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559" w:type="dxa"/>
          </w:tcPr>
          <w:p w14:paraId="56B74258" w14:textId="36D4D6AB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CF6177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547" w:type="dxa"/>
          </w:tcPr>
          <w:p w14:paraId="4F790B13" w14:textId="1E3C1E0A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CF6177">
              <w:rPr>
                <w:sz w:val="20"/>
                <w:szCs w:val="20"/>
                <w:lang w:val="en-US"/>
              </w:rPr>
              <w:t>(Reference)</w:t>
            </w:r>
          </w:p>
        </w:tc>
      </w:tr>
      <w:tr w:rsidR="00C91494" w:rsidRPr="00C91494" w14:paraId="72BEFCE9" w14:textId="77777777" w:rsidTr="003456A3">
        <w:tc>
          <w:tcPr>
            <w:tcW w:w="3402" w:type="dxa"/>
          </w:tcPr>
          <w:p w14:paraId="1DE65757" w14:textId="77777777" w:rsidR="003456A3" w:rsidRDefault="003456A3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Normal weight</w:t>
            </w:r>
          </w:p>
          <w:p w14:paraId="6E842E24" w14:textId="02C014B0" w:rsidR="00C91494" w:rsidRPr="00C91494" w:rsidRDefault="00C91494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(BMI 22.5–24.9)</w:t>
            </w:r>
          </w:p>
        </w:tc>
        <w:tc>
          <w:tcPr>
            <w:tcW w:w="1560" w:type="dxa"/>
          </w:tcPr>
          <w:p w14:paraId="5FEB0194" w14:textId="3ACDA4EC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1.26 (0.84–1.91)</w:t>
            </w:r>
          </w:p>
        </w:tc>
        <w:tc>
          <w:tcPr>
            <w:tcW w:w="1559" w:type="dxa"/>
          </w:tcPr>
          <w:p w14:paraId="55A87730" w14:textId="6D0F5AE8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1.19 (0.78–1.82)</w:t>
            </w:r>
          </w:p>
        </w:tc>
        <w:tc>
          <w:tcPr>
            <w:tcW w:w="1559" w:type="dxa"/>
          </w:tcPr>
          <w:p w14:paraId="3AF13FE9" w14:textId="4F96440A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1.22 (0.66–2.26)</w:t>
            </w:r>
          </w:p>
        </w:tc>
        <w:tc>
          <w:tcPr>
            <w:tcW w:w="1547" w:type="dxa"/>
          </w:tcPr>
          <w:p w14:paraId="542D8E75" w14:textId="3B2EAB94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1.14 (0.60–2.15)</w:t>
            </w:r>
          </w:p>
        </w:tc>
      </w:tr>
      <w:tr w:rsidR="00C91494" w:rsidRPr="00C91494" w14:paraId="0A8B69A2" w14:textId="77777777" w:rsidTr="003456A3">
        <w:tc>
          <w:tcPr>
            <w:tcW w:w="3402" w:type="dxa"/>
          </w:tcPr>
          <w:p w14:paraId="23F971C1" w14:textId="2713F847" w:rsidR="00C91494" w:rsidRPr="00C91494" w:rsidRDefault="00C91494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Overweight (BMI 25.0–29.9)</w:t>
            </w:r>
          </w:p>
        </w:tc>
        <w:tc>
          <w:tcPr>
            <w:tcW w:w="1560" w:type="dxa"/>
          </w:tcPr>
          <w:p w14:paraId="338DBD60" w14:textId="71B2EF03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1.33 (0.91–1.93)</w:t>
            </w:r>
          </w:p>
        </w:tc>
        <w:tc>
          <w:tcPr>
            <w:tcW w:w="1559" w:type="dxa"/>
          </w:tcPr>
          <w:p w14:paraId="5FA6D18F" w14:textId="2078E205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1.27 (0.87–1.87)</w:t>
            </w:r>
          </w:p>
        </w:tc>
        <w:tc>
          <w:tcPr>
            <w:tcW w:w="1559" w:type="dxa"/>
          </w:tcPr>
          <w:p w14:paraId="1DC231F2" w14:textId="210E035F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 (0.53–1.71)</w:t>
            </w:r>
          </w:p>
        </w:tc>
        <w:tc>
          <w:tcPr>
            <w:tcW w:w="1547" w:type="dxa"/>
          </w:tcPr>
          <w:p w14:paraId="3E02BFF8" w14:textId="43F3ED4D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0.91 (0.50–1.67)</w:t>
            </w:r>
          </w:p>
        </w:tc>
      </w:tr>
      <w:tr w:rsidR="00C91494" w:rsidRPr="00C91494" w14:paraId="35E5D72D" w14:textId="77777777" w:rsidTr="003456A3">
        <w:tc>
          <w:tcPr>
            <w:tcW w:w="3402" w:type="dxa"/>
          </w:tcPr>
          <w:p w14:paraId="21602BD8" w14:textId="7D7E6A34" w:rsidR="00C91494" w:rsidRPr="00C91494" w:rsidRDefault="00C91494" w:rsidP="003456A3">
            <w:pPr>
              <w:pStyle w:val="Luettelokappale"/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Obese (BMI ≥ 30.0)</w:t>
            </w:r>
          </w:p>
        </w:tc>
        <w:tc>
          <w:tcPr>
            <w:tcW w:w="1560" w:type="dxa"/>
          </w:tcPr>
          <w:p w14:paraId="017EB598" w14:textId="36D91351" w:rsidR="00C91494" w:rsidRPr="00C91494" w:rsidRDefault="00C91494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1.61 (</w:t>
            </w:r>
            <w:r w:rsidR="003456A3">
              <w:rPr>
                <w:sz w:val="20"/>
                <w:szCs w:val="20"/>
                <w:lang w:val="en-US"/>
              </w:rPr>
              <w:t>1.06–2.45)</w:t>
            </w:r>
          </w:p>
        </w:tc>
        <w:tc>
          <w:tcPr>
            <w:tcW w:w="1559" w:type="dxa"/>
          </w:tcPr>
          <w:p w14:paraId="75093D91" w14:textId="71D0B266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1.40 (0.90–2.16)</w:t>
            </w:r>
          </w:p>
        </w:tc>
        <w:tc>
          <w:tcPr>
            <w:tcW w:w="1559" w:type="dxa"/>
          </w:tcPr>
          <w:p w14:paraId="7E8BCA1A" w14:textId="399FA04F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1.26 (0.66–2.40)</w:t>
            </w:r>
          </w:p>
        </w:tc>
        <w:tc>
          <w:tcPr>
            <w:tcW w:w="1547" w:type="dxa"/>
          </w:tcPr>
          <w:p w14:paraId="53D53883" w14:textId="5C25AF07" w:rsidR="00C91494" w:rsidRPr="00C91494" w:rsidRDefault="003456A3" w:rsidP="003456A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1.10 (0.56–2.16)</w:t>
            </w:r>
          </w:p>
        </w:tc>
      </w:tr>
    </w:tbl>
    <w:p w14:paraId="7B3F81C1" w14:textId="18292639" w:rsidR="00C91494" w:rsidRDefault="00C91494">
      <w:pPr>
        <w:rPr>
          <w:lang w:val="en-US"/>
        </w:rPr>
      </w:pPr>
    </w:p>
    <w:p w14:paraId="4C989608" w14:textId="77777777" w:rsidR="00DF4DB6" w:rsidRPr="001277E1" w:rsidRDefault="00DF4DB6" w:rsidP="00DF4DB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*Since the number of underweight patients (BMI &lt; 18.5) was limited [n=46 (2.7% of all patients)], we dichotomized the normal weight BMI-unit category.</w:t>
      </w:r>
    </w:p>
    <w:p w14:paraId="7DAC0DC1" w14:textId="77777777" w:rsidR="00DF4DB6" w:rsidRPr="00C91494" w:rsidRDefault="00DF4DB6">
      <w:pPr>
        <w:rPr>
          <w:lang w:val="en-US"/>
        </w:rPr>
      </w:pPr>
    </w:p>
    <w:sectPr w:rsidR="00DF4DB6" w:rsidRPr="00C91494" w:rsidSect="00472CD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AE0"/>
    <w:multiLevelType w:val="hybridMultilevel"/>
    <w:tmpl w:val="C7A8F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BF4"/>
    <w:multiLevelType w:val="hybridMultilevel"/>
    <w:tmpl w:val="719013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40297"/>
    <w:multiLevelType w:val="hybridMultilevel"/>
    <w:tmpl w:val="0332E6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0B23"/>
    <w:multiLevelType w:val="hybridMultilevel"/>
    <w:tmpl w:val="E0F239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5D71"/>
    <w:multiLevelType w:val="hybridMultilevel"/>
    <w:tmpl w:val="E1A4D5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4"/>
    <w:rsid w:val="00034A7D"/>
    <w:rsid w:val="00065ABD"/>
    <w:rsid w:val="00073492"/>
    <w:rsid w:val="000921A5"/>
    <w:rsid w:val="0009423B"/>
    <w:rsid w:val="000A014D"/>
    <w:rsid w:val="000F4810"/>
    <w:rsid w:val="001277E1"/>
    <w:rsid w:val="001B30D7"/>
    <w:rsid w:val="001D0708"/>
    <w:rsid w:val="001D3DD0"/>
    <w:rsid w:val="002924D2"/>
    <w:rsid w:val="002D0479"/>
    <w:rsid w:val="003237E4"/>
    <w:rsid w:val="003456A3"/>
    <w:rsid w:val="003A28C5"/>
    <w:rsid w:val="004167C2"/>
    <w:rsid w:val="00472CD2"/>
    <w:rsid w:val="00482F32"/>
    <w:rsid w:val="004D1434"/>
    <w:rsid w:val="004E3C60"/>
    <w:rsid w:val="00501272"/>
    <w:rsid w:val="00524E37"/>
    <w:rsid w:val="00525957"/>
    <w:rsid w:val="00532506"/>
    <w:rsid w:val="00535F5C"/>
    <w:rsid w:val="00651CEB"/>
    <w:rsid w:val="006561C5"/>
    <w:rsid w:val="0066404A"/>
    <w:rsid w:val="00670F7F"/>
    <w:rsid w:val="006770DE"/>
    <w:rsid w:val="006B287D"/>
    <w:rsid w:val="006C1FD2"/>
    <w:rsid w:val="007609E1"/>
    <w:rsid w:val="007B009D"/>
    <w:rsid w:val="007B188A"/>
    <w:rsid w:val="007C301C"/>
    <w:rsid w:val="007D0FA7"/>
    <w:rsid w:val="007F3B26"/>
    <w:rsid w:val="00827587"/>
    <w:rsid w:val="009661FB"/>
    <w:rsid w:val="00973A87"/>
    <w:rsid w:val="00A145DB"/>
    <w:rsid w:val="00A51157"/>
    <w:rsid w:val="00A653E7"/>
    <w:rsid w:val="00A729E0"/>
    <w:rsid w:val="00AD47BA"/>
    <w:rsid w:val="00AE06FF"/>
    <w:rsid w:val="00B843D2"/>
    <w:rsid w:val="00C16B77"/>
    <w:rsid w:val="00C91494"/>
    <w:rsid w:val="00D35CDF"/>
    <w:rsid w:val="00D57C5B"/>
    <w:rsid w:val="00D914E7"/>
    <w:rsid w:val="00DF4DB6"/>
    <w:rsid w:val="00E62D8F"/>
    <w:rsid w:val="00EC1C7D"/>
    <w:rsid w:val="00EC4066"/>
    <w:rsid w:val="00EE0A7A"/>
    <w:rsid w:val="00F00C77"/>
    <w:rsid w:val="00F66B6E"/>
    <w:rsid w:val="00F820B8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74DF6"/>
  <w15:chartTrackingRefBased/>
  <w15:docId w15:val="{F55908C0-8263-1049-A7DD-A78F54F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9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9149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D3DD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3DD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3DD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3D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 Rautalin</dc:creator>
  <cp:keywords/>
  <dc:description/>
  <cp:lastModifiedBy>Ilari Rautalin</cp:lastModifiedBy>
  <cp:revision>2</cp:revision>
  <dcterms:created xsi:type="dcterms:W3CDTF">2021-08-15T16:42:00Z</dcterms:created>
  <dcterms:modified xsi:type="dcterms:W3CDTF">2021-08-15T16:42:00Z</dcterms:modified>
</cp:coreProperties>
</file>