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927" w:rsidRPr="00316927" w:rsidRDefault="00316927" w:rsidP="00316927">
      <w:pPr>
        <w:widowControl/>
        <w:contextualSpacing/>
        <w:jc w:val="left"/>
        <w:rPr>
          <w:rFonts w:ascii="Calibri" w:eastAsia="Calibri" w:hAnsi="Calibri" w:cs="Calibri"/>
          <w:b/>
          <w:kern w:val="0"/>
          <w:sz w:val="20"/>
          <w:szCs w:val="20"/>
        </w:rPr>
      </w:pPr>
      <w:r w:rsidRPr="00316927">
        <w:rPr>
          <w:rFonts w:ascii="Calibri" w:eastAsia="Calibri" w:hAnsi="Calibri" w:cs="Calibri"/>
          <w:b/>
          <w:kern w:val="0"/>
          <w:sz w:val="20"/>
          <w:szCs w:val="20"/>
        </w:rPr>
        <w:t xml:space="preserve">TABLE </w:t>
      </w:r>
      <w:proofErr w:type="gramStart"/>
      <w:r w:rsidR="00250950">
        <w:rPr>
          <w:rFonts w:ascii="Calibri" w:eastAsia="Calibri" w:hAnsi="Calibri" w:cs="Calibri"/>
          <w:b/>
          <w:kern w:val="0"/>
          <w:sz w:val="20"/>
          <w:szCs w:val="20"/>
        </w:rPr>
        <w:t>S</w:t>
      </w:r>
      <w:r w:rsidRPr="00316927">
        <w:rPr>
          <w:rFonts w:ascii="Calibri" w:eastAsia="Calibri" w:hAnsi="Calibri" w:cs="Calibri"/>
          <w:b/>
          <w:kern w:val="0"/>
          <w:sz w:val="20"/>
          <w:szCs w:val="20"/>
        </w:rPr>
        <w:t>2 .</w:t>
      </w:r>
      <w:proofErr w:type="gramEnd"/>
      <w:r w:rsidRPr="00316927">
        <w:rPr>
          <w:rFonts w:ascii="Calibri" w:eastAsia="Calibri" w:hAnsi="Calibri" w:cs="Calibri"/>
          <w:b/>
          <w:kern w:val="0"/>
          <w:sz w:val="20"/>
          <w:szCs w:val="20"/>
        </w:rPr>
        <w:t xml:space="preserve"> Neuro-Psychological Disorders and the Gut Microbiome</w:t>
      </w:r>
    </w:p>
    <w:p w:rsidR="00316927" w:rsidRPr="00316927" w:rsidRDefault="00316927" w:rsidP="00316927">
      <w:pPr>
        <w:widowControl/>
        <w:contextualSpacing/>
        <w:jc w:val="left"/>
        <w:rPr>
          <w:rFonts w:ascii="Calibri" w:eastAsia="Calibri" w:hAnsi="Calibri" w:cs="Calibri"/>
          <w:kern w:val="0"/>
          <w:sz w:val="20"/>
          <w:szCs w:val="20"/>
        </w:rPr>
      </w:pPr>
    </w:p>
    <w:tbl>
      <w:tblPr>
        <w:tblStyle w:val="TableGridLight1"/>
        <w:tblW w:w="1306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1908"/>
        <w:gridCol w:w="2519"/>
        <w:gridCol w:w="2969"/>
        <w:gridCol w:w="5669"/>
      </w:tblGrid>
      <w:tr w:rsidR="00316927" w:rsidRPr="00316927" w:rsidTr="001B3C96">
        <w:trPr>
          <w:trHeight w:val="638"/>
          <w:tblHeader/>
        </w:trPr>
        <w:tc>
          <w:tcPr>
            <w:tcW w:w="1908" w:type="dxa"/>
            <w:vAlign w:val="bottom"/>
            <w:hideMark/>
          </w:tcPr>
          <w:p w:rsidR="00316927" w:rsidRPr="008E5E7B" w:rsidRDefault="00316927" w:rsidP="00316927">
            <w:pPr>
              <w:widowControl/>
              <w:contextualSpacing/>
              <w:jc w:val="left"/>
              <w:rPr>
                <w:rFonts w:cs="Calibri"/>
                <w:b/>
                <w:kern w:val="0"/>
                <w:sz w:val="20"/>
                <w:szCs w:val="20"/>
              </w:rPr>
            </w:pPr>
            <w:r w:rsidRPr="00316927">
              <w:rPr>
                <w:rFonts w:cs="Calibri"/>
                <w:b/>
                <w:kern w:val="0"/>
                <w:sz w:val="20"/>
                <w:szCs w:val="20"/>
              </w:rPr>
              <w:t>Neurological/ Psychological Disorder/</w:t>
            </w:r>
            <w:proofErr w:type="spellStart"/>
            <w:r w:rsidRPr="00316927">
              <w:rPr>
                <w:rFonts w:cs="Calibri"/>
                <w:b/>
                <w:kern w:val="0"/>
                <w:sz w:val="20"/>
                <w:szCs w:val="20"/>
              </w:rPr>
              <w:t>Author</w:t>
            </w:r>
            <w:r w:rsidR="008E5E7B">
              <w:rPr>
                <w:rFonts w:cs="Calibri"/>
                <w:b/>
                <w:kern w:val="0"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2519" w:type="dxa"/>
            <w:vAlign w:val="bottom"/>
            <w:hideMark/>
          </w:tcPr>
          <w:p w:rsidR="00316927" w:rsidRPr="00316927" w:rsidRDefault="00316927" w:rsidP="00316927">
            <w:pPr>
              <w:widowControl/>
              <w:contextualSpacing/>
              <w:jc w:val="left"/>
              <w:rPr>
                <w:rFonts w:cs="Calibri"/>
                <w:b/>
                <w:kern w:val="0"/>
                <w:sz w:val="20"/>
                <w:szCs w:val="20"/>
              </w:rPr>
            </w:pPr>
            <w:r w:rsidRPr="00316927">
              <w:rPr>
                <w:rFonts w:cs="Calibri"/>
                <w:b/>
                <w:kern w:val="0"/>
                <w:sz w:val="20"/>
                <w:szCs w:val="20"/>
              </w:rPr>
              <w:t>Objectives/Purpose</w:t>
            </w:r>
          </w:p>
        </w:tc>
        <w:tc>
          <w:tcPr>
            <w:tcW w:w="2969" w:type="dxa"/>
            <w:vAlign w:val="bottom"/>
            <w:hideMark/>
          </w:tcPr>
          <w:p w:rsidR="00316927" w:rsidRPr="00316927" w:rsidRDefault="00316927" w:rsidP="00316927">
            <w:pPr>
              <w:widowControl/>
              <w:contextualSpacing/>
              <w:jc w:val="left"/>
              <w:rPr>
                <w:rFonts w:cs="Calibri"/>
                <w:b/>
                <w:kern w:val="0"/>
                <w:sz w:val="20"/>
                <w:szCs w:val="20"/>
              </w:rPr>
            </w:pPr>
            <w:r w:rsidRPr="00316927">
              <w:rPr>
                <w:rFonts w:cs="Calibri"/>
                <w:b/>
                <w:kern w:val="0"/>
                <w:sz w:val="20"/>
                <w:szCs w:val="20"/>
              </w:rPr>
              <w:t>Sample</w:t>
            </w:r>
          </w:p>
        </w:tc>
        <w:tc>
          <w:tcPr>
            <w:tcW w:w="5669" w:type="dxa"/>
            <w:vAlign w:val="bottom"/>
            <w:hideMark/>
          </w:tcPr>
          <w:p w:rsidR="00316927" w:rsidRPr="00316927" w:rsidRDefault="00316927" w:rsidP="00316927">
            <w:pPr>
              <w:widowControl/>
              <w:contextualSpacing/>
              <w:jc w:val="left"/>
              <w:rPr>
                <w:rFonts w:cs="Calibri"/>
                <w:b/>
                <w:kern w:val="0"/>
                <w:sz w:val="20"/>
                <w:szCs w:val="20"/>
              </w:rPr>
            </w:pPr>
            <w:r w:rsidRPr="00316927">
              <w:rPr>
                <w:rFonts w:cs="Calibri"/>
                <w:b/>
                <w:kern w:val="0"/>
                <w:sz w:val="20"/>
                <w:szCs w:val="20"/>
              </w:rPr>
              <w:t>Effect on Microbiome/Major findings</w:t>
            </w:r>
          </w:p>
        </w:tc>
      </w:tr>
      <w:tr w:rsidR="001B3C96" w:rsidRPr="00316927" w:rsidTr="001B3C96">
        <w:trPr>
          <w:trHeight w:val="282"/>
        </w:trPr>
        <w:tc>
          <w:tcPr>
            <w:tcW w:w="1908" w:type="dxa"/>
          </w:tcPr>
          <w:p w:rsidR="00264C90" w:rsidRDefault="001B3C96" w:rsidP="00744CB9">
            <w:pPr>
              <w:widowControl/>
              <w:contextualSpacing/>
              <w:jc w:val="left"/>
              <w:rPr>
                <w:rFonts w:cs="Calibri"/>
                <w:kern w:val="0"/>
                <w:sz w:val="20"/>
                <w:szCs w:val="20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Depression</w:t>
            </w:r>
          </w:p>
          <w:p w:rsidR="001B3C96" w:rsidRPr="00316927" w:rsidRDefault="001B3C96" w:rsidP="00744CB9">
            <w:pPr>
              <w:widowControl/>
              <w:contextualSpacing/>
              <w:jc w:val="left"/>
              <w:rPr>
                <w:rFonts w:cs="Calibri"/>
                <w:kern w:val="0"/>
                <w:sz w:val="20"/>
                <w:szCs w:val="20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 xml:space="preserve"> (Kelly,</w:t>
            </w:r>
            <w:r w:rsidR="00744CB9">
              <w:rPr>
                <w:rFonts w:cs="Calibri"/>
                <w:kern w:val="0"/>
                <w:sz w:val="20"/>
                <w:szCs w:val="20"/>
              </w:rPr>
              <w:t xml:space="preserve"> </w:t>
            </w:r>
            <w:r w:rsidR="00904301">
              <w:rPr>
                <w:rFonts w:cs="Calibri"/>
                <w:kern w:val="0"/>
                <w:sz w:val="20"/>
                <w:szCs w:val="20"/>
              </w:rPr>
              <w:t>J.R.,</w:t>
            </w:r>
            <w:r w:rsidR="00264C90">
              <w:rPr>
                <w:rFonts w:cs="Calibri"/>
                <w:kern w:val="0"/>
                <w:sz w:val="20"/>
                <w:szCs w:val="20"/>
              </w:rPr>
              <w:t xml:space="preserve"> </w:t>
            </w:r>
            <w:r w:rsidR="00904301">
              <w:rPr>
                <w:rFonts w:cs="Calibri"/>
                <w:kern w:val="0"/>
                <w:sz w:val="20"/>
                <w:szCs w:val="20"/>
              </w:rPr>
              <w:t>Borre</w:t>
            </w:r>
            <w:proofErr w:type="gramStart"/>
            <w:r w:rsidR="00904301">
              <w:rPr>
                <w:rFonts w:cs="Calibri"/>
                <w:kern w:val="0"/>
                <w:sz w:val="20"/>
                <w:szCs w:val="20"/>
              </w:rPr>
              <w:t>,Y</w:t>
            </w:r>
            <w:proofErr w:type="gramEnd"/>
            <w:r w:rsidR="00904301">
              <w:rPr>
                <w:rFonts w:cs="Calibri"/>
                <w:kern w:val="0"/>
                <w:sz w:val="20"/>
                <w:szCs w:val="20"/>
              </w:rPr>
              <w:t>.,O’Brien, D.,</w:t>
            </w:r>
            <w:r w:rsidR="00744CB9">
              <w:rPr>
                <w:rFonts w:cs="Calibri"/>
                <w:kern w:val="0"/>
                <w:sz w:val="20"/>
                <w:szCs w:val="20"/>
              </w:rPr>
              <w:t>Patterson, E.,El Aidy,S., Deane, J....Dinan,T.</w:t>
            </w:r>
            <w:r w:rsidR="00904301">
              <w:rPr>
                <w:rFonts w:cs="Calibri"/>
                <w:kern w:val="0"/>
                <w:sz w:val="20"/>
                <w:szCs w:val="20"/>
              </w:rPr>
              <w:t xml:space="preserve">  </w:t>
            </w:r>
            <w:r w:rsidR="002760B9">
              <w:rPr>
                <w:rFonts w:cs="Calibri"/>
                <w:kern w:val="0"/>
                <w:sz w:val="20"/>
                <w:szCs w:val="20"/>
              </w:rPr>
              <w:t>(</w:t>
            </w:r>
            <w:r>
              <w:rPr>
                <w:rFonts w:cs="Calibri"/>
                <w:kern w:val="0"/>
                <w:sz w:val="20"/>
                <w:szCs w:val="20"/>
              </w:rPr>
              <w:t>2016)</w:t>
            </w:r>
          </w:p>
        </w:tc>
        <w:tc>
          <w:tcPr>
            <w:tcW w:w="2519" w:type="dxa"/>
          </w:tcPr>
          <w:p w:rsidR="001B3C96" w:rsidRPr="00316927" w:rsidRDefault="001B3C96" w:rsidP="001B3C96">
            <w:pPr>
              <w:widowControl/>
              <w:contextualSpacing/>
              <w:jc w:val="left"/>
              <w:rPr>
                <w:rFonts w:cs="Calibri"/>
                <w:kern w:val="0"/>
                <w:sz w:val="20"/>
                <w:szCs w:val="20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 xml:space="preserve">Human and rat study where fecal microbiota transplants from human participants, both depressed and controls, were transferred to microbiota-deficient rats. The purpose of the study was to confirm that a fecal microbiota transplant from depressed patients to a rat would change the behavior of the rat.   </w:t>
            </w:r>
          </w:p>
        </w:tc>
        <w:tc>
          <w:tcPr>
            <w:tcW w:w="2969" w:type="dxa"/>
          </w:tcPr>
          <w:p w:rsidR="001B3C96" w:rsidRDefault="001B3C96" w:rsidP="001B3C96">
            <w:pPr>
              <w:widowControl/>
              <w:contextualSpacing/>
              <w:jc w:val="left"/>
              <w:rPr>
                <w:rFonts w:cs="Calibri"/>
                <w:kern w:val="0"/>
                <w:sz w:val="20"/>
                <w:szCs w:val="20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Human</w:t>
            </w:r>
          </w:p>
          <w:p w:rsidR="001B3C96" w:rsidRDefault="001B3C96" w:rsidP="001B3C96">
            <w:pPr>
              <w:widowControl/>
              <w:contextualSpacing/>
              <w:jc w:val="left"/>
              <w:rPr>
                <w:rFonts w:cs="Calibri"/>
                <w:kern w:val="0"/>
                <w:sz w:val="20"/>
                <w:szCs w:val="20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n=34 major depression</w:t>
            </w:r>
          </w:p>
          <w:p w:rsidR="001B3C96" w:rsidRDefault="001B3C96" w:rsidP="001B3C96">
            <w:pPr>
              <w:widowControl/>
              <w:contextualSpacing/>
              <w:jc w:val="left"/>
              <w:rPr>
                <w:rFonts w:cs="Calibri"/>
                <w:kern w:val="0"/>
                <w:sz w:val="20"/>
                <w:szCs w:val="20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n=33 matched healthy controls</w:t>
            </w:r>
          </w:p>
          <w:p w:rsidR="001B3C96" w:rsidRDefault="001B3C96" w:rsidP="001B3C96">
            <w:pPr>
              <w:widowControl/>
              <w:contextualSpacing/>
              <w:jc w:val="left"/>
              <w:rPr>
                <w:rFonts w:cs="Calibri"/>
                <w:kern w:val="0"/>
                <w:sz w:val="20"/>
                <w:szCs w:val="20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Fecal transplants-Pooled fecal samples were obtained from 3 of the most severely depressed male patients and 3 age and sex matched controls</w:t>
            </w:r>
          </w:p>
          <w:p w:rsidR="001B3C96" w:rsidRDefault="001B3C96" w:rsidP="001B3C96">
            <w:pPr>
              <w:widowControl/>
              <w:contextualSpacing/>
              <w:jc w:val="left"/>
              <w:rPr>
                <w:rFonts w:cs="Calibri"/>
                <w:kern w:val="0"/>
                <w:sz w:val="20"/>
                <w:szCs w:val="20"/>
              </w:rPr>
            </w:pPr>
          </w:p>
          <w:p w:rsidR="001B3C96" w:rsidRDefault="001B3C96" w:rsidP="001B3C96">
            <w:pPr>
              <w:widowControl/>
              <w:contextualSpacing/>
              <w:jc w:val="left"/>
              <w:rPr>
                <w:rFonts w:cs="Calibri"/>
                <w:kern w:val="0"/>
                <w:sz w:val="20"/>
                <w:szCs w:val="20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Rats</w:t>
            </w:r>
          </w:p>
          <w:p w:rsidR="001B3C96" w:rsidRDefault="001B3C96" w:rsidP="001B3C96">
            <w:pPr>
              <w:widowControl/>
              <w:contextualSpacing/>
              <w:jc w:val="left"/>
              <w:rPr>
                <w:rFonts w:cs="Calibri"/>
                <w:kern w:val="0"/>
                <w:sz w:val="20"/>
                <w:szCs w:val="20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n=15 control</w:t>
            </w:r>
          </w:p>
          <w:p w:rsidR="001B3C96" w:rsidRDefault="001B3C96" w:rsidP="001B3C96">
            <w:pPr>
              <w:widowControl/>
              <w:contextualSpacing/>
              <w:jc w:val="left"/>
              <w:rPr>
                <w:rFonts w:cs="Calibri"/>
                <w:kern w:val="0"/>
                <w:sz w:val="20"/>
                <w:szCs w:val="20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 xml:space="preserve">n=13 depressed group </w:t>
            </w:r>
          </w:p>
          <w:p w:rsidR="001B3C96" w:rsidRDefault="001B3C96" w:rsidP="001B3C96">
            <w:pPr>
              <w:widowControl/>
              <w:contextualSpacing/>
              <w:jc w:val="left"/>
              <w:rPr>
                <w:rFonts w:cs="Calibri"/>
                <w:kern w:val="0"/>
                <w:sz w:val="20"/>
                <w:szCs w:val="20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Rats were given antibiotic cocktail 28 consecutive days prior to fecal transplant. Booster transplant were given twice a week during study.</w:t>
            </w:r>
          </w:p>
          <w:p w:rsidR="001B3C96" w:rsidRDefault="001B3C96" w:rsidP="001B3C96">
            <w:pPr>
              <w:widowControl/>
              <w:contextualSpacing/>
              <w:jc w:val="left"/>
              <w:rPr>
                <w:rFonts w:cs="Calibri"/>
                <w:kern w:val="0"/>
                <w:sz w:val="20"/>
                <w:szCs w:val="20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 xml:space="preserve"> </w:t>
            </w:r>
          </w:p>
          <w:p w:rsidR="001B3C96" w:rsidRPr="00316927" w:rsidRDefault="001B3C96" w:rsidP="001B3C96">
            <w:pPr>
              <w:widowControl/>
              <w:contextualSpacing/>
              <w:jc w:val="left"/>
              <w:rPr>
                <w:rFonts w:cs="Calibri"/>
                <w:kern w:val="0"/>
                <w:sz w:val="20"/>
                <w:szCs w:val="20"/>
              </w:rPr>
            </w:pPr>
          </w:p>
        </w:tc>
        <w:tc>
          <w:tcPr>
            <w:tcW w:w="5669" w:type="dxa"/>
          </w:tcPr>
          <w:p w:rsidR="001B3C96" w:rsidRDefault="001B3C96" w:rsidP="001B3C96">
            <w:pPr>
              <w:widowControl/>
              <w:numPr>
                <w:ilvl w:val="0"/>
                <w:numId w:val="1"/>
              </w:numPr>
              <w:ind w:left="162" w:hanging="162"/>
              <w:contextualSpacing/>
              <w:jc w:val="left"/>
              <w:rPr>
                <w:rFonts w:cs="Calibri"/>
                <w:kern w:val="0"/>
                <w:sz w:val="20"/>
                <w:szCs w:val="20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 xml:space="preserve">Rats that received the fecal transplant from depressed patients displayed anxiety- like behavior and a significant decrease in sucrose intake.  Other neurobiologic outcome measures were significantly different from control rats. </w:t>
            </w:r>
          </w:p>
          <w:p w:rsidR="001B3C96" w:rsidRDefault="001B3C96" w:rsidP="001B3C96">
            <w:pPr>
              <w:widowControl/>
              <w:numPr>
                <w:ilvl w:val="0"/>
                <w:numId w:val="1"/>
              </w:numPr>
              <w:ind w:left="162" w:hanging="162"/>
              <w:contextualSpacing/>
              <w:jc w:val="left"/>
              <w:rPr>
                <w:rFonts w:cs="Calibri"/>
                <w:kern w:val="0"/>
                <w:sz w:val="20"/>
                <w:szCs w:val="20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Decreased gut microbiota richness and diversity was significantly different in rats that received the fecal transplant from depressed patients.</w:t>
            </w:r>
          </w:p>
          <w:p w:rsidR="001B3C96" w:rsidRPr="00316927" w:rsidRDefault="001B3C96" w:rsidP="001B3C96">
            <w:pPr>
              <w:widowControl/>
              <w:numPr>
                <w:ilvl w:val="0"/>
                <w:numId w:val="1"/>
              </w:numPr>
              <w:ind w:left="162" w:hanging="162"/>
              <w:contextualSpacing/>
              <w:jc w:val="left"/>
              <w:rPr>
                <w:rFonts w:cs="Calibri"/>
                <w:kern w:val="0"/>
                <w:sz w:val="20"/>
                <w:szCs w:val="20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 xml:space="preserve">Gut transit time in the rats that received the fecal transplant from depressed patients was significantly different. </w:t>
            </w:r>
          </w:p>
        </w:tc>
      </w:tr>
      <w:tr w:rsidR="001B3C96" w:rsidRPr="00316927" w:rsidTr="001B3C96">
        <w:trPr>
          <w:trHeight w:val="282"/>
        </w:trPr>
        <w:tc>
          <w:tcPr>
            <w:tcW w:w="1908" w:type="dxa"/>
            <w:hideMark/>
          </w:tcPr>
          <w:p w:rsidR="001B3C96" w:rsidRPr="00316927" w:rsidRDefault="001B3C96" w:rsidP="001B3C96">
            <w:pPr>
              <w:widowControl/>
              <w:contextualSpacing/>
              <w:jc w:val="left"/>
              <w:rPr>
                <w:rFonts w:cs="Calibri"/>
                <w:kern w:val="0"/>
                <w:sz w:val="20"/>
                <w:szCs w:val="20"/>
              </w:rPr>
            </w:pPr>
            <w:r w:rsidRPr="00316927">
              <w:rPr>
                <w:rFonts w:cs="Calibri"/>
                <w:kern w:val="0"/>
                <w:sz w:val="20"/>
                <w:szCs w:val="20"/>
              </w:rPr>
              <w:t xml:space="preserve">Anxiety </w:t>
            </w:r>
          </w:p>
          <w:p w:rsidR="001B3C96" w:rsidRPr="00316927" w:rsidRDefault="001B3C96" w:rsidP="001B3C96">
            <w:pPr>
              <w:widowControl/>
              <w:contextualSpacing/>
              <w:jc w:val="left"/>
              <w:rPr>
                <w:rFonts w:cs="Calibri"/>
                <w:kern w:val="0"/>
                <w:sz w:val="20"/>
                <w:szCs w:val="20"/>
              </w:rPr>
            </w:pPr>
            <w:r w:rsidRPr="00316927">
              <w:rPr>
                <w:rFonts w:cs="Calibri"/>
                <w:noProof/>
                <w:kern w:val="0"/>
                <w:sz w:val="20"/>
                <w:szCs w:val="20"/>
              </w:rPr>
              <w:t>(Clarke et al., 2013)</w:t>
            </w:r>
            <w:r w:rsidRPr="00316927">
              <w:rPr>
                <w:rFonts w:cs="Calibri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519" w:type="dxa"/>
          </w:tcPr>
          <w:p w:rsidR="001B3C96" w:rsidRPr="00316927" w:rsidRDefault="00B6582D" w:rsidP="001B3C96">
            <w:pPr>
              <w:widowControl/>
              <w:contextualSpacing/>
              <w:jc w:val="left"/>
              <w:rPr>
                <w:rFonts w:cs="Calibri"/>
                <w:kern w:val="0"/>
                <w:sz w:val="20"/>
                <w:szCs w:val="20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 xml:space="preserve">Animal </w:t>
            </w:r>
            <w:r w:rsidR="001B3C96" w:rsidRPr="00316927">
              <w:rPr>
                <w:rFonts w:cs="Calibri"/>
                <w:kern w:val="0"/>
                <w:sz w:val="20"/>
                <w:szCs w:val="20"/>
              </w:rPr>
              <w:t xml:space="preserve"> study examining effect of microbiota on the CNS and effects on the serotonergic system *; male/female differences and changes after colonization</w:t>
            </w:r>
          </w:p>
          <w:p w:rsidR="001B3C96" w:rsidRPr="00316927" w:rsidRDefault="001B3C96" w:rsidP="001B3C96">
            <w:pPr>
              <w:widowControl/>
              <w:contextualSpacing/>
              <w:jc w:val="left"/>
              <w:rPr>
                <w:rFonts w:cs="Calibri"/>
                <w:kern w:val="0"/>
                <w:sz w:val="20"/>
                <w:szCs w:val="20"/>
              </w:rPr>
            </w:pPr>
          </w:p>
          <w:p w:rsidR="001B3C96" w:rsidRPr="00316927" w:rsidRDefault="001B3C96" w:rsidP="001B3C96">
            <w:pPr>
              <w:widowControl/>
              <w:contextualSpacing/>
              <w:jc w:val="left"/>
              <w:rPr>
                <w:rFonts w:cs="Calibri"/>
                <w:kern w:val="0"/>
                <w:sz w:val="20"/>
                <w:szCs w:val="20"/>
              </w:rPr>
            </w:pPr>
          </w:p>
          <w:p w:rsidR="001B3C96" w:rsidRPr="00316927" w:rsidRDefault="001B3C96" w:rsidP="001B3C96">
            <w:pPr>
              <w:widowControl/>
              <w:contextualSpacing/>
              <w:jc w:val="left"/>
              <w:rPr>
                <w:rFonts w:cs="Calibri"/>
                <w:kern w:val="0"/>
                <w:sz w:val="20"/>
                <w:szCs w:val="20"/>
              </w:rPr>
            </w:pPr>
          </w:p>
          <w:p w:rsidR="001B3C96" w:rsidRPr="00316927" w:rsidRDefault="001B3C96" w:rsidP="001B3C96">
            <w:pPr>
              <w:widowControl/>
              <w:contextualSpacing/>
              <w:jc w:val="left"/>
              <w:rPr>
                <w:rFonts w:cs="Calibri"/>
                <w:kern w:val="0"/>
                <w:sz w:val="20"/>
                <w:szCs w:val="20"/>
              </w:rPr>
            </w:pPr>
          </w:p>
          <w:p w:rsidR="001B3C96" w:rsidRPr="00316927" w:rsidRDefault="001B3C96" w:rsidP="001B3C96">
            <w:pPr>
              <w:widowControl/>
              <w:contextualSpacing/>
              <w:jc w:val="left"/>
              <w:rPr>
                <w:rFonts w:cs="Calibri"/>
                <w:kern w:val="0"/>
                <w:sz w:val="20"/>
                <w:szCs w:val="20"/>
              </w:rPr>
            </w:pPr>
          </w:p>
          <w:p w:rsidR="001B3C96" w:rsidRPr="00316927" w:rsidRDefault="001B3C96" w:rsidP="001B3C96">
            <w:pPr>
              <w:widowControl/>
              <w:contextualSpacing/>
              <w:jc w:val="left"/>
              <w:rPr>
                <w:rFonts w:cs="Calibri"/>
                <w:kern w:val="0"/>
                <w:sz w:val="20"/>
                <w:szCs w:val="20"/>
              </w:rPr>
            </w:pPr>
          </w:p>
          <w:p w:rsidR="001B3C96" w:rsidRPr="00316927" w:rsidRDefault="001B3C96" w:rsidP="001B3C96">
            <w:pPr>
              <w:widowControl/>
              <w:contextualSpacing/>
              <w:jc w:val="left"/>
              <w:rPr>
                <w:rFonts w:cs="Calibri"/>
                <w:kern w:val="0"/>
                <w:sz w:val="20"/>
                <w:szCs w:val="20"/>
              </w:rPr>
            </w:pPr>
          </w:p>
          <w:p w:rsidR="001B3C96" w:rsidRPr="00316927" w:rsidRDefault="001B3C96" w:rsidP="001B3C96">
            <w:pPr>
              <w:widowControl/>
              <w:contextualSpacing/>
              <w:jc w:val="left"/>
              <w:rPr>
                <w:rFonts w:cs="Calibri"/>
                <w:kern w:val="0"/>
                <w:sz w:val="20"/>
                <w:szCs w:val="20"/>
              </w:rPr>
            </w:pPr>
            <w:r w:rsidRPr="00316927">
              <w:rPr>
                <w:rFonts w:cs="Calibri"/>
                <w:kern w:val="0"/>
                <w:sz w:val="20"/>
                <w:szCs w:val="20"/>
              </w:rPr>
              <w:lastRenderedPageBreak/>
              <w:t xml:space="preserve">A complex system located in the midbrain that is related to inhibition. Dysfunction has been linked  to numerous to cognitive disorders </w:t>
            </w:r>
            <w:r w:rsidRPr="00316927">
              <w:rPr>
                <w:rFonts w:cs="Calibri"/>
                <w:noProof/>
                <w:kern w:val="0"/>
                <w:sz w:val="20"/>
                <w:szCs w:val="20"/>
              </w:rPr>
              <w:t>(Berger, Gray, &amp; Roth, 2009)</w:t>
            </w:r>
            <w:r w:rsidRPr="00316927">
              <w:rPr>
                <w:rFonts w:cs="Calibri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969" w:type="dxa"/>
          </w:tcPr>
          <w:p w:rsidR="001B3C96" w:rsidRPr="00316927" w:rsidRDefault="001B3C96" w:rsidP="001B3C96">
            <w:pPr>
              <w:widowControl/>
              <w:contextualSpacing/>
              <w:jc w:val="left"/>
              <w:rPr>
                <w:rFonts w:cs="Calibri"/>
                <w:kern w:val="0"/>
                <w:sz w:val="20"/>
                <w:szCs w:val="20"/>
              </w:rPr>
            </w:pPr>
            <w:r w:rsidRPr="00316927">
              <w:rPr>
                <w:rFonts w:cs="Calibri"/>
                <w:kern w:val="0"/>
                <w:sz w:val="20"/>
                <w:szCs w:val="20"/>
              </w:rPr>
              <w:lastRenderedPageBreak/>
              <w:t>GF and CC mice were randomly assigned to three groups:</w:t>
            </w:r>
          </w:p>
          <w:p w:rsidR="001B3C96" w:rsidRPr="00316927" w:rsidRDefault="001B3C96" w:rsidP="001B3C96">
            <w:pPr>
              <w:widowControl/>
              <w:jc w:val="left"/>
              <w:rPr>
                <w:rFonts w:cs="Calibri"/>
                <w:kern w:val="0"/>
                <w:sz w:val="20"/>
                <w:szCs w:val="20"/>
              </w:rPr>
            </w:pPr>
            <w:r w:rsidRPr="00316927">
              <w:rPr>
                <w:rFonts w:cs="Calibri"/>
                <w:kern w:val="0"/>
                <w:sz w:val="20"/>
                <w:szCs w:val="20"/>
              </w:rPr>
              <w:t>1) High performance liquid chrom</w:t>
            </w:r>
            <w:r w:rsidR="00F778F2">
              <w:rPr>
                <w:rFonts w:cs="Calibri"/>
                <w:kern w:val="0"/>
                <w:sz w:val="20"/>
                <w:szCs w:val="20"/>
              </w:rPr>
              <w:t>a</w:t>
            </w:r>
            <w:r w:rsidRPr="00316927">
              <w:rPr>
                <w:rFonts w:cs="Calibri"/>
                <w:kern w:val="0"/>
                <w:sz w:val="20"/>
                <w:szCs w:val="20"/>
              </w:rPr>
              <w:t>t</w:t>
            </w:r>
            <w:r w:rsidR="00F778F2">
              <w:rPr>
                <w:rFonts w:cs="Calibri"/>
                <w:kern w:val="0"/>
                <w:sz w:val="20"/>
                <w:szCs w:val="20"/>
              </w:rPr>
              <w:t>o</w:t>
            </w:r>
            <w:r w:rsidRPr="00316927">
              <w:rPr>
                <w:rFonts w:cs="Calibri"/>
                <w:kern w:val="0"/>
                <w:sz w:val="20"/>
                <w:szCs w:val="20"/>
              </w:rPr>
              <w:t xml:space="preserve">graphy/PCR </w:t>
            </w:r>
            <w:r w:rsidRPr="00316927">
              <w:rPr>
                <w:rFonts w:cs="Calibri"/>
                <w:i/>
                <w:color w:val="000000"/>
                <w:kern w:val="0"/>
                <w:sz w:val="20"/>
                <w:szCs w:val="20"/>
              </w:rPr>
              <w:t>n</w:t>
            </w:r>
            <w:r w:rsidRPr="00316927">
              <w:rPr>
                <w:rFonts w:cs="Calibri"/>
                <w:kern w:val="0"/>
                <w:sz w:val="20"/>
                <w:szCs w:val="20"/>
              </w:rPr>
              <w:t xml:space="preserve"> = 9–10 </w:t>
            </w:r>
          </w:p>
          <w:p w:rsidR="001B3C96" w:rsidRPr="00316927" w:rsidRDefault="001B3C96" w:rsidP="001B3C96">
            <w:pPr>
              <w:widowControl/>
              <w:contextualSpacing/>
              <w:jc w:val="left"/>
              <w:rPr>
                <w:rFonts w:cs="Calibri"/>
                <w:kern w:val="0"/>
                <w:sz w:val="20"/>
                <w:szCs w:val="20"/>
              </w:rPr>
            </w:pPr>
            <w:r w:rsidRPr="00316927">
              <w:rPr>
                <w:rFonts w:cs="Calibri"/>
                <w:kern w:val="0"/>
                <w:sz w:val="20"/>
                <w:szCs w:val="20"/>
              </w:rPr>
              <w:t xml:space="preserve">2) Stress-induced cortisone production </w:t>
            </w:r>
            <w:r w:rsidRPr="00316927">
              <w:rPr>
                <w:rFonts w:cs="Calibri"/>
                <w:i/>
                <w:color w:val="000000"/>
                <w:kern w:val="0"/>
                <w:sz w:val="20"/>
                <w:szCs w:val="20"/>
              </w:rPr>
              <w:t>n</w:t>
            </w:r>
            <w:r w:rsidRPr="00316927">
              <w:rPr>
                <w:rFonts w:cs="Calibri"/>
                <w:kern w:val="0"/>
                <w:sz w:val="20"/>
                <w:szCs w:val="20"/>
              </w:rPr>
              <w:t xml:space="preserve"> = 9–10</w:t>
            </w:r>
          </w:p>
          <w:p w:rsidR="001B3C96" w:rsidRPr="00316927" w:rsidRDefault="001B3C96" w:rsidP="001B3C96">
            <w:pPr>
              <w:widowControl/>
              <w:contextualSpacing/>
              <w:jc w:val="left"/>
              <w:rPr>
                <w:rFonts w:cs="Calibri"/>
                <w:kern w:val="0"/>
                <w:sz w:val="20"/>
                <w:szCs w:val="20"/>
              </w:rPr>
            </w:pPr>
            <w:r w:rsidRPr="00316927">
              <w:rPr>
                <w:rFonts w:cs="Calibri"/>
                <w:kern w:val="0"/>
                <w:sz w:val="20"/>
                <w:szCs w:val="20"/>
              </w:rPr>
              <w:t>3) Splenocyte stimulations</w:t>
            </w:r>
          </w:p>
          <w:p w:rsidR="001B3C96" w:rsidRPr="00316927" w:rsidRDefault="001B3C96" w:rsidP="001B3C96">
            <w:pPr>
              <w:widowControl/>
              <w:contextualSpacing/>
              <w:jc w:val="left"/>
              <w:rPr>
                <w:rFonts w:cs="Calibri"/>
                <w:kern w:val="0"/>
                <w:sz w:val="20"/>
                <w:szCs w:val="20"/>
              </w:rPr>
            </w:pPr>
            <w:r w:rsidRPr="00316927">
              <w:rPr>
                <w:rFonts w:cs="Calibri"/>
                <w:i/>
                <w:color w:val="000000"/>
                <w:kern w:val="0"/>
                <w:sz w:val="20"/>
                <w:szCs w:val="20"/>
              </w:rPr>
              <w:t>n</w:t>
            </w:r>
            <w:r w:rsidRPr="00316927">
              <w:rPr>
                <w:rFonts w:cs="Calibri"/>
                <w:kern w:val="0"/>
                <w:sz w:val="20"/>
                <w:szCs w:val="20"/>
              </w:rPr>
              <w:t xml:space="preserve"> = 5–8</w:t>
            </w:r>
          </w:p>
          <w:p w:rsidR="001B3C96" w:rsidRPr="00316927" w:rsidRDefault="001B3C96" w:rsidP="001B3C96">
            <w:pPr>
              <w:widowControl/>
              <w:contextualSpacing/>
              <w:jc w:val="left"/>
              <w:rPr>
                <w:rFonts w:cs="Calibri"/>
                <w:kern w:val="0"/>
                <w:sz w:val="20"/>
                <w:szCs w:val="20"/>
              </w:rPr>
            </w:pPr>
            <w:r w:rsidRPr="00316927">
              <w:rPr>
                <w:rFonts w:cs="Calibri"/>
                <w:kern w:val="0"/>
                <w:sz w:val="20"/>
                <w:szCs w:val="20"/>
              </w:rPr>
              <w:t>Subsequent study</w:t>
            </w:r>
          </w:p>
          <w:p w:rsidR="001B3C96" w:rsidRPr="00316927" w:rsidRDefault="001B3C96" w:rsidP="001B3C96">
            <w:pPr>
              <w:widowControl/>
              <w:contextualSpacing/>
              <w:jc w:val="left"/>
              <w:rPr>
                <w:rFonts w:cs="Calibri"/>
                <w:kern w:val="0"/>
                <w:sz w:val="20"/>
                <w:szCs w:val="20"/>
              </w:rPr>
            </w:pPr>
            <w:r w:rsidRPr="00316927">
              <w:rPr>
                <w:rFonts w:cs="Calibri"/>
                <w:kern w:val="0"/>
                <w:sz w:val="20"/>
                <w:szCs w:val="20"/>
              </w:rPr>
              <w:t xml:space="preserve">Male GF mice </w:t>
            </w:r>
            <w:r w:rsidRPr="00316927">
              <w:rPr>
                <w:rFonts w:cs="Calibri"/>
                <w:i/>
                <w:color w:val="000000"/>
                <w:kern w:val="0"/>
                <w:sz w:val="20"/>
                <w:szCs w:val="20"/>
              </w:rPr>
              <w:t>n</w:t>
            </w:r>
            <w:r w:rsidRPr="00316927">
              <w:rPr>
                <w:rFonts w:cs="Calibri"/>
                <w:kern w:val="0"/>
                <w:sz w:val="20"/>
                <w:szCs w:val="20"/>
              </w:rPr>
              <w:t xml:space="preserve"> = 9 were colonized produce the colonized GF. </w:t>
            </w:r>
          </w:p>
          <w:p w:rsidR="001B3C96" w:rsidRPr="00316927" w:rsidRDefault="001B3C96" w:rsidP="001B3C96">
            <w:pPr>
              <w:widowControl/>
              <w:contextualSpacing/>
              <w:jc w:val="left"/>
              <w:rPr>
                <w:rFonts w:cs="Calibri"/>
                <w:kern w:val="0"/>
                <w:sz w:val="20"/>
                <w:szCs w:val="20"/>
              </w:rPr>
            </w:pPr>
          </w:p>
          <w:p w:rsidR="001B3C96" w:rsidRPr="00316927" w:rsidRDefault="001B3C96" w:rsidP="001B3C96">
            <w:pPr>
              <w:widowControl/>
              <w:contextualSpacing/>
              <w:jc w:val="left"/>
              <w:rPr>
                <w:rFonts w:cs="Calibri"/>
                <w:kern w:val="0"/>
                <w:sz w:val="20"/>
                <w:szCs w:val="20"/>
              </w:rPr>
            </w:pPr>
            <w:r w:rsidRPr="00316927">
              <w:rPr>
                <w:rFonts w:cs="Calibri"/>
                <w:kern w:val="0"/>
                <w:sz w:val="20"/>
                <w:szCs w:val="20"/>
              </w:rPr>
              <w:t xml:space="preserve">3 groups (M/F mice); </w:t>
            </w:r>
          </w:p>
          <w:p w:rsidR="001B3C96" w:rsidRPr="00316927" w:rsidRDefault="001B3C96" w:rsidP="001B3C96">
            <w:pPr>
              <w:widowControl/>
              <w:contextualSpacing/>
              <w:jc w:val="left"/>
              <w:rPr>
                <w:rFonts w:cs="Calibri"/>
                <w:kern w:val="0"/>
                <w:sz w:val="20"/>
                <w:szCs w:val="20"/>
              </w:rPr>
            </w:pPr>
            <w:r w:rsidRPr="00316927">
              <w:rPr>
                <w:rFonts w:cs="Calibri"/>
                <w:kern w:val="0"/>
                <w:sz w:val="20"/>
                <w:szCs w:val="20"/>
              </w:rPr>
              <w:lastRenderedPageBreak/>
              <w:t xml:space="preserve">Germ free (GF); Conventionally Colonized (CC); </w:t>
            </w:r>
          </w:p>
          <w:p w:rsidR="001B3C96" w:rsidRPr="00316927" w:rsidRDefault="001B3C96" w:rsidP="001B3C96">
            <w:pPr>
              <w:widowControl/>
              <w:contextualSpacing/>
              <w:jc w:val="left"/>
              <w:rPr>
                <w:rFonts w:cs="Calibri"/>
                <w:kern w:val="0"/>
                <w:sz w:val="20"/>
                <w:szCs w:val="20"/>
              </w:rPr>
            </w:pPr>
            <w:r w:rsidRPr="00316927">
              <w:rPr>
                <w:rFonts w:cs="Calibri"/>
                <w:kern w:val="0"/>
                <w:sz w:val="20"/>
                <w:szCs w:val="20"/>
              </w:rPr>
              <w:t xml:space="preserve">&amp; Colonized GF </w:t>
            </w:r>
          </w:p>
          <w:p w:rsidR="001B3C96" w:rsidRPr="00316927" w:rsidRDefault="001B3C96" w:rsidP="001B3C96">
            <w:pPr>
              <w:widowControl/>
              <w:contextualSpacing/>
              <w:jc w:val="left"/>
              <w:rPr>
                <w:rFonts w:cs="Calibri"/>
                <w:kern w:val="0"/>
                <w:sz w:val="20"/>
                <w:szCs w:val="20"/>
              </w:rPr>
            </w:pPr>
          </w:p>
          <w:p w:rsidR="001B3C96" w:rsidRPr="00316927" w:rsidRDefault="001B3C96" w:rsidP="001B3C96">
            <w:pPr>
              <w:widowControl/>
              <w:contextualSpacing/>
              <w:jc w:val="left"/>
              <w:rPr>
                <w:rFonts w:cs="Calibri"/>
                <w:kern w:val="0"/>
                <w:sz w:val="20"/>
                <w:szCs w:val="20"/>
              </w:rPr>
            </w:pPr>
            <w:r w:rsidRPr="00316927">
              <w:rPr>
                <w:rFonts w:cs="Calibri"/>
                <w:kern w:val="0"/>
                <w:sz w:val="20"/>
                <w:szCs w:val="20"/>
              </w:rPr>
              <w:t>Adult mice were euthanized at 6–9 weeks.</w:t>
            </w:r>
          </w:p>
        </w:tc>
        <w:tc>
          <w:tcPr>
            <w:tcW w:w="5669" w:type="dxa"/>
            <w:hideMark/>
          </w:tcPr>
          <w:p w:rsidR="00B71FE5" w:rsidRDefault="00863FBA" w:rsidP="001B3C96">
            <w:pPr>
              <w:widowControl/>
              <w:numPr>
                <w:ilvl w:val="0"/>
                <w:numId w:val="1"/>
              </w:numPr>
              <w:ind w:left="162" w:hanging="162"/>
              <w:contextualSpacing/>
              <w:jc w:val="left"/>
              <w:rPr>
                <w:rFonts w:cs="Calibri"/>
                <w:kern w:val="0"/>
                <w:sz w:val="20"/>
                <w:szCs w:val="20"/>
              </w:rPr>
            </w:pPr>
            <w:r>
              <w:rPr>
                <w:rFonts w:cs="Calibri"/>
                <w:kern w:val="0"/>
                <w:sz w:val="20"/>
                <w:szCs w:val="20"/>
              </w:rPr>
              <w:lastRenderedPageBreak/>
              <w:t>Blunted immune response in GF</w:t>
            </w:r>
            <w:r w:rsidR="00B71FE5">
              <w:rPr>
                <w:rFonts w:cs="Calibri"/>
                <w:kern w:val="0"/>
                <w:sz w:val="20"/>
                <w:szCs w:val="20"/>
              </w:rPr>
              <w:t xml:space="preserve"> mice</w:t>
            </w:r>
          </w:p>
          <w:p w:rsidR="001B3C96" w:rsidRPr="00316927" w:rsidRDefault="001B3C96" w:rsidP="001B3C96">
            <w:pPr>
              <w:widowControl/>
              <w:numPr>
                <w:ilvl w:val="0"/>
                <w:numId w:val="1"/>
              </w:numPr>
              <w:ind w:left="162" w:hanging="162"/>
              <w:contextualSpacing/>
              <w:jc w:val="left"/>
              <w:rPr>
                <w:rFonts w:cs="Calibri"/>
                <w:kern w:val="0"/>
                <w:sz w:val="20"/>
                <w:szCs w:val="20"/>
              </w:rPr>
            </w:pPr>
            <w:r w:rsidRPr="00316927">
              <w:rPr>
                <w:rFonts w:cs="Calibri"/>
                <w:kern w:val="0"/>
                <w:sz w:val="20"/>
                <w:szCs w:val="20"/>
              </w:rPr>
              <w:t>GF males exhibit less anxiety than CC or colonized GF animals</w:t>
            </w:r>
          </w:p>
          <w:p w:rsidR="001B3C96" w:rsidRPr="00316927" w:rsidRDefault="001B3C96" w:rsidP="001B3C96">
            <w:pPr>
              <w:widowControl/>
              <w:numPr>
                <w:ilvl w:val="0"/>
                <w:numId w:val="1"/>
              </w:numPr>
              <w:ind w:left="162" w:hanging="162"/>
              <w:contextualSpacing/>
              <w:jc w:val="left"/>
              <w:rPr>
                <w:rFonts w:cs="Calibri"/>
                <w:kern w:val="0"/>
                <w:sz w:val="20"/>
                <w:szCs w:val="20"/>
              </w:rPr>
            </w:pPr>
            <w:r w:rsidRPr="00316927">
              <w:rPr>
                <w:rFonts w:cs="Calibri"/>
                <w:kern w:val="0"/>
                <w:sz w:val="20"/>
                <w:szCs w:val="20"/>
              </w:rPr>
              <w:t>As a result of absent gut microbiota CNS neurotransmission is significantly affected and has lifelong effects</w:t>
            </w:r>
          </w:p>
          <w:p w:rsidR="001B3C96" w:rsidRPr="00316927" w:rsidRDefault="001B3C96" w:rsidP="001B3C96">
            <w:pPr>
              <w:widowControl/>
              <w:numPr>
                <w:ilvl w:val="1"/>
                <w:numId w:val="1"/>
              </w:numPr>
              <w:ind w:left="342" w:hanging="180"/>
              <w:contextualSpacing/>
              <w:jc w:val="left"/>
              <w:rPr>
                <w:rFonts w:cs="Calibri"/>
                <w:kern w:val="0"/>
                <w:sz w:val="20"/>
                <w:szCs w:val="20"/>
              </w:rPr>
            </w:pPr>
            <w:r w:rsidRPr="00316927">
              <w:rPr>
                <w:rFonts w:cs="Calibri"/>
                <w:kern w:val="0"/>
                <w:sz w:val="20"/>
                <w:szCs w:val="20"/>
              </w:rPr>
              <w:t>GF males have significant elevation in hippocampal concentration of 5-hydroxtryptamine and 5-hydroxyindoleacetic acid compared to CC animals</w:t>
            </w:r>
          </w:p>
          <w:p w:rsidR="001B3C96" w:rsidRPr="00316927" w:rsidRDefault="001B3C96" w:rsidP="001B3C96">
            <w:pPr>
              <w:widowControl/>
              <w:numPr>
                <w:ilvl w:val="1"/>
                <w:numId w:val="1"/>
              </w:numPr>
              <w:ind w:left="342" w:hanging="180"/>
              <w:contextualSpacing/>
              <w:jc w:val="left"/>
              <w:rPr>
                <w:rFonts w:cs="Calibri"/>
                <w:kern w:val="0"/>
                <w:sz w:val="20"/>
                <w:szCs w:val="20"/>
              </w:rPr>
            </w:pPr>
            <w:r w:rsidRPr="00316927">
              <w:rPr>
                <w:rFonts w:cs="Calibri"/>
                <w:kern w:val="0"/>
                <w:sz w:val="20"/>
                <w:szCs w:val="20"/>
              </w:rPr>
              <w:t>Plasma tryptophan is increased in GF males which suggests a humoral route of microbiota influence on CNS serotonergic neurotransmission</w:t>
            </w:r>
          </w:p>
          <w:p w:rsidR="001B3C96" w:rsidRPr="00316927" w:rsidRDefault="001B3C96" w:rsidP="001B3C96">
            <w:pPr>
              <w:widowControl/>
              <w:numPr>
                <w:ilvl w:val="1"/>
                <w:numId w:val="1"/>
              </w:numPr>
              <w:ind w:left="342" w:hanging="180"/>
              <w:contextualSpacing/>
              <w:jc w:val="left"/>
              <w:rPr>
                <w:rFonts w:cs="Calibri"/>
                <w:kern w:val="0"/>
                <w:sz w:val="20"/>
                <w:szCs w:val="20"/>
              </w:rPr>
            </w:pPr>
            <w:r w:rsidRPr="00316927">
              <w:rPr>
                <w:rFonts w:cs="Calibri"/>
                <w:kern w:val="0"/>
                <w:sz w:val="20"/>
                <w:szCs w:val="20"/>
              </w:rPr>
              <w:t>Other outcome measures: Brain derived neurotropic factor, serotonergic gene expression, 5-hydroxytryptamine (5-HT) tissue concentration in the hippocampus</w:t>
            </w:r>
          </w:p>
          <w:p w:rsidR="001B3C96" w:rsidRPr="00316927" w:rsidRDefault="001B3C96" w:rsidP="001B3C96">
            <w:pPr>
              <w:widowControl/>
              <w:numPr>
                <w:ilvl w:val="0"/>
                <w:numId w:val="1"/>
              </w:numPr>
              <w:ind w:left="162" w:hanging="162"/>
              <w:contextualSpacing/>
              <w:jc w:val="left"/>
              <w:rPr>
                <w:rFonts w:cs="Calibri"/>
                <w:kern w:val="0"/>
                <w:sz w:val="20"/>
                <w:szCs w:val="20"/>
              </w:rPr>
            </w:pPr>
            <w:r w:rsidRPr="00316927">
              <w:rPr>
                <w:rFonts w:cs="Calibri"/>
                <w:kern w:val="0"/>
                <w:sz w:val="20"/>
                <w:szCs w:val="20"/>
              </w:rPr>
              <w:lastRenderedPageBreak/>
              <w:t>Absence of microflora in early life has significant hippocampal effects that are difficult to reverse later in life</w:t>
            </w:r>
          </w:p>
          <w:p w:rsidR="001B3C96" w:rsidRPr="00316927" w:rsidRDefault="001B3C96" w:rsidP="001B3C96">
            <w:pPr>
              <w:widowControl/>
              <w:numPr>
                <w:ilvl w:val="0"/>
                <w:numId w:val="1"/>
              </w:numPr>
              <w:ind w:left="162" w:hanging="162"/>
              <w:contextualSpacing/>
              <w:jc w:val="left"/>
              <w:rPr>
                <w:rFonts w:cs="Calibri"/>
                <w:kern w:val="0"/>
                <w:sz w:val="20"/>
                <w:szCs w:val="20"/>
              </w:rPr>
            </w:pPr>
            <w:r w:rsidRPr="00316927">
              <w:rPr>
                <w:rFonts w:cs="Calibri"/>
                <w:kern w:val="0"/>
                <w:sz w:val="20"/>
                <w:szCs w:val="20"/>
              </w:rPr>
              <w:t>Colonization of GF mice does not exert effects on CNS; perhaps a consequence of absent microbiota despite normalization of tryptophan levels</w:t>
            </w:r>
          </w:p>
        </w:tc>
      </w:tr>
      <w:tr w:rsidR="001B3C96" w:rsidRPr="00316927" w:rsidTr="001B3C96">
        <w:trPr>
          <w:trHeight w:val="831"/>
        </w:trPr>
        <w:tc>
          <w:tcPr>
            <w:tcW w:w="1908" w:type="dxa"/>
            <w:hideMark/>
          </w:tcPr>
          <w:p w:rsidR="001B3C96" w:rsidRPr="00316927" w:rsidRDefault="001B3C96" w:rsidP="001B3C96">
            <w:pPr>
              <w:widowControl/>
              <w:contextualSpacing/>
              <w:jc w:val="left"/>
              <w:rPr>
                <w:rFonts w:cs="Calibri"/>
                <w:kern w:val="0"/>
                <w:sz w:val="20"/>
                <w:szCs w:val="20"/>
              </w:rPr>
            </w:pPr>
            <w:r w:rsidRPr="00316927">
              <w:rPr>
                <w:rFonts w:cs="Calibri"/>
                <w:kern w:val="0"/>
                <w:sz w:val="20"/>
                <w:szCs w:val="20"/>
              </w:rPr>
              <w:lastRenderedPageBreak/>
              <w:t>Frailty, Health, &amp; Depression</w:t>
            </w:r>
          </w:p>
          <w:p w:rsidR="001B3C96" w:rsidRPr="00316927" w:rsidRDefault="001B3C96" w:rsidP="001B3C96">
            <w:pPr>
              <w:widowControl/>
              <w:contextualSpacing/>
              <w:jc w:val="left"/>
              <w:rPr>
                <w:rFonts w:cs="Calibri"/>
                <w:kern w:val="0"/>
                <w:sz w:val="20"/>
                <w:szCs w:val="20"/>
              </w:rPr>
            </w:pPr>
            <w:r w:rsidRPr="00316927">
              <w:rPr>
                <w:rFonts w:cs="Calibri"/>
                <w:noProof/>
                <w:kern w:val="0"/>
                <w:sz w:val="20"/>
                <w:szCs w:val="20"/>
              </w:rPr>
              <w:t>(Claesson et al., 201</w:t>
            </w:r>
            <w:r w:rsidR="00C549CC">
              <w:rPr>
                <w:rFonts w:cs="Calibri"/>
                <w:noProof/>
                <w:kern w:val="0"/>
                <w:sz w:val="20"/>
                <w:szCs w:val="20"/>
              </w:rPr>
              <w:t>2</w:t>
            </w:r>
            <w:r w:rsidRPr="00316927">
              <w:rPr>
                <w:rFonts w:cs="Calibri"/>
                <w:noProof/>
                <w:kern w:val="0"/>
                <w:sz w:val="20"/>
                <w:szCs w:val="20"/>
              </w:rPr>
              <w:t>)</w:t>
            </w:r>
          </w:p>
        </w:tc>
        <w:tc>
          <w:tcPr>
            <w:tcW w:w="2519" w:type="dxa"/>
            <w:hideMark/>
          </w:tcPr>
          <w:p w:rsidR="001B3C96" w:rsidRPr="00316927" w:rsidRDefault="001B3C96" w:rsidP="00D27131">
            <w:pPr>
              <w:widowControl/>
              <w:contextualSpacing/>
              <w:jc w:val="left"/>
              <w:rPr>
                <w:rFonts w:cs="Calibri"/>
                <w:kern w:val="0"/>
                <w:sz w:val="20"/>
                <w:szCs w:val="20"/>
              </w:rPr>
            </w:pPr>
            <w:r w:rsidRPr="00316927">
              <w:rPr>
                <w:rFonts w:cs="Calibri"/>
                <w:kern w:val="0"/>
                <w:sz w:val="20"/>
                <w:szCs w:val="20"/>
              </w:rPr>
              <w:t>Examines the variation of human microbiota in the elderly and correlative effects on immune system and overall health</w:t>
            </w:r>
          </w:p>
        </w:tc>
        <w:tc>
          <w:tcPr>
            <w:tcW w:w="2969" w:type="dxa"/>
            <w:hideMark/>
          </w:tcPr>
          <w:p w:rsidR="001B3C96" w:rsidRPr="00316927" w:rsidRDefault="001B3C96" w:rsidP="001B3C96">
            <w:pPr>
              <w:widowControl/>
              <w:contextualSpacing/>
              <w:jc w:val="left"/>
              <w:rPr>
                <w:rFonts w:cs="Calibri"/>
                <w:kern w:val="0"/>
                <w:sz w:val="20"/>
                <w:szCs w:val="20"/>
              </w:rPr>
            </w:pPr>
            <w:r w:rsidRPr="00316927">
              <w:rPr>
                <w:rFonts w:cs="Calibri"/>
                <w:i/>
                <w:color w:val="000000"/>
                <w:kern w:val="0"/>
                <w:sz w:val="20"/>
                <w:szCs w:val="20"/>
              </w:rPr>
              <w:t>n</w:t>
            </w:r>
            <w:r w:rsidRPr="00316927">
              <w:rPr>
                <w:rFonts w:cs="Calibri"/>
                <w:kern w:val="0"/>
                <w:sz w:val="20"/>
                <w:szCs w:val="20"/>
              </w:rPr>
              <w:t xml:space="preserve"> = 191, 2 groups</w:t>
            </w:r>
          </w:p>
          <w:p w:rsidR="001B3C96" w:rsidRPr="00316927" w:rsidRDefault="001B3C96" w:rsidP="001B3C96">
            <w:pPr>
              <w:widowControl/>
              <w:contextualSpacing/>
              <w:jc w:val="left"/>
              <w:rPr>
                <w:rFonts w:cs="Calibri"/>
                <w:kern w:val="0"/>
                <w:sz w:val="20"/>
                <w:szCs w:val="20"/>
              </w:rPr>
            </w:pPr>
            <w:r w:rsidRPr="00316927">
              <w:rPr>
                <w:rFonts w:cs="Calibri"/>
                <w:i/>
                <w:color w:val="000000"/>
                <w:kern w:val="0"/>
                <w:sz w:val="20"/>
                <w:szCs w:val="20"/>
              </w:rPr>
              <w:t>n</w:t>
            </w:r>
            <w:r w:rsidRPr="00316927">
              <w:rPr>
                <w:rFonts w:cs="Calibri"/>
                <w:kern w:val="0"/>
                <w:sz w:val="20"/>
                <w:szCs w:val="20"/>
              </w:rPr>
              <w:t xml:space="preserve"> = 178  </w:t>
            </w:r>
            <w:r w:rsidRPr="00316927">
              <w:rPr>
                <w:rFonts w:cs="Calibri"/>
                <w:kern w:val="0"/>
                <w:sz w:val="20"/>
                <w:szCs w:val="20"/>
                <w:u w:val="single"/>
              </w:rPr>
              <w:t xml:space="preserve">&gt; </w:t>
            </w:r>
            <w:r w:rsidRPr="00316927">
              <w:rPr>
                <w:rFonts w:cs="Calibri"/>
                <w:kern w:val="0"/>
                <w:sz w:val="20"/>
                <w:szCs w:val="20"/>
              </w:rPr>
              <w:t xml:space="preserve">64 years of age divided into 4 subgroups: </w:t>
            </w:r>
          </w:p>
          <w:p w:rsidR="001B3C96" w:rsidRPr="00316927" w:rsidRDefault="001B3C96" w:rsidP="001B3C96">
            <w:pPr>
              <w:widowControl/>
              <w:contextualSpacing/>
              <w:jc w:val="left"/>
              <w:rPr>
                <w:rFonts w:cs="Calibri"/>
                <w:kern w:val="0"/>
                <w:sz w:val="20"/>
                <w:szCs w:val="20"/>
              </w:rPr>
            </w:pPr>
            <w:r w:rsidRPr="00316927">
              <w:rPr>
                <w:rFonts w:cs="Calibri"/>
                <w:kern w:val="0"/>
                <w:sz w:val="20"/>
                <w:szCs w:val="20"/>
              </w:rPr>
              <w:t>1)</w:t>
            </w:r>
            <w:r w:rsidR="00C549CC">
              <w:rPr>
                <w:rFonts w:cs="Calibri"/>
                <w:kern w:val="0"/>
                <w:sz w:val="20"/>
                <w:szCs w:val="20"/>
              </w:rPr>
              <w:t xml:space="preserve"> </w:t>
            </w:r>
            <w:r w:rsidRPr="00316927">
              <w:rPr>
                <w:rFonts w:cs="Calibri"/>
                <w:kern w:val="0"/>
                <w:sz w:val="20"/>
                <w:szCs w:val="20"/>
              </w:rPr>
              <w:t xml:space="preserve">living in the community, </w:t>
            </w:r>
          </w:p>
          <w:p w:rsidR="001B3C96" w:rsidRPr="00316927" w:rsidRDefault="001B3C96" w:rsidP="001B3C96">
            <w:pPr>
              <w:widowControl/>
              <w:contextualSpacing/>
              <w:jc w:val="left"/>
              <w:rPr>
                <w:rFonts w:cs="Calibri"/>
                <w:kern w:val="0"/>
                <w:sz w:val="20"/>
                <w:szCs w:val="20"/>
              </w:rPr>
            </w:pPr>
            <w:r w:rsidRPr="00316927">
              <w:rPr>
                <w:rFonts w:cs="Calibri"/>
                <w:kern w:val="0"/>
                <w:sz w:val="20"/>
                <w:szCs w:val="20"/>
              </w:rPr>
              <w:t>2)</w:t>
            </w:r>
            <w:r w:rsidR="00C549CC">
              <w:rPr>
                <w:rFonts w:cs="Calibri"/>
                <w:kern w:val="0"/>
                <w:sz w:val="20"/>
                <w:szCs w:val="20"/>
              </w:rPr>
              <w:t xml:space="preserve"> </w:t>
            </w:r>
            <w:r w:rsidRPr="00316927">
              <w:rPr>
                <w:rFonts w:cs="Calibri"/>
                <w:kern w:val="0"/>
                <w:sz w:val="20"/>
                <w:szCs w:val="20"/>
              </w:rPr>
              <w:t xml:space="preserve">outpatient day hospital, </w:t>
            </w:r>
          </w:p>
          <w:p w:rsidR="001B3C96" w:rsidRPr="00316927" w:rsidRDefault="001B3C96" w:rsidP="001B3C96">
            <w:pPr>
              <w:widowControl/>
              <w:contextualSpacing/>
              <w:jc w:val="left"/>
              <w:rPr>
                <w:rFonts w:cs="Calibri"/>
                <w:kern w:val="0"/>
                <w:sz w:val="20"/>
                <w:szCs w:val="20"/>
              </w:rPr>
            </w:pPr>
            <w:r w:rsidRPr="00316927">
              <w:rPr>
                <w:rFonts w:cs="Calibri"/>
                <w:kern w:val="0"/>
                <w:sz w:val="20"/>
                <w:szCs w:val="20"/>
              </w:rPr>
              <w:t>3)</w:t>
            </w:r>
            <w:r w:rsidR="00C549CC">
              <w:rPr>
                <w:rFonts w:cs="Calibri"/>
                <w:kern w:val="0"/>
                <w:sz w:val="20"/>
                <w:szCs w:val="20"/>
              </w:rPr>
              <w:t xml:space="preserve"> </w:t>
            </w:r>
            <w:r w:rsidRPr="00316927">
              <w:rPr>
                <w:rFonts w:cs="Calibri"/>
                <w:kern w:val="0"/>
                <w:sz w:val="20"/>
                <w:szCs w:val="20"/>
              </w:rPr>
              <w:t xml:space="preserve">short-term rehab, </w:t>
            </w:r>
          </w:p>
          <w:p w:rsidR="001B3C96" w:rsidRPr="00316927" w:rsidRDefault="001B3C96" w:rsidP="001B3C96">
            <w:pPr>
              <w:widowControl/>
              <w:contextualSpacing/>
              <w:jc w:val="left"/>
              <w:rPr>
                <w:rFonts w:cs="Calibri"/>
                <w:kern w:val="0"/>
                <w:sz w:val="20"/>
                <w:szCs w:val="20"/>
              </w:rPr>
            </w:pPr>
            <w:r w:rsidRPr="00316927">
              <w:rPr>
                <w:rFonts w:cs="Calibri"/>
                <w:kern w:val="0"/>
                <w:sz w:val="20"/>
                <w:szCs w:val="20"/>
              </w:rPr>
              <w:t>4)</w:t>
            </w:r>
            <w:r w:rsidR="00C549CC">
              <w:rPr>
                <w:rFonts w:cs="Calibri"/>
                <w:kern w:val="0"/>
                <w:sz w:val="20"/>
                <w:szCs w:val="20"/>
              </w:rPr>
              <w:t xml:space="preserve"> </w:t>
            </w:r>
            <w:r w:rsidRPr="00316927">
              <w:rPr>
                <w:rFonts w:cs="Calibri"/>
                <w:kern w:val="0"/>
                <w:sz w:val="20"/>
                <w:szCs w:val="20"/>
              </w:rPr>
              <w:t xml:space="preserve">long-term institution; </w:t>
            </w:r>
          </w:p>
          <w:p w:rsidR="001B3C96" w:rsidRPr="00316927" w:rsidRDefault="001B3C96" w:rsidP="001B3C96">
            <w:pPr>
              <w:widowControl/>
              <w:contextualSpacing/>
              <w:jc w:val="left"/>
              <w:rPr>
                <w:rFonts w:cs="Calibri"/>
                <w:kern w:val="0"/>
                <w:sz w:val="20"/>
                <w:szCs w:val="20"/>
              </w:rPr>
            </w:pPr>
            <w:r w:rsidRPr="00316927">
              <w:rPr>
                <w:rFonts w:cs="Calibri"/>
                <w:i/>
                <w:color w:val="000000"/>
                <w:kern w:val="0"/>
                <w:sz w:val="20"/>
                <w:szCs w:val="20"/>
              </w:rPr>
              <w:t>n</w:t>
            </w:r>
            <w:r w:rsidRPr="00316927">
              <w:rPr>
                <w:rFonts w:cs="Calibri"/>
                <w:kern w:val="0"/>
                <w:sz w:val="20"/>
                <w:szCs w:val="20"/>
              </w:rPr>
              <w:t xml:space="preserve"> = 13 young adult controls</w:t>
            </w:r>
          </w:p>
        </w:tc>
        <w:tc>
          <w:tcPr>
            <w:tcW w:w="5669" w:type="dxa"/>
            <w:hideMark/>
          </w:tcPr>
          <w:p w:rsidR="00D86F77" w:rsidRPr="00180171" w:rsidRDefault="00D86F77" w:rsidP="00D86F77">
            <w:pPr>
              <w:widowControl/>
              <w:numPr>
                <w:ilvl w:val="0"/>
                <w:numId w:val="1"/>
              </w:numPr>
              <w:ind w:left="180" w:hanging="180"/>
              <w:contextualSpacing/>
              <w:jc w:val="left"/>
              <w:rPr>
                <w:rFonts w:cs="Calibri"/>
                <w:kern w:val="0"/>
                <w:sz w:val="20"/>
                <w:szCs w:val="20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 xml:space="preserve">Diet that is diverse supports a healthy gut microbiome and a healthy gut microbiome is associated with good health </w:t>
            </w:r>
          </w:p>
          <w:p w:rsidR="00180171" w:rsidRPr="00316927" w:rsidRDefault="004E5EBE" w:rsidP="002A712D">
            <w:pPr>
              <w:widowControl/>
              <w:numPr>
                <w:ilvl w:val="0"/>
                <w:numId w:val="1"/>
              </w:numPr>
              <w:ind w:left="180" w:hanging="180"/>
              <w:contextualSpacing/>
              <w:jc w:val="left"/>
              <w:rPr>
                <w:rFonts w:cs="Calibri"/>
                <w:kern w:val="0"/>
                <w:sz w:val="20"/>
                <w:szCs w:val="20"/>
              </w:rPr>
            </w:pPr>
            <w:r w:rsidRPr="00180171">
              <w:rPr>
                <w:rFonts w:cs="Calibri"/>
                <w:kern w:val="0"/>
                <w:sz w:val="20"/>
                <w:szCs w:val="20"/>
              </w:rPr>
              <w:t xml:space="preserve">Genera identified in the gut microbiome were specific to four living locations </w:t>
            </w:r>
            <w:r w:rsidR="00180171">
              <w:rPr>
                <w:rFonts w:cs="Calibri"/>
                <w:kern w:val="0"/>
                <w:sz w:val="20"/>
                <w:szCs w:val="20"/>
              </w:rPr>
              <w:t xml:space="preserve">Markers of inflammation were higher </w:t>
            </w:r>
            <w:r w:rsidR="00D86F77">
              <w:rPr>
                <w:rFonts w:cs="Calibri"/>
                <w:kern w:val="0"/>
                <w:sz w:val="20"/>
                <w:szCs w:val="20"/>
              </w:rPr>
              <w:t>in</w:t>
            </w:r>
            <w:r w:rsidR="00180171">
              <w:rPr>
                <w:rFonts w:cs="Calibri"/>
                <w:kern w:val="0"/>
                <w:sz w:val="20"/>
                <w:szCs w:val="20"/>
              </w:rPr>
              <w:t xml:space="preserve"> long stay and rehab</w:t>
            </w:r>
            <w:r w:rsidR="00D86F77">
              <w:rPr>
                <w:rFonts w:cs="Calibri"/>
                <w:kern w:val="0"/>
                <w:sz w:val="20"/>
                <w:szCs w:val="20"/>
              </w:rPr>
              <w:t xml:space="preserve"> members than in community dwellers</w:t>
            </w:r>
          </w:p>
          <w:p w:rsidR="001B3C96" w:rsidRPr="00316927" w:rsidRDefault="001B3C96" w:rsidP="001B3C96">
            <w:pPr>
              <w:widowControl/>
              <w:numPr>
                <w:ilvl w:val="0"/>
                <w:numId w:val="1"/>
              </w:numPr>
              <w:ind w:left="180" w:hanging="180"/>
              <w:contextualSpacing/>
              <w:jc w:val="left"/>
              <w:rPr>
                <w:rFonts w:cs="Calibri"/>
                <w:kern w:val="0"/>
                <w:sz w:val="20"/>
                <w:szCs w:val="20"/>
              </w:rPr>
            </w:pPr>
            <w:r w:rsidRPr="00316927">
              <w:rPr>
                <w:rFonts w:cs="Calibri"/>
                <w:kern w:val="0"/>
                <w:sz w:val="20"/>
                <w:szCs w:val="20"/>
              </w:rPr>
              <w:t>Frailty/health deterioration</w:t>
            </w:r>
            <w:r w:rsidR="00C549CC">
              <w:rPr>
                <w:rFonts w:cs="Calibri"/>
                <w:kern w:val="0"/>
                <w:sz w:val="20"/>
                <w:szCs w:val="20"/>
              </w:rPr>
              <w:t xml:space="preserve"> </w:t>
            </w:r>
            <w:r w:rsidR="00764B62">
              <w:rPr>
                <w:rFonts w:cs="Calibri"/>
                <w:kern w:val="0"/>
                <w:sz w:val="20"/>
                <w:szCs w:val="20"/>
              </w:rPr>
              <w:t xml:space="preserve">were associated </w:t>
            </w:r>
            <w:r w:rsidR="00C549CC">
              <w:rPr>
                <w:rFonts w:cs="Calibri"/>
                <w:kern w:val="0"/>
                <w:sz w:val="20"/>
                <w:szCs w:val="20"/>
              </w:rPr>
              <w:t>with loss of community microbiota</w:t>
            </w:r>
            <w:r w:rsidR="00180171">
              <w:rPr>
                <w:rFonts w:cs="Calibri"/>
                <w:kern w:val="0"/>
                <w:sz w:val="20"/>
                <w:szCs w:val="20"/>
              </w:rPr>
              <w:t xml:space="preserve"> or less diverse microbiome</w:t>
            </w:r>
            <w:r w:rsidR="00C549CC">
              <w:rPr>
                <w:rFonts w:cs="Calibri"/>
                <w:kern w:val="0"/>
                <w:sz w:val="20"/>
                <w:szCs w:val="20"/>
              </w:rPr>
              <w:t xml:space="preserve"> </w:t>
            </w:r>
            <w:r w:rsidRPr="00316927">
              <w:rPr>
                <w:rFonts w:cs="Calibri"/>
                <w:kern w:val="0"/>
                <w:sz w:val="20"/>
                <w:szCs w:val="20"/>
              </w:rPr>
              <w:t xml:space="preserve"> </w:t>
            </w:r>
          </w:p>
        </w:tc>
      </w:tr>
      <w:tr w:rsidR="001B3C96" w:rsidRPr="00316927" w:rsidTr="001B3C96">
        <w:trPr>
          <w:trHeight w:val="3770"/>
        </w:trPr>
        <w:tc>
          <w:tcPr>
            <w:tcW w:w="1908" w:type="dxa"/>
            <w:hideMark/>
          </w:tcPr>
          <w:p w:rsidR="001B3C96" w:rsidRPr="00316927" w:rsidRDefault="001B3C96" w:rsidP="001B3C96">
            <w:pPr>
              <w:widowControl/>
              <w:contextualSpacing/>
              <w:jc w:val="left"/>
              <w:rPr>
                <w:rFonts w:cs="Calibri"/>
                <w:kern w:val="0"/>
                <w:sz w:val="20"/>
                <w:szCs w:val="20"/>
              </w:rPr>
            </w:pPr>
            <w:r w:rsidRPr="00316927">
              <w:rPr>
                <w:rFonts w:cs="Calibri"/>
                <w:kern w:val="0"/>
                <w:sz w:val="20"/>
                <w:szCs w:val="20"/>
              </w:rPr>
              <w:t>Autism</w:t>
            </w:r>
          </w:p>
          <w:p w:rsidR="001B3C96" w:rsidRPr="00316927" w:rsidRDefault="001B3C96" w:rsidP="001B3C96">
            <w:pPr>
              <w:widowControl/>
              <w:contextualSpacing/>
              <w:jc w:val="left"/>
              <w:rPr>
                <w:rFonts w:cs="Calibri"/>
                <w:kern w:val="0"/>
                <w:sz w:val="20"/>
                <w:szCs w:val="20"/>
              </w:rPr>
            </w:pPr>
            <w:r w:rsidRPr="00316927">
              <w:rPr>
                <w:rFonts w:cs="Calibri"/>
                <w:noProof/>
                <w:kern w:val="0"/>
                <w:sz w:val="20"/>
                <w:szCs w:val="20"/>
              </w:rPr>
              <w:t>(Bresnahan et al., 2015)</w:t>
            </w:r>
          </w:p>
        </w:tc>
        <w:tc>
          <w:tcPr>
            <w:tcW w:w="2519" w:type="dxa"/>
            <w:hideMark/>
          </w:tcPr>
          <w:p w:rsidR="001B3C96" w:rsidRPr="00316927" w:rsidRDefault="001B3C96" w:rsidP="001B3C96">
            <w:pPr>
              <w:widowControl/>
              <w:contextualSpacing/>
              <w:jc w:val="left"/>
              <w:rPr>
                <w:rFonts w:cs="Calibri"/>
                <w:kern w:val="0"/>
                <w:sz w:val="20"/>
                <w:szCs w:val="20"/>
              </w:rPr>
            </w:pPr>
            <w:r w:rsidRPr="00316927">
              <w:rPr>
                <w:rFonts w:cs="Calibri"/>
                <w:kern w:val="0"/>
                <w:sz w:val="20"/>
                <w:szCs w:val="20"/>
              </w:rPr>
              <w:t>Evaluates maternal report of infant and toddler gastrointestinal symptoms with risk for autism</w:t>
            </w:r>
          </w:p>
        </w:tc>
        <w:tc>
          <w:tcPr>
            <w:tcW w:w="2969" w:type="dxa"/>
          </w:tcPr>
          <w:p w:rsidR="00065F37" w:rsidRDefault="001B3C96" w:rsidP="001B3C96">
            <w:pPr>
              <w:widowControl/>
              <w:contextualSpacing/>
              <w:jc w:val="left"/>
              <w:rPr>
                <w:rFonts w:cs="Calibri"/>
                <w:kern w:val="0"/>
                <w:sz w:val="20"/>
                <w:szCs w:val="20"/>
              </w:rPr>
            </w:pPr>
            <w:r w:rsidRPr="00316927">
              <w:rPr>
                <w:rFonts w:cs="Calibri"/>
                <w:kern w:val="0"/>
                <w:sz w:val="20"/>
                <w:szCs w:val="20"/>
              </w:rPr>
              <w:t xml:space="preserve">Human study; Prospective maternal reported data from large national mother/child study in Norway. Children born 2002–2008; follow-up surveys at 18 and 36 months </w:t>
            </w:r>
            <w:r w:rsidRPr="00316927">
              <w:rPr>
                <w:rFonts w:cs="Calibri"/>
                <w:i/>
                <w:color w:val="000000"/>
                <w:kern w:val="0"/>
                <w:sz w:val="20"/>
                <w:szCs w:val="20"/>
              </w:rPr>
              <w:t>n</w:t>
            </w:r>
            <w:r w:rsidRPr="00316927">
              <w:rPr>
                <w:rFonts w:cs="Calibri"/>
                <w:kern w:val="0"/>
                <w:sz w:val="20"/>
                <w:szCs w:val="20"/>
              </w:rPr>
              <w:t xml:space="preserve"> = 45,126, </w:t>
            </w:r>
          </w:p>
          <w:p w:rsidR="001B3C96" w:rsidRPr="00316927" w:rsidRDefault="00065F37" w:rsidP="001B3C96">
            <w:pPr>
              <w:widowControl/>
              <w:contextualSpacing/>
              <w:jc w:val="left"/>
              <w:rPr>
                <w:rFonts w:cs="Calibri"/>
                <w:kern w:val="0"/>
                <w:sz w:val="20"/>
                <w:szCs w:val="20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I</w:t>
            </w:r>
            <w:r w:rsidR="001B3C96" w:rsidRPr="00316927">
              <w:rPr>
                <w:rFonts w:cs="Calibri"/>
                <w:kern w:val="0"/>
                <w:sz w:val="20"/>
                <w:szCs w:val="20"/>
              </w:rPr>
              <w:t>ncludes 3 groups</w:t>
            </w:r>
            <w:r>
              <w:rPr>
                <w:rFonts w:cs="Calibri"/>
                <w:kern w:val="0"/>
                <w:sz w:val="20"/>
                <w:szCs w:val="20"/>
              </w:rPr>
              <w:t>:</w:t>
            </w:r>
          </w:p>
          <w:p w:rsidR="001B3C96" w:rsidRPr="00316927" w:rsidRDefault="001B3C96" w:rsidP="001B3C96">
            <w:pPr>
              <w:widowControl/>
              <w:contextualSpacing/>
              <w:jc w:val="left"/>
              <w:rPr>
                <w:rFonts w:cs="Calibri"/>
                <w:kern w:val="0"/>
                <w:sz w:val="20"/>
                <w:szCs w:val="20"/>
              </w:rPr>
            </w:pPr>
            <w:r w:rsidRPr="00316927">
              <w:rPr>
                <w:rFonts w:cs="Calibri"/>
                <w:kern w:val="0"/>
                <w:sz w:val="20"/>
                <w:szCs w:val="20"/>
              </w:rPr>
              <w:t xml:space="preserve">Typical Development (TD) </w:t>
            </w:r>
            <w:r w:rsidRPr="00316927">
              <w:rPr>
                <w:rFonts w:cs="Calibri"/>
                <w:i/>
                <w:color w:val="000000"/>
                <w:kern w:val="0"/>
                <w:sz w:val="20"/>
                <w:szCs w:val="20"/>
              </w:rPr>
              <w:t>n</w:t>
            </w:r>
            <w:r w:rsidRPr="00316927">
              <w:rPr>
                <w:rFonts w:cs="Calibri"/>
                <w:kern w:val="0"/>
                <w:sz w:val="20"/>
                <w:szCs w:val="20"/>
              </w:rPr>
              <w:t xml:space="preserve"> = 40,295; </w:t>
            </w:r>
          </w:p>
          <w:p w:rsidR="001B3C96" w:rsidRPr="00316927" w:rsidRDefault="001B3C96" w:rsidP="001B3C96">
            <w:pPr>
              <w:widowControl/>
              <w:contextualSpacing/>
              <w:jc w:val="left"/>
              <w:rPr>
                <w:rFonts w:cs="Calibri"/>
                <w:kern w:val="0"/>
                <w:sz w:val="20"/>
                <w:szCs w:val="20"/>
              </w:rPr>
            </w:pPr>
            <w:r w:rsidRPr="00316927">
              <w:rPr>
                <w:rFonts w:cs="Calibri"/>
                <w:kern w:val="0"/>
                <w:sz w:val="20"/>
                <w:szCs w:val="20"/>
              </w:rPr>
              <w:t xml:space="preserve">Autism Spectrum Disorder (ASD) </w:t>
            </w:r>
            <w:r w:rsidRPr="00316927">
              <w:rPr>
                <w:rFonts w:cs="Calibri"/>
                <w:i/>
                <w:color w:val="000000"/>
                <w:kern w:val="0"/>
                <w:sz w:val="20"/>
                <w:szCs w:val="20"/>
              </w:rPr>
              <w:t>n</w:t>
            </w:r>
            <w:r w:rsidRPr="00316927">
              <w:rPr>
                <w:rFonts w:cs="Calibri"/>
                <w:kern w:val="0"/>
                <w:sz w:val="20"/>
                <w:szCs w:val="20"/>
              </w:rPr>
              <w:t xml:space="preserve"> = 195; Delayed Development (DD) </w:t>
            </w:r>
            <w:r w:rsidRPr="00316927">
              <w:rPr>
                <w:rFonts w:cs="Calibri"/>
                <w:i/>
                <w:color w:val="000000"/>
                <w:kern w:val="0"/>
                <w:sz w:val="20"/>
                <w:szCs w:val="20"/>
              </w:rPr>
              <w:t>n</w:t>
            </w:r>
            <w:r w:rsidRPr="00316927">
              <w:rPr>
                <w:rFonts w:cs="Calibri"/>
                <w:kern w:val="0"/>
                <w:sz w:val="20"/>
                <w:szCs w:val="20"/>
              </w:rPr>
              <w:t xml:space="preserve"> = 4636</w:t>
            </w:r>
          </w:p>
          <w:p w:rsidR="001B3C96" w:rsidRPr="00316927" w:rsidRDefault="001B3C96" w:rsidP="001B3C96">
            <w:pPr>
              <w:widowControl/>
              <w:contextualSpacing/>
              <w:jc w:val="left"/>
              <w:rPr>
                <w:rFonts w:cs="Calibri"/>
                <w:kern w:val="0"/>
                <w:sz w:val="20"/>
                <w:szCs w:val="20"/>
              </w:rPr>
            </w:pPr>
          </w:p>
        </w:tc>
        <w:tc>
          <w:tcPr>
            <w:tcW w:w="5669" w:type="dxa"/>
            <w:hideMark/>
          </w:tcPr>
          <w:p w:rsidR="001B3C96" w:rsidRPr="00316927" w:rsidRDefault="001B3C96" w:rsidP="001B3C96">
            <w:pPr>
              <w:widowControl/>
              <w:numPr>
                <w:ilvl w:val="0"/>
                <w:numId w:val="1"/>
              </w:numPr>
              <w:ind w:left="180" w:hanging="180"/>
              <w:contextualSpacing/>
              <w:jc w:val="left"/>
              <w:rPr>
                <w:rFonts w:cs="Calibri"/>
                <w:kern w:val="0"/>
                <w:sz w:val="20"/>
                <w:szCs w:val="20"/>
              </w:rPr>
            </w:pPr>
            <w:r w:rsidRPr="00316927">
              <w:rPr>
                <w:rFonts w:cs="Calibri"/>
                <w:kern w:val="0"/>
                <w:sz w:val="20"/>
                <w:szCs w:val="20"/>
              </w:rPr>
              <w:t xml:space="preserve">ASD children more likely to have </w:t>
            </w:r>
            <w:r w:rsidR="000F3F50">
              <w:rPr>
                <w:rFonts w:cs="Calibri"/>
                <w:kern w:val="0"/>
                <w:sz w:val="20"/>
                <w:szCs w:val="20"/>
              </w:rPr>
              <w:t>maternally reported</w:t>
            </w:r>
            <w:r w:rsidR="00AE71B9">
              <w:rPr>
                <w:rFonts w:cs="Calibri"/>
                <w:kern w:val="0"/>
                <w:sz w:val="20"/>
                <w:szCs w:val="20"/>
              </w:rPr>
              <w:t xml:space="preserve"> </w:t>
            </w:r>
            <w:r w:rsidRPr="00316927">
              <w:rPr>
                <w:rFonts w:cs="Calibri"/>
                <w:kern w:val="0"/>
                <w:sz w:val="20"/>
                <w:szCs w:val="20"/>
              </w:rPr>
              <w:t>GI symptoms as infants and toddlers</w:t>
            </w:r>
            <w:r w:rsidR="000F3F50">
              <w:rPr>
                <w:rFonts w:cs="Calibri"/>
                <w:kern w:val="0"/>
                <w:sz w:val="20"/>
                <w:szCs w:val="20"/>
              </w:rPr>
              <w:t xml:space="preserve"> than children with TD or DD.</w:t>
            </w:r>
          </w:p>
          <w:p w:rsidR="001B3C96" w:rsidRPr="00316927" w:rsidRDefault="001B3C96" w:rsidP="001B3C96">
            <w:pPr>
              <w:widowControl/>
              <w:numPr>
                <w:ilvl w:val="0"/>
                <w:numId w:val="1"/>
              </w:numPr>
              <w:ind w:left="180" w:hanging="180"/>
              <w:contextualSpacing/>
              <w:jc w:val="left"/>
              <w:rPr>
                <w:rFonts w:cs="Calibri"/>
                <w:kern w:val="0"/>
                <w:sz w:val="20"/>
                <w:szCs w:val="20"/>
              </w:rPr>
            </w:pPr>
            <w:r w:rsidRPr="00316927">
              <w:rPr>
                <w:rFonts w:cs="Calibri"/>
                <w:kern w:val="0"/>
                <w:sz w:val="20"/>
                <w:szCs w:val="20"/>
              </w:rPr>
              <w:t xml:space="preserve">ASD children were significantly different from TD children with increased odds for </w:t>
            </w:r>
            <w:r w:rsidR="00810BB8">
              <w:rPr>
                <w:rFonts w:cs="Calibri"/>
                <w:kern w:val="0"/>
                <w:sz w:val="20"/>
                <w:szCs w:val="20"/>
              </w:rPr>
              <w:t>maternally reported</w:t>
            </w:r>
          </w:p>
          <w:p w:rsidR="001B3C96" w:rsidRPr="00316927" w:rsidRDefault="001B3C96" w:rsidP="001B3C96">
            <w:pPr>
              <w:widowControl/>
              <w:numPr>
                <w:ilvl w:val="1"/>
                <w:numId w:val="1"/>
              </w:numPr>
              <w:ind w:left="360" w:hanging="180"/>
              <w:contextualSpacing/>
              <w:jc w:val="left"/>
              <w:rPr>
                <w:rFonts w:cs="Calibri"/>
                <w:kern w:val="0"/>
                <w:sz w:val="20"/>
                <w:szCs w:val="20"/>
              </w:rPr>
            </w:pPr>
            <w:r w:rsidRPr="00316927">
              <w:rPr>
                <w:rFonts w:cs="Calibri"/>
                <w:kern w:val="0"/>
                <w:sz w:val="20"/>
                <w:szCs w:val="20"/>
              </w:rPr>
              <w:t>constipation, food allergy/intolerance at 6–18 months of age</w:t>
            </w:r>
          </w:p>
          <w:p w:rsidR="001B3C96" w:rsidRPr="00316927" w:rsidRDefault="001B3C96" w:rsidP="001B3C96">
            <w:pPr>
              <w:widowControl/>
              <w:numPr>
                <w:ilvl w:val="1"/>
                <w:numId w:val="1"/>
              </w:numPr>
              <w:ind w:left="360" w:hanging="180"/>
              <w:contextualSpacing/>
              <w:jc w:val="left"/>
              <w:rPr>
                <w:rFonts w:cs="Calibri"/>
                <w:kern w:val="0"/>
                <w:sz w:val="20"/>
                <w:szCs w:val="20"/>
              </w:rPr>
            </w:pPr>
            <w:r w:rsidRPr="00316927">
              <w:rPr>
                <w:rFonts w:cs="Calibri"/>
                <w:kern w:val="0"/>
                <w:sz w:val="20"/>
                <w:szCs w:val="20"/>
              </w:rPr>
              <w:t>2-fold increase in having any GI symptom at 18–36 months of age</w:t>
            </w:r>
          </w:p>
          <w:p w:rsidR="001B3C96" w:rsidRPr="00316927" w:rsidRDefault="001B3C96" w:rsidP="001B3C96">
            <w:pPr>
              <w:widowControl/>
              <w:numPr>
                <w:ilvl w:val="0"/>
                <w:numId w:val="1"/>
              </w:numPr>
              <w:ind w:left="180" w:hanging="180"/>
              <w:contextualSpacing/>
              <w:jc w:val="left"/>
              <w:rPr>
                <w:rFonts w:cs="Calibri"/>
                <w:kern w:val="0"/>
                <w:sz w:val="20"/>
                <w:szCs w:val="20"/>
              </w:rPr>
            </w:pPr>
            <w:r w:rsidRPr="00316927">
              <w:rPr>
                <w:rFonts w:cs="Calibri"/>
                <w:kern w:val="0"/>
                <w:sz w:val="20"/>
                <w:szCs w:val="20"/>
              </w:rPr>
              <w:t xml:space="preserve">ASD children were more likely to have </w:t>
            </w:r>
            <w:r w:rsidR="00B87787">
              <w:rPr>
                <w:rFonts w:cs="Calibri"/>
                <w:kern w:val="0"/>
                <w:sz w:val="20"/>
                <w:szCs w:val="20"/>
              </w:rPr>
              <w:t xml:space="preserve">maternally reported </w:t>
            </w:r>
            <w:r w:rsidRPr="00316927">
              <w:rPr>
                <w:rFonts w:cs="Calibri"/>
                <w:kern w:val="0"/>
                <w:sz w:val="20"/>
                <w:szCs w:val="20"/>
              </w:rPr>
              <w:t xml:space="preserve">constipation as compared to DD </w:t>
            </w:r>
            <w:r w:rsidR="00B16933">
              <w:rPr>
                <w:rFonts w:cs="Calibri"/>
                <w:kern w:val="0"/>
                <w:sz w:val="20"/>
                <w:szCs w:val="20"/>
              </w:rPr>
              <w:t xml:space="preserve">and TD </w:t>
            </w:r>
            <w:r w:rsidRPr="00316927">
              <w:rPr>
                <w:rFonts w:cs="Calibri"/>
                <w:kern w:val="0"/>
                <w:sz w:val="20"/>
                <w:szCs w:val="20"/>
              </w:rPr>
              <w:t>children</w:t>
            </w:r>
            <w:r w:rsidR="00B16933">
              <w:rPr>
                <w:rFonts w:cs="Calibri"/>
                <w:kern w:val="0"/>
                <w:sz w:val="20"/>
                <w:szCs w:val="20"/>
              </w:rPr>
              <w:t xml:space="preserve"> </w:t>
            </w:r>
          </w:p>
          <w:p w:rsidR="001B3C96" w:rsidRPr="00316927" w:rsidRDefault="00B16933" w:rsidP="001B3C96">
            <w:pPr>
              <w:widowControl/>
              <w:numPr>
                <w:ilvl w:val="0"/>
                <w:numId w:val="1"/>
              </w:numPr>
              <w:ind w:left="180" w:hanging="180"/>
              <w:contextualSpacing/>
              <w:jc w:val="left"/>
              <w:rPr>
                <w:rFonts w:cs="Calibri"/>
                <w:kern w:val="0"/>
                <w:sz w:val="20"/>
                <w:szCs w:val="20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81% of children with ASD were male</w:t>
            </w:r>
            <w:r w:rsidR="00B87787">
              <w:rPr>
                <w:rFonts w:cs="Calibri"/>
                <w:kern w:val="0"/>
                <w:sz w:val="20"/>
                <w:szCs w:val="20"/>
              </w:rPr>
              <w:t>.</w:t>
            </w:r>
            <w:r>
              <w:rPr>
                <w:rFonts w:cs="Calibri"/>
                <w:kern w:val="0"/>
                <w:sz w:val="20"/>
                <w:szCs w:val="20"/>
              </w:rPr>
              <w:t xml:space="preserve"> </w:t>
            </w:r>
          </w:p>
        </w:tc>
      </w:tr>
      <w:tr w:rsidR="001B3C96" w:rsidRPr="00316927" w:rsidTr="001B3C96">
        <w:trPr>
          <w:trHeight w:val="267"/>
        </w:trPr>
        <w:tc>
          <w:tcPr>
            <w:tcW w:w="1908" w:type="dxa"/>
          </w:tcPr>
          <w:p w:rsidR="001B3C96" w:rsidRPr="00316927" w:rsidRDefault="001B3C96" w:rsidP="001B3C96">
            <w:pPr>
              <w:widowControl/>
              <w:contextualSpacing/>
              <w:jc w:val="left"/>
              <w:rPr>
                <w:rFonts w:cs="Calibri"/>
                <w:kern w:val="0"/>
                <w:sz w:val="20"/>
                <w:szCs w:val="20"/>
              </w:rPr>
            </w:pPr>
            <w:r w:rsidRPr="00316927">
              <w:rPr>
                <w:rFonts w:cs="Calibri"/>
                <w:kern w:val="0"/>
                <w:sz w:val="20"/>
                <w:szCs w:val="20"/>
              </w:rPr>
              <w:t xml:space="preserve">Autism/Social Development </w:t>
            </w:r>
          </w:p>
          <w:p w:rsidR="001B3C96" w:rsidRPr="00316927" w:rsidRDefault="001B3C96" w:rsidP="001B3C96">
            <w:pPr>
              <w:widowControl/>
              <w:contextualSpacing/>
              <w:jc w:val="left"/>
              <w:rPr>
                <w:rFonts w:cs="Calibri"/>
                <w:kern w:val="0"/>
                <w:sz w:val="20"/>
                <w:szCs w:val="20"/>
              </w:rPr>
            </w:pPr>
            <w:r w:rsidRPr="00316927">
              <w:rPr>
                <w:rFonts w:cs="Calibri"/>
                <w:noProof/>
                <w:kern w:val="0"/>
                <w:sz w:val="20"/>
                <w:szCs w:val="20"/>
              </w:rPr>
              <w:t xml:space="preserve">(Desbonnet, Clarke, Shanahan, Dinan, &amp; </w:t>
            </w:r>
            <w:r w:rsidRPr="00316927">
              <w:rPr>
                <w:rFonts w:cs="Calibri"/>
                <w:noProof/>
                <w:kern w:val="0"/>
                <w:sz w:val="20"/>
                <w:szCs w:val="20"/>
              </w:rPr>
              <w:lastRenderedPageBreak/>
              <w:t>Cryan, 2014)</w:t>
            </w:r>
          </w:p>
          <w:p w:rsidR="001B3C96" w:rsidRPr="00316927" w:rsidRDefault="001B3C96" w:rsidP="001B3C96">
            <w:pPr>
              <w:widowControl/>
              <w:contextualSpacing/>
              <w:jc w:val="left"/>
              <w:rPr>
                <w:rFonts w:cs="Calibri"/>
                <w:kern w:val="0"/>
                <w:sz w:val="20"/>
                <w:szCs w:val="20"/>
              </w:rPr>
            </w:pPr>
          </w:p>
        </w:tc>
        <w:tc>
          <w:tcPr>
            <w:tcW w:w="2519" w:type="dxa"/>
            <w:hideMark/>
          </w:tcPr>
          <w:p w:rsidR="001B3C96" w:rsidRPr="00316927" w:rsidRDefault="001B3C96" w:rsidP="001B3C96">
            <w:pPr>
              <w:widowControl/>
              <w:contextualSpacing/>
              <w:jc w:val="left"/>
              <w:rPr>
                <w:rFonts w:cs="Calibri"/>
                <w:kern w:val="0"/>
                <w:sz w:val="20"/>
                <w:szCs w:val="20"/>
              </w:rPr>
            </w:pPr>
            <w:r w:rsidRPr="00316927">
              <w:rPr>
                <w:rFonts w:cs="Calibri"/>
                <w:kern w:val="0"/>
                <w:sz w:val="20"/>
                <w:szCs w:val="20"/>
              </w:rPr>
              <w:lastRenderedPageBreak/>
              <w:t xml:space="preserve">Examination of the effects of germ free mice rearing conditions through early life on social behavior in </w:t>
            </w:r>
            <w:r w:rsidRPr="00316927">
              <w:rPr>
                <w:rFonts w:cs="Calibri"/>
                <w:kern w:val="0"/>
                <w:sz w:val="20"/>
                <w:szCs w:val="20"/>
              </w:rPr>
              <w:lastRenderedPageBreak/>
              <w:t>adulthood</w:t>
            </w:r>
          </w:p>
        </w:tc>
        <w:tc>
          <w:tcPr>
            <w:tcW w:w="2969" w:type="dxa"/>
            <w:hideMark/>
          </w:tcPr>
          <w:p w:rsidR="001B3C96" w:rsidRPr="00316927" w:rsidRDefault="001B3C96" w:rsidP="001B3C96">
            <w:pPr>
              <w:widowControl/>
              <w:contextualSpacing/>
              <w:jc w:val="left"/>
              <w:rPr>
                <w:rFonts w:cs="Calibri"/>
                <w:kern w:val="0"/>
                <w:sz w:val="20"/>
                <w:szCs w:val="20"/>
              </w:rPr>
            </w:pPr>
            <w:r w:rsidRPr="00316927">
              <w:rPr>
                <w:rFonts w:cs="Calibri"/>
                <w:kern w:val="0"/>
                <w:sz w:val="20"/>
                <w:szCs w:val="20"/>
              </w:rPr>
              <w:lastRenderedPageBreak/>
              <w:t xml:space="preserve">Male Mice, </w:t>
            </w:r>
          </w:p>
          <w:p w:rsidR="001B3C96" w:rsidRPr="00316927" w:rsidRDefault="001B3C96" w:rsidP="001B3C96">
            <w:pPr>
              <w:widowControl/>
              <w:contextualSpacing/>
              <w:jc w:val="left"/>
              <w:rPr>
                <w:rFonts w:cs="Calibri"/>
                <w:kern w:val="0"/>
                <w:sz w:val="20"/>
                <w:szCs w:val="20"/>
              </w:rPr>
            </w:pPr>
            <w:r w:rsidRPr="00316927">
              <w:rPr>
                <w:rFonts w:cs="Calibri"/>
                <w:kern w:val="0"/>
                <w:sz w:val="20"/>
                <w:szCs w:val="20"/>
              </w:rPr>
              <w:t>Germ Free (GF) mice; Conventionally Colonized (CC);</w:t>
            </w:r>
          </w:p>
        </w:tc>
        <w:tc>
          <w:tcPr>
            <w:tcW w:w="5669" w:type="dxa"/>
            <w:hideMark/>
          </w:tcPr>
          <w:p w:rsidR="00FB76B9" w:rsidRDefault="00FB76B9" w:rsidP="001B3C96">
            <w:pPr>
              <w:widowControl/>
              <w:numPr>
                <w:ilvl w:val="0"/>
                <w:numId w:val="2"/>
              </w:numPr>
              <w:ind w:left="180" w:hanging="180"/>
              <w:contextualSpacing/>
              <w:jc w:val="left"/>
              <w:rPr>
                <w:rFonts w:cs="Calibri"/>
                <w:kern w:val="0"/>
                <w:sz w:val="20"/>
                <w:szCs w:val="20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 xml:space="preserve">Microbial diversity was reduced in the GF mice </w:t>
            </w:r>
          </w:p>
          <w:p w:rsidR="001B3C96" w:rsidRPr="00316927" w:rsidRDefault="001B3C96" w:rsidP="001B3C96">
            <w:pPr>
              <w:widowControl/>
              <w:numPr>
                <w:ilvl w:val="0"/>
                <w:numId w:val="2"/>
              </w:numPr>
              <w:ind w:left="180" w:hanging="180"/>
              <w:contextualSpacing/>
              <w:jc w:val="left"/>
              <w:rPr>
                <w:rFonts w:cs="Calibri"/>
                <w:kern w:val="0"/>
                <w:sz w:val="20"/>
                <w:szCs w:val="20"/>
              </w:rPr>
            </w:pPr>
            <w:r w:rsidRPr="00316927">
              <w:rPr>
                <w:rFonts w:cs="Calibri"/>
                <w:kern w:val="0"/>
                <w:sz w:val="20"/>
                <w:szCs w:val="20"/>
              </w:rPr>
              <w:t xml:space="preserve">GF animals exhibited </w:t>
            </w:r>
            <w:r w:rsidR="00CC7903">
              <w:rPr>
                <w:rFonts w:cs="Calibri"/>
                <w:kern w:val="0"/>
                <w:sz w:val="20"/>
                <w:szCs w:val="20"/>
              </w:rPr>
              <w:t xml:space="preserve">a decrease responsiveness 24 hours after first tested in the </w:t>
            </w:r>
            <w:r w:rsidRPr="00316927">
              <w:rPr>
                <w:rFonts w:cs="Calibri"/>
                <w:kern w:val="0"/>
                <w:sz w:val="20"/>
                <w:szCs w:val="20"/>
              </w:rPr>
              <w:t xml:space="preserve">social </w:t>
            </w:r>
            <w:r w:rsidR="00CC7903">
              <w:rPr>
                <w:rFonts w:cs="Calibri"/>
                <w:kern w:val="0"/>
                <w:sz w:val="20"/>
                <w:szCs w:val="20"/>
              </w:rPr>
              <w:t xml:space="preserve">transmission of food preference test </w:t>
            </w:r>
            <w:r w:rsidRPr="00316927">
              <w:rPr>
                <w:rFonts w:cs="Calibri"/>
                <w:kern w:val="0"/>
                <w:sz w:val="20"/>
                <w:szCs w:val="20"/>
              </w:rPr>
              <w:t>compared to CC animals</w:t>
            </w:r>
          </w:p>
          <w:p w:rsidR="00CC7903" w:rsidRDefault="00CC7903" w:rsidP="00CC7903">
            <w:pPr>
              <w:widowControl/>
              <w:numPr>
                <w:ilvl w:val="0"/>
                <w:numId w:val="2"/>
              </w:numPr>
              <w:ind w:left="180" w:hanging="180"/>
              <w:contextualSpacing/>
              <w:jc w:val="left"/>
              <w:rPr>
                <w:rFonts w:cs="Calibri"/>
                <w:kern w:val="0"/>
                <w:sz w:val="20"/>
                <w:szCs w:val="20"/>
              </w:rPr>
            </w:pPr>
            <w:r w:rsidRPr="00316927">
              <w:rPr>
                <w:rFonts w:cs="Calibri"/>
                <w:kern w:val="0"/>
                <w:sz w:val="20"/>
                <w:szCs w:val="20"/>
              </w:rPr>
              <w:lastRenderedPageBreak/>
              <w:t xml:space="preserve">Microbiota are essential to developing social behaviors, motivations and regulators of repetitive behaviors </w:t>
            </w:r>
          </w:p>
          <w:p w:rsidR="00C42A61" w:rsidRDefault="00C42A61" w:rsidP="001B3C96">
            <w:pPr>
              <w:widowControl/>
              <w:numPr>
                <w:ilvl w:val="0"/>
                <w:numId w:val="2"/>
              </w:numPr>
              <w:ind w:left="180" w:hanging="180"/>
              <w:contextualSpacing/>
              <w:jc w:val="left"/>
              <w:rPr>
                <w:rFonts w:cs="Calibri"/>
                <w:kern w:val="0"/>
                <w:sz w:val="20"/>
                <w:szCs w:val="20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 xml:space="preserve">BDNF in hippocampus decreased in GF mice. Brain–derived neurotropic factor essential for neuron support and </w:t>
            </w:r>
            <w:proofErr w:type="gramStart"/>
            <w:r>
              <w:rPr>
                <w:rFonts w:cs="Calibri"/>
                <w:kern w:val="0"/>
                <w:sz w:val="20"/>
                <w:szCs w:val="20"/>
              </w:rPr>
              <w:t>growth .</w:t>
            </w:r>
            <w:proofErr w:type="gramEnd"/>
          </w:p>
          <w:p w:rsidR="001B3C96" w:rsidRPr="00316927" w:rsidRDefault="001B3C96" w:rsidP="001B3C96">
            <w:pPr>
              <w:widowControl/>
              <w:numPr>
                <w:ilvl w:val="0"/>
                <w:numId w:val="2"/>
              </w:numPr>
              <w:ind w:left="180" w:hanging="180"/>
              <w:contextualSpacing/>
              <w:jc w:val="left"/>
              <w:rPr>
                <w:rFonts w:cs="Calibri"/>
                <w:kern w:val="0"/>
                <w:sz w:val="20"/>
                <w:szCs w:val="20"/>
              </w:rPr>
            </w:pPr>
          </w:p>
        </w:tc>
      </w:tr>
      <w:tr w:rsidR="001B3C96" w:rsidRPr="00316927" w:rsidTr="001B3C96">
        <w:trPr>
          <w:trHeight w:val="267"/>
        </w:trPr>
        <w:tc>
          <w:tcPr>
            <w:tcW w:w="1908" w:type="dxa"/>
            <w:hideMark/>
          </w:tcPr>
          <w:p w:rsidR="001B3C96" w:rsidRPr="00316927" w:rsidRDefault="001B3C96" w:rsidP="001B3C96">
            <w:pPr>
              <w:widowControl/>
              <w:contextualSpacing/>
              <w:jc w:val="left"/>
              <w:rPr>
                <w:rFonts w:cs="Calibri"/>
                <w:kern w:val="0"/>
                <w:sz w:val="20"/>
                <w:szCs w:val="20"/>
              </w:rPr>
            </w:pPr>
            <w:r w:rsidRPr="00316927">
              <w:rPr>
                <w:rFonts w:cs="Calibri"/>
                <w:kern w:val="0"/>
                <w:sz w:val="20"/>
                <w:szCs w:val="20"/>
              </w:rPr>
              <w:lastRenderedPageBreak/>
              <w:t>Alzheimer’s disease</w:t>
            </w:r>
          </w:p>
          <w:p w:rsidR="001B3C96" w:rsidRPr="00316927" w:rsidRDefault="001B3C96" w:rsidP="001B3C96">
            <w:pPr>
              <w:widowControl/>
              <w:contextualSpacing/>
              <w:jc w:val="left"/>
              <w:rPr>
                <w:rFonts w:cs="Calibri"/>
                <w:kern w:val="0"/>
                <w:sz w:val="20"/>
                <w:szCs w:val="20"/>
              </w:rPr>
            </w:pPr>
            <w:r w:rsidRPr="00316927">
              <w:rPr>
                <w:rFonts w:cs="Calibri"/>
                <w:noProof/>
                <w:kern w:val="0"/>
                <w:sz w:val="20"/>
                <w:szCs w:val="20"/>
              </w:rPr>
              <w:t>(Bhattacharjee &amp; Lukiw, 2013)</w:t>
            </w:r>
          </w:p>
        </w:tc>
        <w:tc>
          <w:tcPr>
            <w:tcW w:w="2519" w:type="dxa"/>
            <w:hideMark/>
          </w:tcPr>
          <w:p w:rsidR="001B3C96" w:rsidRPr="00316927" w:rsidRDefault="001B3C96" w:rsidP="001B3C96">
            <w:pPr>
              <w:widowControl/>
              <w:contextualSpacing/>
              <w:jc w:val="left"/>
              <w:rPr>
                <w:rFonts w:cs="Calibri"/>
                <w:kern w:val="0"/>
                <w:sz w:val="20"/>
                <w:szCs w:val="20"/>
              </w:rPr>
            </w:pPr>
            <w:r w:rsidRPr="00316927">
              <w:rPr>
                <w:rFonts w:cs="Calibri"/>
                <w:kern w:val="0"/>
                <w:sz w:val="20"/>
                <w:szCs w:val="20"/>
              </w:rPr>
              <w:t>Reviews current evidence linking microbiome with Alzheimer’s disease</w:t>
            </w:r>
          </w:p>
        </w:tc>
        <w:tc>
          <w:tcPr>
            <w:tcW w:w="2969" w:type="dxa"/>
            <w:hideMark/>
          </w:tcPr>
          <w:p w:rsidR="001B3C96" w:rsidRPr="00316927" w:rsidRDefault="001B3C96" w:rsidP="001B3C96">
            <w:pPr>
              <w:widowControl/>
              <w:contextualSpacing/>
              <w:jc w:val="left"/>
              <w:rPr>
                <w:rFonts w:cs="Calibri"/>
                <w:kern w:val="0"/>
                <w:sz w:val="20"/>
                <w:szCs w:val="20"/>
              </w:rPr>
            </w:pPr>
            <w:r w:rsidRPr="00316927">
              <w:rPr>
                <w:rFonts w:cs="Calibri"/>
                <w:kern w:val="0"/>
                <w:sz w:val="20"/>
                <w:szCs w:val="20"/>
              </w:rPr>
              <w:t>Review</w:t>
            </w:r>
          </w:p>
        </w:tc>
        <w:tc>
          <w:tcPr>
            <w:tcW w:w="5669" w:type="dxa"/>
            <w:hideMark/>
          </w:tcPr>
          <w:p w:rsidR="001B3C96" w:rsidRPr="00316927" w:rsidRDefault="001B3C96" w:rsidP="001B3C96">
            <w:pPr>
              <w:widowControl/>
              <w:numPr>
                <w:ilvl w:val="0"/>
                <w:numId w:val="2"/>
              </w:numPr>
              <w:ind w:left="139" w:hanging="139"/>
              <w:contextualSpacing/>
              <w:jc w:val="left"/>
              <w:rPr>
                <w:rFonts w:cs="Calibri"/>
                <w:kern w:val="0"/>
                <w:sz w:val="20"/>
                <w:szCs w:val="20"/>
              </w:rPr>
            </w:pPr>
            <w:r w:rsidRPr="00316927">
              <w:rPr>
                <w:rFonts w:cs="Calibri"/>
                <w:kern w:val="0"/>
                <w:sz w:val="20"/>
                <w:szCs w:val="20"/>
              </w:rPr>
              <w:t xml:space="preserve">Relationships between the gut </w:t>
            </w:r>
            <w:r w:rsidR="00623ADB">
              <w:rPr>
                <w:rFonts w:cs="Calibri"/>
                <w:kern w:val="0"/>
                <w:sz w:val="20"/>
                <w:szCs w:val="20"/>
              </w:rPr>
              <w:t xml:space="preserve">microbiome </w:t>
            </w:r>
            <w:r w:rsidRPr="00316927">
              <w:rPr>
                <w:rFonts w:cs="Calibri"/>
                <w:kern w:val="0"/>
                <w:sz w:val="20"/>
                <w:szCs w:val="20"/>
              </w:rPr>
              <w:t xml:space="preserve">and </w:t>
            </w:r>
            <w:r w:rsidR="00623ADB">
              <w:rPr>
                <w:rFonts w:cs="Calibri"/>
                <w:kern w:val="0"/>
                <w:sz w:val="20"/>
                <w:szCs w:val="20"/>
              </w:rPr>
              <w:t xml:space="preserve">neuro-immune system </w:t>
            </w:r>
            <w:r w:rsidRPr="00316927">
              <w:rPr>
                <w:rFonts w:cs="Calibri"/>
                <w:kern w:val="0"/>
                <w:sz w:val="20"/>
                <w:szCs w:val="20"/>
              </w:rPr>
              <w:t>are not well understood</w:t>
            </w:r>
          </w:p>
          <w:p w:rsidR="001B3C96" w:rsidRPr="00316927" w:rsidRDefault="001B3C96" w:rsidP="001B3C96">
            <w:pPr>
              <w:widowControl/>
              <w:numPr>
                <w:ilvl w:val="0"/>
                <w:numId w:val="2"/>
              </w:numPr>
              <w:ind w:left="139" w:hanging="139"/>
              <w:contextualSpacing/>
              <w:jc w:val="left"/>
              <w:rPr>
                <w:rFonts w:cs="Calibri"/>
                <w:kern w:val="0"/>
                <w:sz w:val="20"/>
                <w:szCs w:val="20"/>
              </w:rPr>
            </w:pPr>
            <w:r w:rsidRPr="00316927">
              <w:rPr>
                <w:rFonts w:cs="Calibri"/>
                <w:kern w:val="0"/>
                <w:sz w:val="20"/>
                <w:szCs w:val="20"/>
              </w:rPr>
              <w:t>Several studies have found relationships between nutrition and metabolic functioning and postulate effects to the immune system and metabolic disease</w:t>
            </w:r>
          </w:p>
          <w:p w:rsidR="001B3C96" w:rsidRPr="00316927" w:rsidRDefault="001B3C96" w:rsidP="00250950">
            <w:pPr>
              <w:widowControl/>
              <w:numPr>
                <w:ilvl w:val="0"/>
                <w:numId w:val="2"/>
              </w:numPr>
              <w:ind w:left="139" w:hanging="139"/>
              <w:contextualSpacing/>
              <w:jc w:val="left"/>
              <w:rPr>
                <w:rFonts w:cs="Calibri"/>
                <w:kern w:val="0"/>
                <w:sz w:val="20"/>
                <w:szCs w:val="20"/>
              </w:rPr>
            </w:pPr>
            <w:r w:rsidRPr="00316927">
              <w:rPr>
                <w:rFonts w:cs="Calibri"/>
                <w:kern w:val="0"/>
                <w:sz w:val="20"/>
                <w:szCs w:val="20"/>
              </w:rPr>
              <w:t xml:space="preserve">Specific bacteria typically found in microbiome have been shown to </w:t>
            </w:r>
            <w:r w:rsidR="00A65584">
              <w:rPr>
                <w:rFonts w:cs="Calibri"/>
                <w:kern w:val="0"/>
                <w:sz w:val="20"/>
                <w:szCs w:val="20"/>
              </w:rPr>
              <w:t xml:space="preserve">assist by </w:t>
            </w:r>
            <w:r w:rsidRPr="00316927">
              <w:rPr>
                <w:rFonts w:cs="Calibri"/>
                <w:kern w:val="0"/>
                <w:sz w:val="20"/>
                <w:szCs w:val="20"/>
              </w:rPr>
              <w:t>produc</w:t>
            </w:r>
            <w:r w:rsidR="00817BFF">
              <w:rPr>
                <w:rFonts w:cs="Calibri"/>
                <w:kern w:val="0"/>
                <w:sz w:val="20"/>
                <w:szCs w:val="20"/>
              </w:rPr>
              <w:t xml:space="preserve">ing </w:t>
            </w:r>
            <w:r w:rsidR="00A65584">
              <w:rPr>
                <w:rFonts w:cs="Calibri"/>
                <w:kern w:val="0"/>
                <w:sz w:val="20"/>
                <w:szCs w:val="20"/>
              </w:rPr>
              <w:t xml:space="preserve">chemical compounds </w:t>
            </w:r>
            <w:r w:rsidRPr="00316927">
              <w:rPr>
                <w:rFonts w:cs="Calibri"/>
                <w:kern w:val="0"/>
                <w:sz w:val="20"/>
                <w:szCs w:val="20"/>
              </w:rPr>
              <w:t xml:space="preserve">related to CNS formation, function and signaling. Decreases in certain </w:t>
            </w:r>
            <w:r w:rsidR="00817BFF">
              <w:rPr>
                <w:rFonts w:cs="Calibri"/>
                <w:kern w:val="0"/>
                <w:sz w:val="20"/>
                <w:szCs w:val="20"/>
              </w:rPr>
              <w:t xml:space="preserve">neurotransmitters </w:t>
            </w:r>
            <w:r w:rsidRPr="00316927">
              <w:rPr>
                <w:rFonts w:cs="Calibri"/>
                <w:kern w:val="0"/>
                <w:sz w:val="20"/>
                <w:szCs w:val="20"/>
              </w:rPr>
              <w:t>have also been found in patients with Alzheimer’s disease</w:t>
            </w:r>
          </w:p>
        </w:tc>
      </w:tr>
      <w:tr w:rsidR="001B3C96" w:rsidRPr="00316927" w:rsidTr="001B3C96">
        <w:trPr>
          <w:trHeight w:val="1637"/>
        </w:trPr>
        <w:tc>
          <w:tcPr>
            <w:tcW w:w="1908" w:type="dxa"/>
            <w:hideMark/>
          </w:tcPr>
          <w:p w:rsidR="001B3C96" w:rsidRPr="00316927" w:rsidRDefault="001B3C96" w:rsidP="001B3C96">
            <w:pPr>
              <w:widowControl/>
              <w:contextualSpacing/>
              <w:jc w:val="left"/>
              <w:rPr>
                <w:rFonts w:cs="Calibri"/>
                <w:kern w:val="0"/>
                <w:sz w:val="20"/>
                <w:szCs w:val="20"/>
              </w:rPr>
            </w:pPr>
            <w:r w:rsidRPr="00316927">
              <w:rPr>
                <w:rFonts w:cs="Calibri"/>
                <w:kern w:val="0"/>
                <w:sz w:val="20"/>
                <w:szCs w:val="20"/>
              </w:rPr>
              <w:t>Alzheimer’s disease</w:t>
            </w:r>
          </w:p>
          <w:p w:rsidR="001B3C96" w:rsidRPr="00316927" w:rsidRDefault="001B3C96" w:rsidP="001B3C96">
            <w:pPr>
              <w:widowControl/>
              <w:contextualSpacing/>
              <w:jc w:val="left"/>
              <w:rPr>
                <w:rFonts w:cs="Calibri"/>
                <w:kern w:val="0"/>
                <w:sz w:val="20"/>
                <w:szCs w:val="20"/>
              </w:rPr>
            </w:pPr>
            <w:r w:rsidRPr="00316927">
              <w:rPr>
                <w:rFonts w:cs="Calibri"/>
                <w:noProof/>
                <w:kern w:val="0"/>
                <w:sz w:val="20"/>
                <w:szCs w:val="20"/>
              </w:rPr>
              <w:t>(Naseer et al., 2014)</w:t>
            </w:r>
          </w:p>
        </w:tc>
        <w:tc>
          <w:tcPr>
            <w:tcW w:w="2519" w:type="dxa"/>
            <w:hideMark/>
          </w:tcPr>
          <w:p w:rsidR="001B3C96" w:rsidRPr="00316927" w:rsidRDefault="001B3C96" w:rsidP="001B3C96">
            <w:pPr>
              <w:widowControl/>
              <w:contextualSpacing/>
              <w:jc w:val="left"/>
              <w:rPr>
                <w:rFonts w:cs="Calibri"/>
                <w:kern w:val="0"/>
                <w:sz w:val="20"/>
                <w:szCs w:val="20"/>
              </w:rPr>
            </w:pPr>
            <w:r w:rsidRPr="00316927">
              <w:rPr>
                <w:rFonts w:cs="Calibri"/>
                <w:kern w:val="0"/>
                <w:sz w:val="20"/>
                <w:szCs w:val="20"/>
              </w:rPr>
              <w:t>Discusses current evidence that explains the microbiome cascade effects on the development of obesity, Type II diabetes and Alzheimer’s disease</w:t>
            </w:r>
          </w:p>
        </w:tc>
        <w:tc>
          <w:tcPr>
            <w:tcW w:w="2969" w:type="dxa"/>
            <w:hideMark/>
          </w:tcPr>
          <w:p w:rsidR="001B3C96" w:rsidRPr="00316927" w:rsidRDefault="001B3C96" w:rsidP="001B3C96">
            <w:pPr>
              <w:widowControl/>
              <w:contextualSpacing/>
              <w:jc w:val="left"/>
              <w:rPr>
                <w:rFonts w:cs="Calibri"/>
                <w:kern w:val="0"/>
                <w:sz w:val="20"/>
                <w:szCs w:val="20"/>
              </w:rPr>
            </w:pPr>
            <w:r w:rsidRPr="00316927">
              <w:rPr>
                <w:rFonts w:cs="Calibri"/>
                <w:kern w:val="0"/>
                <w:sz w:val="20"/>
                <w:szCs w:val="20"/>
              </w:rPr>
              <w:t>Review</w:t>
            </w:r>
          </w:p>
        </w:tc>
        <w:tc>
          <w:tcPr>
            <w:tcW w:w="5669" w:type="dxa"/>
            <w:hideMark/>
          </w:tcPr>
          <w:p w:rsidR="001B3C96" w:rsidRPr="00316927" w:rsidRDefault="001B3C96" w:rsidP="001B3C96">
            <w:pPr>
              <w:widowControl/>
              <w:numPr>
                <w:ilvl w:val="0"/>
                <w:numId w:val="2"/>
              </w:numPr>
              <w:ind w:left="139" w:hanging="139"/>
              <w:contextualSpacing/>
              <w:jc w:val="left"/>
              <w:rPr>
                <w:rFonts w:cs="Calibri"/>
                <w:kern w:val="0"/>
                <w:sz w:val="20"/>
                <w:szCs w:val="20"/>
              </w:rPr>
            </w:pPr>
            <w:r w:rsidRPr="00316927">
              <w:rPr>
                <w:rFonts w:cs="Calibri"/>
                <w:kern w:val="0"/>
                <w:sz w:val="20"/>
                <w:szCs w:val="20"/>
              </w:rPr>
              <w:t>Obesity leads to development of Type II diabetes</w:t>
            </w:r>
          </w:p>
          <w:p w:rsidR="001B3C96" w:rsidRPr="00316927" w:rsidRDefault="001B3C96" w:rsidP="001B3C96">
            <w:pPr>
              <w:widowControl/>
              <w:numPr>
                <w:ilvl w:val="0"/>
                <w:numId w:val="2"/>
              </w:numPr>
              <w:ind w:left="139" w:hanging="139"/>
              <w:contextualSpacing/>
              <w:jc w:val="left"/>
              <w:rPr>
                <w:rFonts w:cs="Calibri"/>
                <w:kern w:val="0"/>
                <w:sz w:val="20"/>
                <w:szCs w:val="20"/>
              </w:rPr>
            </w:pPr>
            <w:r w:rsidRPr="00316927">
              <w:rPr>
                <w:rFonts w:cs="Calibri"/>
                <w:kern w:val="0"/>
                <w:sz w:val="20"/>
                <w:szCs w:val="20"/>
              </w:rPr>
              <w:t>Type II diabetes is a risk factor for development of Alzheimer’s disease and similarly shares altered system functions (vascular and neurodegenerative effects)</w:t>
            </w:r>
          </w:p>
          <w:p w:rsidR="001B3C96" w:rsidRPr="00316927" w:rsidRDefault="001B3C96" w:rsidP="001B3C96">
            <w:pPr>
              <w:widowControl/>
              <w:numPr>
                <w:ilvl w:val="0"/>
                <w:numId w:val="2"/>
              </w:numPr>
              <w:ind w:left="139" w:hanging="139"/>
              <w:contextualSpacing/>
              <w:jc w:val="left"/>
              <w:rPr>
                <w:rFonts w:cs="Calibri"/>
                <w:kern w:val="0"/>
                <w:sz w:val="20"/>
                <w:szCs w:val="20"/>
              </w:rPr>
            </w:pPr>
            <w:r w:rsidRPr="00316927">
              <w:rPr>
                <w:rFonts w:cs="Calibri"/>
                <w:kern w:val="0"/>
                <w:sz w:val="20"/>
                <w:szCs w:val="20"/>
              </w:rPr>
              <w:t>The gut microbiome exerts influence on the CNS, brain function and is theorized to exert effects via immune cells</w:t>
            </w:r>
          </w:p>
        </w:tc>
      </w:tr>
      <w:tr w:rsidR="001B3C96" w:rsidRPr="00316927" w:rsidTr="001B3C96">
        <w:trPr>
          <w:trHeight w:val="847"/>
        </w:trPr>
        <w:tc>
          <w:tcPr>
            <w:tcW w:w="1908" w:type="dxa"/>
            <w:hideMark/>
          </w:tcPr>
          <w:p w:rsidR="001B3C96" w:rsidRPr="00316927" w:rsidRDefault="001B3C96" w:rsidP="001B3C96">
            <w:pPr>
              <w:widowControl/>
              <w:contextualSpacing/>
              <w:jc w:val="left"/>
              <w:rPr>
                <w:rFonts w:cs="Calibri"/>
                <w:kern w:val="0"/>
                <w:sz w:val="20"/>
                <w:szCs w:val="20"/>
              </w:rPr>
            </w:pPr>
            <w:r w:rsidRPr="00316927">
              <w:rPr>
                <w:rFonts w:cs="Calibri"/>
                <w:kern w:val="0"/>
                <w:sz w:val="20"/>
                <w:szCs w:val="20"/>
              </w:rPr>
              <w:t>Central Nervous &amp; Immune System</w:t>
            </w:r>
          </w:p>
          <w:p w:rsidR="001B3C96" w:rsidRPr="00316927" w:rsidRDefault="001B3C96" w:rsidP="001B3C96">
            <w:pPr>
              <w:widowControl/>
              <w:contextualSpacing/>
              <w:jc w:val="left"/>
              <w:rPr>
                <w:rFonts w:cs="Calibri"/>
                <w:kern w:val="0"/>
                <w:sz w:val="20"/>
                <w:szCs w:val="20"/>
              </w:rPr>
            </w:pPr>
            <w:r w:rsidRPr="00316927">
              <w:rPr>
                <w:rFonts w:cs="Calibri"/>
                <w:noProof/>
                <w:kern w:val="0"/>
                <w:sz w:val="20"/>
                <w:szCs w:val="20"/>
              </w:rPr>
              <w:t>(Erny et al., 2015)</w:t>
            </w:r>
          </w:p>
        </w:tc>
        <w:tc>
          <w:tcPr>
            <w:tcW w:w="2519" w:type="dxa"/>
            <w:hideMark/>
          </w:tcPr>
          <w:p w:rsidR="001B3C96" w:rsidRPr="00316927" w:rsidRDefault="001B3C96" w:rsidP="001B3C96">
            <w:pPr>
              <w:widowControl/>
              <w:contextualSpacing/>
              <w:jc w:val="left"/>
              <w:rPr>
                <w:rFonts w:cs="Calibri"/>
                <w:kern w:val="0"/>
                <w:sz w:val="20"/>
                <w:szCs w:val="20"/>
              </w:rPr>
            </w:pPr>
            <w:r w:rsidRPr="00316927">
              <w:rPr>
                <w:rFonts w:cs="Calibri"/>
                <w:kern w:val="0"/>
                <w:sz w:val="20"/>
                <w:szCs w:val="20"/>
              </w:rPr>
              <w:t>Evaluates the gut</w:t>
            </w:r>
            <w:r w:rsidR="00EE6B81">
              <w:rPr>
                <w:rFonts w:cs="Calibri"/>
                <w:kern w:val="0"/>
                <w:sz w:val="20"/>
                <w:szCs w:val="20"/>
              </w:rPr>
              <w:t xml:space="preserve"> microbiome</w:t>
            </w:r>
            <w:r w:rsidRPr="00316927">
              <w:rPr>
                <w:rFonts w:cs="Calibri"/>
                <w:kern w:val="0"/>
                <w:sz w:val="20"/>
                <w:szCs w:val="20"/>
              </w:rPr>
              <w:t xml:space="preserve"> influence on CNS and immune system, specifically microglia</w:t>
            </w:r>
          </w:p>
        </w:tc>
        <w:tc>
          <w:tcPr>
            <w:tcW w:w="2969" w:type="dxa"/>
            <w:hideMark/>
          </w:tcPr>
          <w:p w:rsidR="001B3C96" w:rsidRPr="00316927" w:rsidRDefault="001B3C96" w:rsidP="001B3C96">
            <w:pPr>
              <w:widowControl/>
              <w:contextualSpacing/>
              <w:jc w:val="left"/>
              <w:rPr>
                <w:rFonts w:cs="Calibri"/>
                <w:kern w:val="0"/>
                <w:sz w:val="20"/>
                <w:szCs w:val="20"/>
              </w:rPr>
            </w:pPr>
            <w:r w:rsidRPr="00316927">
              <w:rPr>
                <w:rFonts w:cs="Calibri"/>
                <w:kern w:val="0"/>
                <w:sz w:val="20"/>
                <w:szCs w:val="20"/>
              </w:rPr>
              <w:t xml:space="preserve">Mice (M/F); 2 groups; </w:t>
            </w:r>
          </w:p>
          <w:p w:rsidR="00DB5237" w:rsidRDefault="001B3C96" w:rsidP="00DB5237">
            <w:pPr>
              <w:widowControl/>
              <w:contextualSpacing/>
              <w:jc w:val="left"/>
              <w:rPr>
                <w:rFonts w:cs="Calibri"/>
                <w:kern w:val="0"/>
                <w:sz w:val="20"/>
                <w:szCs w:val="20"/>
              </w:rPr>
            </w:pPr>
            <w:r w:rsidRPr="00316927">
              <w:rPr>
                <w:rFonts w:cs="Calibri"/>
                <w:kern w:val="0"/>
                <w:sz w:val="20"/>
                <w:szCs w:val="20"/>
              </w:rPr>
              <w:t>1) Specific Pathogen Free</w:t>
            </w:r>
            <w:r w:rsidR="00E16C77">
              <w:rPr>
                <w:rFonts w:cs="Calibri"/>
                <w:kern w:val="0"/>
                <w:sz w:val="20"/>
                <w:szCs w:val="20"/>
              </w:rPr>
              <w:t xml:space="preserve"> (SPF)</w:t>
            </w:r>
            <w:r w:rsidRPr="00316927">
              <w:rPr>
                <w:rFonts w:cs="Calibri"/>
                <w:kern w:val="0"/>
                <w:sz w:val="20"/>
                <w:szCs w:val="20"/>
              </w:rPr>
              <w:t xml:space="preserve"> </w:t>
            </w:r>
          </w:p>
          <w:p w:rsidR="001B3C96" w:rsidRPr="00316927" w:rsidRDefault="001B3C96" w:rsidP="00E16C77">
            <w:pPr>
              <w:widowControl/>
              <w:contextualSpacing/>
              <w:jc w:val="left"/>
              <w:rPr>
                <w:rFonts w:cs="Calibri"/>
                <w:kern w:val="0"/>
                <w:sz w:val="20"/>
                <w:szCs w:val="20"/>
              </w:rPr>
            </w:pPr>
            <w:r w:rsidRPr="00316927">
              <w:rPr>
                <w:rFonts w:cs="Calibri"/>
                <w:kern w:val="0"/>
                <w:sz w:val="20"/>
                <w:szCs w:val="20"/>
              </w:rPr>
              <w:t>2)</w:t>
            </w:r>
            <w:r w:rsidR="00E0232C">
              <w:rPr>
                <w:rFonts w:cs="Calibri"/>
                <w:kern w:val="0"/>
                <w:sz w:val="20"/>
                <w:szCs w:val="20"/>
              </w:rPr>
              <w:t xml:space="preserve"> </w:t>
            </w:r>
            <w:r w:rsidRPr="00316927">
              <w:rPr>
                <w:rFonts w:cs="Calibri"/>
                <w:kern w:val="0"/>
                <w:sz w:val="20"/>
                <w:szCs w:val="20"/>
              </w:rPr>
              <w:t xml:space="preserve">Germ Free </w:t>
            </w:r>
            <w:r w:rsidR="00E16C77">
              <w:rPr>
                <w:rFonts w:cs="Calibri"/>
                <w:kern w:val="0"/>
                <w:sz w:val="20"/>
                <w:szCs w:val="20"/>
              </w:rPr>
              <w:t xml:space="preserve">(GF) </w:t>
            </w:r>
          </w:p>
        </w:tc>
        <w:tc>
          <w:tcPr>
            <w:tcW w:w="5669" w:type="dxa"/>
            <w:hideMark/>
          </w:tcPr>
          <w:p w:rsidR="001B3C96" w:rsidRPr="00316927" w:rsidRDefault="001B3C96" w:rsidP="001B3C96">
            <w:pPr>
              <w:widowControl/>
              <w:numPr>
                <w:ilvl w:val="0"/>
                <w:numId w:val="2"/>
              </w:numPr>
              <w:ind w:left="139" w:hanging="139"/>
              <w:contextualSpacing/>
              <w:jc w:val="left"/>
              <w:rPr>
                <w:rFonts w:cs="Calibri"/>
                <w:kern w:val="0"/>
                <w:sz w:val="20"/>
                <w:szCs w:val="20"/>
              </w:rPr>
            </w:pPr>
            <w:r w:rsidRPr="00316927">
              <w:rPr>
                <w:rFonts w:cs="Calibri"/>
                <w:kern w:val="0"/>
                <w:sz w:val="20"/>
                <w:szCs w:val="20"/>
              </w:rPr>
              <w:t>An absent microbiome affects microglia growth and function</w:t>
            </w:r>
          </w:p>
          <w:p w:rsidR="001B3C96" w:rsidRPr="00316927" w:rsidRDefault="001B3C96" w:rsidP="001B3C96">
            <w:pPr>
              <w:widowControl/>
              <w:numPr>
                <w:ilvl w:val="0"/>
                <w:numId w:val="3"/>
              </w:numPr>
              <w:ind w:left="139" w:hanging="139"/>
              <w:contextualSpacing/>
              <w:jc w:val="left"/>
              <w:rPr>
                <w:rFonts w:cs="Calibri"/>
                <w:kern w:val="0"/>
                <w:sz w:val="20"/>
                <w:szCs w:val="20"/>
              </w:rPr>
            </w:pPr>
            <w:r w:rsidRPr="00316927">
              <w:rPr>
                <w:rFonts w:cs="Calibri"/>
                <w:kern w:val="0"/>
                <w:sz w:val="20"/>
                <w:szCs w:val="20"/>
              </w:rPr>
              <w:t xml:space="preserve">Significant differences in microglia mRNA </w:t>
            </w:r>
            <w:r w:rsidR="00E16C77">
              <w:rPr>
                <w:rFonts w:cs="Minion Pro"/>
                <w:color w:val="000000"/>
                <w:sz w:val="18"/>
                <w:szCs w:val="18"/>
              </w:rPr>
              <w:t xml:space="preserve">profiles of microglia genes </w:t>
            </w:r>
            <w:r w:rsidRPr="00316927">
              <w:rPr>
                <w:rFonts w:cs="Calibri"/>
                <w:kern w:val="0"/>
                <w:sz w:val="20"/>
                <w:szCs w:val="20"/>
              </w:rPr>
              <w:t>were seen between groups</w:t>
            </w:r>
            <w:r w:rsidR="00E16C77">
              <w:rPr>
                <w:rFonts w:cs="Calibri"/>
                <w:kern w:val="0"/>
                <w:sz w:val="20"/>
                <w:szCs w:val="20"/>
              </w:rPr>
              <w:t xml:space="preserve"> (SPF &amp; GF)</w:t>
            </w:r>
            <w:r w:rsidRPr="00316927">
              <w:rPr>
                <w:rFonts w:cs="Calibri"/>
                <w:kern w:val="0"/>
                <w:sz w:val="20"/>
                <w:szCs w:val="20"/>
              </w:rPr>
              <w:t xml:space="preserve"> which leads to altered responses</w:t>
            </w:r>
          </w:p>
          <w:p w:rsidR="001B3C96" w:rsidRPr="00316927" w:rsidRDefault="001B3C96" w:rsidP="001B3C96">
            <w:pPr>
              <w:widowControl/>
              <w:numPr>
                <w:ilvl w:val="0"/>
                <w:numId w:val="3"/>
              </w:numPr>
              <w:ind w:left="139" w:hanging="139"/>
              <w:contextualSpacing/>
              <w:jc w:val="left"/>
              <w:rPr>
                <w:rFonts w:cs="Calibri"/>
                <w:kern w:val="0"/>
                <w:sz w:val="20"/>
                <w:szCs w:val="20"/>
              </w:rPr>
            </w:pPr>
            <w:r w:rsidRPr="00316927">
              <w:rPr>
                <w:rFonts w:cs="Calibri"/>
                <w:kern w:val="0"/>
                <w:sz w:val="20"/>
                <w:szCs w:val="20"/>
              </w:rPr>
              <w:t>Humoral signaling pathways appear to be the mechanism for gut-brain communication</w:t>
            </w:r>
          </w:p>
          <w:p w:rsidR="001B3C96" w:rsidRPr="00316927" w:rsidRDefault="001B3C96" w:rsidP="00AA4C34">
            <w:pPr>
              <w:widowControl/>
              <w:numPr>
                <w:ilvl w:val="0"/>
                <w:numId w:val="3"/>
              </w:numPr>
              <w:ind w:left="139" w:hanging="139"/>
              <w:contextualSpacing/>
              <w:jc w:val="left"/>
              <w:rPr>
                <w:rFonts w:cs="Calibri"/>
                <w:kern w:val="0"/>
                <w:sz w:val="20"/>
                <w:szCs w:val="20"/>
              </w:rPr>
            </w:pPr>
            <w:r w:rsidRPr="00316927">
              <w:rPr>
                <w:rFonts w:cs="Calibri"/>
                <w:kern w:val="0"/>
                <w:sz w:val="20"/>
                <w:szCs w:val="20"/>
              </w:rPr>
              <w:t xml:space="preserve">Proposes that continuous input from complex microbiota is required for microglia homeostasis </w:t>
            </w:r>
            <w:r w:rsidR="00AA4C34">
              <w:rPr>
                <w:rFonts w:cs="Calibri"/>
                <w:kern w:val="0"/>
                <w:sz w:val="20"/>
                <w:szCs w:val="20"/>
              </w:rPr>
              <w:t xml:space="preserve">throughout </w:t>
            </w:r>
            <w:r w:rsidRPr="00316927">
              <w:rPr>
                <w:rFonts w:cs="Calibri"/>
                <w:kern w:val="0"/>
                <w:sz w:val="20"/>
                <w:szCs w:val="20"/>
              </w:rPr>
              <w:t xml:space="preserve"> life</w:t>
            </w:r>
            <w:r w:rsidR="00EE6B81">
              <w:rPr>
                <w:rFonts w:cs="Calibri"/>
                <w:kern w:val="0"/>
                <w:sz w:val="20"/>
                <w:szCs w:val="20"/>
              </w:rPr>
              <w:t xml:space="preserve"> </w:t>
            </w:r>
          </w:p>
        </w:tc>
      </w:tr>
      <w:tr w:rsidR="001B3C96" w:rsidRPr="00316927" w:rsidTr="001B3C96">
        <w:trPr>
          <w:trHeight w:val="847"/>
        </w:trPr>
        <w:tc>
          <w:tcPr>
            <w:tcW w:w="1908" w:type="dxa"/>
            <w:hideMark/>
          </w:tcPr>
          <w:p w:rsidR="001B3C96" w:rsidRPr="00316927" w:rsidRDefault="001B3C96" w:rsidP="001B3C96">
            <w:pPr>
              <w:widowControl/>
              <w:contextualSpacing/>
              <w:jc w:val="left"/>
              <w:rPr>
                <w:rFonts w:cs="Calibri"/>
                <w:kern w:val="0"/>
                <w:sz w:val="20"/>
                <w:szCs w:val="20"/>
              </w:rPr>
            </w:pPr>
            <w:r w:rsidRPr="00316927">
              <w:rPr>
                <w:rFonts w:cs="Calibri"/>
                <w:kern w:val="0"/>
                <w:sz w:val="20"/>
                <w:szCs w:val="20"/>
              </w:rPr>
              <w:t xml:space="preserve">Pain, Stress, </w:t>
            </w:r>
          </w:p>
          <w:p w:rsidR="001B3C96" w:rsidRPr="00316927" w:rsidRDefault="001B3C96" w:rsidP="001B3C96">
            <w:pPr>
              <w:widowControl/>
              <w:contextualSpacing/>
              <w:jc w:val="left"/>
              <w:rPr>
                <w:rFonts w:cs="Calibri"/>
                <w:kern w:val="0"/>
                <w:sz w:val="20"/>
                <w:szCs w:val="20"/>
              </w:rPr>
            </w:pPr>
            <w:r w:rsidRPr="00316927">
              <w:rPr>
                <w:rFonts w:cs="Calibri"/>
                <w:noProof/>
                <w:kern w:val="0"/>
                <w:sz w:val="20"/>
                <w:szCs w:val="20"/>
              </w:rPr>
              <w:t>(O'Mahony et al., 2009)</w:t>
            </w:r>
          </w:p>
        </w:tc>
        <w:tc>
          <w:tcPr>
            <w:tcW w:w="2519" w:type="dxa"/>
            <w:hideMark/>
          </w:tcPr>
          <w:p w:rsidR="001B3C96" w:rsidRPr="00316927" w:rsidRDefault="001B3C96" w:rsidP="001B3C96">
            <w:pPr>
              <w:widowControl/>
              <w:contextualSpacing/>
              <w:jc w:val="left"/>
              <w:rPr>
                <w:rFonts w:cs="Calibri"/>
                <w:kern w:val="0"/>
                <w:sz w:val="20"/>
                <w:szCs w:val="20"/>
              </w:rPr>
            </w:pPr>
            <w:r w:rsidRPr="00316927">
              <w:rPr>
                <w:rFonts w:cs="Calibri"/>
                <w:kern w:val="0"/>
                <w:sz w:val="20"/>
                <w:szCs w:val="20"/>
              </w:rPr>
              <w:t xml:space="preserve">Evaluating early life stress impact on the brain-gut axis, gut microbiota, behaviors, and immune, </w:t>
            </w:r>
            <w:r w:rsidRPr="00316927">
              <w:rPr>
                <w:rFonts w:cs="Calibri"/>
                <w:kern w:val="0"/>
                <w:sz w:val="20"/>
                <w:szCs w:val="20"/>
              </w:rPr>
              <w:lastRenderedPageBreak/>
              <w:t xml:space="preserve">endocrine and visceral pain systems </w:t>
            </w:r>
          </w:p>
        </w:tc>
        <w:tc>
          <w:tcPr>
            <w:tcW w:w="2969" w:type="dxa"/>
            <w:hideMark/>
          </w:tcPr>
          <w:p w:rsidR="001B3C96" w:rsidRPr="00316927" w:rsidRDefault="001B3C96" w:rsidP="001B3C96">
            <w:pPr>
              <w:widowControl/>
              <w:contextualSpacing/>
              <w:jc w:val="left"/>
              <w:rPr>
                <w:rFonts w:cs="Calibri"/>
                <w:kern w:val="0"/>
                <w:sz w:val="20"/>
                <w:szCs w:val="20"/>
              </w:rPr>
            </w:pPr>
            <w:r w:rsidRPr="00316927">
              <w:rPr>
                <w:rFonts w:cs="Calibri"/>
                <w:kern w:val="0"/>
                <w:sz w:val="20"/>
                <w:szCs w:val="20"/>
              </w:rPr>
              <w:lastRenderedPageBreak/>
              <w:t xml:space="preserve">Rats </w:t>
            </w:r>
            <w:r w:rsidRPr="00316927">
              <w:rPr>
                <w:rFonts w:cs="Calibri"/>
                <w:i/>
                <w:color w:val="000000"/>
                <w:kern w:val="0"/>
                <w:sz w:val="20"/>
                <w:szCs w:val="20"/>
              </w:rPr>
              <w:t>n</w:t>
            </w:r>
            <w:r w:rsidRPr="00316927">
              <w:rPr>
                <w:rFonts w:cs="Calibri"/>
                <w:kern w:val="0"/>
                <w:sz w:val="20"/>
                <w:szCs w:val="20"/>
              </w:rPr>
              <w:t xml:space="preserve"> = 22; 2 groups</w:t>
            </w:r>
          </w:p>
          <w:p w:rsidR="001B3C96" w:rsidRPr="00316927" w:rsidRDefault="001B3C96" w:rsidP="001B3C96">
            <w:pPr>
              <w:widowControl/>
              <w:contextualSpacing/>
              <w:jc w:val="left"/>
              <w:rPr>
                <w:rFonts w:cs="Calibri"/>
                <w:kern w:val="0"/>
                <w:sz w:val="20"/>
                <w:szCs w:val="20"/>
              </w:rPr>
            </w:pPr>
            <w:r w:rsidRPr="00316927">
              <w:rPr>
                <w:rFonts w:cs="Calibri"/>
                <w:i/>
                <w:color w:val="000000"/>
                <w:kern w:val="0"/>
                <w:sz w:val="20"/>
                <w:szCs w:val="20"/>
              </w:rPr>
              <w:t>n</w:t>
            </w:r>
            <w:r w:rsidRPr="00316927">
              <w:rPr>
                <w:rFonts w:cs="Calibri"/>
                <w:kern w:val="0"/>
                <w:sz w:val="20"/>
                <w:szCs w:val="20"/>
              </w:rPr>
              <w:t xml:space="preserve"> = 11 housed with mothers</w:t>
            </w:r>
          </w:p>
          <w:p w:rsidR="001B3C96" w:rsidRPr="00316927" w:rsidRDefault="001B3C96" w:rsidP="001B3C96">
            <w:pPr>
              <w:widowControl/>
              <w:contextualSpacing/>
              <w:jc w:val="left"/>
              <w:rPr>
                <w:rFonts w:cs="Calibri"/>
                <w:kern w:val="0"/>
                <w:sz w:val="20"/>
                <w:szCs w:val="20"/>
              </w:rPr>
            </w:pPr>
            <w:r w:rsidRPr="00316927">
              <w:rPr>
                <w:rFonts w:cs="Calibri"/>
                <w:i/>
                <w:color w:val="000000"/>
                <w:kern w:val="0"/>
                <w:sz w:val="20"/>
                <w:szCs w:val="20"/>
              </w:rPr>
              <w:t>n</w:t>
            </w:r>
            <w:r w:rsidRPr="00316927">
              <w:rPr>
                <w:rFonts w:cs="Calibri"/>
                <w:kern w:val="0"/>
                <w:sz w:val="20"/>
                <w:szCs w:val="20"/>
              </w:rPr>
              <w:t xml:space="preserve"> = 11 maternally separated</w:t>
            </w:r>
          </w:p>
        </w:tc>
        <w:tc>
          <w:tcPr>
            <w:tcW w:w="5669" w:type="dxa"/>
          </w:tcPr>
          <w:p w:rsidR="0052210E" w:rsidRDefault="0052210E" w:rsidP="001B3C96">
            <w:pPr>
              <w:widowControl/>
              <w:numPr>
                <w:ilvl w:val="0"/>
                <w:numId w:val="2"/>
              </w:numPr>
              <w:ind w:left="139" w:hanging="139"/>
              <w:contextualSpacing/>
              <w:jc w:val="left"/>
              <w:rPr>
                <w:rFonts w:cs="Calibri"/>
                <w:kern w:val="0"/>
                <w:sz w:val="20"/>
                <w:szCs w:val="20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Separated mice had an altered gut microbiome as compared to controls</w:t>
            </w:r>
          </w:p>
          <w:p w:rsidR="001B3C96" w:rsidRPr="00316927" w:rsidRDefault="001B3C96" w:rsidP="001B3C96">
            <w:pPr>
              <w:widowControl/>
              <w:numPr>
                <w:ilvl w:val="0"/>
                <w:numId w:val="2"/>
              </w:numPr>
              <w:ind w:left="139" w:hanging="139"/>
              <w:contextualSpacing/>
              <w:jc w:val="left"/>
              <w:rPr>
                <w:rFonts w:cs="Calibri"/>
                <w:kern w:val="0"/>
                <w:sz w:val="20"/>
                <w:szCs w:val="20"/>
              </w:rPr>
            </w:pPr>
            <w:r w:rsidRPr="00316927">
              <w:rPr>
                <w:rFonts w:cs="Calibri"/>
                <w:kern w:val="0"/>
                <w:sz w:val="20"/>
                <w:szCs w:val="20"/>
              </w:rPr>
              <w:t xml:space="preserve">Separated animals exhibited stress, anxiety and altered bowel habits, and increased visceral hypersensitivity (pain) compared </w:t>
            </w:r>
            <w:r w:rsidRPr="00316927">
              <w:rPr>
                <w:rFonts w:cs="Calibri"/>
                <w:kern w:val="0"/>
                <w:sz w:val="20"/>
                <w:szCs w:val="20"/>
              </w:rPr>
              <w:lastRenderedPageBreak/>
              <w:t>to controls</w:t>
            </w:r>
          </w:p>
          <w:p w:rsidR="0019044A" w:rsidRDefault="001B3C96" w:rsidP="001B3C96">
            <w:pPr>
              <w:widowControl/>
              <w:numPr>
                <w:ilvl w:val="0"/>
                <w:numId w:val="2"/>
              </w:numPr>
              <w:ind w:left="139" w:hanging="139"/>
              <w:contextualSpacing/>
              <w:jc w:val="left"/>
              <w:rPr>
                <w:rFonts w:cs="Calibri"/>
                <w:kern w:val="0"/>
                <w:sz w:val="20"/>
                <w:szCs w:val="20"/>
              </w:rPr>
            </w:pPr>
            <w:r w:rsidRPr="00316927">
              <w:rPr>
                <w:rFonts w:cs="Calibri"/>
                <w:kern w:val="0"/>
                <w:sz w:val="20"/>
                <w:szCs w:val="20"/>
              </w:rPr>
              <w:t xml:space="preserve">Study confirms link between stress and gut microbiota in separated animals </w:t>
            </w:r>
          </w:p>
          <w:p w:rsidR="001B3C96" w:rsidRPr="00316927" w:rsidRDefault="001B3C96" w:rsidP="001B3C96">
            <w:pPr>
              <w:widowControl/>
              <w:numPr>
                <w:ilvl w:val="0"/>
                <w:numId w:val="2"/>
              </w:numPr>
              <w:ind w:left="139" w:hanging="139"/>
              <w:contextualSpacing/>
              <w:jc w:val="left"/>
              <w:rPr>
                <w:rFonts w:cs="Calibri"/>
                <w:kern w:val="0"/>
                <w:sz w:val="20"/>
                <w:szCs w:val="20"/>
              </w:rPr>
            </w:pPr>
            <w:r w:rsidRPr="00316927">
              <w:rPr>
                <w:rFonts w:cs="Calibri"/>
                <w:kern w:val="0"/>
                <w:sz w:val="20"/>
                <w:szCs w:val="20"/>
              </w:rPr>
              <w:t>Early life stress confers multiple immediate sustained effects to the brain-gut which could lead to stress-related disorders later in life</w:t>
            </w:r>
          </w:p>
          <w:p w:rsidR="001B3C96" w:rsidRPr="00316927" w:rsidRDefault="001B3C96" w:rsidP="001B3C96">
            <w:pPr>
              <w:widowControl/>
              <w:jc w:val="left"/>
              <w:rPr>
                <w:rFonts w:cs="Calibri"/>
                <w:kern w:val="0"/>
                <w:sz w:val="20"/>
                <w:szCs w:val="20"/>
              </w:rPr>
            </w:pPr>
          </w:p>
        </w:tc>
      </w:tr>
      <w:tr w:rsidR="001B3C96" w:rsidRPr="00316927" w:rsidTr="001B3C96">
        <w:trPr>
          <w:trHeight w:val="267"/>
        </w:trPr>
        <w:tc>
          <w:tcPr>
            <w:tcW w:w="1908" w:type="dxa"/>
            <w:hideMark/>
          </w:tcPr>
          <w:p w:rsidR="001B3C96" w:rsidRPr="00316927" w:rsidRDefault="001B3C96" w:rsidP="001B3C96">
            <w:pPr>
              <w:widowControl/>
              <w:contextualSpacing/>
              <w:jc w:val="left"/>
              <w:rPr>
                <w:rFonts w:cs="Calibri"/>
                <w:kern w:val="0"/>
                <w:sz w:val="20"/>
                <w:szCs w:val="20"/>
              </w:rPr>
            </w:pPr>
            <w:r w:rsidRPr="00316927">
              <w:rPr>
                <w:rFonts w:cs="Calibri"/>
                <w:kern w:val="0"/>
                <w:sz w:val="20"/>
                <w:szCs w:val="20"/>
              </w:rPr>
              <w:lastRenderedPageBreak/>
              <w:t xml:space="preserve">Cognitive Function </w:t>
            </w:r>
            <w:r w:rsidRPr="00316927">
              <w:rPr>
                <w:rFonts w:cs="Calibri"/>
                <w:noProof/>
                <w:kern w:val="0"/>
                <w:sz w:val="20"/>
                <w:szCs w:val="20"/>
              </w:rPr>
              <w:t>(Davari, Talaei, Alaei, &amp; Salami, 2013)</w:t>
            </w:r>
          </w:p>
        </w:tc>
        <w:tc>
          <w:tcPr>
            <w:tcW w:w="2519" w:type="dxa"/>
            <w:hideMark/>
          </w:tcPr>
          <w:p w:rsidR="001B3C96" w:rsidRPr="00316927" w:rsidRDefault="001B3C96" w:rsidP="001B3C96">
            <w:pPr>
              <w:widowControl/>
              <w:contextualSpacing/>
              <w:jc w:val="left"/>
              <w:rPr>
                <w:rFonts w:cs="Calibri"/>
                <w:kern w:val="0"/>
                <w:sz w:val="20"/>
                <w:szCs w:val="20"/>
              </w:rPr>
            </w:pPr>
            <w:r w:rsidRPr="00316927">
              <w:rPr>
                <w:rFonts w:cs="Calibri"/>
                <w:kern w:val="0"/>
                <w:sz w:val="20"/>
                <w:szCs w:val="20"/>
              </w:rPr>
              <w:t xml:space="preserve">Examines the effect of probiotics on spatial learning and memory, hippocampal long term potentiation and oxidative stress in rats </w:t>
            </w:r>
          </w:p>
        </w:tc>
        <w:tc>
          <w:tcPr>
            <w:tcW w:w="2969" w:type="dxa"/>
            <w:hideMark/>
          </w:tcPr>
          <w:p w:rsidR="001B3C96" w:rsidRPr="00316927" w:rsidRDefault="001B3C96" w:rsidP="001B3C96">
            <w:pPr>
              <w:widowControl/>
              <w:contextualSpacing/>
              <w:jc w:val="left"/>
              <w:rPr>
                <w:rFonts w:cs="Calibri"/>
                <w:kern w:val="0"/>
                <w:sz w:val="20"/>
                <w:szCs w:val="20"/>
              </w:rPr>
            </w:pPr>
            <w:r w:rsidRPr="00316927">
              <w:rPr>
                <w:rFonts w:cs="Calibri"/>
                <w:kern w:val="0"/>
                <w:sz w:val="20"/>
                <w:szCs w:val="20"/>
              </w:rPr>
              <w:t>Rats (</w:t>
            </w:r>
            <w:r w:rsidRPr="00316927">
              <w:rPr>
                <w:rFonts w:cs="Calibri"/>
                <w:i/>
                <w:color w:val="000000"/>
                <w:kern w:val="0"/>
                <w:sz w:val="20"/>
                <w:szCs w:val="20"/>
              </w:rPr>
              <w:t>n</w:t>
            </w:r>
            <w:r w:rsidRPr="00316927">
              <w:rPr>
                <w:rFonts w:cs="Calibri"/>
                <w:kern w:val="0"/>
                <w:sz w:val="20"/>
                <w:szCs w:val="20"/>
              </w:rPr>
              <w:t xml:space="preserve"> = 40)</w:t>
            </w:r>
          </w:p>
          <w:p w:rsidR="001B3C96" w:rsidRPr="00316927" w:rsidRDefault="001B3C96" w:rsidP="001B3C96">
            <w:pPr>
              <w:widowControl/>
              <w:contextualSpacing/>
              <w:jc w:val="left"/>
              <w:rPr>
                <w:rFonts w:cs="Calibri"/>
                <w:kern w:val="0"/>
                <w:sz w:val="20"/>
                <w:szCs w:val="20"/>
              </w:rPr>
            </w:pPr>
            <w:r w:rsidRPr="00316927">
              <w:rPr>
                <w:rFonts w:cs="Calibri"/>
                <w:kern w:val="0"/>
                <w:sz w:val="20"/>
                <w:szCs w:val="20"/>
              </w:rPr>
              <w:t xml:space="preserve">4 groups, 10/group, </w:t>
            </w:r>
          </w:p>
          <w:p w:rsidR="001B3C96" w:rsidRPr="00316927" w:rsidRDefault="001B3C96" w:rsidP="001B3C96">
            <w:pPr>
              <w:widowControl/>
              <w:contextualSpacing/>
              <w:jc w:val="left"/>
              <w:rPr>
                <w:rFonts w:cs="Calibri"/>
                <w:kern w:val="0"/>
                <w:sz w:val="20"/>
                <w:szCs w:val="20"/>
              </w:rPr>
            </w:pPr>
            <w:r w:rsidRPr="00316927">
              <w:rPr>
                <w:rFonts w:cs="Calibri"/>
                <w:kern w:val="0"/>
                <w:sz w:val="20"/>
                <w:szCs w:val="20"/>
              </w:rPr>
              <w:t>1)</w:t>
            </w:r>
            <w:r w:rsidR="006F7302">
              <w:rPr>
                <w:rFonts w:cs="Calibri"/>
                <w:kern w:val="0"/>
                <w:sz w:val="20"/>
                <w:szCs w:val="20"/>
              </w:rPr>
              <w:t xml:space="preserve"> </w:t>
            </w:r>
            <w:r w:rsidRPr="00316927">
              <w:rPr>
                <w:rFonts w:cs="Calibri"/>
                <w:kern w:val="0"/>
                <w:sz w:val="20"/>
                <w:szCs w:val="20"/>
              </w:rPr>
              <w:t xml:space="preserve">Control Group (CO); </w:t>
            </w:r>
          </w:p>
          <w:p w:rsidR="001B3C96" w:rsidRPr="00316927" w:rsidRDefault="001B3C96" w:rsidP="001B3C96">
            <w:pPr>
              <w:widowControl/>
              <w:contextualSpacing/>
              <w:jc w:val="left"/>
              <w:rPr>
                <w:rFonts w:cs="Calibri"/>
                <w:kern w:val="0"/>
                <w:sz w:val="20"/>
                <w:szCs w:val="20"/>
              </w:rPr>
            </w:pPr>
            <w:r w:rsidRPr="00316927">
              <w:rPr>
                <w:rFonts w:cs="Calibri"/>
                <w:kern w:val="0"/>
                <w:sz w:val="20"/>
                <w:szCs w:val="20"/>
              </w:rPr>
              <w:t>2)</w:t>
            </w:r>
            <w:r w:rsidR="006F7302">
              <w:rPr>
                <w:rFonts w:cs="Calibri"/>
                <w:kern w:val="0"/>
                <w:sz w:val="20"/>
                <w:szCs w:val="20"/>
              </w:rPr>
              <w:t xml:space="preserve"> </w:t>
            </w:r>
            <w:r w:rsidRPr="00316927">
              <w:rPr>
                <w:rFonts w:cs="Calibri"/>
                <w:kern w:val="0"/>
                <w:sz w:val="20"/>
                <w:szCs w:val="20"/>
              </w:rPr>
              <w:t xml:space="preserve">Diabetic Controls (DC); </w:t>
            </w:r>
          </w:p>
          <w:p w:rsidR="001B3C96" w:rsidRPr="00316927" w:rsidRDefault="001B3C96" w:rsidP="001B3C96">
            <w:pPr>
              <w:widowControl/>
              <w:contextualSpacing/>
              <w:jc w:val="left"/>
              <w:rPr>
                <w:rFonts w:cs="Calibri"/>
                <w:kern w:val="0"/>
                <w:sz w:val="20"/>
                <w:szCs w:val="20"/>
              </w:rPr>
            </w:pPr>
            <w:r w:rsidRPr="00316927">
              <w:rPr>
                <w:rFonts w:cs="Calibri"/>
                <w:kern w:val="0"/>
                <w:sz w:val="20"/>
                <w:szCs w:val="20"/>
              </w:rPr>
              <w:t>3)</w:t>
            </w:r>
            <w:r w:rsidR="006F7302">
              <w:rPr>
                <w:rFonts w:cs="Calibri"/>
                <w:kern w:val="0"/>
                <w:sz w:val="20"/>
                <w:szCs w:val="20"/>
              </w:rPr>
              <w:t xml:space="preserve"> </w:t>
            </w:r>
            <w:r w:rsidRPr="00316927">
              <w:rPr>
                <w:rFonts w:cs="Calibri"/>
                <w:kern w:val="0"/>
                <w:sz w:val="20"/>
                <w:szCs w:val="20"/>
              </w:rPr>
              <w:t xml:space="preserve">Controls with probiotic supplements (CP); </w:t>
            </w:r>
          </w:p>
          <w:p w:rsidR="001B3C96" w:rsidRPr="00316927" w:rsidRDefault="001B3C96" w:rsidP="001B3C96">
            <w:pPr>
              <w:widowControl/>
              <w:contextualSpacing/>
              <w:jc w:val="left"/>
              <w:rPr>
                <w:rFonts w:cs="Calibri"/>
                <w:kern w:val="0"/>
                <w:sz w:val="20"/>
                <w:szCs w:val="20"/>
              </w:rPr>
            </w:pPr>
            <w:r w:rsidRPr="00316927">
              <w:rPr>
                <w:rFonts w:cs="Calibri"/>
                <w:kern w:val="0"/>
                <w:sz w:val="20"/>
                <w:szCs w:val="20"/>
              </w:rPr>
              <w:t>4)</w:t>
            </w:r>
            <w:r w:rsidR="006F7302">
              <w:rPr>
                <w:rFonts w:cs="Calibri"/>
                <w:kern w:val="0"/>
                <w:sz w:val="20"/>
                <w:szCs w:val="20"/>
              </w:rPr>
              <w:t xml:space="preserve"> </w:t>
            </w:r>
            <w:r w:rsidRPr="00316927">
              <w:rPr>
                <w:rFonts w:cs="Calibri"/>
                <w:kern w:val="0"/>
                <w:sz w:val="20"/>
                <w:szCs w:val="20"/>
              </w:rPr>
              <w:t>Diabetics with probiotic supplements (DP)</w:t>
            </w:r>
          </w:p>
        </w:tc>
        <w:tc>
          <w:tcPr>
            <w:tcW w:w="5669" w:type="dxa"/>
            <w:hideMark/>
          </w:tcPr>
          <w:p w:rsidR="001B3C96" w:rsidRPr="00316927" w:rsidRDefault="001B3C96" w:rsidP="001B3C96">
            <w:pPr>
              <w:widowControl/>
              <w:numPr>
                <w:ilvl w:val="0"/>
                <w:numId w:val="1"/>
              </w:numPr>
              <w:ind w:left="180" w:hanging="180"/>
              <w:contextualSpacing/>
              <w:jc w:val="left"/>
              <w:rPr>
                <w:rFonts w:cs="Calibri"/>
                <w:kern w:val="0"/>
                <w:sz w:val="20"/>
                <w:szCs w:val="20"/>
              </w:rPr>
            </w:pPr>
            <w:r w:rsidRPr="00316927">
              <w:rPr>
                <w:rFonts w:cs="Calibri"/>
                <w:kern w:val="0"/>
                <w:sz w:val="20"/>
                <w:szCs w:val="20"/>
              </w:rPr>
              <w:t>CO animals had the best performance in spatial learning and memory DC had worst performance</w:t>
            </w:r>
          </w:p>
          <w:p w:rsidR="001B3C96" w:rsidRPr="00316927" w:rsidRDefault="001B3C96" w:rsidP="001B3C96">
            <w:pPr>
              <w:widowControl/>
              <w:numPr>
                <w:ilvl w:val="0"/>
                <w:numId w:val="1"/>
              </w:numPr>
              <w:ind w:left="180" w:hanging="180"/>
              <w:contextualSpacing/>
              <w:jc w:val="left"/>
              <w:rPr>
                <w:rFonts w:cs="Calibri"/>
                <w:kern w:val="0"/>
                <w:sz w:val="20"/>
                <w:szCs w:val="20"/>
              </w:rPr>
            </w:pPr>
            <w:r w:rsidRPr="00316927">
              <w:rPr>
                <w:rFonts w:cs="Calibri"/>
                <w:kern w:val="0"/>
                <w:sz w:val="20"/>
                <w:szCs w:val="20"/>
              </w:rPr>
              <w:t>Treatment with probiotics significantly improved spatial learning and memory in all groups</w:t>
            </w:r>
          </w:p>
          <w:p w:rsidR="001B3C96" w:rsidRPr="00316927" w:rsidRDefault="001B3C96" w:rsidP="001B3C96">
            <w:pPr>
              <w:widowControl/>
              <w:numPr>
                <w:ilvl w:val="0"/>
                <w:numId w:val="1"/>
              </w:numPr>
              <w:ind w:left="180" w:hanging="180"/>
              <w:contextualSpacing/>
              <w:jc w:val="left"/>
              <w:rPr>
                <w:rFonts w:cs="Calibri"/>
                <w:kern w:val="0"/>
                <w:sz w:val="20"/>
                <w:szCs w:val="20"/>
              </w:rPr>
            </w:pPr>
            <w:r w:rsidRPr="00316927">
              <w:rPr>
                <w:rFonts w:cs="Calibri"/>
                <w:kern w:val="0"/>
                <w:sz w:val="20"/>
                <w:szCs w:val="20"/>
              </w:rPr>
              <w:t>Diabetic animals were significantly inferior to control animals</w:t>
            </w:r>
          </w:p>
          <w:p w:rsidR="001B3C96" w:rsidRPr="00316927" w:rsidRDefault="001B3C96" w:rsidP="001B3C96">
            <w:pPr>
              <w:widowControl/>
              <w:numPr>
                <w:ilvl w:val="1"/>
                <w:numId w:val="1"/>
              </w:numPr>
              <w:ind w:left="360" w:hanging="180"/>
              <w:contextualSpacing/>
              <w:jc w:val="left"/>
              <w:rPr>
                <w:rFonts w:cs="Calibri"/>
                <w:kern w:val="0"/>
                <w:sz w:val="20"/>
                <w:szCs w:val="20"/>
              </w:rPr>
            </w:pPr>
            <w:r w:rsidRPr="00316927">
              <w:rPr>
                <w:rFonts w:cs="Calibri"/>
                <w:kern w:val="0"/>
                <w:sz w:val="20"/>
                <w:szCs w:val="20"/>
              </w:rPr>
              <w:t>In spatial tasks, learning and memory tasks</w:t>
            </w:r>
          </w:p>
          <w:p w:rsidR="001B3C96" w:rsidRPr="00316927" w:rsidRDefault="001B3C96" w:rsidP="001B3C96">
            <w:pPr>
              <w:widowControl/>
              <w:numPr>
                <w:ilvl w:val="1"/>
                <w:numId w:val="1"/>
              </w:numPr>
              <w:ind w:left="360" w:hanging="180"/>
              <w:contextualSpacing/>
              <w:jc w:val="left"/>
              <w:rPr>
                <w:rFonts w:cs="Calibri"/>
                <w:kern w:val="0"/>
                <w:sz w:val="20"/>
                <w:szCs w:val="20"/>
              </w:rPr>
            </w:pPr>
            <w:r w:rsidRPr="00316927">
              <w:rPr>
                <w:rFonts w:cs="Calibri"/>
                <w:kern w:val="0"/>
                <w:sz w:val="20"/>
                <w:szCs w:val="20"/>
              </w:rPr>
              <w:t>Had slowed conduction velocity in peripheral nervous systems</w:t>
            </w:r>
          </w:p>
          <w:p w:rsidR="001B3C96" w:rsidRPr="00316927" w:rsidRDefault="001B3C96" w:rsidP="001B3C96">
            <w:pPr>
              <w:widowControl/>
              <w:numPr>
                <w:ilvl w:val="1"/>
                <w:numId w:val="1"/>
              </w:numPr>
              <w:ind w:left="360" w:hanging="180"/>
              <w:contextualSpacing/>
              <w:jc w:val="left"/>
              <w:rPr>
                <w:rFonts w:cs="Calibri"/>
                <w:kern w:val="0"/>
                <w:sz w:val="20"/>
                <w:szCs w:val="20"/>
              </w:rPr>
            </w:pPr>
            <w:r w:rsidRPr="00316927">
              <w:rPr>
                <w:rFonts w:cs="Calibri"/>
                <w:kern w:val="0"/>
                <w:sz w:val="20"/>
                <w:szCs w:val="20"/>
              </w:rPr>
              <w:t>Declined occurrence in long term potentiation in the CA1 area of hippocampus</w:t>
            </w:r>
          </w:p>
          <w:p w:rsidR="001B3C96" w:rsidRPr="00316927" w:rsidRDefault="001B3C96" w:rsidP="001B3C96">
            <w:pPr>
              <w:widowControl/>
              <w:numPr>
                <w:ilvl w:val="0"/>
                <w:numId w:val="1"/>
              </w:numPr>
              <w:ind w:left="180" w:hanging="180"/>
              <w:contextualSpacing/>
              <w:jc w:val="left"/>
              <w:rPr>
                <w:rFonts w:cs="Calibri"/>
                <w:kern w:val="0"/>
                <w:sz w:val="20"/>
                <w:szCs w:val="20"/>
              </w:rPr>
            </w:pPr>
            <w:r w:rsidRPr="00316927">
              <w:rPr>
                <w:rFonts w:cs="Calibri"/>
                <w:kern w:val="0"/>
                <w:sz w:val="20"/>
                <w:szCs w:val="20"/>
              </w:rPr>
              <w:t>Probiotics reversed the behavioral and electrophysiological deficits in diabetic animals</w:t>
            </w:r>
          </w:p>
        </w:tc>
      </w:tr>
      <w:tr w:rsidR="001B3C96" w:rsidRPr="00316927" w:rsidTr="001B3C96">
        <w:trPr>
          <w:trHeight w:val="267"/>
        </w:trPr>
        <w:tc>
          <w:tcPr>
            <w:tcW w:w="1908" w:type="dxa"/>
          </w:tcPr>
          <w:p w:rsidR="001B3C96" w:rsidRPr="00316927" w:rsidRDefault="001B3C96" w:rsidP="001B3C96">
            <w:pPr>
              <w:widowControl/>
              <w:contextualSpacing/>
              <w:jc w:val="left"/>
              <w:rPr>
                <w:rFonts w:cs="Calibri"/>
                <w:kern w:val="0"/>
                <w:sz w:val="20"/>
                <w:szCs w:val="20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Brain development, ageing and neurodegeneration (Dinan &amp; Cryan, 2016)</w:t>
            </w:r>
          </w:p>
        </w:tc>
        <w:tc>
          <w:tcPr>
            <w:tcW w:w="2519" w:type="dxa"/>
          </w:tcPr>
          <w:p w:rsidR="001B3C96" w:rsidRPr="00316927" w:rsidRDefault="001B3C96" w:rsidP="001B3C96">
            <w:pPr>
              <w:widowControl/>
              <w:contextualSpacing/>
              <w:jc w:val="left"/>
              <w:rPr>
                <w:rFonts w:cs="Calibri"/>
                <w:kern w:val="0"/>
                <w:sz w:val="20"/>
                <w:szCs w:val="20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Current review of the gut-brain axis</w:t>
            </w:r>
            <w:r w:rsidR="00A73DB3">
              <w:rPr>
                <w:rFonts w:cs="Calibri"/>
                <w:kern w:val="0"/>
                <w:sz w:val="20"/>
                <w:szCs w:val="20"/>
              </w:rPr>
              <w:t xml:space="preserve"> and the role of the gut microbiota in this process.</w:t>
            </w:r>
          </w:p>
        </w:tc>
        <w:tc>
          <w:tcPr>
            <w:tcW w:w="2969" w:type="dxa"/>
          </w:tcPr>
          <w:p w:rsidR="001B3C96" w:rsidRPr="00316927" w:rsidRDefault="00A73DB3" w:rsidP="001B3C96">
            <w:pPr>
              <w:widowControl/>
              <w:contextualSpacing/>
              <w:jc w:val="left"/>
              <w:rPr>
                <w:rFonts w:cs="Calibri"/>
                <w:kern w:val="0"/>
                <w:sz w:val="20"/>
                <w:szCs w:val="20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Review</w:t>
            </w:r>
          </w:p>
        </w:tc>
        <w:tc>
          <w:tcPr>
            <w:tcW w:w="5669" w:type="dxa"/>
          </w:tcPr>
          <w:p w:rsidR="00A73DB3" w:rsidRDefault="00A73DB3" w:rsidP="001B3C96">
            <w:pPr>
              <w:widowControl/>
              <w:numPr>
                <w:ilvl w:val="0"/>
                <w:numId w:val="1"/>
              </w:numPr>
              <w:ind w:left="180" w:hanging="180"/>
              <w:contextualSpacing/>
              <w:jc w:val="left"/>
              <w:rPr>
                <w:rFonts w:cs="Calibri"/>
                <w:kern w:val="0"/>
                <w:sz w:val="20"/>
                <w:szCs w:val="20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Understanding the intricate gut –brain access is imperative</w:t>
            </w:r>
          </w:p>
          <w:p w:rsidR="001B3C96" w:rsidRDefault="00E5408B" w:rsidP="001B3C96">
            <w:pPr>
              <w:widowControl/>
              <w:numPr>
                <w:ilvl w:val="0"/>
                <w:numId w:val="1"/>
              </w:numPr>
              <w:ind w:left="180" w:hanging="180"/>
              <w:contextualSpacing/>
              <w:jc w:val="left"/>
              <w:rPr>
                <w:rFonts w:cs="Calibri"/>
                <w:kern w:val="0"/>
                <w:sz w:val="20"/>
                <w:szCs w:val="20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 xml:space="preserve">Role of ageing on the gut microbiome </w:t>
            </w:r>
          </w:p>
          <w:p w:rsidR="00E5408B" w:rsidRDefault="00E5408B" w:rsidP="001B3C96">
            <w:pPr>
              <w:widowControl/>
              <w:numPr>
                <w:ilvl w:val="0"/>
                <w:numId w:val="1"/>
              </w:numPr>
              <w:ind w:left="180" w:hanging="180"/>
              <w:contextualSpacing/>
              <w:jc w:val="left"/>
              <w:rPr>
                <w:rFonts w:cs="Calibri"/>
                <w:kern w:val="0"/>
                <w:sz w:val="20"/>
                <w:szCs w:val="20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Brain development and role of the microbiota</w:t>
            </w:r>
          </w:p>
          <w:p w:rsidR="00E5408B" w:rsidRDefault="00E5408B" w:rsidP="001B3C96">
            <w:pPr>
              <w:widowControl/>
              <w:numPr>
                <w:ilvl w:val="0"/>
                <w:numId w:val="1"/>
              </w:numPr>
              <w:ind w:left="180" w:hanging="180"/>
              <w:contextualSpacing/>
              <w:jc w:val="left"/>
              <w:rPr>
                <w:rFonts w:cs="Calibri"/>
                <w:kern w:val="0"/>
                <w:sz w:val="20"/>
                <w:szCs w:val="20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 xml:space="preserve">Role of the gut microbiome </w:t>
            </w:r>
            <w:r w:rsidR="009B0A70">
              <w:rPr>
                <w:rFonts w:cs="Calibri"/>
                <w:kern w:val="0"/>
                <w:sz w:val="20"/>
                <w:szCs w:val="20"/>
              </w:rPr>
              <w:t xml:space="preserve">as related to </w:t>
            </w:r>
          </w:p>
          <w:p w:rsidR="000A5703" w:rsidRDefault="000A5703" w:rsidP="00250950">
            <w:pPr>
              <w:widowControl/>
              <w:numPr>
                <w:ilvl w:val="1"/>
                <w:numId w:val="1"/>
              </w:numPr>
              <w:contextualSpacing/>
              <w:jc w:val="left"/>
              <w:rPr>
                <w:rFonts w:cs="Calibri"/>
                <w:kern w:val="0"/>
                <w:sz w:val="20"/>
                <w:szCs w:val="20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Depression</w:t>
            </w:r>
          </w:p>
          <w:p w:rsidR="00B5621C" w:rsidRDefault="00B5621C" w:rsidP="00250950">
            <w:pPr>
              <w:widowControl/>
              <w:numPr>
                <w:ilvl w:val="1"/>
                <w:numId w:val="1"/>
              </w:numPr>
              <w:contextualSpacing/>
              <w:jc w:val="left"/>
              <w:rPr>
                <w:rFonts w:cs="Calibri"/>
                <w:kern w:val="0"/>
                <w:sz w:val="20"/>
                <w:szCs w:val="20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Autism</w:t>
            </w:r>
          </w:p>
          <w:p w:rsidR="00B5621C" w:rsidRDefault="009B0A70" w:rsidP="00250950">
            <w:pPr>
              <w:widowControl/>
              <w:numPr>
                <w:ilvl w:val="1"/>
                <w:numId w:val="1"/>
              </w:numPr>
              <w:contextualSpacing/>
              <w:jc w:val="left"/>
              <w:rPr>
                <w:rFonts w:cs="Calibri"/>
                <w:kern w:val="0"/>
                <w:sz w:val="20"/>
                <w:szCs w:val="20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Schizophrenia</w:t>
            </w:r>
          </w:p>
          <w:p w:rsidR="009B0A70" w:rsidRPr="00316927" w:rsidRDefault="009B0A70" w:rsidP="00250950">
            <w:pPr>
              <w:widowControl/>
              <w:numPr>
                <w:ilvl w:val="1"/>
                <w:numId w:val="1"/>
              </w:numPr>
              <w:contextualSpacing/>
              <w:jc w:val="left"/>
              <w:rPr>
                <w:rFonts w:cs="Calibri"/>
                <w:kern w:val="0"/>
                <w:sz w:val="20"/>
                <w:szCs w:val="20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Parkinson’s disease</w:t>
            </w:r>
          </w:p>
        </w:tc>
      </w:tr>
    </w:tbl>
    <w:p w:rsidR="00316927" w:rsidRPr="00316927" w:rsidRDefault="00316927" w:rsidP="00316927">
      <w:pPr>
        <w:widowControl/>
        <w:contextualSpacing/>
        <w:jc w:val="left"/>
        <w:rPr>
          <w:rFonts w:ascii="Calibri" w:eastAsia="Calibri" w:hAnsi="Calibri" w:cs="Calibri"/>
          <w:kern w:val="0"/>
          <w:sz w:val="20"/>
          <w:szCs w:val="20"/>
        </w:rPr>
      </w:pPr>
    </w:p>
    <w:p w:rsidR="00316927" w:rsidRDefault="008E5E7B" w:rsidP="00316927">
      <w:pPr>
        <w:widowControl/>
        <w:contextualSpacing/>
        <w:jc w:val="left"/>
        <w:rPr>
          <w:rFonts w:ascii="Calibri" w:eastAsia="Calibri" w:hAnsi="Calibri" w:cs="Calibri"/>
          <w:kern w:val="0"/>
          <w:sz w:val="20"/>
          <w:szCs w:val="20"/>
        </w:rPr>
      </w:pPr>
      <w:proofErr w:type="spellStart"/>
      <w:proofErr w:type="gramStart"/>
      <w:r>
        <w:rPr>
          <w:rFonts w:ascii="Calibri" w:eastAsia="Calibri" w:hAnsi="Calibri" w:cs="Calibri"/>
          <w:kern w:val="0"/>
          <w:sz w:val="20"/>
          <w:szCs w:val="20"/>
          <w:vertAlign w:val="superscript"/>
        </w:rPr>
        <w:t>a</w:t>
      </w:r>
      <w:r>
        <w:rPr>
          <w:rFonts w:ascii="Calibri" w:eastAsia="Calibri" w:hAnsi="Calibri" w:cs="Calibri"/>
          <w:kern w:val="0"/>
          <w:sz w:val="20"/>
          <w:szCs w:val="20"/>
        </w:rPr>
        <w:t>References</w:t>
      </w:r>
      <w:proofErr w:type="spellEnd"/>
      <w:proofErr w:type="gramEnd"/>
      <w:r>
        <w:rPr>
          <w:rFonts w:ascii="Calibri" w:eastAsia="Calibri" w:hAnsi="Calibri" w:cs="Calibri"/>
          <w:kern w:val="0"/>
          <w:sz w:val="20"/>
          <w:szCs w:val="20"/>
        </w:rPr>
        <w:t xml:space="preserve"> cited in text appear in the reference list; those cited only in this SDC are listed below.</w:t>
      </w:r>
    </w:p>
    <w:p w:rsidR="008E5E7B" w:rsidRDefault="008E5E7B" w:rsidP="00316927">
      <w:pPr>
        <w:widowControl/>
        <w:contextualSpacing/>
        <w:jc w:val="left"/>
        <w:rPr>
          <w:rFonts w:ascii="Calibri" w:eastAsia="Calibri" w:hAnsi="Calibri" w:cs="Calibri"/>
          <w:kern w:val="0"/>
          <w:sz w:val="20"/>
          <w:szCs w:val="20"/>
        </w:rPr>
        <w:sectPr w:rsidR="008E5E7B" w:rsidSect="00EB5F8F">
          <w:headerReference w:type="default" r:id="rId8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8E5E7B" w:rsidRDefault="008E5E7B" w:rsidP="008E5E7B">
      <w:pPr>
        <w:widowControl/>
        <w:contextualSpacing/>
        <w:jc w:val="center"/>
        <w:rPr>
          <w:rFonts w:eastAsia="Calibri"/>
          <w:kern w:val="0"/>
          <w:sz w:val="24"/>
        </w:rPr>
      </w:pPr>
      <w:r>
        <w:rPr>
          <w:rFonts w:eastAsia="Calibri"/>
          <w:kern w:val="0"/>
          <w:sz w:val="24"/>
        </w:rPr>
        <w:lastRenderedPageBreak/>
        <w:t>Additional References</w:t>
      </w:r>
    </w:p>
    <w:p w:rsidR="008E5E7B" w:rsidRDefault="008E5E7B" w:rsidP="008E5E7B">
      <w:pPr>
        <w:widowControl/>
        <w:contextualSpacing/>
        <w:jc w:val="left"/>
        <w:rPr>
          <w:rFonts w:eastAsia="Calibri"/>
          <w:kern w:val="0"/>
          <w:sz w:val="24"/>
        </w:rPr>
      </w:pPr>
    </w:p>
    <w:p w:rsidR="008E5E7B" w:rsidRDefault="008E5E7B" w:rsidP="008E5E7B">
      <w:pPr>
        <w:widowControl/>
        <w:contextualSpacing/>
        <w:jc w:val="left"/>
        <w:rPr>
          <w:rFonts w:eastAsia="Calibri"/>
          <w:kern w:val="0"/>
          <w:sz w:val="24"/>
        </w:rPr>
      </w:pPr>
    </w:p>
    <w:p w:rsidR="008E5E7B" w:rsidRDefault="008E5E7B" w:rsidP="008E5E7B">
      <w:pPr>
        <w:widowControl/>
        <w:spacing w:line="480" w:lineRule="auto"/>
        <w:ind w:left="720" w:hanging="720"/>
        <w:jc w:val="left"/>
        <w:rPr>
          <w:rFonts w:eastAsia="Calibri"/>
          <w:kern w:val="0"/>
          <w:sz w:val="24"/>
        </w:rPr>
      </w:pPr>
      <w:r w:rsidRPr="008E5E7B">
        <w:rPr>
          <w:rFonts w:eastAsia="Calibri"/>
          <w:noProof/>
          <w:kern w:val="0"/>
          <w:sz w:val="24"/>
        </w:rPr>
        <w:t xml:space="preserve">Dinan, T. G., &amp; Cryan, J. F.(2016). Gut instincts: Microbiota as a key regulator of brain development, ageing and neurodegeneration. </w:t>
      </w:r>
      <w:r w:rsidRPr="008E5E7B">
        <w:rPr>
          <w:rFonts w:eastAsia="Calibri"/>
          <w:i/>
          <w:noProof/>
          <w:kern w:val="0"/>
          <w:sz w:val="24"/>
        </w:rPr>
        <w:t xml:space="preserve">Journal of  Physiology. </w:t>
      </w:r>
      <w:r w:rsidRPr="008E5E7B">
        <w:rPr>
          <w:rFonts w:eastAsia="Calibri"/>
          <w:noProof/>
          <w:kern w:val="0"/>
          <w:sz w:val="24"/>
        </w:rPr>
        <w:t>Advance online publication</w:t>
      </w:r>
      <w:proofErr w:type="gramStart"/>
      <w:r w:rsidRPr="008E5E7B">
        <w:rPr>
          <w:rFonts w:eastAsia="Calibri"/>
          <w:noProof/>
          <w:kern w:val="0"/>
          <w:sz w:val="24"/>
        </w:rPr>
        <w:t>.</w:t>
      </w:r>
      <w:r w:rsidRPr="008E5E7B">
        <w:rPr>
          <w:rFonts w:ascii="Arial" w:eastAsia="Calibri" w:hAnsi="Arial" w:cs="Arial"/>
          <w:kern w:val="0"/>
          <w:sz w:val="20"/>
          <w:szCs w:val="20"/>
        </w:rPr>
        <w:t>.</w:t>
      </w:r>
      <w:proofErr w:type="gramEnd"/>
      <w:r w:rsidRPr="008E5E7B">
        <w:rPr>
          <w:rFonts w:ascii="Arial" w:eastAsia="Calibri" w:hAnsi="Arial" w:cs="Arial"/>
          <w:kern w:val="0"/>
          <w:sz w:val="20"/>
          <w:szCs w:val="20"/>
        </w:rPr>
        <w:t xml:space="preserve"> </w:t>
      </w:r>
      <w:proofErr w:type="spellStart"/>
      <w:proofErr w:type="gramStart"/>
      <w:r w:rsidRPr="008E5E7B">
        <w:rPr>
          <w:rFonts w:eastAsia="Calibri"/>
          <w:kern w:val="0"/>
          <w:sz w:val="24"/>
        </w:rPr>
        <w:t>doi</w:t>
      </w:r>
      <w:proofErr w:type="spellEnd"/>
      <w:proofErr w:type="gramEnd"/>
      <w:r w:rsidRPr="008E5E7B">
        <w:rPr>
          <w:rFonts w:eastAsia="Calibri"/>
          <w:kern w:val="0"/>
          <w:sz w:val="24"/>
        </w:rPr>
        <w:t>: 10.1113/JP273106</w:t>
      </w:r>
    </w:p>
    <w:p w:rsidR="00320A2E" w:rsidRPr="00320A2E" w:rsidRDefault="00320A2E" w:rsidP="00320A2E">
      <w:pPr>
        <w:widowControl/>
        <w:spacing w:line="480" w:lineRule="auto"/>
        <w:ind w:left="720" w:hanging="720"/>
        <w:jc w:val="left"/>
        <w:rPr>
          <w:rFonts w:eastAsia="Calibri"/>
          <w:noProof/>
          <w:kern w:val="0"/>
          <w:sz w:val="24"/>
        </w:rPr>
      </w:pPr>
      <w:r w:rsidRPr="00320A2E">
        <w:rPr>
          <w:rFonts w:eastAsia="Calibri"/>
          <w:noProof/>
          <w:kern w:val="0"/>
          <w:sz w:val="24"/>
        </w:rPr>
        <w:t xml:space="preserve">Kelly, J. R., Borre, Y., O' Brien, C., Patterson, E., El Aidy, S., Deane, J., . . .Dinan, T. (2016) Transferring the blues: Depression-associated gut microbiota induces neurobehavioural changes in the rat. </w:t>
      </w:r>
      <w:r w:rsidRPr="00320A2E">
        <w:rPr>
          <w:rFonts w:eastAsia="Calibri"/>
          <w:i/>
          <w:noProof/>
          <w:kern w:val="0"/>
          <w:sz w:val="24"/>
        </w:rPr>
        <w:t>Journal of Psychiatric Research</w:t>
      </w:r>
      <w:r w:rsidRPr="00320A2E">
        <w:rPr>
          <w:rFonts w:eastAsia="Calibri"/>
          <w:noProof/>
          <w:kern w:val="0"/>
          <w:sz w:val="24"/>
        </w:rPr>
        <w:t>, 82:109-18. doi: 10.1016/j.jpsychires.2016.07.019</w:t>
      </w:r>
    </w:p>
    <w:p w:rsidR="00320A2E" w:rsidRPr="008E5E7B" w:rsidRDefault="00320A2E" w:rsidP="008E5E7B">
      <w:pPr>
        <w:widowControl/>
        <w:spacing w:line="480" w:lineRule="auto"/>
        <w:ind w:left="720" w:hanging="720"/>
        <w:jc w:val="left"/>
        <w:rPr>
          <w:rFonts w:eastAsia="Calibri"/>
          <w:noProof/>
          <w:kern w:val="0"/>
          <w:sz w:val="24"/>
        </w:rPr>
      </w:pPr>
      <w:bookmarkStart w:id="0" w:name="_GoBack"/>
      <w:bookmarkEnd w:id="0"/>
    </w:p>
    <w:p w:rsidR="008E5E7B" w:rsidRDefault="008E5E7B" w:rsidP="008E5E7B">
      <w:pPr>
        <w:widowControl/>
        <w:contextualSpacing/>
        <w:jc w:val="center"/>
        <w:rPr>
          <w:rFonts w:eastAsia="Calibri"/>
          <w:kern w:val="0"/>
          <w:sz w:val="24"/>
        </w:rPr>
      </w:pPr>
    </w:p>
    <w:p w:rsidR="00961B71" w:rsidRPr="008E5E7B" w:rsidRDefault="00961B71" w:rsidP="008E5E7B">
      <w:pPr>
        <w:widowControl/>
        <w:contextualSpacing/>
        <w:jc w:val="center"/>
        <w:rPr>
          <w:rFonts w:eastAsia="Calibri"/>
          <w:kern w:val="0"/>
          <w:sz w:val="24"/>
        </w:rPr>
      </w:pPr>
    </w:p>
    <w:p w:rsidR="00316927" w:rsidRPr="00316927" w:rsidRDefault="00316927" w:rsidP="00316927">
      <w:pPr>
        <w:widowControl/>
        <w:contextualSpacing/>
        <w:jc w:val="left"/>
        <w:rPr>
          <w:rFonts w:ascii="Calibri" w:eastAsia="Calibri" w:hAnsi="Calibri" w:cs="Calibri"/>
          <w:kern w:val="0"/>
          <w:sz w:val="20"/>
          <w:szCs w:val="20"/>
        </w:rPr>
      </w:pPr>
    </w:p>
    <w:p w:rsidR="00316927" w:rsidRPr="00316927" w:rsidRDefault="00316927" w:rsidP="00316927">
      <w:pPr>
        <w:widowControl/>
        <w:contextualSpacing/>
        <w:jc w:val="left"/>
        <w:rPr>
          <w:rFonts w:ascii="Calibri" w:eastAsia="Calibri" w:hAnsi="Calibri" w:cs="Calibri"/>
          <w:kern w:val="0"/>
          <w:sz w:val="20"/>
          <w:szCs w:val="20"/>
        </w:rPr>
      </w:pPr>
    </w:p>
    <w:p w:rsidR="00316927" w:rsidRPr="00316927" w:rsidRDefault="00316927" w:rsidP="00316927">
      <w:pPr>
        <w:widowControl/>
        <w:spacing w:after="160"/>
        <w:ind w:left="720" w:hanging="720"/>
        <w:jc w:val="left"/>
        <w:rPr>
          <w:rFonts w:eastAsia="Calibri" w:cs="Calibri"/>
          <w:noProof/>
          <w:kern w:val="0"/>
          <w:sz w:val="22"/>
          <w:szCs w:val="22"/>
        </w:rPr>
      </w:pPr>
    </w:p>
    <w:p w:rsidR="00EB5F8F" w:rsidRPr="00EB5F8F" w:rsidRDefault="00EB5F8F" w:rsidP="00EB5F8F">
      <w:pPr>
        <w:widowControl/>
        <w:spacing w:after="160" w:line="259" w:lineRule="auto"/>
        <w:jc w:val="left"/>
        <w:rPr>
          <w:rFonts w:ascii="Calibri" w:eastAsia="Calibri" w:hAnsi="Calibri" w:cs="Calibri"/>
          <w:noProof/>
          <w:kern w:val="0"/>
          <w:sz w:val="20"/>
          <w:szCs w:val="20"/>
        </w:rPr>
      </w:pPr>
    </w:p>
    <w:p w:rsidR="00AA0C12" w:rsidRDefault="00AA0C12"/>
    <w:sectPr w:rsidR="00AA0C12" w:rsidSect="008E5E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1A94" w:rsidRDefault="00BD1A94" w:rsidP="00757A60">
      <w:r>
        <w:separator/>
      </w:r>
    </w:p>
  </w:endnote>
  <w:endnote w:type="continuationSeparator" w:id="0">
    <w:p w:rsidR="00BD1A94" w:rsidRDefault="00BD1A94" w:rsidP="00757A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altName w:val="Minion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1A94" w:rsidRDefault="00BD1A94" w:rsidP="00757A60">
      <w:r>
        <w:separator/>
      </w:r>
    </w:p>
  </w:footnote>
  <w:footnote w:type="continuationSeparator" w:id="0">
    <w:p w:rsidR="00BD1A94" w:rsidRDefault="00BD1A94" w:rsidP="00757A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A60" w:rsidRPr="00757A60" w:rsidRDefault="00757A60">
    <w:pPr>
      <w:pStyle w:val="Header"/>
      <w:rPr>
        <w:sz w:val="20"/>
        <w:szCs w:val="20"/>
      </w:rPr>
    </w:pPr>
    <w:r w:rsidRPr="00757A60">
      <w:rPr>
        <w:sz w:val="20"/>
        <w:szCs w:val="20"/>
      </w:rPr>
      <w:t xml:space="preserve">Ames, N. J., Ranucci, A., Moriyama, B., &amp; Wallen, G. R. (2017). The human microbiome and understanding the 16S rRNA gene in translational nursing science. </w:t>
    </w:r>
    <w:r w:rsidRPr="00757A60">
      <w:rPr>
        <w:i/>
        <w:sz w:val="20"/>
        <w:szCs w:val="20"/>
      </w:rPr>
      <w:t>Nursing Research</w:t>
    </w:r>
    <w:r w:rsidRPr="00757A60">
      <w:rPr>
        <w:sz w:val="20"/>
        <w:szCs w:val="20"/>
      </w:rPr>
      <w:t xml:space="preserve">, </w:t>
    </w:r>
    <w:r w:rsidRPr="00757A60">
      <w:rPr>
        <w:i/>
        <w:sz w:val="20"/>
        <w:szCs w:val="20"/>
      </w:rPr>
      <w:t>66</w:t>
    </w:r>
    <w:r w:rsidRPr="00757A60">
      <w:rPr>
        <w:sz w:val="20"/>
        <w:szCs w:val="20"/>
      </w:rPr>
      <w:t>. Supplemental Digital Content</w:t>
    </w:r>
    <w:r w:rsidR="00E25810">
      <w:rPr>
        <w:sz w:val="20"/>
        <w:szCs w:val="20"/>
      </w:rPr>
      <w:t xml:space="preserve"> 2 of 2</w:t>
    </w:r>
    <w:r w:rsidRPr="00757A60">
      <w:rPr>
        <w:sz w:val="20"/>
        <w:szCs w:val="20"/>
      </w:rPr>
      <w:t xml:space="preserve">. </w:t>
    </w:r>
  </w:p>
  <w:p w:rsidR="00757A60" w:rsidRDefault="00757A6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A08F2"/>
    <w:multiLevelType w:val="hybridMultilevel"/>
    <w:tmpl w:val="BC1AAE44"/>
    <w:lvl w:ilvl="0" w:tplc="3E2A4014">
      <w:start w:val="2013"/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545869"/>
    <w:multiLevelType w:val="hybridMultilevel"/>
    <w:tmpl w:val="0102247C"/>
    <w:lvl w:ilvl="0" w:tplc="3E2A4014">
      <w:start w:val="2013"/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A76A94"/>
    <w:multiLevelType w:val="hybridMultilevel"/>
    <w:tmpl w:val="BD28359E"/>
    <w:lvl w:ilvl="0" w:tplc="3E2A4014">
      <w:start w:val="2013"/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mes, Nancy (NIH/CC/NURS) [E]">
    <w15:presenceInfo w15:providerId="AD" w15:userId="S-1-5-21-12604286-656692736-1848903544-83174"/>
  </w15:person>
  <w15:person w15:author="RN Nancy J. Ames PhD">
    <w15:presenceInfo w15:providerId="AD" w15:userId="S-1-5-21-12604286-656692736-1848903544-83174"/>
  </w15:person>
  <w15:person w15:author="RN Nancy J. Ames PhD [2]">
    <w15:presenceInfo w15:providerId="AD" w15:userId="S-1-5-21-12604286-656692736-1848903544-83174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5F8F"/>
    <w:rsid w:val="000265FC"/>
    <w:rsid w:val="00065F37"/>
    <w:rsid w:val="000A5703"/>
    <w:rsid w:val="000F0C2C"/>
    <w:rsid w:val="000F3F50"/>
    <w:rsid w:val="00180171"/>
    <w:rsid w:val="0019044A"/>
    <w:rsid w:val="001B18C5"/>
    <w:rsid w:val="001B3C96"/>
    <w:rsid w:val="00250950"/>
    <w:rsid w:val="00264C90"/>
    <w:rsid w:val="002760B9"/>
    <w:rsid w:val="00316927"/>
    <w:rsid w:val="00320A2E"/>
    <w:rsid w:val="00420C98"/>
    <w:rsid w:val="00423EA0"/>
    <w:rsid w:val="004E5EBE"/>
    <w:rsid w:val="0052210E"/>
    <w:rsid w:val="00536334"/>
    <w:rsid w:val="00542864"/>
    <w:rsid w:val="00623ADB"/>
    <w:rsid w:val="006D411D"/>
    <w:rsid w:val="006F499A"/>
    <w:rsid w:val="006F7302"/>
    <w:rsid w:val="00744CB9"/>
    <w:rsid w:val="00757A60"/>
    <w:rsid w:val="00764B62"/>
    <w:rsid w:val="007735D3"/>
    <w:rsid w:val="00791BA4"/>
    <w:rsid w:val="00810BB8"/>
    <w:rsid w:val="00817BFF"/>
    <w:rsid w:val="00822C51"/>
    <w:rsid w:val="00863FBA"/>
    <w:rsid w:val="008C7680"/>
    <w:rsid w:val="008E5E7B"/>
    <w:rsid w:val="00904301"/>
    <w:rsid w:val="009239DC"/>
    <w:rsid w:val="00961B71"/>
    <w:rsid w:val="00974FDF"/>
    <w:rsid w:val="009B0A70"/>
    <w:rsid w:val="00A13182"/>
    <w:rsid w:val="00A4694A"/>
    <w:rsid w:val="00A65584"/>
    <w:rsid w:val="00A73DB3"/>
    <w:rsid w:val="00AA0C12"/>
    <w:rsid w:val="00AA4C34"/>
    <w:rsid w:val="00AB70F5"/>
    <w:rsid w:val="00AC1513"/>
    <w:rsid w:val="00AE71B9"/>
    <w:rsid w:val="00B16933"/>
    <w:rsid w:val="00B5621C"/>
    <w:rsid w:val="00B6582D"/>
    <w:rsid w:val="00B71FE5"/>
    <w:rsid w:val="00B83FD5"/>
    <w:rsid w:val="00B86FB4"/>
    <w:rsid w:val="00B87787"/>
    <w:rsid w:val="00BD1A94"/>
    <w:rsid w:val="00C42A61"/>
    <w:rsid w:val="00C549CC"/>
    <w:rsid w:val="00C61F0C"/>
    <w:rsid w:val="00C8777C"/>
    <w:rsid w:val="00C96A8D"/>
    <w:rsid w:val="00CC7903"/>
    <w:rsid w:val="00D27131"/>
    <w:rsid w:val="00D71027"/>
    <w:rsid w:val="00D86F77"/>
    <w:rsid w:val="00DB006A"/>
    <w:rsid w:val="00DB5237"/>
    <w:rsid w:val="00E0232C"/>
    <w:rsid w:val="00E075E0"/>
    <w:rsid w:val="00E16C77"/>
    <w:rsid w:val="00E25810"/>
    <w:rsid w:val="00E26C8B"/>
    <w:rsid w:val="00E31846"/>
    <w:rsid w:val="00E536CB"/>
    <w:rsid w:val="00E5408B"/>
    <w:rsid w:val="00EB5F8F"/>
    <w:rsid w:val="00EE6B81"/>
    <w:rsid w:val="00F31B3C"/>
    <w:rsid w:val="00F778F2"/>
    <w:rsid w:val="00FA1452"/>
    <w:rsid w:val="00FB76B9"/>
    <w:rsid w:val="00FC2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5FC"/>
    <w:pPr>
      <w:widowControl w:val="0"/>
      <w:jc w:val="both"/>
    </w:pPr>
    <w:rPr>
      <w:kern w:val="2"/>
      <w:sz w:val="21"/>
      <w:szCs w:val="24"/>
    </w:rPr>
  </w:style>
  <w:style w:type="paragraph" w:styleId="Heading1">
    <w:name w:val="heading 1"/>
    <w:basedOn w:val="Normal"/>
    <w:link w:val="Heading1Char"/>
    <w:uiPriority w:val="9"/>
    <w:qFormat/>
    <w:rsid w:val="000265FC"/>
    <w:pPr>
      <w:widowControl/>
      <w:spacing w:before="100" w:beforeAutospacing="1" w:after="100" w:afterAutospacing="1"/>
      <w:jc w:val="left"/>
      <w:outlineLvl w:val="0"/>
    </w:pPr>
    <w:rPr>
      <w:rFonts w:ascii="SimSun" w:hAnsi="SimSun" w:cs="SimSu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265FC"/>
    <w:rPr>
      <w:rFonts w:ascii="SimSun" w:hAnsi="SimSun" w:cs="SimSun"/>
      <w:b/>
      <w:bCs/>
      <w:kern w:val="36"/>
      <w:sz w:val="48"/>
      <w:szCs w:val="48"/>
    </w:rPr>
  </w:style>
  <w:style w:type="paragraph" w:styleId="NoSpacing">
    <w:name w:val="No Spacing"/>
    <w:link w:val="NoSpacingChar"/>
    <w:uiPriority w:val="1"/>
    <w:qFormat/>
    <w:rsid w:val="000265FC"/>
    <w:rPr>
      <w:rFonts w:ascii="Calibri" w:hAnsi="Calibri"/>
      <w:sz w:val="22"/>
      <w:szCs w:val="22"/>
      <w:lang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0265FC"/>
    <w:rPr>
      <w:rFonts w:ascii="Calibri" w:hAnsi="Calibri"/>
      <w:sz w:val="22"/>
      <w:szCs w:val="22"/>
      <w:lang w:eastAsia="zh-CN"/>
    </w:rPr>
  </w:style>
  <w:style w:type="table" w:styleId="TableGrid">
    <w:name w:val="Table Grid"/>
    <w:basedOn w:val="TableNormal"/>
    <w:uiPriority w:val="39"/>
    <w:rsid w:val="00EB5F8F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57A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7A60"/>
    <w:rPr>
      <w:kern w:val="2"/>
      <w:sz w:val="21"/>
      <w:szCs w:val="24"/>
    </w:rPr>
  </w:style>
  <w:style w:type="paragraph" w:styleId="Footer">
    <w:name w:val="footer"/>
    <w:basedOn w:val="Normal"/>
    <w:link w:val="FooterChar"/>
    <w:uiPriority w:val="99"/>
    <w:unhideWhenUsed/>
    <w:rsid w:val="00757A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7A60"/>
    <w:rPr>
      <w:kern w:val="2"/>
      <w:sz w:val="21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7A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A60"/>
    <w:rPr>
      <w:rFonts w:ascii="Tahoma" w:hAnsi="Tahoma" w:cs="Tahoma"/>
      <w:kern w:val="2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169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6927"/>
    <w:pPr>
      <w:widowControl/>
      <w:spacing w:after="160"/>
      <w:jc w:val="left"/>
    </w:pPr>
    <w:rPr>
      <w:rFonts w:ascii="Calibri" w:hAnsi="Calibri"/>
      <w:kern w:val="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6927"/>
    <w:rPr>
      <w:rFonts w:ascii="Calibri" w:hAnsi="Calibri"/>
    </w:rPr>
  </w:style>
  <w:style w:type="table" w:customStyle="1" w:styleId="TableGridLight1">
    <w:name w:val="Table Grid Light1"/>
    <w:basedOn w:val="TableNormal"/>
    <w:uiPriority w:val="40"/>
    <w:rsid w:val="00316927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5FC"/>
    <w:pPr>
      <w:widowControl w:val="0"/>
      <w:jc w:val="both"/>
    </w:pPr>
    <w:rPr>
      <w:kern w:val="2"/>
      <w:sz w:val="21"/>
      <w:szCs w:val="24"/>
    </w:rPr>
  </w:style>
  <w:style w:type="paragraph" w:styleId="Heading1">
    <w:name w:val="heading 1"/>
    <w:basedOn w:val="Normal"/>
    <w:link w:val="Heading1Char"/>
    <w:uiPriority w:val="9"/>
    <w:qFormat/>
    <w:rsid w:val="000265FC"/>
    <w:pPr>
      <w:widowControl/>
      <w:spacing w:before="100" w:beforeAutospacing="1" w:after="100" w:afterAutospacing="1"/>
      <w:jc w:val="left"/>
      <w:outlineLvl w:val="0"/>
    </w:pPr>
    <w:rPr>
      <w:rFonts w:ascii="SimSun" w:hAnsi="SimSun" w:cs="SimSu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265FC"/>
    <w:rPr>
      <w:rFonts w:ascii="SimSun" w:hAnsi="SimSun" w:cs="SimSun"/>
      <w:b/>
      <w:bCs/>
      <w:kern w:val="36"/>
      <w:sz w:val="48"/>
      <w:szCs w:val="48"/>
    </w:rPr>
  </w:style>
  <w:style w:type="paragraph" w:styleId="NoSpacing">
    <w:name w:val="No Spacing"/>
    <w:link w:val="NoSpacingChar"/>
    <w:uiPriority w:val="1"/>
    <w:qFormat/>
    <w:rsid w:val="000265FC"/>
    <w:rPr>
      <w:rFonts w:ascii="Calibri" w:hAnsi="Calibri"/>
      <w:sz w:val="22"/>
      <w:szCs w:val="22"/>
      <w:lang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0265FC"/>
    <w:rPr>
      <w:rFonts w:ascii="Calibri" w:hAnsi="Calibri"/>
      <w:sz w:val="22"/>
      <w:szCs w:val="22"/>
      <w:lang w:eastAsia="zh-CN"/>
    </w:rPr>
  </w:style>
  <w:style w:type="table" w:styleId="TableGrid">
    <w:name w:val="Table Grid"/>
    <w:basedOn w:val="TableNormal"/>
    <w:uiPriority w:val="39"/>
    <w:rsid w:val="00EB5F8F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57A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7A60"/>
    <w:rPr>
      <w:kern w:val="2"/>
      <w:sz w:val="21"/>
      <w:szCs w:val="24"/>
    </w:rPr>
  </w:style>
  <w:style w:type="paragraph" w:styleId="Footer">
    <w:name w:val="footer"/>
    <w:basedOn w:val="Normal"/>
    <w:link w:val="FooterChar"/>
    <w:uiPriority w:val="99"/>
    <w:unhideWhenUsed/>
    <w:rsid w:val="00757A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7A60"/>
    <w:rPr>
      <w:kern w:val="2"/>
      <w:sz w:val="21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7A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A60"/>
    <w:rPr>
      <w:rFonts w:ascii="Tahoma" w:hAnsi="Tahoma" w:cs="Tahoma"/>
      <w:kern w:val="2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169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6927"/>
    <w:pPr>
      <w:widowControl/>
      <w:spacing w:after="160"/>
      <w:jc w:val="left"/>
    </w:pPr>
    <w:rPr>
      <w:rFonts w:ascii="Calibri" w:hAnsi="Calibri"/>
      <w:kern w:val="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6927"/>
    <w:rPr>
      <w:rFonts w:ascii="Calibri" w:hAnsi="Calibri"/>
    </w:rPr>
  </w:style>
  <w:style w:type="table" w:customStyle="1" w:styleId="TableGridLight1">
    <w:name w:val="Table Grid Light1"/>
    <w:basedOn w:val="TableNormal"/>
    <w:uiPriority w:val="40"/>
    <w:rsid w:val="00316927"/>
    <w:rPr>
      <w:rFonts w:ascii="Calibri" w:eastAsia="Calibri" w:hAnsi="Calibri"/>
      <w:sz w:val="22"/>
      <w:szCs w:val="22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404B3E-A484-45F8-8D6E-BB6A2EA59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1468</Words>
  <Characters>8369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</dc:creator>
  <cp:lastModifiedBy>Sherry</cp:lastModifiedBy>
  <cp:revision>2</cp:revision>
  <cp:lastPrinted>2016-12-02T23:22:00Z</cp:lastPrinted>
  <dcterms:created xsi:type="dcterms:W3CDTF">2016-12-09T15:11:00Z</dcterms:created>
  <dcterms:modified xsi:type="dcterms:W3CDTF">2016-12-09T15:11:00Z</dcterms:modified>
</cp:coreProperties>
</file>