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A3" w:rsidRPr="006A5306" w:rsidRDefault="00FB3DA3" w:rsidP="00FB3DA3">
      <w:pPr>
        <w:pStyle w:val="EndNoteBibliography"/>
        <w:spacing w:after="0" w:line="480" w:lineRule="auto"/>
        <w:ind w:left="720" w:hanging="720"/>
        <w:rPr>
          <w:b/>
        </w:rPr>
      </w:pPr>
      <w:bookmarkStart w:id="0" w:name="_GoBack"/>
      <w:bookmarkEnd w:id="0"/>
      <w:r w:rsidRPr="006A5306">
        <w:rPr>
          <w:b/>
        </w:rPr>
        <w:t>References (31s-40s)</w:t>
      </w:r>
    </w:p>
    <w:p w:rsidR="00FB3DA3" w:rsidRPr="006A00D4" w:rsidRDefault="00FB3DA3" w:rsidP="00FB3DA3">
      <w:pPr>
        <w:pStyle w:val="EndNoteBibliography"/>
        <w:spacing w:after="0" w:line="480" w:lineRule="auto"/>
        <w:ind w:left="720" w:hanging="720"/>
      </w:pPr>
      <w:r w:rsidRPr="006A00D4">
        <w:t>31</w:t>
      </w:r>
      <w:r>
        <w:t>s</w:t>
      </w:r>
      <w:r w:rsidRPr="006A00D4">
        <w:t>.</w:t>
      </w:r>
      <w:r w:rsidRPr="006A00D4">
        <w:tab/>
        <w:t>Mmeje O, Chow JM, Davidson L, et al.</w:t>
      </w:r>
      <w:r w:rsidRPr="006A00D4">
        <w:rPr>
          <w:b/>
        </w:rPr>
        <w:t xml:space="preserve"> </w:t>
      </w:r>
      <w:r w:rsidRPr="006A00D4">
        <w:t>Discordant Syphilis Immunoassays in Pregnancy: Perinatal Outcomes and Implications for Clinical Management. Clin Infect Dis 2015;</w:t>
      </w:r>
      <w:r>
        <w:t xml:space="preserve"> </w:t>
      </w:r>
      <w:r w:rsidRPr="006A00D4">
        <w:t>61(7):</w:t>
      </w:r>
      <w:r>
        <w:t xml:space="preserve"> </w:t>
      </w:r>
      <w:r w:rsidRPr="006A00D4">
        <w:t>1049-53.</w:t>
      </w:r>
    </w:p>
    <w:p w:rsidR="00FB3DA3" w:rsidRPr="006A00D4" w:rsidRDefault="00FB3DA3" w:rsidP="00FB3DA3">
      <w:pPr>
        <w:pStyle w:val="EndNoteBibliography"/>
        <w:spacing w:after="0" w:line="480" w:lineRule="auto"/>
        <w:ind w:left="720" w:hanging="720"/>
      </w:pPr>
      <w:r w:rsidRPr="006A00D4">
        <w:t>32</w:t>
      </w:r>
      <w:r>
        <w:t>s</w:t>
      </w:r>
      <w:r w:rsidRPr="006A00D4">
        <w:t>.</w:t>
      </w:r>
      <w:r w:rsidRPr="006A00D4">
        <w:tab/>
        <w:t>Jost H, Castro A, Cox D, et al.</w:t>
      </w:r>
      <w:r w:rsidRPr="006A00D4">
        <w:rPr>
          <w:b/>
        </w:rPr>
        <w:t xml:space="preserve"> </w:t>
      </w:r>
      <w:r w:rsidRPr="006A00D4">
        <w:t>A comparison of the analytical level of agreement of nine treponemal assays for syphilis and possible implications for screening algorithms. BMJ Open. 2013;</w:t>
      </w:r>
      <w:r>
        <w:t xml:space="preserve"> </w:t>
      </w:r>
      <w:r w:rsidRPr="006A00D4">
        <w:t>3(9):</w:t>
      </w:r>
      <w:r w:rsidR="00FB3A46">
        <w:t xml:space="preserve"> </w:t>
      </w:r>
      <w:r w:rsidRPr="006A00D4">
        <w:t>e003347.</w:t>
      </w:r>
    </w:p>
    <w:p w:rsidR="00FB3DA3" w:rsidRPr="006A00D4" w:rsidRDefault="00FB3DA3" w:rsidP="00FB3DA3">
      <w:pPr>
        <w:pStyle w:val="EndNoteBibliography"/>
        <w:spacing w:after="0" w:line="480" w:lineRule="auto"/>
        <w:ind w:left="720" w:hanging="720"/>
      </w:pPr>
      <w:r w:rsidRPr="006A00D4">
        <w:t>33</w:t>
      </w:r>
      <w:r>
        <w:t>s</w:t>
      </w:r>
      <w:r w:rsidRPr="006A00D4">
        <w:t>.</w:t>
      </w:r>
      <w:r w:rsidRPr="006A00D4">
        <w:tab/>
        <w:t>Bosshard PP</w:t>
      </w:r>
      <w:r w:rsidRPr="005F6C9D">
        <w:t>.</w:t>
      </w:r>
      <w:r w:rsidRPr="006A00D4">
        <w:rPr>
          <w:b/>
        </w:rPr>
        <w:t xml:space="preserve"> </w:t>
      </w:r>
      <w:r w:rsidRPr="006A00D4">
        <w:t>Usefulness of IgM-specific enzyme immunoassays for serodiagnosis of syphilis: comparative evaluation of three different assays. J Infect 2013;</w:t>
      </w:r>
      <w:r>
        <w:t xml:space="preserve"> </w:t>
      </w:r>
      <w:r w:rsidRPr="006A00D4">
        <w:t>67(1):</w:t>
      </w:r>
      <w:r>
        <w:t xml:space="preserve"> </w:t>
      </w:r>
      <w:r w:rsidRPr="006A00D4">
        <w:t>35-42.</w:t>
      </w:r>
    </w:p>
    <w:p w:rsidR="00FB3DA3" w:rsidRPr="006A00D4" w:rsidRDefault="00FB3DA3" w:rsidP="00FB3DA3">
      <w:pPr>
        <w:pStyle w:val="EndNoteBibliography"/>
        <w:spacing w:after="0" w:line="480" w:lineRule="auto"/>
        <w:ind w:left="720" w:hanging="720"/>
      </w:pPr>
      <w:r w:rsidRPr="006A00D4">
        <w:t>34</w:t>
      </w:r>
      <w:r>
        <w:t>s</w:t>
      </w:r>
      <w:r w:rsidRPr="006A00D4">
        <w:t>.</w:t>
      </w:r>
      <w:r w:rsidRPr="006A00D4">
        <w:tab/>
        <w:t>Wong EH, Klausner JD, Caguin-Grygiel G, et al.</w:t>
      </w:r>
      <w:r w:rsidRPr="006A00D4">
        <w:rPr>
          <w:b/>
        </w:rPr>
        <w:t xml:space="preserve"> </w:t>
      </w:r>
      <w:r w:rsidRPr="006A00D4">
        <w:t>Evaluation of an IgM/IgG sensitive enzyme immunoassay and the utility of index values for the screening of syphilis infection in a high-risk population. Sex Transm Dis 2011;</w:t>
      </w:r>
      <w:r>
        <w:t xml:space="preserve"> </w:t>
      </w:r>
      <w:r w:rsidRPr="006A00D4">
        <w:t>38(6):</w:t>
      </w:r>
      <w:r>
        <w:t xml:space="preserve"> </w:t>
      </w:r>
      <w:r w:rsidRPr="006A00D4">
        <w:t>528-32.</w:t>
      </w:r>
    </w:p>
    <w:p w:rsidR="00FB3DA3" w:rsidRPr="006A00D4" w:rsidRDefault="00FB3DA3" w:rsidP="00FB3DA3">
      <w:pPr>
        <w:pStyle w:val="EndNoteBibliography"/>
        <w:spacing w:after="0" w:line="480" w:lineRule="auto"/>
        <w:ind w:left="720" w:hanging="720"/>
      </w:pPr>
      <w:r w:rsidRPr="006A00D4">
        <w:t>35</w:t>
      </w:r>
      <w:r>
        <w:t>s</w:t>
      </w:r>
      <w:r w:rsidRPr="006A00D4">
        <w:t>.</w:t>
      </w:r>
      <w:r w:rsidRPr="006A00D4">
        <w:tab/>
        <w:t>Berry GJ, Loeffelholz MJ</w:t>
      </w:r>
      <w:r w:rsidRPr="005F6C9D">
        <w:t>.</w:t>
      </w:r>
      <w:r w:rsidRPr="006A00D4">
        <w:rPr>
          <w:b/>
        </w:rPr>
        <w:t xml:space="preserve"> </w:t>
      </w:r>
      <w:r w:rsidRPr="006A00D4">
        <w:t>Use of Treponemal Screening Assay Strength of Signal to Avoid Unnecessary Confirmatory Testing. Sex Transm Dis 2016;</w:t>
      </w:r>
      <w:r>
        <w:t xml:space="preserve"> </w:t>
      </w:r>
      <w:r w:rsidRPr="006A00D4">
        <w:t>43(12):</w:t>
      </w:r>
      <w:r>
        <w:t xml:space="preserve"> </w:t>
      </w:r>
      <w:r w:rsidRPr="006A00D4">
        <w:t>737-40.</w:t>
      </w:r>
    </w:p>
    <w:p w:rsidR="00FB3DA3" w:rsidRPr="006A00D4" w:rsidRDefault="00FB3DA3" w:rsidP="00FB3DA3">
      <w:pPr>
        <w:pStyle w:val="EndNoteBibliography"/>
        <w:spacing w:after="0" w:line="480" w:lineRule="auto"/>
        <w:ind w:left="720" w:hanging="720"/>
      </w:pPr>
      <w:r w:rsidRPr="006A00D4">
        <w:t>36</w:t>
      </w:r>
      <w:r>
        <w:t>s</w:t>
      </w:r>
      <w:r w:rsidRPr="006A00D4">
        <w:t>.</w:t>
      </w:r>
      <w:r w:rsidRPr="006A00D4">
        <w:tab/>
        <w:t>Fakile YF, Jost H, Hoover KW, et al.</w:t>
      </w:r>
      <w:r w:rsidRPr="006A00D4">
        <w:rPr>
          <w:b/>
        </w:rPr>
        <w:t xml:space="preserve"> </w:t>
      </w:r>
      <w:r w:rsidRPr="006A00D4">
        <w:t>Correlation of Treponemal Immunoassay Signal Strength Values with Reactivity of Confirmatory Treponemal Testing. J Clin Microbiol 201</w:t>
      </w:r>
      <w:r w:rsidR="00FB3A46">
        <w:t>7</w:t>
      </w:r>
      <w:r w:rsidRPr="006A00D4">
        <w:t>;</w:t>
      </w:r>
      <w:r>
        <w:t xml:space="preserve"> </w:t>
      </w:r>
      <w:r w:rsidR="00FB3A46">
        <w:t>56(1):</w:t>
      </w:r>
      <w:r w:rsidR="00FB3A46" w:rsidRPr="00FB3A46">
        <w:t xml:space="preserve"> e01165-17</w:t>
      </w:r>
      <w:r w:rsidR="00FB3A46">
        <w:t>.</w:t>
      </w:r>
    </w:p>
    <w:p w:rsidR="00FB3DA3" w:rsidRPr="006A00D4" w:rsidRDefault="00FB3DA3" w:rsidP="00FB3DA3">
      <w:pPr>
        <w:pStyle w:val="EndNoteBibliography"/>
        <w:spacing w:after="0" w:line="480" w:lineRule="auto"/>
        <w:ind w:left="720" w:hanging="720"/>
      </w:pPr>
      <w:r w:rsidRPr="006A00D4">
        <w:t>37</w:t>
      </w:r>
      <w:r>
        <w:t>s</w:t>
      </w:r>
      <w:r w:rsidRPr="006A00D4">
        <w:t>.</w:t>
      </w:r>
      <w:r w:rsidRPr="006A00D4">
        <w:tab/>
        <w:t>Jafari Y, Peeling RW, Shivkumar S, et al.</w:t>
      </w:r>
      <w:r w:rsidRPr="006A00D4">
        <w:rPr>
          <w:b/>
        </w:rPr>
        <w:t xml:space="preserve"> </w:t>
      </w:r>
      <w:r w:rsidRPr="006A00D4">
        <w:t xml:space="preserve">Are </w:t>
      </w:r>
      <w:r w:rsidRPr="006A00D4">
        <w:rPr>
          <w:i/>
        </w:rPr>
        <w:t xml:space="preserve">Treponema pallidum </w:t>
      </w:r>
      <w:r w:rsidRPr="006A00D4">
        <w:t>specific rapid and point-of-care tests for syphilis accurate enough for screening in resource limited settings? Evidence from a meta-analysis. PLoS One 2013;</w:t>
      </w:r>
      <w:r>
        <w:t xml:space="preserve"> </w:t>
      </w:r>
      <w:r w:rsidRPr="006A00D4">
        <w:t>8(2):</w:t>
      </w:r>
      <w:r w:rsidR="00FB3A46">
        <w:t xml:space="preserve"> </w:t>
      </w:r>
      <w:r w:rsidRPr="006A00D4">
        <w:t>e54695.</w:t>
      </w:r>
    </w:p>
    <w:p w:rsidR="00FB3DA3" w:rsidRPr="006A00D4" w:rsidRDefault="00FB3DA3" w:rsidP="00FB3DA3">
      <w:pPr>
        <w:pStyle w:val="EndNoteBibliography"/>
        <w:spacing w:after="0" w:line="480" w:lineRule="auto"/>
        <w:ind w:left="720" w:hanging="720"/>
      </w:pPr>
      <w:r w:rsidRPr="006A00D4">
        <w:t>38</w:t>
      </w:r>
      <w:r>
        <w:t>s</w:t>
      </w:r>
      <w:r w:rsidRPr="006A00D4">
        <w:t>.</w:t>
      </w:r>
      <w:r w:rsidRPr="006A00D4">
        <w:tab/>
        <w:t>Swartzendruber A, Steiner RJ, Adler MR, et al.</w:t>
      </w:r>
      <w:r w:rsidRPr="006A00D4">
        <w:rPr>
          <w:b/>
        </w:rPr>
        <w:t xml:space="preserve"> </w:t>
      </w:r>
      <w:r w:rsidRPr="006A00D4">
        <w:t>Introduction of rapid syphilis testing in antenatal care: A systematic review of the impact on HIV and syphilis testing uptake and coverage. Int J Gynaecol Obstet 2015;</w:t>
      </w:r>
      <w:r>
        <w:t xml:space="preserve"> </w:t>
      </w:r>
      <w:r w:rsidRPr="006A00D4">
        <w:t>130 Suppl 1:</w:t>
      </w:r>
      <w:r>
        <w:t xml:space="preserve"> </w:t>
      </w:r>
      <w:r w:rsidRPr="006A00D4">
        <w:t>S15-21.</w:t>
      </w:r>
    </w:p>
    <w:p w:rsidR="00FB3DA3" w:rsidRPr="006A00D4" w:rsidRDefault="00FB3DA3" w:rsidP="00FB3DA3">
      <w:pPr>
        <w:pStyle w:val="EndNoteBibliography"/>
        <w:spacing w:after="0" w:line="480" w:lineRule="auto"/>
        <w:ind w:left="720" w:hanging="720"/>
      </w:pPr>
      <w:r w:rsidRPr="006A00D4">
        <w:t>39</w:t>
      </w:r>
      <w:r>
        <w:t>s</w:t>
      </w:r>
      <w:r w:rsidRPr="006A00D4">
        <w:t>.</w:t>
      </w:r>
      <w:r w:rsidRPr="006A00D4">
        <w:tab/>
        <w:t>The Sexually Transmitted Diseases Diagnostics Initiative. The use of Rapid Syphilis Tests. Geneva: WHO/TDR; 2006.</w:t>
      </w:r>
    </w:p>
    <w:p w:rsidR="00FB3DA3" w:rsidRPr="006A00D4" w:rsidRDefault="00FB3DA3" w:rsidP="00FB3DA3">
      <w:pPr>
        <w:pStyle w:val="EndNoteBibliography"/>
        <w:spacing w:line="480" w:lineRule="auto"/>
        <w:ind w:left="720" w:hanging="720"/>
      </w:pPr>
      <w:r w:rsidRPr="006A00D4">
        <w:lastRenderedPageBreak/>
        <w:t>40</w:t>
      </w:r>
      <w:r>
        <w:t>s</w:t>
      </w:r>
      <w:r w:rsidRPr="006A00D4">
        <w:t>.</w:t>
      </w:r>
      <w:r w:rsidRPr="006A00D4">
        <w:tab/>
        <w:t xml:space="preserve">World Health Organization. WHO information note on the use of dual HIV/Syphilis rapid diagnostic tests (RDT). Available at: </w:t>
      </w:r>
      <w:hyperlink r:id="rId4" w:history="1">
        <w:r w:rsidRPr="00615CB1">
          <w:rPr>
            <w:rStyle w:val="Hyperlink"/>
          </w:rPr>
          <w:t>http://www.who.int/reproductivehealth/publications/rtis/dual-hiv-syphilis-diagnostic-tests/en/</w:t>
        </w:r>
      </w:hyperlink>
      <w:r w:rsidRPr="006A00D4">
        <w:t>. Accessed March 16, 2018.</w:t>
      </w:r>
    </w:p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A3"/>
    <w:rsid w:val="00472FCE"/>
    <w:rsid w:val="00D26908"/>
    <w:rsid w:val="00FB3A46"/>
    <w:rsid w:val="00FB3DA3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E85FF-0ECF-4153-8680-BD3CCAB3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FB3DA3"/>
    <w:pPr>
      <w:spacing w:after="200"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FB3DA3"/>
    <w:rPr>
      <w:rFonts w:ascii="Times New Roman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FB3D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ho.int/reproductivehealth/publications/rtis/dual-hiv-syphilis-diagnostic-tests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Pillay, Allan (CDC/OID/NCHHSTP)</dc:creator>
  <cp:keywords/>
  <dc:description/>
  <cp:lastModifiedBy>Pillay, Allan (CDC/OID/NCHHSTP)</cp:lastModifiedBy>
  <cp:revision>3</cp:revision>
  <dcterms:created xsi:type="dcterms:W3CDTF">2018-03-17T19:55:00Z</dcterms:created>
  <dcterms:modified xsi:type="dcterms:W3CDTF">2018-03-17T21:21:00Z</dcterms:modified>
</cp:coreProperties>
</file>