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EE" w:rsidRDefault="008172EE" w:rsidP="008172E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24EE9">
        <w:rPr>
          <w:rFonts w:ascii="Arial" w:hAnsi="Arial" w:cs="Arial"/>
          <w:b/>
          <w:sz w:val="24"/>
          <w:szCs w:val="24"/>
        </w:rPr>
        <w:t>Supplementary</w:t>
      </w:r>
      <w:r>
        <w:rPr>
          <w:rFonts w:ascii="Arial" w:hAnsi="Arial" w:cs="Arial"/>
          <w:b/>
          <w:sz w:val="24"/>
          <w:szCs w:val="24"/>
        </w:rPr>
        <w:t xml:space="preserve"> Table 2</w:t>
      </w:r>
      <w:r w:rsidRPr="002C0F4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Macrolide-associated resistance mutations, quinolone-associated resistance mutations, </w:t>
      </w:r>
      <w:r w:rsidRPr="0072705D">
        <w:rPr>
          <w:rFonts w:ascii="Arial" w:hAnsi="Arial" w:cs="Arial"/>
          <w:sz w:val="24"/>
          <w:szCs w:val="24"/>
        </w:rPr>
        <w:t xml:space="preserve">and strain genotypes in </w:t>
      </w:r>
      <w:r w:rsidRPr="0072705D">
        <w:rPr>
          <w:rFonts w:ascii="Arial" w:hAnsi="Arial" w:cs="Arial"/>
          <w:bCs/>
          <w:i/>
          <w:sz w:val="24"/>
          <w:szCs w:val="24"/>
        </w:rPr>
        <w:t>M. genitalium</w:t>
      </w:r>
      <w:r w:rsidRPr="0072705D">
        <w:rPr>
          <w:rFonts w:ascii="Arial" w:hAnsi="Arial" w:cs="Arial"/>
          <w:sz w:val="24"/>
          <w:szCs w:val="24"/>
        </w:rPr>
        <w:t xml:space="preserve"> (MG) positive specimens 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000"/>
        <w:gridCol w:w="1161"/>
        <w:gridCol w:w="1120"/>
        <w:gridCol w:w="1800"/>
        <w:gridCol w:w="1160"/>
        <w:gridCol w:w="1220"/>
        <w:gridCol w:w="1540"/>
      </w:tblGrid>
      <w:tr w:rsidR="008172EE" w:rsidRPr="00DC248A" w:rsidTr="00183635">
        <w:trPr>
          <w:trHeight w:val="55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Specimen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23S rRNA gene</w:t>
            </w:r>
            <w:r w:rsidRPr="00DC2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parC</w:t>
            </w:r>
            <w:r w:rsidRPr="00DC24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MG191 SNP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MG309 STR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2EE" w:rsidRPr="00480736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DC2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Combined MG genotype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0013-M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C234T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0016-F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A2072G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0024-F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0024-M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0034-M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0035-F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C184T, C234T, ATC436-438GTT; G1462V (</w:t>
            </w:r>
            <w:r w:rsidRPr="00DC24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parE</w:t>
            </w: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0036-F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0039-F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0039-F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C234T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0042-F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0042-M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0042-M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C234T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0044-M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C234T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0045-F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0053-M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0058-F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G214A, C234T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0063-F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A132G, C184T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0063-M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A132G, C184T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0072-F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C234T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0073-F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0073-F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0080-M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G248T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0092-F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A2072G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G248T/G259C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0092-M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A2072G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G248T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0093-M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A2072G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0099-M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0112-F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C234T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0112-F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C234T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0112-M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8172EE" w:rsidRPr="00DC248A" w:rsidTr="00183635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0117-F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172EE" w:rsidRPr="00DC248A" w:rsidTr="00183635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0117-M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A2071G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172EE" w:rsidRPr="00DC248A" w:rsidTr="0018363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0123-F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A2072G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8172EE" w:rsidRPr="00DC248A" w:rsidTr="0018363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0123-F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Urogenital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A2072G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E" w:rsidRPr="00DC248A" w:rsidRDefault="008172EE" w:rsidP="00183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</w:tbl>
    <w:p w:rsidR="008172EE" w:rsidRDefault="008172EE" w:rsidP="008172E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172EE" w:rsidRDefault="008172EE" w:rsidP="008172E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172EE" w:rsidRDefault="008172EE" w:rsidP="008172E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Pr="006607FF">
        <w:rPr>
          <w:rFonts w:ascii="Arial" w:hAnsi="Arial" w:cs="Arial"/>
          <w:sz w:val="24"/>
          <w:szCs w:val="24"/>
        </w:rPr>
        <w:t>Concordant</w:t>
      </w:r>
      <w:r>
        <w:rPr>
          <w:rFonts w:ascii="Arial" w:hAnsi="Arial" w:cs="Arial"/>
          <w:sz w:val="24"/>
          <w:szCs w:val="24"/>
        </w:rPr>
        <w:t xml:space="preserve"> couples are highlighted (yellow: concordant by both MG positivity and genotypes; green: concordant only by MG positivity). WT=wild type; F=Female; M=Male; N/A=not applicable</w:t>
      </w:r>
    </w:p>
    <w:p w:rsidR="008172EE" w:rsidRDefault="008172EE" w:rsidP="008172EE">
      <w:pPr>
        <w:spacing w:before="240" w:line="480" w:lineRule="auto"/>
        <w:rPr>
          <w:rFonts w:ascii="Arial" w:hAnsi="Arial" w:cs="Arial"/>
          <w:sz w:val="24"/>
          <w:szCs w:val="24"/>
        </w:rPr>
      </w:pPr>
      <w:r w:rsidRPr="0072705D">
        <w:rPr>
          <w:rFonts w:ascii="Arial" w:hAnsi="Arial" w:cs="Arial"/>
          <w:sz w:val="24"/>
          <w:szCs w:val="24"/>
          <w:vertAlign w:val="superscript"/>
        </w:rPr>
        <w:t>a</w:t>
      </w:r>
      <w:r>
        <w:rPr>
          <w:rFonts w:ascii="Arial" w:hAnsi="Arial" w:cs="Arial"/>
          <w:bCs/>
          <w:sz w:val="24"/>
          <w:szCs w:val="24"/>
        </w:rPr>
        <w:t>MG</w:t>
      </w:r>
      <w:r>
        <w:rPr>
          <w:rFonts w:ascii="Arial" w:hAnsi="Arial" w:cs="Arial"/>
          <w:sz w:val="24"/>
          <w:szCs w:val="24"/>
        </w:rPr>
        <w:t xml:space="preserve"> numbering. The nucleotide position numbers in this table are according to MG gene sequences. Macrolide-associated resistance mutations were detected in the 23S rRNA gene and quinolone-associated resistance (QRM) mutations in the </w:t>
      </w:r>
      <w:r w:rsidRPr="00480736">
        <w:rPr>
          <w:rFonts w:ascii="Arial" w:hAnsi="Arial" w:cs="Arial"/>
          <w:i/>
          <w:sz w:val="24"/>
          <w:szCs w:val="24"/>
        </w:rPr>
        <w:t>parC</w:t>
      </w:r>
      <w:r>
        <w:rPr>
          <w:rFonts w:ascii="Arial" w:hAnsi="Arial" w:cs="Arial"/>
          <w:sz w:val="24"/>
          <w:szCs w:val="24"/>
        </w:rPr>
        <w:t xml:space="preserve"> gene. No QRMs were found in </w:t>
      </w:r>
      <w:r w:rsidRPr="002F2C24">
        <w:rPr>
          <w:rFonts w:ascii="Arial" w:hAnsi="Arial" w:cs="Arial"/>
          <w:i/>
          <w:sz w:val="24"/>
          <w:szCs w:val="24"/>
        </w:rPr>
        <w:t>gyrA</w:t>
      </w:r>
      <w:r>
        <w:rPr>
          <w:rFonts w:ascii="Arial" w:hAnsi="Arial" w:cs="Arial"/>
          <w:sz w:val="24"/>
          <w:szCs w:val="24"/>
        </w:rPr>
        <w:t xml:space="preserve"> or </w:t>
      </w:r>
      <w:r w:rsidRPr="002F2C24">
        <w:rPr>
          <w:rFonts w:ascii="Arial" w:hAnsi="Arial" w:cs="Arial"/>
          <w:i/>
          <w:sz w:val="24"/>
          <w:szCs w:val="24"/>
        </w:rPr>
        <w:t>gyrB</w:t>
      </w:r>
      <w:r>
        <w:rPr>
          <w:rFonts w:ascii="Arial" w:hAnsi="Arial" w:cs="Arial"/>
          <w:sz w:val="24"/>
          <w:szCs w:val="24"/>
        </w:rPr>
        <w:t xml:space="preserve"> in successfully tested samples. </w:t>
      </w:r>
    </w:p>
    <w:p w:rsidR="008172EE" w:rsidRPr="009A1401" w:rsidRDefault="008172EE" w:rsidP="008172EE">
      <w:pPr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b</w:t>
      </w:r>
      <w:r>
        <w:rPr>
          <w:rFonts w:ascii="Arial" w:hAnsi="Arial" w:cs="Arial"/>
          <w:sz w:val="24"/>
          <w:szCs w:val="24"/>
        </w:rPr>
        <w:t xml:space="preserve">MG strain genotypes were based on the MG191 SNP and MG309 STR loci </w:t>
      </w:r>
      <w:r w:rsidRPr="00480736">
        <w:rPr>
          <w:rFonts w:ascii="Arial" w:hAnsi="Arial" w:cs="Arial"/>
          <w:sz w:val="24"/>
          <w:szCs w:val="24"/>
          <w:highlight w:val="yellow"/>
        </w:rPr>
        <w:t>that a combined genotype was only assigned to strains successfully typed by both loci.</w:t>
      </w:r>
    </w:p>
    <w:p w:rsidR="00A50372" w:rsidRDefault="00A50372">
      <w:bookmarkStart w:id="0" w:name="_GoBack"/>
      <w:bookmarkEnd w:id="0"/>
    </w:p>
    <w:sectPr w:rsidR="00A50372" w:rsidSect="008172EE">
      <w:pgSz w:w="12240" w:h="15840"/>
      <w:pgMar w:top="1166" w:right="1440" w:bottom="1166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EE"/>
    <w:rsid w:val="001170B9"/>
    <w:rsid w:val="001C5ACA"/>
    <w:rsid w:val="003E3376"/>
    <w:rsid w:val="00441910"/>
    <w:rsid w:val="006E63DC"/>
    <w:rsid w:val="008172EE"/>
    <w:rsid w:val="008E5A33"/>
    <w:rsid w:val="009A4B40"/>
    <w:rsid w:val="00A50372"/>
    <w:rsid w:val="00B9076D"/>
    <w:rsid w:val="00D6115E"/>
    <w:rsid w:val="00F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A67EB-1A98-4E87-A54D-31D42576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2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1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Xiao, Li (Campus)</dc:creator>
  <cp:keywords/>
  <dc:description/>
  <cp:lastModifiedBy>Xiao, Li (Campus)</cp:lastModifiedBy>
  <cp:revision>1</cp:revision>
  <dcterms:created xsi:type="dcterms:W3CDTF">2018-04-28T15:42:00Z</dcterms:created>
  <dcterms:modified xsi:type="dcterms:W3CDTF">2018-04-28T15:42:00Z</dcterms:modified>
</cp:coreProperties>
</file>