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96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"/>
        <w:gridCol w:w="1260"/>
        <w:gridCol w:w="270"/>
        <w:gridCol w:w="720"/>
        <w:gridCol w:w="1080"/>
        <w:gridCol w:w="259"/>
        <w:gridCol w:w="731"/>
        <w:gridCol w:w="1260"/>
        <w:gridCol w:w="270"/>
        <w:gridCol w:w="720"/>
        <w:gridCol w:w="1260"/>
        <w:gridCol w:w="270"/>
        <w:gridCol w:w="720"/>
        <w:gridCol w:w="1260"/>
      </w:tblGrid>
      <w:tr w:rsidR="00FF36C9" w:rsidRPr="00FF36C9" w:rsidTr="00FF36C9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Transgender Women</w:t>
            </w:r>
            <w:r w:rsidRPr="00FF36C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F36C9" w:rsidRPr="00FF36C9" w:rsidRDefault="00FF36C9" w:rsidP="00FF3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(n=506)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Transgender Men</w:t>
            </w:r>
            <w:r w:rsidRPr="00FF36C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F36C9" w:rsidRPr="00FF36C9" w:rsidRDefault="00FF36C9" w:rsidP="00FF3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(n=120)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Cisgender MSM</w:t>
            </w:r>
            <w:r w:rsidRPr="00FF36C9">
              <w:rPr>
                <w:rFonts w:cstheme="minorHAnsi"/>
                <w:sz w:val="24"/>
                <w:szCs w:val="24"/>
              </w:rPr>
              <w:t xml:space="preserve"> (n=50,670)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Cisgender MSW</w:t>
            </w:r>
            <w:r w:rsidRPr="00FF36C9">
              <w:rPr>
                <w:rFonts w:cstheme="minorHAnsi"/>
                <w:sz w:val="24"/>
                <w:szCs w:val="24"/>
              </w:rPr>
              <w:t xml:space="preserve"> (n=141,997)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Cisgender Women</w:t>
            </w:r>
            <w:r w:rsidRPr="00FF36C9">
              <w:rPr>
                <w:rFonts w:cstheme="minorHAnsi"/>
                <w:sz w:val="24"/>
                <w:szCs w:val="24"/>
              </w:rPr>
              <w:t xml:space="preserve"> (n=149,792)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 xml:space="preserve"> †</w:t>
            </w:r>
          </w:p>
        </w:tc>
      </w:tr>
      <w:tr w:rsidR="00FF36C9" w:rsidRPr="00FF36C9" w:rsidTr="00FF36C9">
        <w:tc>
          <w:tcPr>
            <w:tcW w:w="261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%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Range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%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Range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%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Range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%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Range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%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Range</w:t>
            </w:r>
            <w:r w:rsidRPr="00FF36C9">
              <w:rPr>
                <w:rFonts w:cstheme="minorHAnsi"/>
                <w:sz w:val="24"/>
                <w:szCs w:val="24"/>
                <w:vertAlign w:val="superscript"/>
              </w:rPr>
              <w:t>§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b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Chlamydia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Overall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13.1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5.7–19.6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0–25.0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17.6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12.3–19.9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17.8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7.2–23.8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13.1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7.6–15.9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Urogenital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0–1.9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0–6.3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9.6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5.0–11.9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18.4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8.9–23.8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13.0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7.7–15.9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36C9">
              <w:rPr>
                <w:rFonts w:cstheme="minorHAnsi"/>
                <w:sz w:val="24"/>
                <w:szCs w:val="24"/>
              </w:rPr>
              <w:t>Extragenital</w:t>
            </w:r>
            <w:proofErr w:type="spellEnd"/>
            <w:r w:rsidRPr="00FF36C9">
              <w:rPr>
                <w:rFonts w:cstheme="minorHAnsi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16.8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11.8–25.0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14.3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0–33.3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14.7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8.0–17.5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0.8–3.9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0–11.8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 xml:space="preserve">     Rectal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15.4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9.3–36.4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15.6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0–66.7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15.8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11.4–22.6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0–4.9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10.0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0–12.0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 xml:space="preserve">     Pharyngeal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0–11.1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11.8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0–20.0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0–3.8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0–3.4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0–2.7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b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Gonorrhea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Overall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12.6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5.4–32.1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10.5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0–33.3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19.8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18.5–22.4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3.0–16.2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1.8–7.0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Urogenital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1.3–4.5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0–11.9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13.1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8.7–16.5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2.9–16.2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1.7–7.0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36C9">
              <w:rPr>
                <w:rFonts w:cstheme="minorHAnsi"/>
                <w:sz w:val="24"/>
                <w:szCs w:val="24"/>
              </w:rPr>
              <w:t>Extragenital</w:t>
            </w:r>
            <w:proofErr w:type="spellEnd"/>
            <w:r w:rsidRPr="00FF36C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15.0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6.0–42.9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12.1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0–33.3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13.0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6.0–19.6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1.1–4.7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1.1–4.4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 xml:space="preserve">     Rectal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11.8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5.3–40.0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14.7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0–42.9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11.3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6.7–23.1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0–3.6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1.9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0.8–4.1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 xml:space="preserve">     Pharyngeal</w:t>
            </w: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9.8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2.5–26.7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0–10.0</w:t>
            </w: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8.0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1.6–12.8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1.2–5.0</w:t>
            </w: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1.5–5.8</w:t>
            </w:r>
          </w:p>
        </w:tc>
      </w:tr>
      <w:tr w:rsidR="00FF36C9" w:rsidRPr="00FF36C9" w:rsidTr="00FF36C9">
        <w:tc>
          <w:tcPr>
            <w:tcW w:w="261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36C9" w:rsidRPr="00FF36C9" w:rsidTr="00FF36C9">
        <w:tc>
          <w:tcPr>
            <w:tcW w:w="261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b/>
                <w:sz w:val="24"/>
                <w:szCs w:val="24"/>
              </w:rPr>
            </w:pPr>
            <w:r w:rsidRPr="00FF36C9">
              <w:rPr>
                <w:rFonts w:cstheme="minorHAnsi"/>
                <w:b/>
                <w:sz w:val="24"/>
                <w:szCs w:val="24"/>
              </w:rPr>
              <w:t>HIV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14.2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5.6–29.0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0–72.7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17.6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12.9–31.8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0.4–2.1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jc w:val="right"/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F36C9" w:rsidRPr="00FF36C9" w:rsidRDefault="00FF36C9" w:rsidP="00FF36C9">
            <w:pPr>
              <w:rPr>
                <w:rFonts w:cstheme="minorHAnsi"/>
                <w:sz w:val="24"/>
                <w:szCs w:val="24"/>
              </w:rPr>
            </w:pPr>
            <w:r w:rsidRPr="00FF36C9">
              <w:rPr>
                <w:rFonts w:cstheme="minorHAnsi"/>
                <w:sz w:val="24"/>
                <w:szCs w:val="24"/>
              </w:rPr>
              <w:t>0.3–2.0</w:t>
            </w:r>
          </w:p>
        </w:tc>
      </w:tr>
    </w:tbl>
    <w:p w:rsidR="00FF36C9" w:rsidRDefault="00FF36C9" w:rsidP="00FF36C9">
      <w:pPr>
        <w:spacing w:after="0"/>
        <w:rPr>
          <w:sz w:val="24"/>
        </w:rPr>
      </w:pPr>
      <w:r>
        <w:rPr>
          <w:sz w:val="24"/>
        </w:rPr>
        <w:t xml:space="preserve">Supplemental Table 1. Urogenital and </w:t>
      </w:r>
      <w:proofErr w:type="spellStart"/>
      <w:r>
        <w:rPr>
          <w:sz w:val="24"/>
        </w:rPr>
        <w:t>Extragenital</w:t>
      </w:r>
      <w:proofErr w:type="spellEnd"/>
      <w:r>
        <w:rPr>
          <w:sz w:val="24"/>
        </w:rPr>
        <w:t xml:space="preserve"> Chlamydial and Gonococcal Infections and HIV Infection among Transgender and Cisgender Subgroups, Six </w:t>
      </w:r>
      <w:proofErr w:type="spellStart"/>
      <w:r>
        <w:rPr>
          <w:sz w:val="24"/>
        </w:rPr>
        <w:t>SSuN</w:t>
      </w:r>
      <w:proofErr w:type="spellEnd"/>
      <w:r>
        <w:rPr>
          <w:sz w:val="24"/>
        </w:rPr>
        <w:t xml:space="preserve"> Jurisdictions*, </w:t>
      </w:r>
      <w:r w:rsidRPr="00CE375A">
        <w:rPr>
          <w:sz w:val="24"/>
        </w:rPr>
        <w:t>January 1, 2010 — June 30, 2013</w:t>
      </w:r>
    </w:p>
    <w:p w:rsidR="00FF36C9" w:rsidRDefault="00FF36C9" w:rsidP="00FF36C9">
      <w:pPr>
        <w:spacing w:after="0"/>
        <w:rPr>
          <w:sz w:val="24"/>
        </w:rPr>
      </w:pPr>
    </w:p>
    <w:p w:rsidR="00FF36C9" w:rsidRDefault="00FF36C9" w:rsidP="00FF36C9">
      <w:pPr>
        <w:spacing w:after="0"/>
        <w:rPr>
          <w:sz w:val="24"/>
        </w:rPr>
      </w:pPr>
    </w:p>
    <w:p w:rsidR="00FF36C9" w:rsidRDefault="00FF36C9" w:rsidP="00FF36C9">
      <w:pPr>
        <w:spacing w:after="0" w:line="480" w:lineRule="auto"/>
      </w:pPr>
      <w:r w:rsidRPr="00934A65">
        <w:rPr>
          <w:sz w:val="24"/>
        </w:rPr>
        <w:t xml:space="preserve">Patients who were tested for or who tested positive for the same infection at the same anatomic site more than once during the observation period were counted only once. </w:t>
      </w:r>
    </w:p>
    <w:p w:rsidR="00FF36C9" w:rsidRDefault="00FF36C9" w:rsidP="00FF36C9">
      <w:pPr>
        <w:spacing w:after="0" w:line="480" w:lineRule="auto"/>
        <w:rPr>
          <w:sz w:val="24"/>
        </w:rPr>
      </w:pPr>
      <w:r w:rsidRPr="004020F0">
        <w:rPr>
          <w:sz w:val="24"/>
        </w:rPr>
        <w:t xml:space="preserve">* </w:t>
      </w:r>
      <w:proofErr w:type="gramStart"/>
      <w:r>
        <w:rPr>
          <w:sz w:val="24"/>
        </w:rPr>
        <w:t>transgender</w:t>
      </w:r>
      <w:proofErr w:type="gramEnd"/>
      <w:r>
        <w:rPr>
          <w:sz w:val="24"/>
        </w:rPr>
        <w:t xml:space="preserve"> men in Los Angeles excluded because of small cell size; therefore, this analysis includes transgender men attending clinics in only five jurisdictions</w:t>
      </w:r>
    </w:p>
    <w:p w:rsidR="00FF36C9" w:rsidRDefault="00FF36C9" w:rsidP="00FF36C9">
      <w:pPr>
        <w:spacing w:after="0" w:line="480" w:lineRule="auto"/>
        <w:rPr>
          <w:sz w:val="24"/>
        </w:rPr>
      </w:pPr>
      <w:r w:rsidRPr="004020F0">
        <w:rPr>
          <w:sz w:val="24"/>
          <w:vertAlign w:val="superscript"/>
        </w:rPr>
        <w:lastRenderedPageBreak/>
        <w:t>†</w:t>
      </w:r>
      <w:r>
        <w:rPr>
          <w:sz w:val="24"/>
        </w:rPr>
        <w:t xml:space="preserve"> </w:t>
      </w:r>
      <w:proofErr w:type="gramStart"/>
      <w:r>
        <w:rPr>
          <w:sz w:val="24"/>
        </w:rPr>
        <w:t>total</w:t>
      </w:r>
      <w:proofErr w:type="gramEnd"/>
      <w:r>
        <w:rPr>
          <w:sz w:val="24"/>
        </w:rPr>
        <w:t xml:space="preserve"> patients attending clinics during the observation period, regardless of whether they were tested</w:t>
      </w:r>
    </w:p>
    <w:p w:rsidR="00FF36C9" w:rsidRDefault="00FF36C9" w:rsidP="00FF36C9">
      <w:pPr>
        <w:spacing w:after="0" w:line="480" w:lineRule="auto"/>
        <w:rPr>
          <w:sz w:val="24"/>
        </w:rPr>
      </w:pPr>
      <w:proofErr w:type="gramStart"/>
      <w:r w:rsidRPr="00BA34F8">
        <w:rPr>
          <w:sz w:val="24"/>
          <w:vertAlign w:val="superscript"/>
        </w:rPr>
        <w:t>‡</w:t>
      </w:r>
      <w:r w:rsidRPr="004020F0">
        <w:rPr>
          <w:sz w:val="24"/>
          <w:vertAlign w:val="superscript"/>
        </w:rPr>
        <w:t xml:space="preserve"> </w:t>
      </w:r>
      <w:r>
        <w:rPr>
          <w:sz w:val="24"/>
        </w:rPr>
        <w:t>percent</w:t>
      </w:r>
      <w:proofErr w:type="gramEnd"/>
      <w:r>
        <w:rPr>
          <w:sz w:val="24"/>
        </w:rPr>
        <w:t xml:space="preserve"> among those who were tested</w:t>
      </w:r>
    </w:p>
    <w:p w:rsidR="00FF36C9" w:rsidRPr="002E0CBA" w:rsidRDefault="00FF36C9" w:rsidP="00FF36C9">
      <w:pPr>
        <w:spacing w:after="0" w:line="480" w:lineRule="auto"/>
        <w:rPr>
          <w:sz w:val="24"/>
        </w:rPr>
      </w:pPr>
      <w:r w:rsidRPr="002E0CBA">
        <w:rPr>
          <w:sz w:val="24"/>
          <w:vertAlign w:val="superscript"/>
        </w:rPr>
        <w:t>§</w:t>
      </w:r>
      <w:r>
        <w:rPr>
          <w:sz w:val="24"/>
          <w:vertAlign w:val="superscript"/>
        </w:rPr>
        <w:t xml:space="preserve"> </w:t>
      </w:r>
      <w:proofErr w:type="gramStart"/>
      <w:r w:rsidRPr="004020F0">
        <w:rPr>
          <w:sz w:val="24"/>
        </w:rPr>
        <w:t>range</w:t>
      </w:r>
      <w:proofErr w:type="gramEnd"/>
      <w:r w:rsidRPr="004020F0">
        <w:rPr>
          <w:sz w:val="24"/>
        </w:rPr>
        <w:t xml:space="preserve"> across </w:t>
      </w:r>
      <w:r>
        <w:rPr>
          <w:sz w:val="24"/>
        </w:rPr>
        <w:t>six</w:t>
      </w:r>
      <w:r w:rsidRPr="004020F0">
        <w:rPr>
          <w:sz w:val="24"/>
        </w:rPr>
        <w:t xml:space="preserve"> </w:t>
      </w:r>
      <w:proofErr w:type="spellStart"/>
      <w:r w:rsidRPr="004020F0">
        <w:rPr>
          <w:sz w:val="24"/>
        </w:rPr>
        <w:t>SSuN</w:t>
      </w:r>
      <w:proofErr w:type="spellEnd"/>
      <w:r w:rsidRPr="004020F0">
        <w:rPr>
          <w:sz w:val="24"/>
        </w:rPr>
        <w:t xml:space="preserve"> jurisdictions</w:t>
      </w:r>
      <w:r>
        <w:rPr>
          <w:sz w:val="24"/>
        </w:rPr>
        <w:t xml:space="preserve"> (five for transgender men)</w:t>
      </w:r>
    </w:p>
    <w:p w:rsidR="00FF36C9" w:rsidRPr="00BA34F8" w:rsidRDefault="00FF36C9" w:rsidP="00FF36C9">
      <w:pPr>
        <w:spacing w:after="0" w:line="480" w:lineRule="auto"/>
        <w:rPr>
          <w:sz w:val="24"/>
        </w:rPr>
      </w:pPr>
      <w:r w:rsidRPr="000122EC">
        <w:rPr>
          <w:sz w:val="24"/>
          <w:vertAlign w:val="superscript"/>
        </w:rPr>
        <w:t>¶</w:t>
      </w:r>
      <w:r>
        <w:rPr>
          <w:sz w:val="24"/>
          <w:vertAlign w:val="superscript"/>
        </w:rPr>
        <w:t xml:space="preserve"> </w:t>
      </w:r>
      <w:proofErr w:type="gramStart"/>
      <w:r>
        <w:rPr>
          <w:sz w:val="24"/>
        </w:rPr>
        <w:t>two</w:t>
      </w:r>
      <w:proofErr w:type="gramEnd"/>
      <w:r>
        <w:rPr>
          <w:sz w:val="24"/>
        </w:rPr>
        <w:t xml:space="preserve"> of six jurisdictions did not test for pharyngeal chlamydial infections during the observation period</w:t>
      </w:r>
    </w:p>
    <w:p w:rsidR="00FF36C9" w:rsidRDefault="00FF36C9" w:rsidP="00FF36C9">
      <w:pPr>
        <w:spacing w:after="0" w:line="480" w:lineRule="auto"/>
        <w:rPr>
          <w:sz w:val="24"/>
        </w:rPr>
      </w:pPr>
      <w:proofErr w:type="spellStart"/>
      <w:r>
        <w:rPr>
          <w:sz w:val="24"/>
        </w:rPr>
        <w:t>SSuN</w:t>
      </w:r>
      <w:proofErr w:type="spellEnd"/>
      <w:r>
        <w:rPr>
          <w:sz w:val="24"/>
        </w:rPr>
        <w:t>, STD Surveillance Network; MSM, men who have sex with men; MSW, men who have sex with women only</w:t>
      </w:r>
    </w:p>
    <w:p w:rsidR="00FF36C9" w:rsidRDefault="00FF36C9" w:rsidP="00FF36C9">
      <w:pPr>
        <w:spacing w:after="0"/>
        <w:rPr>
          <w:sz w:val="24"/>
        </w:rPr>
      </w:pPr>
      <w:bookmarkStart w:id="0" w:name="_GoBack"/>
      <w:bookmarkEnd w:id="0"/>
    </w:p>
    <w:sectPr w:rsidR="00FF36C9" w:rsidSect="00FF36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C9"/>
    <w:rsid w:val="003C05DB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3FB1"/>
  <w15:chartTrackingRefBased/>
  <w15:docId w15:val="{FC71FD1C-E1D4-4A1E-8853-6B0E911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Pitasi, Marc (CDC/OID/NCHHSTP)</dc:creator>
  <cp:keywords/>
  <dc:description/>
  <cp:lastModifiedBy>Pitasi, Marc (CDC/OID/NCHHSTP)</cp:lastModifiedBy>
  <cp:revision>1</cp:revision>
  <dcterms:created xsi:type="dcterms:W3CDTF">2018-09-18T20:40:00Z</dcterms:created>
  <dcterms:modified xsi:type="dcterms:W3CDTF">2018-09-18T20:42:00Z</dcterms:modified>
</cp:coreProperties>
</file>