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65" w:type="dxa"/>
        <w:tblLook w:val="04A0" w:firstRow="1" w:lastRow="0" w:firstColumn="1" w:lastColumn="0" w:noHBand="0" w:noVBand="1"/>
      </w:tblPr>
      <w:tblGrid>
        <w:gridCol w:w="1099"/>
        <w:gridCol w:w="981"/>
        <w:gridCol w:w="983"/>
        <w:gridCol w:w="1207"/>
        <w:gridCol w:w="1468"/>
        <w:gridCol w:w="1175"/>
        <w:gridCol w:w="1207"/>
        <w:gridCol w:w="876"/>
        <w:gridCol w:w="945"/>
      </w:tblGrid>
      <w:tr w:rsidR="007D342D" w:rsidRPr="00010F3C" w14:paraId="331291C1" w14:textId="77777777" w:rsidTr="00DA791E">
        <w:tc>
          <w:tcPr>
            <w:tcW w:w="12715" w:type="dxa"/>
            <w:gridSpan w:val="9"/>
            <w:tcBorders>
              <w:top w:val="nil"/>
              <w:left w:val="nil"/>
              <w:bottom w:val="single" w:sz="4" w:space="0" w:color="auto"/>
              <w:right w:val="nil"/>
            </w:tcBorders>
          </w:tcPr>
          <w:p w14:paraId="5DD442C6" w14:textId="77777777" w:rsidR="007D342D" w:rsidRPr="006E338A" w:rsidRDefault="007D342D" w:rsidP="00DA791E">
            <w:pPr>
              <w:rPr>
                <w:rFonts w:asciiTheme="minorHAnsi" w:hAnsiTheme="minorHAnsi" w:cstheme="minorHAnsi"/>
                <w:b/>
              </w:rPr>
            </w:pPr>
            <w:r w:rsidRPr="006E338A">
              <w:rPr>
                <w:rFonts w:asciiTheme="minorHAnsi" w:hAnsiTheme="minorHAnsi" w:cstheme="minorHAnsi"/>
                <w:b/>
              </w:rPr>
              <w:t>Supplemental Digital Content Table 2: Quality assessment of prospective or retrospective cohort studies.</w:t>
            </w:r>
          </w:p>
        </w:tc>
      </w:tr>
      <w:tr w:rsidR="007D342D" w:rsidRPr="00010F3C" w14:paraId="01282330" w14:textId="77777777" w:rsidTr="00DA791E">
        <w:tc>
          <w:tcPr>
            <w:tcW w:w="1985" w:type="dxa"/>
            <w:tcBorders>
              <w:top w:val="single" w:sz="4" w:space="0" w:color="auto"/>
            </w:tcBorders>
          </w:tcPr>
          <w:p w14:paraId="6A6E5B33" w14:textId="77777777" w:rsidR="007D342D" w:rsidRPr="00EE2286" w:rsidRDefault="007D342D" w:rsidP="00DA791E">
            <w:pPr>
              <w:rPr>
                <w:rFonts w:asciiTheme="minorHAnsi" w:hAnsiTheme="minorHAnsi" w:cstheme="minorHAnsi"/>
                <w:b/>
                <w:sz w:val="18"/>
                <w:szCs w:val="18"/>
              </w:rPr>
            </w:pPr>
            <w:r w:rsidRPr="00EE2286">
              <w:rPr>
                <w:rFonts w:asciiTheme="minorHAnsi" w:hAnsiTheme="minorHAnsi" w:cstheme="minorHAnsi"/>
                <w:b/>
                <w:sz w:val="18"/>
                <w:szCs w:val="18"/>
              </w:rPr>
              <w:t>Citation</w:t>
            </w:r>
          </w:p>
        </w:tc>
        <w:tc>
          <w:tcPr>
            <w:tcW w:w="1244" w:type="dxa"/>
            <w:tcBorders>
              <w:top w:val="single" w:sz="4" w:space="0" w:color="auto"/>
            </w:tcBorders>
          </w:tcPr>
          <w:p w14:paraId="26AD9550" w14:textId="77777777" w:rsidR="007D342D" w:rsidRPr="00EE2286" w:rsidRDefault="007D342D" w:rsidP="00DA791E">
            <w:pPr>
              <w:rPr>
                <w:rFonts w:asciiTheme="minorHAnsi" w:hAnsiTheme="minorHAnsi" w:cstheme="minorHAnsi"/>
                <w:b/>
                <w:sz w:val="18"/>
                <w:szCs w:val="18"/>
              </w:rPr>
            </w:pPr>
            <w:r w:rsidRPr="00EE2286">
              <w:rPr>
                <w:rFonts w:asciiTheme="minorHAnsi" w:hAnsiTheme="minorHAnsi" w:cstheme="minorHAnsi"/>
                <w:b/>
                <w:sz w:val="18"/>
                <w:szCs w:val="18"/>
              </w:rPr>
              <w:t>Study design</w:t>
            </w:r>
          </w:p>
        </w:tc>
        <w:tc>
          <w:tcPr>
            <w:tcW w:w="1286" w:type="dxa"/>
            <w:tcBorders>
              <w:top w:val="single" w:sz="4" w:space="0" w:color="auto"/>
            </w:tcBorders>
          </w:tcPr>
          <w:p w14:paraId="6C45D31C" w14:textId="77777777" w:rsidR="007D342D" w:rsidRPr="00EE2286" w:rsidRDefault="007D342D" w:rsidP="00DA791E">
            <w:pPr>
              <w:rPr>
                <w:rFonts w:asciiTheme="minorHAnsi" w:hAnsiTheme="minorHAnsi" w:cstheme="minorHAnsi"/>
                <w:b/>
                <w:sz w:val="18"/>
                <w:szCs w:val="18"/>
              </w:rPr>
            </w:pPr>
            <w:r>
              <w:rPr>
                <w:rFonts w:asciiTheme="minorHAnsi" w:hAnsiTheme="minorHAnsi" w:cstheme="minorHAnsi"/>
                <w:b/>
                <w:sz w:val="18"/>
                <w:szCs w:val="18"/>
              </w:rPr>
              <w:t>Reference group</w:t>
            </w:r>
            <w:r w:rsidRPr="00EE2286">
              <w:rPr>
                <w:rFonts w:asciiTheme="minorHAnsi" w:hAnsiTheme="minorHAnsi" w:cstheme="minorHAnsi"/>
                <w:b/>
                <w:sz w:val="18"/>
                <w:szCs w:val="18"/>
              </w:rPr>
              <w:t xml:space="preserve"> drawn from same community as HC users (2)</w:t>
            </w:r>
          </w:p>
        </w:tc>
        <w:tc>
          <w:tcPr>
            <w:tcW w:w="1315" w:type="dxa"/>
            <w:tcBorders>
              <w:top w:val="single" w:sz="4" w:space="0" w:color="auto"/>
            </w:tcBorders>
          </w:tcPr>
          <w:p w14:paraId="4DC0CA17" w14:textId="77777777" w:rsidR="007D342D" w:rsidRPr="00EE2286" w:rsidRDefault="007D342D" w:rsidP="00DA791E">
            <w:pPr>
              <w:rPr>
                <w:rFonts w:asciiTheme="minorHAnsi" w:hAnsiTheme="minorHAnsi" w:cstheme="minorHAnsi"/>
                <w:b/>
                <w:sz w:val="18"/>
                <w:szCs w:val="18"/>
              </w:rPr>
            </w:pPr>
            <w:r w:rsidRPr="00EE2286">
              <w:rPr>
                <w:rFonts w:asciiTheme="minorHAnsi" w:hAnsiTheme="minorHAnsi" w:cstheme="minorHAnsi"/>
                <w:b/>
                <w:sz w:val="18"/>
                <w:szCs w:val="18"/>
              </w:rPr>
              <w:t>Ascertainment of HC use (2)</w:t>
            </w:r>
          </w:p>
        </w:tc>
        <w:tc>
          <w:tcPr>
            <w:tcW w:w="1604" w:type="dxa"/>
            <w:tcBorders>
              <w:top w:val="single" w:sz="4" w:space="0" w:color="auto"/>
            </w:tcBorders>
          </w:tcPr>
          <w:p w14:paraId="7815A400" w14:textId="77777777" w:rsidR="007D342D" w:rsidRPr="00EE2286" w:rsidRDefault="007D342D" w:rsidP="00DA791E">
            <w:pPr>
              <w:rPr>
                <w:rFonts w:asciiTheme="minorHAnsi" w:hAnsiTheme="minorHAnsi" w:cstheme="minorHAnsi"/>
                <w:b/>
                <w:sz w:val="18"/>
                <w:szCs w:val="18"/>
              </w:rPr>
            </w:pPr>
            <w:r w:rsidRPr="00EE2286">
              <w:rPr>
                <w:rFonts w:asciiTheme="minorHAnsi" w:hAnsiTheme="minorHAnsi" w:cstheme="minorHAnsi"/>
                <w:b/>
                <w:sz w:val="18"/>
                <w:szCs w:val="18"/>
              </w:rPr>
              <w:t xml:space="preserve">Demonstration STI not present </w:t>
            </w:r>
            <w:r>
              <w:rPr>
                <w:rFonts w:asciiTheme="minorHAnsi" w:hAnsiTheme="minorHAnsi" w:cstheme="minorHAnsi"/>
                <w:b/>
                <w:sz w:val="18"/>
                <w:szCs w:val="18"/>
              </w:rPr>
              <w:t>prior to incident/recurrent infection</w:t>
            </w:r>
            <w:r w:rsidRPr="00EE2286">
              <w:rPr>
                <w:rFonts w:asciiTheme="minorHAnsi" w:hAnsiTheme="minorHAnsi" w:cstheme="minorHAnsi"/>
                <w:b/>
                <w:sz w:val="18"/>
                <w:szCs w:val="18"/>
              </w:rPr>
              <w:t xml:space="preserve"> (1)</w:t>
            </w:r>
          </w:p>
        </w:tc>
        <w:tc>
          <w:tcPr>
            <w:tcW w:w="1293" w:type="dxa"/>
            <w:tcBorders>
              <w:top w:val="single" w:sz="4" w:space="0" w:color="auto"/>
            </w:tcBorders>
          </w:tcPr>
          <w:p w14:paraId="7141976C" w14:textId="77777777" w:rsidR="007D342D" w:rsidRPr="00EE2286" w:rsidRDefault="007D342D" w:rsidP="00DA791E">
            <w:pPr>
              <w:rPr>
                <w:rFonts w:asciiTheme="minorHAnsi" w:hAnsiTheme="minorHAnsi" w:cstheme="minorHAnsi"/>
                <w:b/>
                <w:sz w:val="18"/>
                <w:szCs w:val="18"/>
              </w:rPr>
            </w:pPr>
            <w:r w:rsidRPr="00EE2286">
              <w:rPr>
                <w:rFonts w:asciiTheme="minorHAnsi" w:hAnsiTheme="minorHAnsi" w:cstheme="minorHAnsi"/>
                <w:b/>
                <w:sz w:val="18"/>
                <w:szCs w:val="18"/>
              </w:rPr>
              <w:t xml:space="preserve">Comparability of </w:t>
            </w:r>
            <w:r>
              <w:rPr>
                <w:rFonts w:asciiTheme="minorHAnsi" w:hAnsiTheme="minorHAnsi" w:cstheme="minorHAnsi"/>
                <w:b/>
                <w:sz w:val="18"/>
                <w:szCs w:val="18"/>
              </w:rPr>
              <w:t xml:space="preserve">HC users and reference group cohorts </w:t>
            </w:r>
            <w:r w:rsidRPr="00EE2286">
              <w:rPr>
                <w:rFonts w:asciiTheme="minorHAnsi" w:hAnsiTheme="minorHAnsi" w:cstheme="minorHAnsi"/>
                <w:b/>
                <w:sz w:val="18"/>
                <w:szCs w:val="18"/>
              </w:rPr>
              <w:t>demonstrated</w:t>
            </w:r>
            <w:r>
              <w:rPr>
                <w:rFonts w:asciiTheme="minorHAnsi" w:hAnsiTheme="minorHAnsi" w:cstheme="minorHAnsi"/>
                <w:b/>
                <w:sz w:val="18"/>
                <w:szCs w:val="18"/>
              </w:rPr>
              <w:t xml:space="preserve"> or adjusted for</w:t>
            </w:r>
            <w:r w:rsidRPr="00EE2286">
              <w:rPr>
                <w:rFonts w:asciiTheme="minorHAnsi" w:hAnsiTheme="minorHAnsi" w:cstheme="minorHAnsi"/>
                <w:b/>
                <w:sz w:val="18"/>
                <w:szCs w:val="18"/>
              </w:rPr>
              <w:t xml:space="preserve"> (2)</w:t>
            </w:r>
          </w:p>
        </w:tc>
        <w:tc>
          <w:tcPr>
            <w:tcW w:w="1315" w:type="dxa"/>
            <w:tcBorders>
              <w:top w:val="single" w:sz="4" w:space="0" w:color="auto"/>
            </w:tcBorders>
          </w:tcPr>
          <w:p w14:paraId="7C5AFB26" w14:textId="77777777" w:rsidR="007D342D" w:rsidRPr="00EE2286" w:rsidRDefault="007D342D" w:rsidP="00DA791E">
            <w:pPr>
              <w:rPr>
                <w:rFonts w:asciiTheme="minorHAnsi" w:hAnsiTheme="minorHAnsi" w:cstheme="minorHAnsi"/>
                <w:b/>
                <w:sz w:val="18"/>
                <w:szCs w:val="18"/>
              </w:rPr>
            </w:pPr>
            <w:r w:rsidRPr="00EE2286">
              <w:rPr>
                <w:rFonts w:asciiTheme="minorHAnsi" w:hAnsiTheme="minorHAnsi" w:cstheme="minorHAnsi"/>
                <w:b/>
                <w:sz w:val="18"/>
                <w:szCs w:val="18"/>
              </w:rPr>
              <w:t>Ascertainment of STI based on biomarker and blind to HC status (2)</w:t>
            </w:r>
          </w:p>
        </w:tc>
        <w:tc>
          <w:tcPr>
            <w:tcW w:w="1277" w:type="dxa"/>
            <w:tcBorders>
              <w:top w:val="single" w:sz="4" w:space="0" w:color="auto"/>
            </w:tcBorders>
          </w:tcPr>
          <w:p w14:paraId="4961D6D1" w14:textId="77777777" w:rsidR="007D342D" w:rsidRPr="00EE2286" w:rsidRDefault="007D342D" w:rsidP="00DA791E">
            <w:pPr>
              <w:rPr>
                <w:rFonts w:asciiTheme="minorHAnsi" w:hAnsiTheme="minorHAnsi" w:cstheme="minorHAnsi"/>
                <w:b/>
                <w:sz w:val="18"/>
                <w:szCs w:val="18"/>
              </w:rPr>
            </w:pPr>
            <w:r w:rsidRPr="00EE2286">
              <w:rPr>
                <w:rFonts w:asciiTheme="minorHAnsi" w:hAnsiTheme="minorHAnsi" w:cstheme="minorHAnsi"/>
                <w:b/>
                <w:sz w:val="18"/>
                <w:szCs w:val="18"/>
              </w:rPr>
              <w:t>Adequate follow-up of cohort (&lt;20% lost or unlikely to introduce bias) (1)</w:t>
            </w:r>
          </w:p>
        </w:tc>
        <w:tc>
          <w:tcPr>
            <w:tcW w:w="1396" w:type="dxa"/>
            <w:tcBorders>
              <w:top w:val="single" w:sz="4" w:space="0" w:color="auto"/>
            </w:tcBorders>
          </w:tcPr>
          <w:p w14:paraId="497AED10" w14:textId="77777777" w:rsidR="007D342D" w:rsidRPr="00EE2286" w:rsidRDefault="007D342D" w:rsidP="00DA791E">
            <w:pPr>
              <w:rPr>
                <w:rFonts w:asciiTheme="minorHAnsi" w:hAnsiTheme="minorHAnsi" w:cstheme="minorHAnsi"/>
                <w:b/>
                <w:sz w:val="18"/>
                <w:szCs w:val="18"/>
              </w:rPr>
            </w:pPr>
            <w:r w:rsidRPr="00EE2286">
              <w:rPr>
                <w:rFonts w:asciiTheme="minorHAnsi" w:hAnsiTheme="minorHAnsi" w:cstheme="minorHAnsi"/>
                <w:b/>
                <w:sz w:val="18"/>
                <w:szCs w:val="18"/>
              </w:rPr>
              <w:t>Total score</w:t>
            </w:r>
          </w:p>
          <w:p w14:paraId="0BE55030" w14:textId="77777777" w:rsidR="007D342D" w:rsidRPr="00EE2286" w:rsidRDefault="007D342D" w:rsidP="00DA791E">
            <w:pPr>
              <w:rPr>
                <w:rFonts w:asciiTheme="minorHAnsi" w:hAnsiTheme="minorHAnsi" w:cstheme="minorHAnsi"/>
                <w:b/>
                <w:sz w:val="18"/>
                <w:szCs w:val="18"/>
              </w:rPr>
            </w:pPr>
          </w:p>
          <w:p w14:paraId="7741FEF3" w14:textId="77777777" w:rsidR="007D342D" w:rsidRPr="00EE2286" w:rsidRDefault="007D342D" w:rsidP="00DA791E">
            <w:pPr>
              <w:rPr>
                <w:rFonts w:asciiTheme="minorHAnsi" w:hAnsiTheme="minorHAnsi" w:cstheme="minorHAnsi"/>
                <w:b/>
                <w:sz w:val="18"/>
                <w:szCs w:val="18"/>
              </w:rPr>
            </w:pPr>
            <w:r w:rsidRPr="00EE2286">
              <w:rPr>
                <w:rFonts w:asciiTheme="minorHAnsi" w:hAnsiTheme="minorHAnsi" w:cstheme="minorHAnsi"/>
                <w:b/>
                <w:sz w:val="18"/>
                <w:szCs w:val="18"/>
              </w:rPr>
              <w:t>Quality rating:</w:t>
            </w:r>
          </w:p>
          <w:p w14:paraId="39DEB55A" w14:textId="77777777" w:rsidR="007D342D" w:rsidRPr="00EE2286" w:rsidRDefault="007D342D" w:rsidP="00DA791E">
            <w:pPr>
              <w:jc w:val="center"/>
              <w:rPr>
                <w:rFonts w:asciiTheme="minorHAnsi" w:hAnsiTheme="minorHAnsi" w:cstheme="minorHAnsi"/>
                <w:sz w:val="18"/>
                <w:szCs w:val="18"/>
              </w:rPr>
            </w:pPr>
            <w:r w:rsidRPr="00EE2286">
              <w:rPr>
                <w:rFonts w:asciiTheme="minorHAnsi" w:hAnsiTheme="minorHAnsi" w:cstheme="minorHAnsi"/>
                <w:sz w:val="18"/>
                <w:szCs w:val="18"/>
              </w:rPr>
              <w:t>High (8-1</w:t>
            </w:r>
            <w:r>
              <w:rPr>
                <w:rFonts w:asciiTheme="minorHAnsi" w:hAnsiTheme="minorHAnsi" w:cstheme="minorHAnsi"/>
                <w:sz w:val="18"/>
                <w:szCs w:val="18"/>
              </w:rPr>
              <w:t>0</w:t>
            </w:r>
            <w:r w:rsidRPr="00EE2286">
              <w:rPr>
                <w:rFonts w:asciiTheme="minorHAnsi" w:hAnsiTheme="minorHAnsi" w:cstheme="minorHAnsi"/>
                <w:sz w:val="18"/>
                <w:szCs w:val="18"/>
              </w:rPr>
              <w:t>)</w:t>
            </w:r>
          </w:p>
          <w:p w14:paraId="2FE007F3" w14:textId="77777777" w:rsidR="007D342D" w:rsidRPr="00EE2286" w:rsidRDefault="007D342D" w:rsidP="00DA791E">
            <w:pPr>
              <w:jc w:val="center"/>
              <w:rPr>
                <w:rFonts w:asciiTheme="minorHAnsi" w:hAnsiTheme="minorHAnsi" w:cstheme="minorHAnsi"/>
                <w:sz w:val="18"/>
                <w:szCs w:val="18"/>
              </w:rPr>
            </w:pPr>
            <w:r w:rsidRPr="00EE2286">
              <w:rPr>
                <w:rFonts w:asciiTheme="minorHAnsi" w:hAnsiTheme="minorHAnsi" w:cstheme="minorHAnsi"/>
                <w:sz w:val="18"/>
                <w:szCs w:val="18"/>
              </w:rPr>
              <w:t>Medium (5-7)</w:t>
            </w:r>
          </w:p>
          <w:p w14:paraId="409DCF57" w14:textId="77777777" w:rsidR="007D342D" w:rsidRPr="00EE2286" w:rsidRDefault="007D342D" w:rsidP="00DA791E">
            <w:pPr>
              <w:jc w:val="center"/>
              <w:rPr>
                <w:rFonts w:asciiTheme="minorHAnsi" w:hAnsiTheme="minorHAnsi" w:cstheme="minorHAnsi"/>
                <w:b/>
                <w:sz w:val="18"/>
                <w:szCs w:val="18"/>
              </w:rPr>
            </w:pPr>
            <w:r w:rsidRPr="00EE2286">
              <w:rPr>
                <w:rFonts w:asciiTheme="minorHAnsi" w:hAnsiTheme="minorHAnsi" w:cstheme="minorHAnsi"/>
                <w:sz w:val="18"/>
                <w:szCs w:val="18"/>
              </w:rPr>
              <w:t>Low (&lt;5)</w:t>
            </w:r>
          </w:p>
        </w:tc>
      </w:tr>
      <w:tr w:rsidR="007D342D" w:rsidRPr="00EE2286" w14:paraId="36422420" w14:textId="77777777" w:rsidTr="00DA791E">
        <w:tc>
          <w:tcPr>
            <w:tcW w:w="1985" w:type="dxa"/>
          </w:tcPr>
          <w:p w14:paraId="7BDA8F19" w14:textId="77777777" w:rsidR="007D342D" w:rsidRPr="00EE2286" w:rsidRDefault="007D342D" w:rsidP="00DA791E">
            <w:pPr>
              <w:rPr>
                <w:rFonts w:asciiTheme="minorHAnsi" w:hAnsiTheme="minorHAnsi" w:cstheme="minorHAnsi"/>
                <w:sz w:val="20"/>
                <w:szCs w:val="18"/>
              </w:rPr>
            </w:pPr>
            <w:proofErr w:type="spellStart"/>
            <w:r w:rsidRPr="00EE2286">
              <w:rPr>
                <w:rFonts w:asciiTheme="minorHAnsi" w:hAnsiTheme="minorHAnsi" w:cstheme="minorHAnsi"/>
                <w:sz w:val="20"/>
                <w:szCs w:val="18"/>
              </w:rPr>
              <w:t>Balkus</w:t>
            </w:r>
            <w:proofErr w:type="spellEnd"/>
            <w:r w:rsidRPr="00EE2286">
              <w:rPr>
                <w:rFonts w:asciiTheme="minorHAnsi" w:hAnsiTheme="minorHAnsi" w:cstheme="minorHAnsi"/>
                <w:sz w:val="20"/>
                <w:szCs w:val="18"/>
              </w:rPr>
              <w:t xml:space="preserve"> 2014</w:t>
            </w:r>
            <w:r>
              <w:rPr>
                <w:rFonts w:asciiTheme="minorHAnsi" w:hAnsiTheme="minorHAnsi" w:cstheme="minorHAnsi"/>
                <w:sz w:val="20"/>
                <w:szCs w:val="18"/>
              </w:rPr>
              <w:t xml:space="preserve"> </w:t>
            </w:r>
            <w:r>
              <w:rPr>
                <w:rFonts w:asciiTheme="minorHAnsi" w:hAnsiTheme="minorHAnsi" w:cstheme="minorHAnsi"/>
                <w:sz w:val="20"/>
                <w:szCs w:val="18"/>
              </w:rPr>
              <w:fldChar w:fldCharType="begin" w:fldLock="1"/>
            </w:r>
            <w:r>
              <w:rPr>
                <w:rFonts w:asciiTheme="minorHAnsi" w:hAnsiTheme="minorHAnsi" w:cstheme="minorHAnsi"/>
                <w:sz w:val="20"/>
                <w:szCs w:val="18"/>
              </w:rPr>
              <w:instrText>ADDIN CSL_CITATION {"citationItems":[{"id":"ITEM-1","itemData":{"DOI":"10.1097/OLQ.0000000000000075","ISSN":"0148-5717","PMID":"24413493","abstract":"BACKGROUND The vaginal microbiota may play a role in mediating susceptibility to sexually transmitted infections, including Trichomonas vaginalis (TV). METHODS Data were analyzed from HIV-1-seronegative women participating in HIV Prevention Trials Network Protocol 035. At quarterly visits for up to 30 months, participants completed structured interviews and specimens were collected for genital tract infection testing. T. vaginalis was detected by saline microscopy. Bacterial vaginosis (BV) was characterized by Gram stain using the Nugent score (BV = 7-10; intermediate = 4-6; normal = 0-3 [reference group]). Cox proportional hazards models stratified by study site were used to assess the association between Nugent score category at the prior quarterly visit and TV acquisition. RESULTS In this secondary analysis, 2920 participants from Malawi, South Africa, United States, Zambia, and Zimbabwe contributed 16,259 follow-up visits. Bacterial vaginosis was detected at 5680 (35%) visits, and TV was detected at 400 (2.5%) visits. Adjusting for age, marital status, hormonal contraceptive use, unprotected sex in the last week and TV at baseline, intermediate Nugent score, and BV at the prior visit were associated with an increased risk of TV (intermediate score: adjusted hazard ratio [aHR], 1.73; 95% confidence interval [CI], 1.21-2.19; BV: aHR, 2.40; 95% CI, 1.92-3.00). Sensitivity analyses excluding 211 participants with TV at baseline were similar to those from the full study population (intermediate score: aHR, 1.54; 95% CI, 1.10-2.14; BV: aHR, 2.23; 95% CI, 1.75-2.84). CONCLUSIONS Women with a Nugent score higher than 3 were at an increased risk for acquiring TV. If this relationship is causal, interventions that improve the vaginal microbiota could contribute to reductions in TV incidence.","author":[{"dropping-particle":"","family":"Balkus","given":"Jennifer E.","non-dropping-particle":"","parse-names":false,"suffix":""},{"dropping-particle":"","family":"Richardson","given":"Barbra A.","non-dropping-particle":"","parse-names":false,"suffix":""},{"dropping-particle":"","family":"Rabe","given":"Lorna K.","non-dropping-particle":"","parse-names":false,"suffix":""},{"dropping-particle":"","family":"Taha","given":"Taha E.","non-dropping-particle":"","parse-names":false,"suffix":""},{"dropping-particle":"","family":"Mgodi","given":"Nyaradzo","non-dropping-particle":"","parse-names":false,"suffix":""},{"dropping-particle":"","family":"Kasaro","given":"Margaret Phiri","non-dropping-particle":"","parse-names":false,"suffix":""},{"dropping-particle":"","family":"Ramjee","given":"Gita","non-dropping-particle":"","parse-names":false,"suffix":""},{"dropping-particle":"","family":"Hoffman","given":"Irving F.","non-dropping-particle":"","parse-names":false,"suffix":""},{"dropping-particle":"","family":"Abdool Karim","given":"Salim S.","non-dropping-particle":"","parse-names":false,"suffix":""}],"container-title":"Sexually Transmitted Diseases","id":"ITEM-1","issue":"2","issued":{"date-parts":[["2014","2"]]},"page":"123-128","title":"Bacterial vaginosis and the risk of Trichomonas vaginalis acquisition among HIV-1–negative women","type":"article-journal","volume":"41"},"uris":["http://www.mendeley.com/documents/?uuid=02d16161-85ff-3c60-a867-f2f4b07cd0b4"]}],"mendeley":{"formattedCitation":"[34]","plainTextFormattedCitation":"[34]","previouslyFormattedCitation":"[34]"},"properties":{"noteIndex":0},"schema":"https://github.com/citation-style-language/schema/raw/master/csl-citation.json"}</w:instrText>
            </w:r>
            <w:r>
              <w:rPr>
                <w:rFonts w:asciiTheme="minorHAnsi" w:hAnsiTheme="minorHAnsi" w:cstheme="minorHAnsi"/>
                <w:sz w:val="20"/>
                <w:szCs w:val="18"/>
              </w:rPr>
              <w:fldChar w:fldCharType="separate"/>
            </w:r>
            <w:r w:rsidRPr="008E6390">
              <w:rPr>
                <w:rFonts w:asciiTheme="minorHAnsi" w:hAnsiTheme="minorHAnsi" w:cstheme="minorHAnsi"/>
                <w:noProof/>
                <w:sz w:val="20"/>
                <w:szCs w:val="18"/>
              </w:rPr>
              <w:t>[34]</w:t>
            </w:r>
            <w:r>
              <w:rPr>
                <w:rFonts w:asciiTheme="minorHAnsi" w:hAnsiTheme="minorHAnsi" w:cstheme="minorHAnsi"/>
                <w:sz w:val="20"/>
                <w:szCs w:val="18"/>
              </w:rPr>
              <w:fldChar w:fldCharType="end"/>
            </w:r>
          </w:p>
        </w:tc>
        <w:tc>
          <w:tcPr>
            <w:tcW w:w="1244" w:type="dxa"/>
          </w:tcPr>
          <w:p w14:paraId="0AB0A7CD"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Secondary RCT</w:t>
            </w:r>
          </w:p>
        </w:tc>
        <w:tc>
          <w:tcPr>
            <w:tcW w:w="1286" w:type="dxa"/>
          </w:tcPr>
          <w:p w14:paraId="362209E9"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315" w:type="dxa"/>
          </w:tcPr>
          <w:p w14:paraId="52E31073"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604" w:type="dxa"/>
          </w:tcPr>
          <w:p w14:paraId="6BFAFFB0"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93" w:type="dxa"/>
          </w:tcPr>
          <w:p w14:paraId="17300311"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315" w:type="dxa"/>
          </w:tcPr>
          <w:p w14:paraId="27F26E08"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77" w:type="dxa"/>
          </w:tcPr>
          <w:p w14:paraId="1A73EDFE"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396" w:type="dxa"/>
          </w:tcPr>
          <w:p w14:paraId="6C7DEEE1"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b/>
                <w:sz w:val="20"/>
                <w:szCs w:val="18"/>
              </w:rPr>
              <w:t xml:space="preserve">9 </w:t>
            </w:r>
            <w:r w:rsidRPr="00EE2286">
              <w:rPr>
                <w:rFonts w:asciiTheme="minorHAnsi" w:hAnsiTheme="minorHAnsi" w:cstheme="minorHAnsi"/>
                <w:sz w:val="20"/>
                <w:szCs w:val="18"/>
              </w:rPr>
              <w:t>(High)</w:t>
            </w:r>
          </w:p>
        </w:tc>
      </w:tr>
      <w:tr w:rsidR="007D342D" w:rsidRPr="00EE2286" w14:paraId="74D63140" w14:textId="77777777" w:rsidTr="00DA791E">
        <w:tc>
          <w:tcPr>
            <w:tcW w:w="1985" w:type="dxa"/>
          </w:tcPr>
          <w:p w14:paraId="2270B92B" w14:textId="77777777" w:rsidR="007D342D" w:rsidRPr="00EE2286" w:rsidRDefault="007D342D" w:rsidP="00DA791E">
            <w:pPr>
              <w:rPr>
                <w:rFonts w:asciiTheme="minorHAnsi" w:hAnsiTheme="minorHAnsi" w:cstheme="minorHAnsi"/>
                <w:sz w:val="20"/>
                <w:szCs w:val="18"/>
              </w:rPr>
            </w:pPr>
            <w:proofErr w:type="spellStart"/>
            <w:r>
              <w:rPr>
                <w:rFonts w:asciiTheme="minorHAnsi" w:hAnsiTheme="minorHAnsi" w:cstheme="minorHAnsi"/>
                <w:sz w:val="20"/>
                <w:szCs w:val="18"/>
              </w:rPr>
              <w:t>Baeten</w:t>
            </w:r>
            <w:proofErr w:type="spellEnd"/>
            <w:r>
              <w:rPr>
                <w:rFonts w:asciiTheme="minorHAnsi" w:hAnsiTheme="minorHAnsi" w:cstheme="minorHAnsi"/>
                <w:sz w:val="20"/>
                <w:szCs w:val="18"/>
              </w:rPr>
              <w:t xml:space="preserve"> 2001 </w:t>
            </w:r>
            <w:r>
              <w:rPr>
                <w:rFonts w:asciiTheme="minorHAnsi" w:hAnsiTheme="minorHAnsi" w:cstheme="minorHAnsi"/>
                <w:sz w:val="20"/>
                <w:szCs w:val="18"/>
              </w:rPr>
              <w:fldChar w:fldCharType="begin" w:fldLock="1"/>
            </w:r>
            <w:r>
              <w:rPr>
                <w:rFonts w:asciiTheme="minorHAnsi" w:hAnsiTheme="minorHAnsi" w:cstheme="minorHAnsi"/>
                <w:sz w:val="20"/>
                <w:szCs w:val="18"/>
              </w:rPr>
              <w:instrText>ADDIN CSL_CITATION {"citationItems":[{"id":"ITEM-1","itemData":{"DOI":"10.1067/mob.2001.115862","ISSN":"00029378","PMID":"11518896","abstract":"OBJECTIVES To examine the relationship between use of oral contraceptive pills or depot medroxyprogesterone acetate and sexually transmitted disease acquisition. STUDY DESIGN Prospective cohort included 948 Kenyan prostitutes. Multivariate Andersen-Gill proportional hazards models were constructed, adjusting for sexual behavioral and demographic variables. RESULTS When compared with women who were using no contraception, users of oral contraceptive pills were at increased risk for acquisition of chlamydia (hazard ratio, 1.8; 95% confidence interval, 1.1-2.9) and vaginal candidiasis (hazard ratio, 1.5; 95% confidence interval, 1.2-1.9) and at decreased risk for bacterial vaginosis (hazard ratio, 0.8; 95% confidence interval, 0.7-1.0). Women using depot medroxyprogesterone acetate had significantly increased risk of chlamydia infection (hazard ratio, 1.6; 95% confidence interval, 1.1-2.4) and significantly decreased risk of bacterial vaginosis (hazard ratio, 0.7; 95% confidence interval, 0.5-0.8), trichomoniasis (hazard ratio, 0.6; 95% confidence interval, 0.4-1.0), and pelvic inflammatory disease (hazard ratio, 0.4; 95% confidence interval, 0.2-0.7). Consistent condom use was associated with significantly decreased risk of gonorrhea, chlamydia, genital ulcer disease, bacterial vaginosis, and pelvic inflammatory disease. CONCLUSIONS The use of oral or injectable hormonal contraception altered susceptibility to sexually transmitted diseases, which may in turn influence transmission of human immunodeficiency virus type 1. Consistent condom use was protective with regards to sexually transmitted disease and should be encouraged for the prevention of sexually transmitted disease and human immunodeficiency virus type 1 among women who use hormonal contraception.","author":[{"dropping-particle":"","family":"Baeten","given":"Jared M.","non-dropping-particle":"","parse-names":false,"suffix":""},{"dropping-particle":"","family":"Nyange","given":"Patrick M.","non-dropping-particle":"","parse-names":false,"suffix":""},{"dropping-particle":"","family":"Richardson","given":"Barbra A.","non-dropping-particle":"","parse-names":false,"suffix":""},{"dropping-particle":"","family":"Lavreys","given":"Ludo","non-dropping-particle":"","parse-names":false,"suffix":""},{"dropping-particle":"","family":"Chohan","given":"Bhavna","non-dropping-particle":"","parse-names":false,"suffix":""},{"dropping-particle":"","family":"Martin","given":"Harold L.","non-dropping-particle":"","parse-names":false,"suffix":""},{"dropping-particle":"","family":"Mandaliya","given":"Kishorchandra","non-dropping-particle":"","parse-names":false,"suffix":""},{"dropping-particle":"","family":"Ndinya-Achola","given":"Jeckoniah O.","non-dropping-particle":"","parse-names":false,"suffix":""},{"dropping-particle":"","family":"Bwayo","given":"Job J.","non-dropping-particle":"","parse-names":false,"suffix":""},{"dropping-particle":"","family":"Kreiss","given":"Joan K.","non-dropping-particle":"","parse-names":false,"suffix":""}],"container-title":"American Journal of Obstetrics and Gynecology","id":"ITEM-1","issue":"2","issued":{"date-parts":[["2001","8"]]},"page":"380-385","title":"Hormonal contraception and risk of sexually transmitted disease acquisition: Results from a prospective study","type":"article-journal","volume":"185"},"uris":["http://www.mendeley.com/documents/?uuid=9c9675ce-9729-368a-b116-fc5af34e832f"]}],"mendeley":{"formattedCitation":"[21]","plainTextFormattedCitation":"[21]","previouslyFormattedCitation":"[21]"},"properties":{"noteIndex":0},"schema":"https://github.com/citation-style-language/schema/raw/master/csl-citation.json"}</w:instrText>
            </w:r>
            <w:r>
              <w:rPr>
                <w:rFonts w:asciiTheme="minorHAnsi" w:hAnsiTheme="minorHAnsi" w:cstheme="minorHAnsi"/>
                <w:sz w:val="20"/>
                <w:szCs w:val="18"/>
              </w:rPr>
              <w:fldChar w:fldCharType="separate"/>
            </w:r>
            <w:r w:rsidRPr="00E115DE">
              <w:rPr>
                <w:rFonts w:asciiTheme="minorHAnsi" w:hAnsiTheme="minorHAnsi" w:cstheme="minorHAnsi"/>
                <w:noProof/>
                <w:sz w:val="20"/>
                <w:szCs w:val="18"/>
              </w:rPr>
              <w:t>[21]</w:t>
            </w:r>
            <w:r>
              <w:rPr>
                <w:rFonts w:asciiTheme="minorHAnsi" w:hAnsiTheme="minorHAnsi" w:cstheme="minorHAnsi"/>
                <w:sz w:val="20"/>
                <w:szCs w:val="18"/>
              </w:rPr>
              <w:fldChar w:fldCharType="end"/>
            </w:r>
          </w:p>
        </w:tc>
        <w:tc>
          <w:tcPr>
            <w:tcW w:w="1244" w:type="dxa"/>
          </w:tcPr>
          <w:p w14:paraId="597C5C6B"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PC</w:t>
            </w:r>
          </w:p>
        </w:tc>
        <w:tc>
          <w:tcPr>
            <w:tcW w:w="1286" w:type="dxa"/>
          </w:tcPr>
          <w:p w14:paraId="12F25EBF"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2</w:t>
            </w:r>
          </w:p>
        </w:tc>
        <w:tc>
          <w:tcPr>
            <w:tcW w:w="1315" w:type="dxa"/>
          </w:tcPr>
          <w:p w14:paraId="7729921C"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2</w:t>
            </w:r>
          </w:p>
        </w:tc>
        <w:tc>
          <w:tcPr>
            <w:tcW w:w="1604" w:type="dxa"/>
          </w:tcPr>
          <w:p w14:paraId="10D73C61"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0</w:t>
            </w:r>
          </w:p>
        </w:tc>
        <w:tc>
          <w:tcPr>
            <w:tcW w:w="1293" w:type="dxa"/>
          </w:tcPr>
          <w:p w14:paraId="2C3400A0" w14:textId="77777777" w:rsidR="007D342D" w:rsidRPr="00BB22D1" w:rsidRDefault="007D342D" w:rsidP="00DA791E">
            <w:pPr>
              <w:rPr>
                <w:rFonts w:asciiTheme="minorHAnsi" w:hAnsiTheme="minorHAnsi" w:cstheme="minorHAnsi"/>
                <w:sz w:val="20"/>
                <w:szCs w:val="18"/>
              </w:rPr>
            </w:pPr>
            <w:r w:rsidRPr="00944DA9">
              <w:rPr>
                <w:rFonts w:asciiTheme="minorHAnsi" w:hAnsiTheme="minorHAnsi" w:cstheme="minorHAnsi"/>
                <w:sz w:val="20"/>
                <w:szCs w:val="18"/>
              </w:rPr>
              <w:t>2</w:t>
            </w:r>
          </w:p>
        </w:tc>
        <w:tc>
          <w:tcPr>
            <w:tcW w:w="1315" w:type="dxa"/>
          </w:tcPr>
          <w:p w14:paraId="6208B41E" w14:textId="77777777" w:rsidR="007D342D" w:rsidRPr="00A1128E" w:rsidRDefault="007D342D" w:rsidP="00DA791E">
            <w:pPr>
              <w:rPr>
                <w:rFonts w:asciiTheme="minorHAnsi" w:hAnsiTheme="minorHAnsi" w:cstheme="minorHAnsi"/>
                <w:sz w:val="20"/>
                <w:szCs w:val="18"/>
              </w:rPr>
            </w:pPr>
            <w:r w:rsidRPr="004D194F">
              <w:rPr>
                <w:rFonts w:asciiTheme="minorHAnsi" w:hAnsiTheme="minorHAnsi" w:cstheme="minorHAnsi"/>
                <w:sz w:val="20"/>
                <w:szCs w:val="18"/>
              </w:rPr>
              <w:t>1</w:t>
            </w:r>
          </w:p>
        </w:tc>
        <w:tc>
          <w:tcPr>
            <w:tcW w:w="1277" w:type="dxa"/>
          </w:tcPr>
          <w:p w14:paraId="02F2D35F" w14:textId="77777777" w:rsidR="007D342D" w:rsidRPr="00CC46B2" w:rsidRDefault="007D342D" w:rsidP="00DA791E">
            <w:pPr>
              <w:rPr>
                <w:rFonts w:asciiTheme="minorHAnsi" w:hAnsiTheme="minorHAnsi" w:cstheme="minorHAnsi"/>
                <w:sz w:val="20"/>
                <w:szCs w:val="18"/>
              </w:rPr>
            </w:pPr>
            <w:r w:rsidRPr="00CC46B2">
              <w:rPr>
                <w:rFonts w:asciiTheme="minorHAnsi" w:hAnsiTheme="minorHAnsi" w:cstheme="minorHAnsi"/>
                <w:sz w:val="20"/>
                <w:szCs w:val="18"/>
              </w:rPr>
              <w:t>0</w:t>
            </w:r>
          </w:p>
        </w:tc>
        <w:tc>
          <w:tcPr>
            <w:tcW w:w="1396" w:type="dxa"/>
          </w:tcPr>
          <w:p w14:paraId="38A38947" w14:textId="77777777" w:rsidR="007D342D" w:rsidRPr="001F4B73" w:rsidRDefault="007D342D" w:rsidP="00DA791E">
            <w:pPr>
              <w:rPr>
                <w:rFonts w:asciiTheme="minorHAnsi" w:hAnsiTheme="minorHAnsi" w:cstheme="minorHAnsi"/>
                <w:sz w:val="20"/>
                <w:szCs w:val="18"/>
              </w:rPr>
            </w:pPr>
            <w:r>
              <w:rPr>
                <w:rFonts w:asciiTheme="minorHAnsi" w:hAnsiTheme="minorHAnsi" w:cstheme="minorHAnsi"/>
                <w:b/>
                <w:sz w:val="20"/>
                <w:szCs w:val="18"/>
              </w:rPr>
              <w:t xml:space="preserve">7 </w:t>
            </w:r>
            <w:r>
              <w:rPr>
                <w:rFonts w:asciiTheme="minorHAnsi" w:hAnsiTheme="minorHAnsi" w:cstheme="minorHAnsi"/>
                <w:sz w:val="20"/>
                <w:szCs w:val="18"/>
              </w:rPr>
              <w:t>(Medium)</w:t>
            </w:r>
          </w:p>
        </w:tc>
      </w:tr>
      <w:tr w:rsidR="007D342D" w:rsidRPr="00EE2286" w14:paraId="27A08658" w14:textId="77777777" w:rsidTr="00DA791E">
        <w:tc>
          <w:tcPr>
            <w:tcW w:w="1985" w:type="dxa"/>
          </w:tcPr>
          <w:p w14:paraId="582C4787" w14:textId="77777777" w:rsidR="007D342D" w:rsidRDefault="007D342D" w:rsidP="00DA791E">
            <w:pPr>
              <w:rPr>
                <w:rFonts w:asciiTheme="minorHAnsi" w:hAnsiTheme="minorHAnsi" w:cstheme="minorHAnsi"/>
                <w:sz w:val="20"/>
                <w:szCs w:val="18"/>
              </w:rPr>
            </w:pPr>
            <w:proofErr w:type="spellStart"/>
            <w:r>
              <w:rPr>
                <w:rFonts w:asciiTheme="minorHAnsi" w:hAnsiTheme="minorHAnsi" w:cstheme="minorHAnsi"/>
                <w:sz w:val="20"/>
                <w:szCs w:val="18"/>
              </w:rPr>
              <w:t>Barbone</w:t>
            </w:r>
            <w:proofErr w:type="spellEnd"/>
            <w:r>
              <w:rPr>
                <w:rFonts w:asciiTheme="minorHAnsi" w:hAnsiTheme="minorHAnsi" w:cstheme="minorHAnsi"/>
                <w:sz w:val="20"/>
                <w:szCs w:val="18"/>
              </w:rPr>
              <w:t xml:space="preserve"> 1990 </w:t>
            </w:r>
            <w:r>
              <w:rPr>
                <w:rFonts w:asciiTheme="minorHAnsi" w:hAnsiTheme="minorHAnsi" w:cstheme="minorHAnsi"/>
                <w:sz w:val="20"/>
                <w:szCs w:val="18"/>
              </w:rPr>
              <w:fldChar w:fldCharType="begin" w:fldLock="1"/>
            </w:r>
            <w:r>
              <w:rPr>
                <w:rFonts w:asciiTheme="minorHAnsi" w:hAnsiTheme="minorHAnsi" w:cstheme="minorHAnsi"/>
                <w:sz w:val="20"/>
                <w:szCs w:val="18"/>
              </w:rPr>
              <w:instrText>ADDIN CSL_CITATION {"citationItems":[{"id":"ITEM-1","itemData":{"PMID":"2167008","abstract":"A randomized, clinical trial was conducted to evaluate the spermicidal agent nonoxynol 9 as prophylaxis for sexually transmitted diseases. Eight hundred eighteen women using birth control who attended a sexually transmitted disease clinic were evaluated monthly for trichomoniasis, candidiasis, and bacterial vaginosis for 6 months. Women using the active spermicide experienced a somewhat lower incidence rate of trichomoniasis (relative rate 0.83; 95% confidence interval 0.61 to 1.12) and bacterial vaginosis (relative rate 0.86; 95% confidence interval 0.69 to 1.12) as compared with placebo users. The rate of candidiasis was nearly identical for spermicide and placebo users (relative rate 1.02; 95% confidence interval 0.77 to 1.35). The number of sexual partners during the preceding month was related directly to the occurrence of trichomoniasis (p = 0.047) and bacterial vaginosis (p = 0.009) but not candidiasis (p = 0.99). Subjects using oral contraceptives experienced a statistically significant lower rate of trichomoniasis than did women using an intrauterine contraceptive device or who had had a tubal ligation (relative rate 0.56; 95% confidence interval 0.39 to 0.81).","author":[{"dropping-particle":"","family":"Barbone","given":"F","non-dropping-particle":"","parse-names":false,"suffix":""},{"dropping-particle":"","family":"Austin","given":"H","non-dropping-particle":"","parse-names":false,"suffix":""},{"dropping-particle":"","family":"Louv","given":"W C","non-dropping-particle":"","parse-names":false,"suffix":""},{"dropping-particle":"","family":"Alexander","given":"W J","non-dropping-particle":"","parse-names":false,"suffix":""}],"container-title":"American Journal of Obstetrics and Gynecology","id":"ITEM-1","issue":"2","issued":{"date-parts":[["1990","8"]]},"page":"510-4","title":"A follow-up study of methods of contraception, sexual activity, and rates of trichomoniasis, candidiasis, and bacterial vaginosis.","type":"article-journal","volume":"163"},"uris":["http://www.mendeley.com/documents/?uuid=24d39e3d-44b1-3d88-8d95-23af67f636e0"]}],"mendeley":{"formattedCitation":"[24]","plainTextFormattedCitation":"[24]","previouslyFormattedCitation":"[24]"},"properties":{"noteIndex":0},"schema":"https://github.com/citation-style-language/schema/raw/master/csl-citation.json"}</w:instrText>
            </w:r>
            <w:r>
              <w:rPr>
                <w:rFonts w:asciiTheme="minorHAnsi" w:hAnsiTheme="minorHAnsi" w:cstheme="minorHAnsi"/>
                <w:sz w:val="20"/>
                <w:szCs w:val="18"/>
              </w:rPr>
              <w:fldChar w:fldCharType="separate"/>
            </w:r>
            <w:r w:rsidRPr="00E115DE">
              <w:rPr>
                <w:rFonts w:asciiTheme="minorHAnsi" w:hAnsiTheme="minorHAnsi" w:cstheme="minorHAnsi"/>
                <w:noProof/>
                <w:sz w:val="20"/>
                <w:szCs w:val="18"/>
              </w:rPr>
              <w:t>[24]</w:t>
            </w:r>
            <w:r>
              <w:rPr>
                <w:rFonts w:asciiTheme="minorHAnsi" w:hAnsiTheme="minorHAnsi" w:cstheme="minorHAnsi"/>
                <w:sz w:val="20"/>
                <w:szCs w:val="18"/>
              </w:rPr>
              <w:fldChar w:fldCharType="end"/>
            </w:r>
          </w:p>
        </w:tc>
        <w:tc>
          <w:tcPr>
            <w:tcW w:w="1244" w:type="dxa"/>
          </w:tcPr>
          <w:p w14:paraId="35C0F9CF" w14:textId="77777777" w:rsidR="007D342D" w:rsidRDefault="007D342D" w:rsidP="00DA791E">
            <w:pPr>
              <w:rPr>
                <w:rFonts w:asciiTheme="minorHAnsi" w:hAnsiTheme="minorHAnsi" w:cstheme="minorHAnsi"/>
                <w:sz w:val="20"/>
                <w:szCs w:val="18"/>
              </w:rPr>
            </w:pPr>
            <w:r>
              <w:rPr>
                <w:rFonts w:asciiTheme="minorHAnsi" w:hAnsiTheme="minorHAnsi" w:cstheme="minorHAnsi"/>
                <w:sz w:val="20"/>
                <w:szCs w:val="18"/>
              </w:rPr>
              <w:t>Secondary RCT</w:t>
            </w:r>
          </w:p>
        </w:tc>
        <w:tc>
          <w:tcPr>
            <w:tcW w:w="1286" w:type="dxa"/>
          </w:tcPr>
          <w:p w14:paraId="473C4607" w14:textId="77777777" w:rsidR="007D342D" w:rsidRDefault="007D342D" w:rsidP="00DA791E">
            <w:pPr>
              <w:rPr>
                <w:rFonts w:asciiTheme="minorHAnsi" w:hAnsiTheme="minorHAnsi" w:cstheme="minorHAnsi"/>
                <w:sz w:val="20"/>
                <w:szCs w:val="18"/>
              </w:rPr>
            </w:pPr>
            <w:r>
              <w:rPr>
                <w:rFonts w:asciiTheme="minorHAnsi" w:hAnsiTheme="minorHAnsi" w:cstheme="minorHAnsi"/>
                <w:sz w:val="20"/>
                <w:szCs w:val="18"/>
              </w:rPr>
              <w:t>2</w:t>
            </w:r>
          </w:p>
        </w:tc>
        <w:tc>
          <w:tcPr>
            <w:tcW w:w="1315" w:type="dxa"/>
          </w:tcPr>
          <w:p w14:paraId="6E574D7C" w14:textId="77777777" w:rsidR="007D342D" w:rsidRDefault="007D342D" w:rsidP="00DA791E">
            <w:pPr>
              <w:rPr>
                <w:rFonts w:asciiTheme="minorHAnsi" w:hAnsiTheme="minorHAnsi" w:cstheme="minorHAnsi"/>
                <w:sz w:val="20"/>
                <w:szCs w:val="18"/>
              </w:rPr>
            </w:pPr>
            <w:r>
              <w:rPr>
                <w:rFonts w:asciiTheme="minorHAnsi" w:hAnsiTheme="minorHAnsi" w:cstheme="minorHAnsi"/>
                <w:sz w:val="20"/>
                <w:szCs w:val="18"/>
              </w:rPr>
              <w:t>1</w:t>
            </w:r>
          </w:p>
        </w:tc>
        <w:tc>
          <w:tcPr>
            <w:tcW w:w="1604" w:type="dxa"/>
          </w:tcPr>
          <w:p w14:paraId="2644912C" w14:textId="77777777" w:rsidR="007D342D" w:rsidRPr="00F35DC4" w:rsidRDefault="007D342D" w:rsidP="00DA791E">
            <w:pPr>
              <w:rPr>
                <w:rFonts w:asciiTheme="minorHAnsi" w:hAnsiTheme="minorHAnsi" w:cstheme="minorHAnsi"/>
                <w:sz w:val="20"/>
                <w:szCs w:val="18"/>
              </w:rPr>
            </w:pPr>
            <w:r w:rsidRPr="00F35DC4">
              <w:rPr>
                <w:rFonts w:asciiTheme="minorHAnsi" w:hAnsiTheme="minorHAnsi" w:cstheme="minorHAnsi"/>
                <w:sz w:val="20"/>
                <w:szCs w:val="18"/>
              </w:rPr>
              <w:t>1</w:t>
            </w:r>
          </w:p>
        </w:tc>
        <w:tc>
          <w:tcPr>
            <w:tcW w:w="1293" w:type="dxa"/>
          </w:tcPr>
          <w:p w14:paraId="2F821A08" w14:textId="77777777" w:rsidR="007D342D" w:rsidRPr="001F4B73" w:rsidRDefault="007D342D" w:rsidP="00DA791E">
            <w:pPr>
              <w:rPr>
                <w:rFonts w:asciiTheme="minorHAnsi" w:hAnsiTheme="minorHAnsi" w:cstheme="minorHAnsi"/>
                <w:sz w:val="20"/>
                <w:szCs w:val="18"/>
              </w:rPr>
            </w:pPr>
            <w:r w:rsidRPr="001F4B73">
              <w:rPr>
                <w:rFonts w:asciiTheme="minorHAnsi" w:hAnsiTheme="minorHAnsi" w:cstheme="minorHAnsi"/>
                <w:sz w:val="20"/>
                <w:szCs w:val="18"/>
              </w:rPr>
              <w:t>1</w:t>
            </w:r>
          </w:p>
        </w:tc>
        <w:tc>
          <w:tcPr>
            <w:tcW w:w="1315" w:type="dxa"/>
          </w:tcPr>
          <w:p w14:paraId="2D2D5E9A" w14:textId="77777777" w:rsidR="007D342D" w:rsidRDefault="007D342D" w:rsidP="00DA791E">
            <w:pPr>
              <w:rPr>
                <w:rFonts w:asciiTheme="minorHAnsi" w:hAnsiTheme="minorHAnsi" w:cstheme="minorHAnsi"/>
                <w:sz w:val="20"/>
                <w:szCs w:val="18"/>
              </w:rPr>
            </w:pPr>
            <w:r>
              <w:rPr>
                <w:rFonts w:asciiTheme="minorHAnsi" w:hAnsiTheme="minorHAnsi" w:cstheme="minorHAnsi"/>
                <w:sz w:val="20"/>
                <w:szCs w:val="18"/>
              </w:rPr>
              <w:t>1</w:t>
            </w:r>
          </w:p>
        </w:tc>
        <w:tc>
          <w:tcPr>
            <w:tcW w:w="1277" w:type="dxa"/>
          </w:tcPr>
          <w:p w14:paraId="40930E8A" w14:textId="77777777" w:rsidR="007D342D" w:rsidRPr="006E314D" w:rsidRDefault="007D342D" w:rsidP="00DA791E">
            <w:pPr>
              <w:rPr>
                <w:rFonts w:asciiTheme="minorHAnsi" w:hAnsiTheme="minorHAnsi" w:cstheme="minorHAnsi"/>
                <w:sz w:val="20"/>
                <w:szCs w:val="18"/>
                <w:highlight w:val="yellow"/>
              </w:rPr>
            </w:pPr>
            <w:r w:rsidRPr="001F4B73">
              <w:rPr>
                <w:rFonts w:asciiTheme="minorHAnsi" w:hAnsiTheme="minorHAnsi" w:cstheme="minorHAnsi"/>
                <w:sz w:val="20"/>
                <w:szCs w:val="18"/>
              </w:rPr>
              <w:t>0</w:t>
            </w:r>
          </w:p>
        </w:tc>
        <w:tc>
          <w:tcPr>
            <w:tcW w:w="1396" w:type="dxa"/>
          </w:tcPr>
          <w:p w14:paraId="64A1A0BE" w14:textId="77777777" w:rsidR="007D342D" w:rsidRDefault="007D342D" w:rsidP="00DA791E">
            <w:pPr>
              <w:rPr>
                <w:rFonts w:asciiTheme="minorHAnsi" w:hAnsiTheme="minorHAnsi" w:cstheme="minorHAnsi"/>
                <w:b/>
                <w:sz w:val="20"/>
                <w:szCs w:val="18"/>
              </w:rPr>
            </w:pPr>
            <w:r>
              <w:rPr>
                <w:rFonts w:asciiTheme="minorHAnsi" w:hAnsiTheme="minorHAnsi" w:cstheme="minorHAnsi"/>
                <w:b/>
                <w:sz w:val="20"/>
                <w:szCs w:val="18"/>
              </w:rPr>
              <w:t xml:space="preserve">6 </w:t>
            </w:r>
            <w:r>
              <w:rPr>
                <w:rFonts w:asciiTheme="minorHAnsi" w:hAnsiTheme="minorHAnsi" w:cstheme="minorHAnsi"/>
                <w:sz w:val="20"/>
                <w:szCs w:val="18"/>
              </w:rPr>
              <w:t>(Medium)</w:t>
            </w:r>
          </w:p>
        </w:tc>
      </w:tr>
      <w:tr w:rsidR="007D342D" w:rsidRPr="00EE2286" w14:paraId="68D89413" w14:textId="77777777" w:rsidTr="00DA791E">
        <w:tc>
          <w:tcPr>
            <w:tcW w:w="1985" w:type="dxa"/>
          </w:tcPr>
          <w:p w14:paraId="544EB855" w14:textId="77777777" w:rsidR="007D342D" w:rsidRPr="00EE2286" w:rsidRDefault="007D342D" w:rsidP="00DA791E">
            <w:pPr>
              <w:rPr>
                <w:rFonts w:asciiTheme="minorHAnsi" w:hAnsiTheme="minorHAnsi" w:cstheme="minorHAnsi"/>
                <w:sz w:val="20"/>
                <w:szCs w:val="18"/>
              </w:rPr>
            </w:pPr>
            <w:proofErr w:type="spellStart"/>
            <w:r w:rsidRPr="00EE2286">
              <w:rPr>
                <w:rFonts w:asciiTheme="minorHAnsi" w:hAnsiTheme="minorHAnsi" w:cstheme="minorHAnsi"/>
                <w:sz w:val="20"/>
                <w:szCs w:val="18"/>
              </w:rPr>
              <w:t>Borgdorff</w:t>
            </w:r>
            <w:proofErr w:type="spellEnd"/>
            <w:r w:rsidRPr="00EE2286">
              <w:rPr>
                <w:rFonts w:asciiTheme="minorHAnsi" w:hAnsiTheme="minorHAnsi" w:cstheme="minorHAnsi"/>
                <w:sz w:val="20"/>
                <w:szCs w:val="18"/>
              </w:rPr>
              <w:t xml:space="preserve"> 2015</w:t>
            </w:r>
            <w:r>
              <w:rPr>
                <w:rFonts w:asciiTheme="minorHAnsi" w:hAnsiTheme="minorHAnsi" w:cstheme="minorHAnsi"/>
                <w:sz w:val="20"/>
                <w:szCs w:val="18"/>
              </w:rPr>
              <w:t xml:space="preserve"> </w:t>
            </w:r>
            <w:r>
              <w:rPr>
                <w:rFonts w:asciiTheme="minorHAnsi" w:hAnsiTheme="minorHAnsi" w:cstheme="minorHAnsi"/>
                <w:sz w:val="20"/>
                <w:szCs w:val="18"/>
              </w:rPr>
              <w:fldChar w:fldCharType="begin" w:fldLock="1"/>
            </w:r>
            <w:r>
              <w:rPr>
                <w:rFonts w:asciiTheme="minorHAnsi" w:hAnsiTheme="minorHAnsi" w:cstheme="minorHAnsi"/>
                <w:sz w:val="20"/>
                <w:szCs w:val="18"/>
              </w:rPr>
              <w:instrText>ADDIN CSL_CITATION {"citationItems":[{"id":"ITEM-1","itemData":{"DOI":"10.1097/OLQ.0000000000000245","ISSN":"0148-5717","PMID":"25668647","abstract":"BACKGROUND The observed association between Depo-Provera injectable use and increased HIV acquisition may be caused by hormone-induced increased susceptibility to other sexually transmitted infections (STIs) or changes in the cervicovaginal microbiota (VMB), accompanied by genital immune activation and/or mucosal remodeling. METHODS Rwandan female sex workers (n = 800) were interviewed about contraceptive use and sexual behavior and were tested for STIs, bacterial vaginosis by Nugent score and pregnancy, at baseline. A subset of 397 HIV-negative, nonpregnant women were interviewed and tested again at regular intervals for 2 years. The VMB of a subset of 174 women was characterized by phylogenetic microarray. Outcomes of STI and VMB were compared between women with hormonal exposures (reporting oral contraceptive or injectable use, or testing positive for pregnancy) and controls (not reporting hormonal contraception and not pregnant). RESULTS Oral contraceptive use was associated with increased human papillomavirus prevalence (adjusted odds ratio [aOR], 3.10; 1.21-7.94) and Chlamydia trachomatis incidence (aOR, 6.13; 1.58-23.80), injectable use with increased herpes simplex virus-2 prevalence (aOR, 2.13; 1.26-3.59) and pregnancy with lower HIV prevalence (aOR, 0.45; 0.22-0.92) but higher candidiasis incidence (aOR, 2.14; 1.12-4.09). Hormonal status was not associated with Nugent score category or phylogenetic VMB clustering, but oral contraceptive users had lower semiquantitative vaginal abundance of Prevotella, Sneathia/Leptotrichia amnionii, and Mycoplasma species. CONCLUSIONS Oral contraceptive and injectable use were associated with several STIs but not with VMB composition. The increased herpes simplex virus-2 prevalence among injectable users might explain the potentially higher HIV risk in these women, but more research is needed to confirm these results and elucidate biological mechanisms.","author":[{"dropping-particle":"","family":"Borgdorff","given":"Hanneke","non-dropping-particle":"","parse-names":false,"suffix":""},{"dropping-particle":"","family":"Verwijs","given":"Marijn C.","non-dropping-particle":"","parse-names":false,"suffix":""},{"dropping-particle":"","family":"Wit","given":"Ferdinand W.N.M.","non-dropping-particle":"","parse-names":false,"suffix":""},{"dropping-particle":"","family":"Tsivtsivadze","given":"Evgeni","non-dropping-particle":"","parse-names":false,"suffix":""},{"dropping-particle":"","family":"Ndayisaba","given":"Gilles F.","non-dropping-particle":"","parse-names":false,"suffix":""},{"dropping-particle":"","family":"Verhelst","given":"Rita","non-dropping-particle":"","parse-names":false,"suffix":""},{"dropping-particle":"","family":"Schuren","given":"Frank H.","non-dropping-particle":"","parse-names":false,"suffix":""},{"dropping-particle":"","family":"Wijgert","given":"Janneke H.H.M.","non-dropping-particle":"van de","parse-names":false,"suffix":""}],"container-title":"Sexually Transmitted Diseases","id":"ITEM-1","issue":"3","issued":{"date-parts":[["2015","3"]]},"page":"143-152","title":"The impact of hormonal contraception and pregnancy on sexually transmitted infections and on cervicovaginal microbiota in African sex workers","type":"article-journal","volume":"42"},"uris":["http://www.mendeley.com/documents/?uuid=7085ed09-1392-3a2e-8bf7-46c4f1b4e68f"]}],"mendeley":{"formattedCitation":"[37]","plainTextFormattedCitation":"[37]","previouslyFormattedCitation":"[37]"},"properties":{"noteIndex":0},"schema":"https://github.com/citation-style-language/schema/raw/master/csl-citation.json"}</w:instrText>
            </w:r>
            <w:r>
              <w:rPr>
                <w:rFonts w:asciiTheme="minorHAnsi" w:hAnsiTheme="minorHAnsi" w:cstheme="minorHAnsi"/>
                <w:sz w:val="20"/>
                <w:szCs w:val="18"/>
              </w:rPr>
              <w:fldChar w:fldCharType="separate"/>
            </w:r>
            <w:r w:rsidRPr="008031AE">
              <w:rPr>
                <w:rFonts w:asciiTheme="minorHAnsi" w:hAnsiTheme="minorHAnsi" w:cstheme="minorHAnsi"/>
                <w:noProof/>
                <w:sz w:val="20"/>
                <w:szCs w:val="18"/>
              </w:rPr>
              <w:t>[37]</w:t>
            </w:r>
            <w:r>
              <w:rPr>
                <w:rFonts w:asciiTheme="minorHAnsi" w:hAnsiTheme="minorHAnsi" w:cstheme="minorHAnsi"/>
                <w:sz w:val="20"/>
                <w:szCs w:val="18"/>
              </w:rPr>
              <w:fldChar w:fldCharType="end"/>
            </w:r>
          </w:p>
        </w:tc>
        <w:tc>
          <w:tcPr>
            <w:tcW w:w="1244" w:type="dxa"/>
          </w:tcPr>
          <w:p w14:paraId="6B0270F7"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PC</w:t>
            </w:r>
          </w:p>
        </w:tc>
        <w:tc>
          <w:tcPr>
            <w:tcW w:w="1286" w:type="dxa"/>
          </w:tcPr>
          <w:p w14:paraId="57B496A2"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315" w:type="dxa"/>
          </w:tcPr>
          <w:p w14:paraId="4603BC10"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604" w:type="dxa"/>
          </w:tcPr>
          <w:p w14:paraId="18528B48"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93" w:type="dxa"/>
          </w:tcPr>
          <w:p w14:paraId="31B5F7FD"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315" w:type="dxa"/>
          </w:tcPr>
          <w:p w14:paraId="2CF76C8B"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77" w:type="dxa"/>
          </w:tcPr>
          <w:p w14:paraId="2B0BDCDA"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396" w:type="dxa"/>
          </w:tcPr>
          <w:p w14:paraId="01244E32"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b/>
                <w:sz w:val="20"/>
                <w:szCs w:val="18"/>
              </w:rPr>
              <w:t xml:space="preserve">9 </w:t>
            </w:r>
            <w:r w:rsidRPr="00EE2286">
              <w:rPr>
                <w:rFonts w:asciiTheme="minorHAnsi" w:hAnsiTheme="minorHAnsi" w:cstheme="minorHAnsi"/>
                <w:sz w:val="20"/>
                <w:szCs w:val="18"/>
              </w:rPr>
              <w:t>(High)</w:t>
            </w:r>
          </w:p>
        </w:tc>
      </w:tr>
      <w:tr w:rsidR="007D342D" w:rsidRPr="00EE2286" w14:paraId="2179677F" w14:textId="77777777" w:rsidTr="00DA791E">
        <w:tc>
          <w:tcPr>
            <w:tcW w:w="1985" w:type="dxa"/>
          </w:tcPr>
          <w:p w14:paraId="57B59AC8" w14:textId="77777777" w:rsidR="007D342D" w:rsidRPr="00EE2286" w:rsidRDefault="007D342D" w:rsidP="00DA791E">
            <w:pPr>
              <w:rPr>
                <w:rFonts w:asciiTheme="minorHAnsi" w:hAnsiTheme="minorHAnsi" w:cstheme="minorHAnsi"/>
                <w:sz w:val="20"/>
                <w:szCs w:val="18"/>
              </w:rPr>
            </w:pPr>
            <w:proofErr w:type="spellStart"/>
            <w:r w:rsidRPr="00EE2286">
              <w:rPr>
                <w:rFonts w:asciiTheme="minorHAnsi" w:hAnsiTheme="minorHAnsi" w:cstheme="minorHAnsi"/>
                <w:sz w:val="20"/>
                <w:szCs w:val="18"/>
              </w:rPr>
              <w:t>Brahmbhatt</w:t>
            </w:r>
            <w:proofErr w:type="spellEnd"/>
            <w:r w:rsidRPr="00EE2286">
              <w:rPr>
                <w:rFonts w:asciiTheme="minorHAnsi" w:hAnsiTheme="minorHAnsi" w:cstheme="minorHAnsi"/>
                <w:sz w:val="20"/>
                <w:szCs w:val="18"/>
              </w:rPr>
              <w:t xml:space="preserve"> 2014</w:t>
            </w:r>
            <w:r>
              <w:rPr>
                <w:rFonts w:asciiTheme="minorHAnsi" w:hAnsiTheme="minorHAnsi" w:cstheme="minorHAnsi"/>
                <w:sz w:val="20"/>
                <w:szCs w:val="18"/>
              </w:rPr>
              <w:t xml:space="preserve"> </w:t>
            </w:r>
            <w:r>
              <w:rPr>
                <w:rFonts w:asciiTheme="minorHAnsi" w:hAnsiTheme="minorHAnsi" w:cstheme="minorHAnsi"/>
                <w:sz w:val="20"/>
                <w:szCs w:val="18"/>
              </w:rPr>
              <w:fldChar w:fldCharType="begin" w:fldLock="1"/>
            </w:r>
            <w:r>
              <w:rPr>
                <w:rFonts w:asciiTheme="minorHAnsi" w:hAnsiTheme="minorHAnsi" w:cstheme="minorHAnsi"/>
                <w:sz w:val="20"/>
                <w:szCs w:val="18"/>
              </w:rPr>
              <w:instrText>ADDIN CSL_CITATION {"citationItems":[{"id":"ITEM-1","itemData":{"DOI":"10.1155/2014/916597","ISSN":"2090-7893","PMID":"26316977","abstract":"Background. Data on the incidence of Trichomonas vaginalis and use of hormonal contraception (HC) are limited. Methods. 2,374 sexually active women aged 15-49 years from cohort surveys in Rakai, Uganda, were included. Incidence of T. vaginalis was estimated per 100 person years (py) and association between HC (DMPA, Norplant, and oral contraceptives) and T. vaginalis infection was assessed by incidence rate ratios (IRR), using Poisson regression models. Results. At baseline, 34.9% had used HC in the last 12 months, 12.8% HIV+, 39.7% with high BV-scores (7-10), and 3.1% syphilis positive. The 12-month incidence of T. vaginalis was 2.4/100 py; CI (1.90, 3.25). When stratified by type of HC used, compared to women who did not use HC or condoms, incidence of T. vaginalis was significantly higher among users of Norplant (adj.IRR = 3.01, CI: 1.07-8.49) and significantly lower among DMPA users (adj.IRR = 0.55, CI: 0.30, 0.98) and women who discontinued HC use at follow-up (adj.IRR = 0.30, CI: 0.09, 0.99). HIV infection was associated with an increase in incidence of T. vaginalis (adj.IRR = 2.34, CI: 1.44, 3.78). Conclusions. Use of Norplant and being HIV+ significantly increased the risk of T. vaginalis, while use of DMPA and discontinuation of overall HC use were associated with a decreased incidence of T. vaginalis.","author":[{"dropping-particle":"","family":"Brahmbhatt","given":"Heena","non-dropping-particle":"","parse-names":false,"suffix":""},{"dropping-particle":"","family":"Musoke","given":"Richard","non-dropping-particle":"","parse-names":false,"suffix":""},{"dropping-particle":"","family":"Makumbi","given":"Frederick","non-dropping-particle":"","parse-names":false,"suffix":""},{"dropping-particle":"","family":"Kigozi","given":"Godfrey","non-dropping-particle":"","parse-names":false,"suffix":""},{"dropping-particle":"","family":"Serwadda","given":"David","non-dropping-particle":"","parse-names":false,"suffix":""},{"dropping-particle":"","family":"Wawer","given":"Maria","non-dropping-particle":"","parse-names":false,"suffix":""},{"dropping-particle":"","family":"Gray","given":"Ronald","non-dropping-particle":"","parse-names":false,"suffix":""}],"container-title":"Journal of Sexually Transmitted Diseases","id":"ITEM-1","issued":{"date-parts":[["2014"]]},"page":"916597","title":"Trichomonas vaginalis incidence associated with hormonal contraceptive use and HIV infection among women in Rakai, Uganda","type":"article-journal","volume":"2014"},"uris":["http://www.mendeley.com/documents/?uuid=e8f7a045-c986-3fa1-861b-6d802b050610"]}],"mendeley":{"formattedCitation":"[46]","plainTextFormattedCitation":"[46]","previouslyFormattedCitation":"[46]"},"properties":{"noteIndex":0},"schema":"https://github.com/citation-style-language/schema/raw/master/csl-citation.json"}</w:instrText>
            </w:r>
            <w:r>
              <w:rPr>
                <w:rFonts w:asciiTheme="minorHAnsi" w:hAnsiTheme="minorHAnsi" w:cstheme="minorHAnsi"/>
                <w:sz w:val="20"/>
                <w:szCs w:val="18"/>
              </w:rPr>
              <w:fldChar w:fldCharType="separate"/>
            </w:r>
            <w:r w:rsidRPr="008E6390">
              <w:rPr>
                <w:rFonts w:asciiTheme="minorHAnsi" w:hAnsiTheme="minorHAnsi" w:cstheme="minorHAnsi"/>
                <w:noProof/>
                <w:sz w:val="20"/>
                <w:szCs w:val="18"/>
              </w:rPr>
              <w:t>[46]</w:t>
            </w:r>
            <w:r>
              <w:rPr>
                <w:rFonts w:asciiTheme="minorHAnsi" w:hAnsiTheme="minorHAnsi" w:cstheme="minorHAnsi"/>
                <w:sz w:val="20"/>
                <w:szCs w:val="18"/>
              </w:rPr>
              <w:fldChar w:fldCharType="end"/>
            </w:r>
          </w:p>
        </w:tc>
        <w:tc>
          <w:tcPr>
            <w:tcW w:w="1244" w:type="dxa"/>
          </w:tcPr>
          <w:p w14:paraId="6CFFD5F3"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PC</w:t>
            </w:r>
          </w:p>
        </w:tc>
        <w:tc>
          <w:tcPr>
            <w:tcW w:w="1286" w:type="dxa"/>
          </w:tcPr>
          <w:p w14:paraId="2DBFCFAD"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315" w:type="dxa"/>
          </w:tcPr>
          <w:p w14:paraId="328EF830"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604" w:type="dxa"/>
          </w:tcPr>
          <w:p w14:paraId="31D42932"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93" w:type="dxa"/>
          </w:tcPr>
          <w:p w14:paraId="333D4240"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315" w:type="dxa"/>
          </w:tcPr>
          <w:p w14:paraId="502357FB"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77" w:type="dxa"/>
          </w:tcPr>
          <w:p w14:paraId="76F32401"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0</w:t>
            </w:r>
          </w:p>
        </w:tc>
        <w:tc>
          <w:tcPr>
            <w:tcW w:w="1396" w:type="dxa"/>
          </w:tcPr>
          <w:p w14:paraId="68B922D0"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b/>
                <w:sz w:val="20"/>
                <w:szCs w:val="18"/>
              </w:rPr>
              <w:t>6</w:t>
            </w:r>
            <w:r w:rsidRPr="00EE2286">
              <w:rPr>
                <w:rFonts w:asciiTheme="minorHAnsi" w:hAnsiTheme="minorHAnsi" w:cstheme="minorHAnsi"/>
                <w:b/>
                <w:sz w:val="20"/>
                <w:szCs w:val="18"/>
              </w:rPr>
              <w:t xml:space="preserve"> </w:t>
            </w:r>
            <w:r w:rsidRPr="00EE2286">
              <w:rPr>
                <w:rFonts w:asciiTheme="minorHAnsi" w:hAnsiTheme="minorHAnsi" w:cstheme="minorHAnsi"/>
                <w:sz w:val="20"/>
                <w:szCs w:val="18"/>
              </w:rPr>
              <w:t>(Medium)</w:t>
            </w:r>
          </w:p>
        </w:tc>
      </w:tr>
      <w:tr w:rsidR="007D342D" w:rsidRPr="00EE2286" w14:paraId="1CCBBDC0" w14:textId="77777777" w:rsidTr="00DA791E">
        <w:tc>
          <w:tcPr>
            <w:tcW w:w="1985" w:type="dxa"/>
          </w:tcPr>
          <w:p w14:paraId="4984361F" w14:textId="77777777" w:rsidR="007D342D" w:rsidRPr="00EE2286" w:rsidRDefault="007D342D" w:rsidP="00DA791E">
            <w:pPr>
              <w:rPr>
                <w:rFonts w:asciiTheme="minorHAnsi" w:hAnsiTheme="minorHAnsi" w:cstheme="minorHAnsi"/>
                <w:sz w:val="20"/>
                <w:szCs w:val="18"/>
              </w:rPr>
            </w:pPr>
            <w:proofErr w:type="spellStart"/>
            <w:r w:rsidRPr="00EE2286">
              <w:rPr>
                <w:rFonts w:asciiTheme="minorHAnsi" w:hAnsiTheme="minorHAnsi" w:cstheme="minorHAnsi"/>
                <w:sz w:val="20"/>
                <w:szCs w:val="18"/>
              </w:rPr>
              <w:t>Chohan</w:t>
            </w:r>
            <w:proofErr w:type="spellEnd"/>
            <w:r w:rsidRPr="00EE2286">
              <w:rPr>
                <w:rFonts w:asciiTheme="minorHAnsi" w:hAnsiTheme="minorHAnsi" w:cstheme="minorHAnsi"/>
                <w:sz w:val="20"/>
                <w:szCs w:val="18"/>
              </w:rPr>
              <w:t xml:space="preserve"> 2009</w:t>
            </w:r>
            <w:r>
              <w:rPr>
                <w:rFonts w:asciiTheme="minorHAnsi" w:hAnsiTheme="minorHAnsi" w:cstheme="minorHAnsi"/>
                <w:sz w:val="20"/>
                <w:szCs w:val="18"/>
              </w:rPr>
              <w:t xml:space="preserve"> </w:t>
            </w:r>
            <w:r>
              <w:rPr>
                <w:rFonts w:asciiTheme="minorHAnsi" w:hAnsiTheme="minorHAnsi" w:cstheme="minorHAnsi"/>
                <w:sz w:val="20"/>
                <w:szCs w:val="18"/>
              </w:rPr>
              <w:fldChar w:fldCharType="begin" w:fldLock="1"/>
            </w:r>
            <w:r>
              <w:rPr>
                <w:rFonts w:asciiTheme="minorHAnsi" w:hAnsiTheme="minorHAnsi" w:cstheme="minorHAnsi"/>
                <w:sz w:val="20"/>
                <w:szCs w:val="18"/>
              </w:rPr>
              <w:instrText>ADDIN CSL_CITATION {"citationItems":[{"id":"ITEM-1","itemData":{"DOI":"10.1136/sti.2009.036103","ISSN":"1368-4973","PMID":"19457873","abstract":"OBJECTIVES Several studies have demonstrated an association between herpes simplex virus type 2 (HSV-2) and HIV-1, but available data on risk factors for HSV-2 acquisition are limited. The objective of this analysis was to determine the incidence and risk factors for HSV-2 acquisition among HIV-1-seronegative female sex workers in Kenya. METHODS Between February 1993 and December 2006, HIV-1-seronegative women attending a municipal sexually transmitted infection (STI) clinic were invited to enroll in a prospective cohort study. Screening for HIV-1 and STIs were done at monthly follow-up visits. Archived blood samples were tested for HSV-2. RESULTS Of 1527 HIV-1-seronegative women enrolled, 302 (20%) were HSV-2 seronegative at baseline of whom 297 had at least one follow-up visit. HSV-2 incidence was high (23 cases/100 person-years; 115 cases). In multivariate analysis, HSV-2 was significantly associated with more recent entry into sex work, workplace and higher number of sex partners per week. Condom use was protective, although this was statistically significant only for the intermediate strata (25-75% condom use; HR 0.43; p = 0.05). There were statistical trends for bacterial vaginosis to increase HSV-2 risk (HR 1.56; p = 0.07) and for oral contraceptive use to decrease risk (HR 0.50; p = 0.08). The 23% annual HSV-2 incidence in this study is among the highest reported anywhere in the world. CONCLUSIONS Women were at increased risk if they had recently entered sex work, had a higher number of sex partners or worked in bars. HSV-2 risk reduction interventions are urgently needed among high-risk African women.","author":[{"dropping-particle":"","family":"Chohan","given":"V","non-dropping-particle":"","parse-names":false,"suffix":""},{"dropping-particle":"","family":"Baeten","given":"J M","non-dropping-particle":"","parse-names":false,"suffix":""},{"dropping-particle":"","family":"Benki","given":"S","non-dropping-particle":"","parse-names":false,"suffix":""},{"dropping-particle":"","family":"Graham","given":"S M","non-dropping-particle":"","parse-names":false,"suffix":""},{"dropping-particle":"","family":"Lavreys","given":"L","non-dropping-particle":"","parse-names":false,"suffix":""},{"dropping-particle":"","family":"Mandaliya","given":"K","non-dropping-particle":"","parse-names":false,"suffix":""},{"dropping-particle":"","family":"Ndinya-Achola","given":"J O","non-dropping-particle":"","parse-names":false,"suffix":""},{"dropping-particle":"","family":"Jaoko","given":"W","non-dropping-particle":"","parse-names":false,"suffix":""},{"dropping-particle":"","family":"Overbaugh","given":"J","non-dropping-particle":"","parse-names":false,"suffix":""},{"dropping-particle":"","family":"McClelland","given":"R S","non-dropping-particle":"","parse-names":false,"suffix":""}],"container-title":"Sexually Transmitted Infections","id":"ITEM-1","issue":"7","issued":{"date-parts":[["2009","12","1"]]},"page":"489-492","title":"A prospective study of risk factors for herpes simplex virus type 2 acquisition among high-risk HIV-1 seronegative women in Kenya","type":"article-journal","volume":"85"},"uris":["http://www.mendeley.com/documents/?uuid=911de947-1b48-33f1-9e3e-dd4221d2291e"]}],"mendeley":{"formattedCitation":"[53]","plainTextFormattedCitation":"[53]","previouslyFormattedCitation":"[53]"},"properties":{"noteIndex":0},"schema":"https://github.com/citation-style-language/schema/raw/master/csl-citation.json"}</w:instrText>
            </w:r>
            <w:r>
              <w:rPr>
                <w:rFonts w:asciiTheme="minorHAnsi" w:hAnsiTheme="minorHAnsi" w:cstheme="minorHAnsi"/>
                <w:sz w:val="20"/>
                <w:szCs w:val="18"/>
              </w:rPr>
              <w:fldChar w:fldCharType="separate"/>
            </w:r>
            <w:r w:rsidRPr="008E6390">
              <w:rPr>
                <w:rFonts w:asciiTheme="minorHAnsi" w:hAnsiTheme="minorHAnsi" w:cstheme="minorHAnsi"/>
                <w:noProof/>
                <w:sz w:val="20"/>
                <w:szCs w:val="18"/>
              </w:rPr>
              <w:t>[53]</w:t>
            </w:r>
            <w:r>
              <w:rPr>
                <w:rFonts w:asciiTheme="minorHAnsi" w:hAnsiTheme="minorHAnsi" w:cstheme="minorHAnsi"/>
                <w:sz w:val="20"/>
                <w:szCs w:val="18"/>
              </w:rPr>
              <w:fldChar w:fldCharType="end"/>
            </w:r>
          </w:p>
        </w:tc>
        <w:tc>
          <w:tcPr>
            <w:tcW w:w="1244" w:type="dxa"/>
          </w:tcPr>
          <w:p w14:paraId="701D2BEF"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PC</w:t>
            </w:r>
          </w:p>
        </w:tc>
        <w:tc>
          <w:tcPr>
            <w:tcW w:w="1286" w:type="dxa"/>
          </w:tcPr>
          <w:p w14:paraId="2A2B6683"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315" w:type="dxa"/>
          </w:tcPr>
          <w:p w14:paraId="5E087EA3"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604" w:type="dxa"/>
          </w:tcPr>
          <w:p w14:paraId="06EF2542"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93" w:type="dxa"/>
          </w:tcPr>
          <w:p w14:paraId="1F7519FD"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315" w:type="dxa"/>
          </w:tcPr>
          <w:p w14:paraId="6A72BD8C"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77" w:type="dxa"/>
          </w:tcPr>
          <w:p w14:paraId="4EDE9E5E"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396" w:type="dxa"/>
          </w:tcPr>
          <w:p w14:paraId="4D6E5550"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b/>
                <w:sz w:val="20"/>
                <w:szCs w:val="18"/>
              </w:rPr>
              <w:t xml:space="preserve">7 </w:t>
            </w:r>
            <w:r w:rsidRPr="00EE2286">
              <w:rPr>
                <w:rFonts w:asciiTheme="minorHAnsi" w:hAnsiTheme="minorHAnsi" w:cstheme="minorHAnsi"/>
                <w:sz w:val="20"/>
                <w:szCs w:val="18"/>
              </w:rPr>
              <w:t>(Medium)</w:t>
            </w:r>
          </w:p>
        </w:tc>
      </w:tr>
      <w:tr w:rsidR="007D342D" w:rsidRPr="00EE2286" w14:paraId="17F55EF9" w14:textId="77777777" w:rsidTr="00DA791E">
        <w:tc>
          <w:tcPr>
            <w:tcW w:w="1985" w:type="dxa"/>
          </w:tcPr>
          <w:p w14:paraId="4F3B2080" w14:textId="77777777" w:rsidR="007D342D" w:rsidRPr="00EE2286" w:rsidRDefault="007D342D" w:rsidP="00DA791E">
            <w:pPr>
              <w:rPr>
                <w:rFonts w:asciiTheme="minorHAnsi" w:hAnsiTheme="minorHAnsi" w:cstheme="minorHAnsi"/>
                <w:sz w:val="20"/>
                <w:szCs w:val="18"/>
              </w:rPr>
            </w:pPr>
            <w:proofErr w:type="spellStart"/>
            <w:r w:rsidRPr="00EE2286">
              <w:rPr>
                <w:rFonts w:asciiTheme="minorHAnsi" w:hAnsiTheme="minorHAnsi" w:cstheme="minorHAnsi"/>
                <w:sz w:val="20"/>
                <w:szCs w:val="18"/>
              </w:rPr>
              <w:t>Gosvig</w:t>
            </w:r>
            <w:proofErr w:type="spellEnd"/>
            <w:r w:rsidRPr="00EE2286">
              <w:rPr>
                <w:rFonts w:asciiTheme="minorHAnsi" w:hAnsiTheme="minorHAnsi" w:cstheme="minorHAnsi"/>
                <w:sz w:val="20"/>
                <w:szCs w:val="18"/>
              </w:rPr>
              <w:t xml:space="preserve"> 2013</w:t>
            </w:r>
            <w:r>
              <w:rPr>
                <w:rFonts w:asciiTheme="minorHAnsi" w:hAnsiTheme="minorHAnsi" w:cstheme="minorHAnsi"/>
                <w:sz w:val="20"/>
                <w:szCs w:val="18"/>
              </w:rPr>
              <w:t xml:space="preserve"> </w:t>
            </w:r>
            <w:r>
              <w:rPr>
                <w:rFonts w:asciiTheme="minorHAnsi" w:hAnsiTheme="minorHAnsi" w:cstheme="minorHAnsi"/>
                <w:sz w:val="20"/>
                <w:szCs w:val="18"/>
              </w:rPr>
              <w:fldChar w:fldCharType="begin" w:fldLock="1"/>
            </w:r>
            <w:r>
              <w:rPr>
                <w:rFonts w:asciiTheme="minorHAnsi" w:hAnsiTheme="minorHAnsi" w:cstheme="minorHAnsi"/>
                <w:sz w:val="20"/>
                <w:szCs w:val="18"/>
              </w:rPr>
              <w:instrText>ADDIN CSL_CITATION {"citationItems":[{"id":"ITEM-1","itemData":{"DOI":"10.1016/j.ygyno.2013.09.002","ISSN":"00908258","PMID":"24035849","abstract":"OBJECTIVE Women with early cervical cancer or intraepithelial neoplasia grades 2 and 3 (CIN2+) are treated by conization; however, they still have a higher risk for subsequent CIN2+ than the general female population. Persistence of high-risk (HR) human papillomavirus (HPV) is a key factor in the development of CIN2+. We investigated persistence and reappearance of type-specific HR HPV infection after conization and evaluated possible co-factors. METHODS During 2002-2006, cervical swabs from 604 women were collected before conization, at 4-6 months and at 8-12 months after conization. HPV was detected by HC2 and genotyped by LiPAv2. Information on co-factors was collected through a questionnaire. Associations were assessed by multivariate logistic regression analysis. RESULTS HR HPV persistence rate was 9.5%. The α5/6 species were more likely to persist than α9 species (OR, 2.28; 95% CI, 1.11-4.70). For single infections, a doubling in viral load at enrolment increased the risk for persistence by 36% (95% CI, 1.13-1.63). In addition, margin status was associated with risk of persistence. Smoking, oral contraceptive use and severity of the cervical lesion did not significantly affect persistence. Among the HPV infections that had cleared, 2.2% reappeared. CONCLUSION Our study indicates that viral load is important in predicting HPV persistence. The α5/6 species were most likely to persist. However, most of these HPV types have a lower carcinogenic potential than the α7/α9 species and may be by-standers. Further studies are needed to assess whether pre-conization viral load can also predict subsequent CIN2+.","author":[{"dropping-particle":"","family":"Gosvig","given":"Camilla Flarup","non-dropping-particle":"","parse-names":false,"suffix":""},{"dropping-particle":"","family":"Huusom","given":"Lene Drasbek","non-dropping-particle":"","parse-names":false,"suffix":""},{"dropping-particle":"","family":"Andersen","given":"Klaus Kaae","non-dropping-particle":"","parse-names":false,"suffix":""},{"dropping-particle":"","family":"Iftner","given":"Angelika","non-dropping-particle":"","parse-names":false,"suffix":""},{"dropping-particle":"","family":"Cederkvist","given":"Luise","non-dropping-particle":"","parse-names":false,"suffix":""},{"dropping-particle":"","family":"Svare","given":"Edith","non-dropping-particle":"","parse-names":false,"suffix":""},{"dropping-particle":"","family":"Iftner","given":"Thomas","non-dropping-particle":"","parse-names":false,"suffix":""},{"dropping-particle":"","family":"Kjaer","given":"Susanne Krüger","non-dropping-particle":"","parse-names":false,"suffix":""}],"container-title":"Gynecologic Oncology","id":"ITEM-1","issue":"3","issued":{"date-parts":[["2013","12"]]},"page":"661-666","title":"Persistence and reappearance of high-risk human papillomavirus after conization","type":"article-journal","volume":"131"},"uris":["http://www.mendeley.com/documents/?uuid=50bbec7d-2bf6-33d2-8eda-29170738f869"]}],"mendeley":{"formattedCitation":"[38]","plainTextFormattedCitation":"[38]","previouslyFormattedCitation":"[38]"},"properties":{"noteIndex":0},"schema":"https://github.com/citation-style-language/schema/raw/master/csl-citation.json"}</w:instrText>
            </w:r>
            <w:r>
              <w:rPr>
                <w:rFonts w:asciiTheme="minorHAnsi" w:hAnsiTheme="minorHAnsi" w:cstheme="minorHAnsi"/>
                <w:sz w:val="20"/>
                <w:szCs w:val="18"/>
              </w:rPr>
              <w:fldChar w:fldCharType="separate"/>
            </w:r>
            <w:r w:rsidRPr="008031AE">
              <w:rPr>
                <w:rFonts w:asciiTheme="minorHAnsi" w:hAnsiTheme="minorHAnsi" w:cstheme="minorHAnsi"/>
                <w:noProof/>
                <w:sz w:val="20"/>
                <w:szCs w:val="18"/>
              </w:rPr>
              <w:t>[38]</w:t>
            </w:r>
            <w:r>
              <w:rPr>
                <w:rFonts w:asciiTheme="minorHAnsi" w:hAnsiTheme="minorHAnsi" w:cstheme="minorHAnsi"/>
                <w:sz w:val="20"/>
                <w:szCs w:val="18"/>
              </w:rPr>
              <w:fldChar w:fldCharType="end"/>
            </w:r>
          </w:p>
        </w:tc>
        <w:tc>
          <w:tcPr>
            <w:tcW w:w="1244" w:type="dxa"/>
          </w:tcPr>
          <w:p w14:paraId="2A5ABFB8"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PC</w:t>
            </w:r>
          </w:p>
        </w:tc>
        <w:tc>
          <w:tcPr>
            <w:tcW w:w="1286" w:type="dxa"/>
          </w:tcPr>
          <w:p w14:paraId="7679BAED"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315" w:type="dxa"/>
          </w:tcPr>
          <w:p w14:paraId="37050212"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604" w:type="dxa"/>
          </w:tcPr>
          <w:p w14:paraId="562D3CA3"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1</w:t>
            </w:r>
          </w:p>
        </w:tc>
        <w:tc>
          <w:tcPr>
            <w:tcW w:w="1293" w:type="dxa"/>
          </w:tcPr>
          <w:p w14:paraId="207C19BA"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315" w:type="dxa"/>
          </w:tcPr>
          <w:p w14:paraId="53F3A63F"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277" w:type="dxa"/>
          </w:tcPr>
          <w:p w14:paraId="453DA923"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0</w:t>
            </w:r>
          </w:p>
        </w:tc>
        <w:tc>
          <w:tcPr>
            <w:tcW w:w="1396" w:type="dxa"/>
          </w:tcPr>
          <w:p w14:paraId="698E6CEB"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b/>
                <w:sz w:val="20"/>
                <w:szCs w:val="18"/>
              </w:rPr>
              <w:t>9</w:t>
            </w:r>
            <w:r w:rsidRPr="00EE2286">
              <w:rPr>
                <w:rFonts w:asciiTheme="minorHAnsi" w:hAnsiTheme="minorHAnsi" w:cstheme="minorHAnsi"/>
                <w:b/>
                <w:sz w:val="20"/>
                <w:szCs w:val="18"/>
              </w:rPr>
              <w:t xml:space="preserve"> </w:t>
            </w:r>
            <w:r w:rsidRPr="00EE2286">
              <w:rPr>
                <w:rFonts w:asciiTheme="minorHAnsi" w:hAnsiTheme="minorHAnsi" w:cstheme="minorHAnsi"/>
                <w:sz w:val="20"/>
                <w:szCs w:val="18"/>
              </w:rPr>
              <w:t>(High)</w:t>
            </w:r>
          </w:p>
        </w:tc>
      </w:tr>
      <w:tr w:rsidR="007D342D" w:rsidRPr="00EE2286" w14:paraId="40385E98" w14:textId="77777777" w:rsidTr="00DA791E">
        <w:tc>
          <w:tcPr>
            <w:tcW w:w="1985" w:type="dxa"/>
          </w:tcPr>
          <w:p w14:paraId="3B4923A4"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Grabowski 2015</w:t>
            </w:r>
            <w:r>
              <w:rPr>
                <w:rFonts w:asciiTheme="minorHAnsi" w:hAnsiTheme="minorHAnsi" w:cstheme="minorHAnsi"/>
                <w:sz w:val="20"/>
                <w:szCs w:val="18"/>
              </w:rPr>
              <w:t xml:space="preserve"> </w:t>
            </w:r>
            <w:r>
              <w:rPr>
                <w:rFonts w:asciiTheme="minorHAnsi" w:hAnsiTheme="minorHAnsi" w:cstheme="minorHAnsi"/>
                <w:sz w:val="20"/>
                <w:szCs w:val="18"/>
              </w:rPr>
              <w:fldChar w:fldCharType="begin" w:fldLock="1"/>
            </w:r>
            <w:r>
              <w:rPr>
                <w:rFonts w:asciiTheme="minorHAnsi" w:hAnsiTheme="minorHAnsi" w:cstheme="minorHAnsi"/>
                <w:sz w:val="20"/>
                <w:szCs w:val="18"/>
              </w:rPr>
              <w:instrText>ADDIN CSL_CITATION {"citationItems":[{"id":"ITEM-1","itemData":{"DOI":"10.1016/S2214-109X(15)00086-8","ISSN":"2214-109X","PMID":"26094162","abstract":"BACKGROUND The injectable hormonal contraceptive depo-medroxyprogesterone acetate (DMPA) has been associated with increased risk of HIV acquisition, but findings are inconsistent. Whether DMPA increases the risk of other sexually transmitted viral infections is unknown. We assessed the association between DMPA use and incident herpes simplex virus type 2 (HSV2) infection in women. METHODS In this prospective study, we enrolled HIV-negative and HSV2-negative women aged 15-49 years whose HIV-negative male partners were concurrently enrolled in a randomised trial of male circumcision in Rakai, Uganda. We excluded women if either they or their male partners HIV seroconverted. The primary outcome was HSV2 seroconversion, assessed annually. The male circumcision trial was registered with ClinicalTrials.gov, number NCT00425984. FINDINGS Between Aug 11, 2003, and July 6, 2006, we enrolled 682 women in this study. We noted HSV2 seroconversions in 70 (10%) women. Incidence was 13·5 per 100 person-years in women consistently using DMPA (nine incident infections per 66·5 person-years), 4·3 per 100 person-years in pregnant women who were not using hormonal contraception (18 incident infections per 423·5 person-years), and 6·6 per 100 person-years in women who were neither pregnant nor using hormonal contraception (35 incident infections per 529·5 person-years). Women consistently using DMPA had an adjusted hazard ratio for HSV2 seroconversion of 2·26 (95% CI 1·09-4·69; p=0·029) compared with women who were neither pregnant nor using hormonal contraception. Of 132 women with HSV2-seropositive partners, seroconversion was 36·4 per 100 person-years in consistent DMPA users (four incident infections per 11 person-years) and 10·7 per 100 person-years in women who were neither pregnant nor using hormonal contraception (11 incident infections per 103 person-years; adjusted hazard ratio 6·23, 95% CI 1·49-26·3; p=0·012). INTERPRETATION Consistent DMPA use might increase risk of HSV2 seroconversion; however, study power was low. These findings should be assessed in larger populations with more frequent follow-up than in this study, and other contraceptive methods should also be assessed. Access to a wide range of highly effective contraceptive methods is needed for women, particularly in sub-Saharan Africa. FUNDING Bill and Melinda Gates Foundation, Doris Duke Charitable Foundation, US National Institutes of Health, and Fogarty International Center.","author":[{"dropping-particle":"","family":"Grabowski","given":"Mary K","non-dropping-particle":"","parse-names":false,"suffix":""},{"dropping-particle":"","family":"Gray","given":"Ronald H","non-dropping-particle":"","parse-names":false,"suffix":""},{"dropping-particle":"","family":"Makumbi","given":"Fred","non-dropping-particle":"","parse-names":false,"suffix":""},{"dropping-particle":"","family":"Kagaayi","given":"Joseph","non-dropping-particle":"","parse-names":false,"suffix":""},{"dropping-particle":"","family":"Redd","given":"Andrew D","non-dropping-particle":"","parse-names":false,"suffix":""},{"dropping-particle":"","family":"Kigozi","given":"Godfrey","non-dropping-particle":"","parse-names":false,"suffix":""},{"dropping-particle":"","family":"Reynolds","given":"Steven J","non-dropping-particle":"","parse-names":false,"suffix":""},{"dropping-particle":"","family":"Nalugoda","given":"Fred","non-dropping-particle":"","parse-names":false,"suffix":""},{"dropping-particle":"","family":"Lutalo","given":"Tom","non-dropping-particle":"","parse-names":false,"suffix":""},{"dropping-particle":"","family":"Wawer","given":"Maria J","non-dropping-particle":"","parse-names":false,"suffix":""},{"dropping-particle":"","family":"Serwadda","given":"David","non-dropping-particle":"","parse-names":false,"suffix":""},{"dropping-particle":"","family":"Quinn","given":"Thomas C","non-dropping-particle":"","parse-names":false,"suffix":""},{"dropping-particle":"","family":"Tobian","given":"Aaron A R","non-dropping-particle":"","parse-names":false,"suffix":""}],"container-title":"Lancet Global Health","id":"ITEM-1","issue":"8","issued":{"date-parts":[["2015"]]},"page":"e478-e486","title":"Use of injectable hormonal contraception and women's risk of herpes simplex virus type 2 acquisition: a prospective study of couples in Rakai, Uganda.","type":"article-journal","volume":"3"},"uris":["http://www.mendeley.com/documents/?uuid=11556fb4-df05-30ea-8e41-258109be4078"]}],"mendeley":{"formattedCitation":"[35]","plainTextFormattedCitation":"[35]","previouslyFormattedCitation":"[35]"},"properties":{"noteIndex":0},"schema":"https://github.com/citation-style-language/schema/raw/master/csl-citation.json"}</w:instrText>
            </w:r>
            <w:r>
              <w:rPr>
                <w:rFonts w:asciiTheme="minorHAnsi" w:hAnsiTheme="minorHAnsi" w:cstheme="minorHAnsi"/>
                <w:sz w:val="20"/>
                <w:szCs w:val="18"/>
              </w:rPr>
              <w:fldChar w:fldCharType="separate"/>
            </w:r>
            <w:r w:rsidRPr="008E6390">
              <w:rPr>
                <w:rFonts w:asciiTheme="minorHAnsi" w:hAnsiTheme="minorHAnsi" w:cstheme="minorHAnsi"/>
                <w:noProof/>
                <w:sz w:val="20"/>
                <w:szCs w:val="18"/>
              </w:rPr>
              <w:t>[35]</w:t>
            </w:r>
            <w:r>
              <w:rPr>
                <w:rFonts w:asciiTheme="minorHAnsi" w:hAnsiTheme="minorHAnsi" w:cstheme="minorHAnsi"/>
                <w:sz w:val="20"/>
                <w:szCs w:val="18"/>
              </w:rPr>
              <w:fldChar w:fldCharType="end"/>
            </w:r>
          </w:p>
        </w:tc>
        <w:tc>
          <w:tcPr>
            <w:tcW w:w="1244" w:type="dxa"/>
          </w:tcPr>
          <w:p w14:paraId="7FE9125B"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Secondary RCT</w:t>
            </w:r>
          </w:p>
        </w:tc>
        <w:tc>
          <w:tcPr>
            <w:tcW w:w="1286" w:type="dxa"/>
          </w:tcPr>
          <w:p w14:paraId="2B722DB6"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315" w:type="dxa"/>
          </w:tcPr>
          <w:p w14:paraId="5650744F"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604" w:type="dxa"/>
          </w:tcPr>
          <w:p w14:paraId="678AE8B1"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93" w:type="dxa"/>
          </w:tcPr>
          <w:p w14:paraId="570DC104"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315" w:type="dxa"/>
          </w:tcPr>
          <w:p w14:paraId="45B293D0"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77" w:type="dxa"/>
          </w:tcPr>
          <w:p w14:paraId="6EDD78D6"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0</w:t>
            </w:r>
          </w:p>
        </w:tc>
        <w:tc>
          <w:tcPr>
            <w:tcW w:w="1396" w:type="dxa"/>
          </w:tcPr>
          <w:p w14:paraId="4171A79F"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b/>
                <w:sz w:val="20"/>
                <w:szCs w:val="18"/>
              </w:rPr>
              <w:t xml:space="preserve">7 </w:t>
            </w:r>
            <w:r w:rsidRPr="00EE2286">
              <w:rPr>
                <w:rFonts w:asciiTheme="minorHAnsi" w:hAnsiTheme="minorHAnsi" w:cstheme="minorHAnsi"/>
                <w:sz w:val="20"/>
                <w:szCs w:val="18"/>
              </w:rPr>
              <w:t>(Medium)</w:t>
            </w:r>
          </w:p>
        </w:tc>
      </w:tr>
      <w:tr w:rsidR="007D342D" w:rsidRPr="00EE2286" w14:paraId="21588071" w14:textId="77777777" w:rsidTr="00DA791E">
        <w:tc>
          <w:tcPr>
            <w:tcW w:w="1985" w:type="dxa"/>
          </w:tcPr>
          <w:p w14:paraId="4D91D345" w14:textId="77777777" w:rsidR="007D342D" w:rsidRPr="00EE2286" w:rsidRDefault="007D342D" w:rsidP="00DA791E">
            <w:pPr>
              <w:rPr>
                <w:rFonts w:asciiTheme="minorHAnsi" w:hAnsiTheme="minorHAnsi" w:cstheme="minorHAnsi"/>
                <w:sz w:val="20"/>
                <w:szCs w:val="18"/>
              </w:rPr>
            </w:pPr>
            <w:proofErr w:type="spellStart"/>
            <w:r w:rsidRPr="00EE2286">
              <w:rPr>
                <w:rFonts w:asciiTheme="minorHAnsi" w:hAnsiTheme="minorHAnsi" w:cstheme="minorHAnsi"/>
                <w:sz w:val="20"/>
                <w:szCs w:val="18"/>
              </w:rPr>
              <w:t>Kapiga</w:t>
            </w:r>
            <w:proofErr w:type="spellEnd"/>
            <w:r w:rsidRPr="00EE2286">
              <w:rPr>
                <w:rFonts w:asciiTheme="minorHAnsi" w:hAnsiTheme="minorHAnsi" w:cstheme="minorHAnsi"/>
                <w:sz w:val="20"/>
                <w:szCs w:val="18"/>
              </w:rPr>
              <w:t xml:space="preserve"> 2009</w:t>
            </w:r>
            <w:r>
              <w:rPr>
                <w:rFonts w:asciiTheme="minorHAnsi" w:hAnsiTheme="minorHAnsi" w:cstheme="minorHAnsi"/>
                <w:sz w:val="20"/>
                <w:szCs w:val="18"/>
              </w:rPr>
              <w:t xml:space="preserve"> </w:t>
            </w:r>
            <w:r>
              <w:rPr>
                <w:rFonts w:asciiTheme="minorHAnsi" w:hAnsiTheme="minorHAnsi" w:cstheme="minorHAnsi"/>
                <w:sz w:val="20"/>
                <w:szCs w:val="18"/>
              </w:rPr>
              <w:fldChar w:fldCharType="begin" w:fldLock="1"/>
            </w:r>
            <w:r>
              <w:rPr>
                <w:rFonts w:asciiTheme="minorHAnsi" w:hAnsiTheme="minorHAnsi" w:cstheme="minorHAnsi"/>
                <w:sz w:val="20"/>
                <w:szCs w:val="18"/>
              </w:rPr>
              <w:instrText>ADDIN CSL_CITATION {"citationItems":[{"id":"ITEM-1","itemData":{"DOI":"10.1097/OLQ.0b013e318191ba01","PMID":"19265734","abstract":"OBJECTIVE To determine risk factors for sexually transmitted infections (STIs) among women in Durban and Hlabisa (South Africa), Moshi (Tanzania), and Lusaka (Zambia). STUDY DESIGN Between 2003 and 2004, 958 women at risk of STIs were enrolled in a 1-year prospective study. They were interviewed at each monthly visit, and samples for STI testing were collected during quarterly and other visits when clinically indicated. RESULTS The incidence of infections as measured in person-years at risk (PYAR) was as follows: overall trichomoniasis, 31.9/100 PYAR; chlamydial infection in South Africa, 19.5/100 PYAR; chlamydial infection in Tanzania and Zambia, 4.9/100 PYAR; gonorrhea in South Africa, 16.5/100 PYAR; gonorrhea in Tanzania and Zambia, 5.3/100 PYAR; overall syphilis, 7.5/100 PYAR; and overall HIV, 3.8/100 PYAR. The incidence of most STIs was highest among the South African sites, where chlamydial infection and gonorrhea were detected by using a more sensitive assay. Independent risk factors included age, hormonal contraceptive methods, and measures of sexual behavior, including number of sex partners and occurrence of anal sex in the past 3 months. Women with incident HIV infection were at increased risk of chlamydial infection [odds ratio (OR) = 5.5, 95% confidence interval (CI): 2.0-15.2]and gonorrhea (OR = 5.7, 95% CI: 1.9-17.0) in South African sites. Despite ongoing counseling during the study, high-risk sexual behaviors were common, and consistent condom use remained low. CONCLUSIONS The incidence of STIs, including HIV, was high among women in this study. These findings highlight the urgent need for effective HIV/STI prevention programs in this population.","author":[{"dropping-particle":"","family":"Kapiga","given":"Saidi","non-dropping-particle":"","parse-names":false,"suffix":""},{"dropping-particle":"","family":"Kelly","given":"Cliff","non-dropping-particle":"","parse-names":false,"suffix":""},{"dropping-particle":"","family":"Weiss","given":"Stephen","non-dropping-particle":"","parse-names":false,"suffix":""},{"dropping-particle":"","family":"Daley","given":"Tara","non-dropping-particle":"","parse-names":false,"suffix":""},{"dropping-particle":"","family":"Peterson","given":"Leigh","non-dropping-particle":"","parse-names":false,"suffix":""},{"dropping-particle":"","family":"Leburg","given":"Corey","non-dropping-particle":"","parse-names":false,"suffix":""},{"dropping-particle":"","family":"Ramjee","given":"Gita","non-dropping-particle":"","parse-names":false,"suffix":""}],"container-title":"Sexually Transmitted Diseases","id":"ITEM-1","issue":"4","issued":{"date-parts":[["2009","4"]]},"page":"199-206","title":"Risk factors for incidence of sexually transmitted infections among women in South Africa, Tanzania, and Zambia: Results from HPTN 055 study","type":"article-journal","volume":"36"},"uris":["http://www.mendeley.com/documents/?uuid=9796a310-66c3-3ac3-ac3f-20e1f341bfc4"]}],"mendeley":{"formattedCitation":"[47]","plainTextFormattedCitation":"[47]","previouslyFormattedCitation":"[47]"},"properties":{"noteIndex":0},"schema":"https://github.com/citation-style-language/schema/raw/master/csl-citation.json"}</w:instrText>
            </w:r>
            <w:r>
              <w:rPr>
                <w:rFonts w:asciiTheme="minorHAnsi" w:hAnsiTheme="minorHAnsi" w:cstheme="minorHAnsi"/>
                <w:sz w:val="20"/>
                <w:szCs w:val="18"/>
              </w:rPr>
              <w:fldChar w:fldCharType="separate"/>
            </w:r>
            <w:r w:rsidRPr="008E6390">
              <w:rPr>
                <w:rFonts w:asciiTheme="minorHAnsi" w:hAnsiTheme="minorHAnsi" w:cstheme="minorHAnsi"/>
                <w:noProof/>
                <w:sz w:val="20"/>
                <w:szCs w:val="18"/>
              </w:rPr>
              <w:t>[47]</w:t>
            </w:r>
            <w:r>
              <w:rPr>
                <w:rFonts w:asciiTheme="minorHAnsi" w:hAnsiTheme="minorHAnsi" w:cstheme="minorHAnsi"/>
                <w:sz w:val="20"/>
                <w:szCs w:val="18"/>
              </w:rPr>
              <w:fldChar w:fldCharType="end"/>
            </w:r>
          </w:p>
        </w:tc>
        <w:tc>
          <w:tcPr>
            <w:tcW w:w="1244" w:type="dxa"/>
          </w:tcPr>
          <w:p w14:paraId="6E62E70A"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PC</w:t>
            </w:r>
          </w:p>
        </w:tc>
        <w:tc>
          <w:tcPr>
            <w:tcW w:w="1286" w:type="dxa"/>
          </w:tcPr>
          <w:p w14:paraId="634656D4"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0</w:t>
            </w:r>
          </w:p>
        </w:tc>
        <w:tc>
          <w:tcPr>
            <w:tcW w:w="1315" w:type="dxa"/>
          </w:tcPr>
          <w:p w14:paraId="1C7DE7F2"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604" w:type="dxa"/>
          </w:tcPr>
          <w:p w14:paraId="2537FC18"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93" w:type="dxa"/>
          </w:tcPr>
          <w:p w14:paraId="6FCEDBA3"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315" w:type="dxa"/>
          </w:tcPr>
          <w:p w14:paraId="6DCD01E2"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77" w:type="dxa"/>
          </w:tcPr>
          <w:p w14:paraId="6CCE3D1A"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0</w:t>
            </w:r>
          </w:p>
        </w:tc>
        <w:tc>
          <w:tcPr>
            <w:tcW w:w="1396" w:type="dxa"/>
          </w:tcPr>
          <w:p w14:paraId="3F0AEDFB"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b/>
                <w:sz w:val="20"/>
                <w:szCs w:val="18"/>
              </w:rPr>
              <w:t xml:space="preserve">4 </w:t>
            </w:r>
            <w:r w:rsidRPr="00EE2286">
              <w:rPr>
                <w:rFonts w:asciiTheme="minorHAnsi" w:hAnsiTheme="minorHAnsi" w:cstheme="minorHAnsi"/>
                <w:sz w:val="20"/>
                <w:szCs w:val="18"/>
              </w:rPr>
              <w:t>(Low)</w:t>
            </w:r>
          </w:p>
        </w:tc>
      </w:tr>
      <w:tr w:rsidR="007D342D" w:rsidRPr="00EE2286" w14:paraId="45306AD1" w14:textId="77777777" w:rsidTr="00DA791E">
        <w:tc>
          <w:tcPr>
            <w:tcW w:w="1985" w:type="dxa"/>
          </w:tcPr>
          <w:p w14:paraId="5B4422C0" w14:textId="77777777" w:rsidR="007D342D" w:rsidRPr="00EE2286" w:rsidRDefault="007D342D" w:rsidP="00DA791E">
            <w:pPr>
              <w:rPr>
                <w:rFonts w:asciiTheme="minorHAnsi" w:hAnsiTheme="minorHAnsi" w:cstheme="minorHAnsi"/>
                <w:sz w:val="20"/>
                <w:szCs w:val="18"/>
              </w:rPr>
            </w:pPr>
            <w:proofErr w:type="spellStart"/>
            <w:r>
              <w:rPr>
                <w:rFonts w:asciiTheme="minorHAnsi" w:hAnsiTheme="minorHAnsi" w:cstheme="minorHAnsi"/>
                <w:sz w:val="20"/>
                <w:szCs w:val="18"/>
              </w:rPr>
              <w:t>Lavreys</w:t>
            </w:r>
            <w:proofErr w:type="spellEnd"/>
            <w:r>
              <w:rPr>
                <w:rFonts w:asciiTheme="minorHAnsi" w:hAnsiTheme="minorHAnsi" w:cstheme="minorHAnsi"/>
                <w:sz w:val="20"/>
                <w:szCs w:val="18"/>
              </w:rPr>
              <w:t xml:space="preserve"> 2004 </w:t>
            </w:r>
            <w:r>
              <w:rPr>
                <w:rFonts w:asciiTheme="minorHAnsi" w:hAnsiTheme="minorHAnsi" w:cstheme="minorHAnsi"/>
                <w:sz w:val="20"/>
                <w:szCs w:val="18"/>
              </w:rPr>
              <w:fldChar w:fldCharType="begin" w:fldLock="1"/>
            </w:r>
            <w:r>
              <w:rPr>
                <w:rFonts w:asciiTheme="minorHAnsi" w:hAnsiTheme="minorHAnsi" w:cstheme="minorHAnsi"/>
                <w:sz w:val="20"/>
                <w:szCs w:val="18"/>
              </w:rPr>
              <w:instrText>ADDIN CSL_CITATION {"citationItems":[{"id":"ITEM-1","itemData":{"PMID":"15577651","abstract":"OBJECTIVE To evaluate the relationship between hormonal contraceptive use and the acquisition of cervical sexually transmitted infections (STI) among HIV-1-infected women. DESIGN A prospective cohort study of 242 commercial sex workers in Mombasa, Kenya, followed from the time of HIV-1 infection. METHODS At monthly follow-up visits, sexual behavior and contraceptive use were recorded, and laboratory screening for STI was performed. Multivariate Andersen-Gill proportional hazards models were constructed to examine the association between the use of hormonal contraception and the occurrence of cervical STI. RESULTS The median duration of follow-up after HIV-1 acquisition was 35 months, and 799 person-years of follow-up were accrued. After adjustment for demographic factors and sexual behavior, women using the injectable contraceptive depot medroxyprogesterone acetate were at increased risk of Chlamydia trachomatis infection [hazard ratio (HR) 3.1, 95% confidence interval (CI) 1.0-9.4, P = 0.05] and cervicitis (HR 1.6, 95% CI 1.0-2.3, P = 0.03) compared with women using no contraception. The use of oral contraceptive pills was associated with an increased risk of cervicitis (HR 2.3, 95% CI 1.4-3.8, P = 0.001). Hormonal contraception was not associated with an increased risk of infection with Neisseria gonorrhoeae. CONCLUSION The use of hormonal contraception by HIV-1-infected women was associated with an increased risk of cervicitis and cervical chlamydia infection. HIV-1-seropositive women using hormonal contraception should be counseled about the importance of consistent condom use to prevent both STI and HIV-1 transmission.","author":[{"dropping-particle":"","family":"Lavreys","given":"Ludo","non-dropping-particle":"","parse-names":false,"suffix":""},{"dropping-particle":"","family":"Chohan","given":"Varsha","non-dropping-particle":"","parse-names":false,"suffix":""},{"dropping-particle":"","family":"Overbaugh","given":"Julie","non-dropping-particle":"","parse-names":false,"suffix":""},{"dropping-particle":"","family":"Hassan","given":"Wisal","non-dropping-particle":"","parse-names":false,"suffix":""},{"dropping-particle":"","family":"McClelland","given":"R Scott","non-dropping-particle":"","parse-names":false,"suffix":""},{"dropping-particle":"","family":"Kreiss","given":"Joan","non-dropping-particle":"","parse-names":false,"suffix":""},{"dropping-particle":"","family":"Mandaliya","given":"Kishorchandra","non-dropping-particle":"","parse-names":false,"suffix":""},{"dropping-particle":"","family":"Ndinya-Achola","given":"Jeckoniah","non-dropping-particle":"","parse-names":false,"suffix":""},{"dropping-particle":"","family":"Baeten","given":"Jared M","non-dropping-particle":"","parse-names":false,"suffix":""}],"container-title":"AIDS","id":"ITEM-1","issue":"16","issued":{"date-parts":[["2004","11","5"]]},"page":"2179-84","title":"Hormonal contraception and risk of cervical infections among HIV-1-seropositive Kenyan women.","type":"article-journal","volume":"18"},"uris":["http://www.mendeley.com/documents/?uuid=1293a26e-ffa5-3334-9218-5711b0ffcca4"]}],"mendeley":{"formattedCitation":"[22]","plainTextFormattedCitation":"[22]","previouslyFormattedCitation":"[22]"},"properties":{"noteIndex":0},"schema":"https://github.com/citation-style-language/schema/raw/master/csl-citation.json"}</w:instrText>
            </w:r>
            <w:r>
              <w:rPr>
                <w:rFonts w:asciiTheme="minorHAnsi" w:hAnsiTheme="minorHAnsi" w:cstheme="minorHAnsi"/>
                <w:sz w:val="20"/>
                <w:szCs w:val="18"/>
              </w:rPr>
              <w:fldChar w:fldCharType="separate"/>
            </w:r>
            <w:r w:rsidRPr="00E115DE">
              <w:rPr>
                <w:rFonts w:asciiTheme="minorHAnsi" w:hAnsiTheme="minorHAnsi" w:cstheme="minorHAnsi"/>
                <w:noProof/>
                <w:sz w:val="20"/>
                <w:szCs w:val="18"/>
              </w:rPr>
              <w:t>[22]</w:t>
            </w:r>
            <w:r>
              <w:rPr>
                <w:rFonts w:asciiTheme="minorHAnsi" w:hAnsiTheme="minorHAnsi" w:cstheme="minorHAnsi"/>
                <w:sz w:val="20"/>
                <w:szCs w:val="18"/>
              </w:rPr>
              <w:fldChar w:fldCharType="end"/>
            </w:r>
          </w:p>
        </w:tc>
        <w:tc>
          <w:tcPr>
            <w:tcW w:w="1244" w:type="dxa"/>
          </w:tcPr>
          <w:p w14:paraId="5FF60653"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PC</w:t>
            </w:r>
          </w:p>
        </w:tc>
        <w:tc>
          <w:tcPr>
            <w:tcW w:w="1286" w:type="dxa"/>
          </w:tcPr>
          <w:p w14:paraId="7C5D918A"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1</w:t>
            </w:r>
          </w:p>
        </w:tc>
        <w:tc>
          <w:tcPr>
            <w:tcW w:w="1315" w:type="dxa"/>
          </w:tcPr>
          <w:p w14:paraId="2CA550D9"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2</w:t>
            </w:r>
          </w:p>
        </w:tc>
        <w:tc>
          <w:tcPr>
            <w:tcW w:w="1604" w:type="dxa"/>
          </w:tcPr>
          <w:p w14:paraId="5D1B5618"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0</w:t>
            </w:r>
          </w:p>
        </w:tc>
        <w:tc>
          <w:tcPr>
            <w:tcW w:w="1293" w:type="dxa"/>
          </w:tcPr>
          <w:p w14:paraId="7CC2B892"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1</w:t>
            </w:r>
          </w:p>
        </w:tc>
        <w:tc>
          <w:tcPr>
            <w:tcW w:w="1315" w:type="dxa"/>
          </w:tcPr>
          <w:p w14:paraId="552FC1C8"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1</w:t>
            </w:r>
          </w:p>
        </w:tc>
        <w:tc>
          <w:tcPr>
            <w:tcW w:w="1277" w:type="dxa"/>
          </w:tcPr>
          <w:p w14:paraId="242A0287"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0</w:t>
            </w:r>
          </w:p>
        </w:tc>
        <w:tc>
          <w:tcPr>
            <w:tcW w:w="1396" w:type="dxa"/>
          </w:tcPr>
          <w:p w14:paraId="7AAFCBF5" w14:textId="77777777" w:rsidR="007D342D" w:rsidRPr="001F4B73" w:rsidRDefault="007D342D" w:rsidP="00DA791E">
            <w:pPr>
              <w:rPr>
                <w:rFonts w:asciiTheme="minorHAnsi" w:hAnsiTheme="minorHAnsi" w:cstheme="minorHAnsi"/>
                <w:sz w:val="20"/>
                <w:szCs w:val="18"/>
              </w:rPr>
            </w:pPr>
            <w:r w:rsidRPr="001F4B73">
              <w:rPr>
                <w:rFonts w:asciiTheme="minorHAnsi" w:hAnsiTheme="minorHAnsi" w:cstheme="minorHAnsi"/>
                <w:b/>
                <w:sz w:val="20"/>
                <w:szCs w:val="18"/>
              </w:rPr>
              <w:t>5</w:t>
            </w:r>
            <w:r w:rsidRPr="00AE0B59">
              <w:rPr>
                <w:rFonts w:asciiTheme="minorHAnsi" w:hAnsiTheme="minorHAnsi" w:cstheme="minorHAnsi"/>
                <w:b/>
                <w:sz w:val="20"/>
                <w:szCs w:val="18"/>
              </w:rPr>
              <w:t xml:space="preserve"> </w:t>
            </w:r>
            <w:r w:rsidRPr="00AE0B59">
              <w:rPr>
                <w:rFonts w:asciiTheme="minorHAnsi" w:hAnsiTheme="minorHAnsi" w:cstheme="minorHAnsi"/>
                <w:sz w:val="20"/>
                <w:szCs w:val="18"/>
              </w:rPr>
              <w:t>(Medium)</w:t>
            </w:r>
          </w:p>
        </w:tc>
      </w:tr>
      <w:tr w:rsidR="007D342D" w:rsidRPr="00EE2286" w14:paraId="547AE8C6" w14:textId="77777777" w:rsidTr="00DA791E">
        <w:tc>
          <w:tcPr>
            <w:tcW w:w="1985" w:type="dxa"/>
          </w:tcPr>
          <w:p w14:paraId="6D7EB4A8" w14:textId="77777777" w:rsidR="007D342D" w:rsidRPr="00EE2286" w:rsidRDefault="007D342D" w:rsidP="00DA791E">
            <w:pPr>
              <w:rPr>
                <w:rFonts w:asciiTheme="minorHAnsi" w:hAnsiTheme="minorHAnsi" w:cstheme="minorHAnsi"/>
                <w:sz w:val="20"/>
                <w:szCs w:val="18"/>
              </w:rPr>
            </w:pPr>
            <w:proofErr w:type="spellStart"/>
            <w:r w:rsidRPr="00EE2286">
              <w:rPr>
                <w:rFonts w:asciiTheme="minorHAnsi" w:hAnsiTheme="minorHAnsi" w:cstheme="minorHAnsi"/>
                <w:sz w:val="20"/>
                <w:szCs w:val="18"/>
              </w:rPr>
              <w:t>Lekovich</w:t>
            </w:r>
            <w:proofErr w:type="spellEnd"/>
            <w:r w:rsidRPr="00EE2286">
              <w:rPr>
                <w:rFonts w:asciiTheme="minorHAnsi" w:hAnsiTheme="minorHAnsi" w:cstheme="minorHAnsi"/>
                <w:sz w:val="20"/>
                <w:szCs w:val="18"/>
              </w:rPr>
              <w:t xml:space="preserve"> 2015</w:t>
            </w:r>
            <w:r>
              <w:rPr>
                <w:rFonts w:asciiTheme="minorHAnsi" w:hAnsiTheme="minorHAnsi" w:cstheme="minorHAnsi"/>
                <w:sz w:val="20"/>
                <w:szCs w:val="18"/>
              </w:rPr>
              <w:t xml:space="preserve"> </w:t>
            </w:r>
            <w:r>
              <w:rPr>
                <w:rFonts w:asciiTheme="minorHAnsi" w:hAnsiTheme="minorHAnsi" w:cstheme="minorHAnsi"/>
                <w:sz w:val="20"/>
                <w:szCs w:val="18"/>
              </w:rPr>
              <w:fldChar w:fldCharType="begin" w:fldLock="1"/>
            </w:r>
            <w:r>
              <w:rPr>
                <w:rFonts w:asciiTheme="minorHAnsi" w:hAnsiTheme="minorHAnsi" w:cstheme="minorHAnsi"/>
                <w:sz w:val="20"/>
                <w:szCs w:val="18"/>
              </w:rPr>
              <w:instrText>ADDIN CSL_CITATION {"citationItems":[{"id":"ITEM-1","itemData":{"DOI":"10.1097/AOG.0000000000000760","ISSN":"0029-7844","PMID":"25932838","abstract":"OBJECTIVE To investigate whether there is a difference in cervical cytology and high-risk human papillomavirus (HPV) infection clearance between levonorgestrel- and copper-containing intrauterine device (IUD) users. METHODS The electronic medical record system was searched by the appropriate procedural code for IUD insertion for all patients undergoing IUD placement during the study period (January 31, 2005 to January 31, 2012). Patients who received treatment for cervical dysplasia, had their IUDs removed, or conceived during the study period were excluded. High-risk HPV and cervical cytology results immediately preceding and after IUD placement were obtained. RESULTS One hundred fifty patients had a copper-containing and 152 patients a levonorgestrel-containing IUD placed. The groups were comparable in terms of age, body mass index, duration of follow-up, and percentage of smokers. Sixty-six patients were high-risk HPV-positive before IUD insertion (30 in copper compared with 36 in the levonorgestrel IUD group, P=.4), and the groups had similar follow-up times (364.1±26.3 compared with 357.2±29.7 days, respectively, between the IUD placement and a repeat Pap test with high-risk HPV cotesting, P=.2). Of those, 21 (70%; 95% confidence interval [CI] 53.6-86.4%) cleared the infection after copper-containing IUD placement compared with 15 (42%; 95% CI 25.6-57.8%) in the levonorgestrel group (P=.04). There were only two (1.7%) new high-risk HPV infections in the copper compared with eight (6.9%) in the levonorgestrel group (P=.056). CONCLUSION Our data suggest that levonorgestrel-containing IUD could be associated with decreased high-risk HPV infection clearance and possibly increased acquisition compared with the copper-containing IUD. LEVEL OF EVIDENCE II.","author":[{"dropping-particle":"","family":"Lekovich","given":"Jovana P.","non-dropping-particle":"","parse-names":false,"suffix":""},{"dropping-particle":"","family":"Amrane","given":"Selma","non-dropping-particle":"","parse-names":false,"suffix":""},{"dropping-particle":"","family":"Pangasa","given":"Misha","non-dropping-particle":"","parse-names":false,"suffix":""},{"dropping-particle":"","family":"Pereira","given":"Nigel","non-dropping-particle":"","parse-names":false,"suffix":""},{"dropping-particle":"","family":"Frey","given":"Melissa K.","non-dropping-particle":"","parse-names":false,"suffix":""},{"dropping-particle":"","family":"Varrey","given":"Aneesha","non-dropping-particle":"","parse-names":false,"suffix":""},{"dropping-particle":"","family":"Holcomb","given":"Kevin","non-dropping-particle":"","parse-names":false,"suffix":""}],"container-title":"Obstetrics &amp; Gynecology","id":"ITEM-1","issue":"5","issued":{"date-parts":[["2015","5"]]},"page":"1101-1105","title":"Comparison of Human Papillomavirus infection and cervical cytology in women using copper-containing and levonorgestrel-containing intrauterine devices","type":"article-journal","volume":"125"},"uris":["http://www.mendeley.com/documents/?uuid=05e76661-815b-3a03-b534-08fb18c1154f"]}],"mendeley":{"formattedCitation":"[39]","plainTextFormattedCitation":"[39]","previouslyFormattedCitation":"[39]"},"properties":{"noteIndex":0},"schema":"https://github.com/citation-style-language/schema/raw/master/csl-citation.json"}</w:instrText>
            </w:r>
            <w:r>
              <w:rPr>
                <w:rFonts w:asciiTheme="minorHAnsi" w:hAnsiTheme="minorHAnsi" w:cstheme="minorHAnsi"/>
                <w:sz w:val="20"/>
                <w:szCs w:val="18"/>
              </w:rPr>
              <w:fldChar w:fldCharType="separate"/>
            </w:r>
            <w:r w:rsidRPr="008031AE">
              <w:rPr>
                <w:rFonts w:asciiTheme="minorHAnsi" w:hAnsiTheme="minorHAnsi" w:cstheme="minorHAnsi"/>
                <w:noProof/>
                <w:sz w:val="20"/>
                <w:szCs w:val="18"/>
              </w:rPr>
              <w:t>[39]</w:t>
            </w:r>
            <w:r>
              <w:rPr>
                <w:rFonts w:asciiTheme="minorHAnsi" w:hAnsiTheme="minorHAnsi" w:cstheme="minorHAnsi"/>
                <w:sz w:val="20"/>
                <w:szCs w:val="18"/>
              </w:rPr>
              <w:fldChar w:fldCharType="end"/>
            </w:r>
          </w:p>
        </w:tc>
        <w:tc>
          <w:tcPr>
            <w:tcW w:w="1244" w:type="dxa"/>
          </w:tcPr>
          <w:p w14:paraId="30E57DFA"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RC</w:t>
            </w:r>
          </w:p>
        </w:tc>
        <w:tc>
          <w:tcPr>
            <w:tcW w:w="1286" w:type="dxa"/>
          </w:tcPr>
          <w:p w14:paraId="6F1EBDDA"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315" w:type="dxa"/>
          </w:tcPr>
          <w:p w14:paraId="096652D4"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604" w:type="dxa"/>
          </w:tcPr>
          <w:p w14:paraId="35844198"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93" w:type="dxa"/>
          </w:tcPr>
          <w:p w14:paraId="2DD52F00"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315" w:type="dxa"/>
          </w:tcPr>
          <w:p w14:paraId="6678D11D"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77" w:type="dxa"/>
          </w:tcPr>
          <w:p w14:paraId="43FB35A1"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0</w:t>
            </w:r>
          </w:p>
        </w:tc>
        <w:tc>
          <w:tcPr>
            <w:tcW w:w="1396" w:type="dxa"/>
          </w:tcPr>
          <w:p w14:paraId="17453124"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b/>
                <w:sz w:val="20"/>
                <w:szCs w:val="18"/>
              </w:rPr>
              <w:t xml:space="preserve">6 </w:t>
            </w:r>
            <w:r w:rsidRPr="00EE2286">
              <w:rPr>
                <w:rFonts w:asciiTheme="minorHAnsi" w:hAnsiTheme="minorHAnsi" w:cstheme="minorHAnsi"/>
                <w:sz w:val="20"/>
                <w:szCs w:val="18"/>
              </w:rPr>
              <w:t>(Medium)</w:t>
            </w:r>
          </w:p>
        </w:tc>
      </w:tr>
      <w:tr w:rsidR="007D342D" w:rsidRPr="00EE2286" w14:paraId="17379E3D" w14:textId="77777777" w:rsidTr="00DA791E">
        <w:tc>
          <w:tcPr>
            <w:tcW w:w="1985" w:type="dxa"/>
          </w:tcPr>
          <w:p w14:paraId="0A40E4B3" w14:textId="77777777" w:rsidR="007D342D" w:rsidRPr="00EE2286" w:rsidRDefault="007D342D" w:rsidP="00DA791E">
            <w:pPr>
              <w:rPr>
                <w:rFonts w:asciiTheme="minorHAnsi" w:hAnsiTheme="minorHAnsi" w:cstheme="minorHAnsi"/>
                <w:sz w:val="20"/>
                <w:szCs w:val="18"/>
              </w:rPr>
            </w:pPr>
            <w:proofErr w:type="spellStart"/>
            <w:r>
              <w:rPr>
                <w:rFonts w:asciiTheme="minorHAnsi" w:hAnsiTheme="minorHAnsi" w:cstheme="minorHAnsi"/>
                <w:sz w:val="20"/>
                <w:szCs w:val="18"/>
              </w:rPr>
              <w:t>Louv</w:t>
            </w:r>
            <w:proofErr w:type="spellEnd"/>
            <w:r>
              <w:rPr>
                <w:rFonts w:asciiTheme="minorHAnsi" w:hAnsiTheme="minorHAnsi" w:cstheme="minorHAnsi"/>
                <w:sz w:val="20"/>
                <w:szCs w:val="18"/>
              </w:rPr>
              <w:t xml:space="preserve"> 1989 </w:t>
            </w:r>
            <w:r>
              <w:rPr>
                <w:rFonts w:asciiTheme="minorHAnsi" w:hAnsiTheme="minorHAnsi" w:cstheme="minorHAnsi"/>
                <w:sz w:val="20"/>
                <w:szCs w:val="18"/>
              </w:rPr>
              <w:fldChar w:fldCharType="begin" w:fldLock="1"/>
            </w:r>
            <w:r>
              <w:rPr>
                <w:rFonts w:asciiTheme="minorHAnsi" w:hAnsiTheme="minorHAnsi" w:cstheme="minorHAnsi"/>
                <w:sz w:val="20"/>
                <w:szCs w:val="18"/>
              </w:rPr>
              <w:instrText>ADDIN CSL_CITATION {"citationItems":[{"id":"ITEM-1","itemData":{"PMID":"2916625","abstract":"Oral contraceptive users were compared with nonusers with respect to the rate of cervical infections by Chlamydia trachomatis and Neisseria gonorrhoeae. The comparison was adjusted for differences in demographic and behavioral characteristics between the two groups. The rates of infection among oral contraceptive users were increased by approximately 70% (statistically significant) for both pathogens. Cervical ectopy was implicated in the increased rate of chlamydia but not gonorrhea. Rates of gonorrheal infection differed significantly among oral contraceptive formulations; rates were higher for formulations containing more androgenic progestins. The rate of cervical infections by Chlamydia trachomatis and Neisseria gonorrhoeae was compared in 617 oral contraceptive (OC) users and 101 controls who were either IUD users or were sterilized. Study subjects were drawn from an Alabama sexually transmitted diseases clinic; 89% were black and the average age was 23 years. OC use was associated with a 73% increase in chlamydial risk and a 70% increase in the risk of gonococcal infection. The number of sexual partners was positively correlated with the rates of both infections, while age was negatively related. 46% of the OC users compared with 19% of nonusers had cervical ectopy. However, the difference of the effect of ectopy on chlamydia and gonorrhea was not statistically significant between OC users and nonusers. The amount of estrogen in the OC was not associated with ectopy, chlamydia, or gonorrhea. In contrast, gonorrhea rates were higher for women taking OCs that contained norethindrone and norgestrel. Formulations containing the less androgenic progestin, norethindrone acetate, were not associated with increased gonococcal risk. These findings suggest that women using OCs, especially OCs that contain norgestrel, should be screened more aggressively than nonusers of OCs for both gonorrhea and chlamydia.","author":[{"dropping-particle":"","family":"Louv","given":"W C","non-dropping-particle":"","parse-names":false,"suffix":""},{"dropping-particle":"","family":"Austin","given":"H","non-dropping-particle":"","parse-names":false,"suffix":""},{"dropping-particle":"","family":"Perlman","given":"J","non-dropping-particle":"","parse-names":false,"suffix":""},{"dropping-particle":"","family":"Alexander","given":"W J","non-dropping-particle":"","parse-names":false,"suffix":""}],"container-title":"American Journal of Obstetrics and Gynecology","id":"ITEM-1","issue":"2","issued":{"date-parts":[["1989","2"]]},"page":"396-402","title":"Oral contraceptive use and the risk of chlamydial and gonococcal infections","type":"article-journal","volume":"160"},"uris":["http://www.mendeley.com/documents/?uuid=e5a0e5a4-8fa9-3b78-8d74-f4284acec539"]}],"mendeley":{"formattedCitation":"[23]","plainTextFormattedCitation":"[23]","previouslyFormattedCitation":"[23]"},"properties":{"noteIndex":0},"schema":"https://github.com/citation-style-language/schema/raw/master/csl-citation.json"}</w:instrText>
            </w:r>
            <w:r>
              <w:rPr>
                <w:rFonts w:asciiTheme="minorHAnsi" w:hAnsiTheme="minorHAnsi" w:cstheme="minorHAnsi"/>
                <w:sz w:val="20"/>
                <w:szCs w:val="18"/>
              </w:rPr>
              <w:fldChar w:fldCharType="separate"/>
            </w:r>
            <w:r w:rsidRPr="00E115DE">
              <w:rPr>
                <w:rFonts w:asciiTheme="minorHAnsi" w:hAnsiTheme="minorHAnsi" w:cstheme="minorHAnsi"/>
                <w:noProof/>
                <w:sz w:val="20"/>
                <w:szCs w:val="18"/>
              </w:rPr>
              <w:t>[23]</w:t>
            </w:r>
            <w:r>
              <w:rPr>
                <w:rFonts w:asciiTheme="minorHAnsi" w:hAnsiTheme="minorHAnsi" w:cstheme="minorHAnsi"/>
                <w:sz w:val="20"/>
                <w:szCs w:val="18"/>
              </w:rPr>
              <w:fldChar w:fldCharType="end"/>
            </w:r>
          </w:p>
        </w:tc>
        <w:tc>
          <w:tcPr>
            <w:tcW w:w="1244" w:type="dxa"/>
          </w:tcPr>
          <w:p w14:paraId="769268A9"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Secondary RCT</w:t>
            </w:r>
          </w:p>
        </w:tc>
        <w:tc>
          <w:tcPr>
            <w:tcW w:w="1286" w:type="dxa"/>
          </w:tcPr>
          <w:p w14:paraId="69C62017"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1</w:t>
            </w:r>
          </w:p>
        </w:tc>
        <w:tc>
          <w:tcPr>
            <w:tcW w:w="1315" w:type="dxa"/>
          </w:tcPr>
          <w:p w14:paraId="70CA0691"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2</w:t>
            </w:r>
          </w:p>
        </w:tc>
        <w:tc>
          <w:tcPr>
            <w:tcW w:w="1604" w:type="dxa"/>
          </w:tcPr>
          <w:p w14:paraId="116ADE51"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1</w:t>
            </w:r>
          </w:p>
        </w:tc>
        <w:tc>
          <w:tcPr>
            <w:tcW w:w="1293" w:type="dxa"/>
          </w:tcPr>
          <w:p w14:paraId="4BDF83CB"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1</w:t>
            </w:r>
          </w:p>
        </w:tc>
        <w:tc>
          <w:tcPr>
            <w:tcW w:w="1315" w:type="dxa"/>
          </w:tcPr>
          <w:p w14:paraId="58CFEFB1"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1</w:t>
            </w:r>
          </w:p>
        </w:tc>
        <w:tc>
          <w:tcPr>
            <w:tcW w:w="1277" w:type="dxa"/>
          </w:tcPr>
          <w:p w14:paraId="3C2B3730" w14:textId="77777777" w:rsidR="007D342D" w:rsidRPr="001F4B73" w:rsidRDefault="007D342D" w:rsidP="00DA791E">
            <w:pPr>
              <w:rPr>
                <w:rFonts w:asciiTheme="minorHAnsi" w:hAnsiTheme="minorHAnsi" w:cstheme="minorHAnsi"/>
                <w:color w:val="FF0000"/>
                <w:sz w:val="20"/>
                <w:szCs w:val="18"/>
              </w:rPr>
            </w:pPr>
            <w:r>
              <w:rPr>
                <w:rFonts w:asciiTheme="minorHAnsi" w:hAnsiTheme="minorHAnsi" w:cstheme="minorHAnsi"/>
                <w:sz w:val="20"/>
                <w:szCs w:val="18"/>
              </w:rPr>
              <w:t xml:space="preserve">0 </w:t>
            </w:r>
          </w:p>
        </w:tc>
        <w:tc>
          <w:tcPr>
            <w:tcW w:w="1396" w:type="dxa"/>
          </w:tcPr>
          <w:p w14:paraId="60F0F6C4" w14:textId="77777777" w:rsidR="007D342D" w:rsidRPr="001F4B73" w:rsidRDefault="007D342D" w:rsidP="00DA791E">
            <w:pPr>
              <w:rPr>
                <w:rFonts w:asciiTheme="minorHAnsi" w:hAnsiTheme="minorHAnsi" w:cstheme="minorHAnsi"/>
                <w:sz w:val="20"/>
                <w:szCs w:val="18"/>
              </w:rPr>
            </w:pPr>
            <w:r>
              <w:rPr>
                <w:rFonts w:asciiTheme="minorHAnsi" w:hAnsiTheme="minorHAnsi" w:cstheme="minorHAnsi"/>
                <w:b/>
                <w:sz w:val="20"/>
                <w:szCs w:val="18"/>
              </w:rPr>
              <w:t xml:space="preserve">6 </w:t>
            </w:r>
            <w:r>
              <w:rPr>
                <w:rFonts w:asciiTheme="minorHAnsi" w:hAnsiTheme="minorHAnsi" w:cstheme="minorHAnsi"/>
                <w:sz w:val="20"/>
                <w:szCs w:val="18"/>
              </w:rPr>
              <w:t>(Medium)</w:t>
            </w:r>
          </w:p>
        </w:tc>
      </w:tr>
      <w:tr w:rsidR="007D342D" w:rsidRPr="00EE2286" w14:paraId="1C45BCBD" w14:textId="77777777" w:rsidTr="00DA791E">
        <w:tc>
          <w:tcPr>
            <w:tcW w:w="1985" w:type="dxa"/>
          </w:tcPr>
          <w:p w14:paraId="4BBE4641" w14:textId="77777777" w:rsidR="007D342D" w:rsidRPr="00EE2286" w:rsidRDefault="007D342D" w:rsidP="00DA791E">
            <w:pPr>
              <w:rPr>
                <w:rFonts w:asciiTheme="minorHAnsi" w:hAnsiTheme="minorHAnsi" w:cstheme="minorHAnsi"/>
                <w:sz w:val="20"/>
                <w:szCs w:val="18"/>
              </w:rPr>
            </w:pPr>
            <w:proofErr w:type="spellStart"/>
            <w:r w:rsidRPr="00EE2286">
              <w:rPr>
                <w:rFonts w:asciiTheme="minorHAnsi" w:hAnsiTheme="minorHAnsi" w:cstheme="minorHAnsi"/>
                <w:sz w:val="20"/>
                <w:szCs w:val="18"/>
              </w:rPr>
              <w:t>Louvanto</w:t>
            </w:r>
            <w:proofErr w:type="spellEnd"/>
            <w:r w:rsidRPr="00EE2286">
              <w:rPr>
                <w:rFonts w:asciiTheme="minorHAnsi" w:hAnsiTheme="minorHAnsi" w:cstheme="minorHAnsi"/>
                <w:sz w:val="20"/>
                <w:szCs w:val="18"/>
              </w:rPr>
              <w:t xml:space="preserve"> 2011</w:t>
            </w:r>
            <w:r>
              <w:rPr>
                <w:rFonts w:asciiTheme="minorHAnsi" w:hAnsiTheme="minorHAnsi" w:cstheme="minorHAnsi"/>
                <w:sz w:val="20"/>
                <w:szCs w:val="18"/>
              </w:rPr>
              <w:t xml:space="preserve"> </w:t>
            </w:r>
            <w:r>
              <w:rPr>
                <w:rFonts w:asciiTheme="minorHAnsi" w:hAnsiTheme="minorHAnsi" w:cstheme="minorHAnsi"/>
                <w:sz w:val="20"/>
                <w:szCs w:val="18"/>
              </w:rPr>
              <w:fldChar w:fldCharType="begin" w:fldLock="1"/>
            </w:r>
            <w:r>
              <w:rPr>
                <w:rFonts w:asciiTheme="minorHAnsi" w:hAnsiTheme="minorHAnsi" w:cstheme="minorHAnsi"/>
                <w:sz w:val="20"/>
                <w:szCs w:val="18"/>
              </w:rPr>
              <w:instrText>ADDIN CSL_CITATION {"citationItems":[{"id":"ITEM-1","itemData":{"DOI":"10.1186/1471-2334-11-179","ISSN":"1471-2334","abstract":"The knowledge on type specificity and factors that increase or decrease the risk of incident HPV-infections is important to better understand the dynamics of HPV-infections. A series of 329 pregnant women were enrolled in Finnish Family HPV Study at 3rd trimester of pregnancy and followed-up for 6 years, during which 203 baseline HPV-negative women acquired incident HPV infection. Incidence times and incidence rates (IR) were calculated for 24 low-and high-risk HPV-types detected by Multiplex-HPV-genotyping at each visit. Poison regression was used to estimate predictors of incident HPV infections of species 7 and 9 HPV-genotypes. HPV16 was the most frequent (47.8%) incident genotype followed by multiple-type infections (25.1%), and single infection with HPV18, 70, 6 and 45. Actuarial mean times to incident event were longest for HPV31 (34.5 months) and HPV45 (32.8 months), while crude mean times were longest for HPV56 (42.4 months) and HPV16 (23.1 months). Actuarial IR was highest for HPV16 and multiple-type infections. Independent protective factors against incident infections were 1) &gt; 2 life-time sexual partners (p = 0.014), 2) later initiation of oral contraceptives (age &gt; 20 years) (p = 0.017) and 3) pregnancy at FU visit (p = 0.0001). Among newly delivered mothers, higher number of life-time sexual partners, initiation of OC use after age 20 and becoming pregnant during FU decreased the risk for incident species 7/9 HPV infections.","author":[{"dropping-particle":"","family":"Louvanto","given":"Karolina","non-dropping-particle":"","parse-names":false,"suffix":""},{"dropping-particle":"","family":"Rintala","given":"Marjut A","non-dropping-particle":"","parse-names":false,"suffix":""},{"dropping-particle":"","family":"Syrjänen","given":"Kari J","non-dropping-particle":"","parse-names":false,"suffix":""},{"dropping-particle":"","family":"Grénman","given":"Seija E","non-dropping-particle":"","parse-names":false,"suffix":""},{"dropping-particle":"","family":"Syrjänen","given":"Stina M","non-dropping-particle":"","parse-names":false,"suffix":""}],"container-title":"BMC Infectious Diseases","id":"ITEM-1","issue":"1","issued":{"date-parts":[["2011"]]},"page":"179","title":"Incident cervical infections with high- and low-risk human papillomavirus (HPV) infections among mothers in the prospective Finnish Family HPV Study","type":"article-journal","volume":"11"},"uris":["http://www.mendeley.com/documents/?uuid=71c778bc-7c2f-39b7-beb0-009671e22afd"]}],"mendeley":{"formattedCitation":"[40]","plainTextFormattedCitation":"[40]","previouslyFormattedCitation":"[40]"},"properties":{"noteIndex":0},"schema":"https://github.com/citation-style-language/schema/raw/master/csl-citation.json"}</w:instrText>
            </w:r>
            <w:r>
              <w:rPr>
                <w:rFonts w:asciiTheme="minorHAnsi" w:hAnsiTheme="minorHAnsi" w:cstheme="minorHAnsi"/>
                <w:sz w:val="20"/>
                <w:szCs w:val="18"/>
              </w:rPr>
              <w:fldChar w:fldCharType="separate"/>
            </w:r>
            <w:r w:rsidRPr="008031AE">
              <w:rPr>
                <w:rFonts w:asciiTheme="minorHAnsi" w:hAnsiTheme="minorHAnsi" w:cstheme="minorHAnsi"/>
                <w:noProof/>
                <w:sz w:val="20"/>
                <w:szCs w:val="18"/>
              </w:rPr>
              <w:t>[40]</w:t>
            </w:r>
            <w:r>
              <w:rPr>
                <w:rFonts w:asciiTheme="minorHAnsi" w:hAnsiTheme="minorHAnsi" w:cstheme="minorHAnsi"/>
                <w:sz w:val="20"/>
                <w:szCs w:val="18"/>
              </w:rPr>
              <w:fldChar w:fldCharType="end"/>
            </w:r>
          </w:p>
        </w:tc>
        <w:tc>
          <w:tcPr>
            <w:tcW w:w="1244" w:type="dxa"/>
          </w:tcPr>
          <w:p w14:paraId="5D99F903"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PC</w:t>
            </w:r>
          </w:p>
        </w:tc>
        <w:tc>
          <w:tcPr>
            <w:tcW w:w="1286" w:type="dxa"/>
          </w:tcPr>
          <w:p w14:paraId="76F2DA47"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0</w:t>
            </w:r>
          </w:p>
        </w:tc>
        <w:tc>
          <w:tcPr>
            <w:tcW w:w="1315" w:type="dxa"/>
          </w:tcPr>
          <w:p w14:paraId="5DACCF1A"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604" w:type="dxa"/>
          </w:tcPr>
          <w:p w14:paraId="4991F548"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93" w:type="dxa"/>
          </w:tcPr>
          <w:p w14:paraId="7F7BA704"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315" w:type="dxa"/>
          </w:tcPr>
          <w:p w14:paraId="45C338D1"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77" w:type="dxa"/>
          </w:tcPr>
          <w:p w14:paraId="6D678736"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0</w:t>
            </w:r>
          </w:p>
        </w:tc>
        <w:tc>
          <w:tcPr>
            <w:tcW w:w="1396" w:type="dxa"/>
          </w:tcPr>
          <w:p w14:paraId="37BB01ED"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b/>
                <w:sz w:val="20"/>
                <w:szCs w:val="18"/>
              </w:rPr>
              <w:t>4</w:t>
            </w:r>
            <w:r w:rsidRPr="00EE2286">
              <w:rPr>
                <w:rFonts w:asciiTheme="minorHAnsi" w:hAnsiTheme="minorHAnsi" w:cstheme="minorHAnsi"/>
                <w:b/>
                <w:sz w:val="20"/>
                <w:szCs w:val="18"/>
              </w:rPr>
              <w:t xml:space="preserve"> </w:t>
            </w:r>
            <w:r w:rsidRPr="00EE2286">
              <w:rPr>
                <w:rFonts w:asciiTheme="minorHAnsi" w:hAnsiTheme="minorHAnsi" w:cstheme="minorHAnsi"/>
                <w:sz w:val="20"/>
                <w:szCs w:val="18"/>
              </w:rPr>
              <w:t>(</w:t>
            </w:r>
            <w:r>
              <w:rPr>
                <w:rFonts w:asciiTheme="minorHAnsi" w:hAnsiTheme="minorHAnsi" w:cstheme="minorHAnsi"/>
                <w:sz w:val="20"/>
                <w:szCs w:val="18"/>
              </w:rPr>
              <w:t>Low</w:t>
            </w:r>
            <w:r w:rsidRPr="00EE2286">
              <w:rPr>
                <w:rFonts w:asciiTheme="minorHAnsi" w:hAnsiTheme="minorHAnsi" w:cstheme="minorHAnsi"/>
                <w:sz w:val="20"/>
                <w:szCs w:val="18"/>
              </w:rPr>
              <w:t>)</w:t>
            </w:r>
          </w:p>
        </w:tc>
      </w:tr>
      <w:tr w:rsidR="007D342D" w:rsidRPr="00EE2286" w14:paraId="5B2E900D" w14:textId="77777777" w:rsidTr="00DA791E">
        <w:tc>
          <w:tcPr>
            <w:tcW w:w="1985" w:type="dxa"/>
          </w:tcPr>
          <w:p w14:paraId="3A6657C2"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Low 2014</w:t>
            </w:r>
            <w:r>
              <w:rPr>
                <w:rFonts w:asciiTheme="minorHAnsi" w:hAnsiTheme="minorHAnsi" w:cstheme="minorHAnsi"/>
                <w:sz w:val="20"/>
                <w:szCs w:val="18"/>
              </w:rPr>
              <w:t xml:space="preserve"> </w:t>
            </w:r>
            <w:r>
              <w:rPr>
                <w:rFonts w:asciiTheme="minorHAnsi" w:hAnsiTheme="minorHAnsi" w:cstheme="minorHAnsi"/>
                <w:sz w:val="20"/>
                <w:szCs w:val="18"/>
              </w:rPr>
              <w:fldChar w:fldCharType="begin" w:fldLock="1"/>
            </w:r>
            <w:r>
              <w:rPr>
                <w:rFonts w:asciiTheme="minorHAnsi" w:hAnsiTheme="minorHAnsi" w:cstheme="minorHAnsi"/>
                <w:sz w:val="20"/>
                <w:szCs w:val="18"/>
              </w:rPr>
              <w:instrText>ADDIN CSL_CITATION {"citationItems":[{"id":"ITEM-1","itemData":{"DOI":"10.1136/sextrans-2013-051233","ISSN":"1368-4973","PMID":"24337732","abstract":"OBJECTIVES Neisseria gonorrhoeae (NG) and Chlamydia trachomatis (CT) are common sexually transmitted infections (STI). We assessed the cumulative risk of NG and CT in a cohort of HIV-1-infected high-risk women taking antiretrovirals over 4 years in Burkina Faso. METHODS Between March 2007 and February 2011, participants were followed every 3-6 months. At each visit, participants underwent a gynaecological examination with collection of cervical and vaginal swabs. Random-effects logistic regression models were used to analyse associations of NG and CT infection with behavioural and biological factors. RESULTS 172 women had samples tested for NG and CT during the study period, in a total of 1135 visits. NG was detected in 6.4% of women (11/172, 95% CI 2.7 to 10.1) at a rate of 2.76 cases (95% CI 1.53 to 4.99) per 100 person-years. CT was detected in 1.7% (3/172, 95% CI 0 to 3.7) of women at a rate of 0.75 cases (95% CI 0.24 to 2.34) per 100 person-years. The majority of women were asymptomatic (9/14). In the multivariable model, the presence of NG or CT was associated with tobacco use (aOR=11.85, 95% CI 1.13 to 124.17), and concurrent genital HIV-1 RNA shedding (aOR=4.78, 95% CI 1.17 to 19.46). Higher levels of education (aOR=0.17, 95% CI 0.03 to 0.92), and age greater than 35 years (aOR=0.07, 95% CI 0.01 to 0.92) were associated with lower odds of infection. CONCLUSIONS The risk of NG or CT infection remains low among high-risk women in Bobo-Dioulasso. This provides some evidence that antiretroviral use does not contribute to behavioural disinhibition. The asymptomatic nature of most infections underscores the need for regular screening and treatment of STIs in core groups.","author":[{"dropping-particle":"","family":"Low","given":"Andrea J","non-dropping-particle":"","parse-names":false,"suffix":""},{"dropping-particle":"","family":"Konate","given":"Issouf","non-dropping-particle":"","parse-names":false,"suffix":""},{"dropping-particle":"","family":"Nagot","given":"Nicolas","non-dropping-particle":"","parse-names":false,"suffix":""},{"dropping-particle":"","family":"Weiss","given":"Helen A","non-dropping-particle":"","parse-names":false,"suffix":""},{"dropping-particle":"","family":"Mabey","given":"David","non-dropping-particle":"","parse-names":false,"suffix":""},{"dropping-particle":"","family":"Segondy","given":"Michel","non-dropping-particle":"","parse-names":false,"suffix":""},{"dropping-particle":"","family":"Vickerman","given":"Peter","non-dropping-particle":"","parse-names":false,"suffix":""},{"dropping-particle":"","family":"Meda","given":"Nicolas","non-dropping-particle":"","parse-names":false,"suffix":""},{"dropping-particle":"","family":"Perre","given":"Philippe","non-dropping-particle":"van de","parse-names":false,"suffix":""},{"dropping-particle":"","family":"Mayaud","given":"Philippe","non-dropping-particle":"","parse-names":false,"suffix":""},{"dropping-particle":"","family":"Yerelon Cohort study group","given":"","non-dropping-particle":"","parse-names":false,"suffix":""}],"container-title":"Sexually Transmitted Infections","id":"ITEM-1","issue":"2","issued":{"date-parts":[["2014","3"]]},"page":"100-103","title":"Neisseria gonorrhoeae and Chlamydia trachomatis infection in HIV-1-infected women taking antiretroviral therapy: a prospective cohort study from Burkina Faso","type":"article-journal","volume":"90"},"uris":["http://www.mendeley.com/documents/?uuid=2adc8552-3b00-301b-b3e7-8b2a7fd4c000"]}],"mendeley":{"formattedCitation":"[55]","plainTextFormattedCitation":"[55]","previouslyFormattedCitation":"[55]"},"properties":{"noteIndex":0},"schema":"https://github.com/citation-style-language/schema/raw/master/csl-citation.json"}</w:instrText>
            </w:r>
            <w:r>
              <w:rPr>
                <w:rFonts w:asciiTheme="minorHAnsi" w:hAnsiTheme="minorHAnsi" w:cstheme="minorHAnsi"/>
                <w:sz w:val="20"/>
                <w:szCs w:val="18"/>
              </w:rPr>
              <w:fldChar w:fldCharType="separate"/>
            </w:r>
            <w:r w:rsidRPr="008E6390">
              <w:rPr>
                <w:rFonts w:asciiTheme="minorHAnsi" w:hAnsiTheme="minorHAnsi" w:cstheme="minorHAnsi"/>
                <w:noProof/>
                <w:sz w:val="20"/>
                <w:szCs w:val="18"/>
              </w:rPr>
              <w:t>[55]</w:t>
            </w:r>
            <w:r>
              <w:rPr>
                <w:rFonts w:asciiTheme="minorHAnsi" w:hAnsiTheme="minorHAnsi" w:cstheme="minorHAnsi"/>
                <w:sz w:val="20"/>
                <w:szCs w:val="18"/>
              </w:rPr>
              <w:fldChar w:fldCharType="end"/>
            </w:r>
          </w:p>
        </w:tc>
        <w:tc>
          <w:tcPr>
            <w:tcW w:w="1244" w:type="dxa"/>
          </w:tcPr>
          <w:p w14:paraId="034170B1"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PC</w:t>
            </w:r>
          </w:p>
        </w:tc>
        <w:tc>
          <w:tcPr>
            <w:tcW w:w="1286" w:type="dxa"/>
          </w:tcPr>
          <w:p w14:paraId="008CE729"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315" w:type="dxa"/>
          </w:tcPr>
          <w:p w14:paraId="388CAD7F"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604" w:type="dxa"/>
          </w:tcPr>
          <w:p w14:paraId="07E8A1F3"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93" w:type="dxa"/>
          </w:tcPr>
          <w:p w14:paraId="02998C39"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315" w:type="dxa"/>
          </w:tcPr>
          <w:p w14:paraId="57A508E0"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0</w:t>
            </w:r>
          </w:p>
        </w:tc>
        <w:tc>
          <w:tcPr>
            <w:tcW w:w="1277" w:type="dxa"/>
          </w:tcPr>
          <w:p w14:paraId="71524C9F"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0</w:t>
            </w:r>
          </w:p>
        </w:tc>
        <w:tc>
          <w:tcPr>
            <w:tcW w:w="1396" w:type="dxa"/>
          </w:tcPr>
          <w:p w14:paraId="7D525908"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b/>
                <w:sz w:val="20"/>
                <w:szCs w:val="18"/>
              </w:rPr>
              <w:t xml:space="preserve">5 </w:t>
            </w:r>
            <w:r w:rsidRPr="00EE2286">
              <w:rPr>
                <w:rFonts w:asciiTheme="minorHAnsi" w:hAnsiTheme="minorHAnsi" w:cstheme="minorHAnsi"/>
                <w:sz w:val="20"/>
                <w:szCs w:val="18"/>
              </w:rPr>
              <w:t>(Medium)</w:t>
            </w:r>
          </w:p>
        </w:tc>
      </w:tr>
      <w:tr w:rsidR="007D342D" w:rsidRPr="00EE2286" w14:paraId="21AA5973" w14:textId="77777777" w:rsidTr="00DA791E">
        <w:tc>
          <w:tcPr>
            <w:tcW w:w="1985" w:type="dxa"/>
          </w:tcPr>
          <w:p w14:paraId="24591E36"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Marks 2011</w:t>
            </w:r>
            <w:r>
              <w:rPr>
                <w:rFonts w:asciiTheme="minorHAnsi" w:hAnsiTheme="minorHAnsi" w:cstheme="minorHAnsi"/>
                <w:sz w:val="20"/>
                <w:szCs w:val="18"/>
              </w:rPr>
              <w:t xml:space="preserve"> </w:t>
            </w:r>
            <w:r>
              <w:rPr>
                <w:rFonts w:asciiTheme="minorHAnsi" w:hAnsiTheme="minorHAnsi" w:cstheme="minorHAnsi"/>
                <w:sz w:val="20"/>
                <w:szCs w:val="18"/>
              </w:rPr>
              <w:fldChar w:fldCharType="begin" w:fldLock="1"/>
            </w:r>
            <w:r>
              <w:rPr>
                <w:rFonts w:asciiTheme="minorHAnsi" w:hAnsiTheme="minorHAnsi" w:cstheme="minorHAnsi"/>
                <w:sz w:val="20"/>
                <w:szCs w:val="18"/>
              </w:rPr>
              <w:instrText>ADDIN CSL_CITATION {"citationItems":[{"id":"ITEM-1","itemData":{"DOI":"10.1093/infdis/jir560","ISSN":"1537-6613","PMID":"21964399","abstract":"BACKGROUND Women diagnosed with cervical cancer report longer duration and more recent use of combined oral contraceptives (COCs). It is unclear how COC use impacts risk of cervical carcinogenesis. METHODS We estimated the risk of new human papillomavirus (HPV) DNA detection and persistence among 1135 human immunodeficiency virus (HIV)-negative women aged 20-37 years from Thailand who were followed for 18 months at 6-month intervals. Type-specific HPV DNA, demographic information, hormonal contraceptive use, sexual behavior, genital tract coinfection, and Papanicolaou test results were assessed at baseline and each follow-up. RESULTS Women who reported current COC use during follow-up were less likely to clear HPV infection compared with nonusers, independent of sexual behavior, and Papanicolaou test diagnosis (AHR: 0.67 [95% CI: .49-.93]). Similar associations were not observed among women reporting current use of depomedroxyprogesterone acetate (DMPA). Neither COC nor DMPA use was significantly associated with new HPV DNA detection. CONCLUSIONS These data do not support the hypothesis that contraceptive use is associated with cervical cancer risk via increased risk of HPV acquisition. The increased risk of HPV persistence observed among current COC users suggests a possible influence of female sex hormones on host response to HPV infection.","author":[{"dropping-particle":"","family":"Marks","given":"Morgan","non-dropping-particle":"","parse-names":false,"suffix":""},{"dropping-particle":"","family":"Gravitt","given":"Patti E.","non-dropping-particle":"","parse-names":false,"suffix":""},{"dropping-particle":"","family":"Gupta","given":"Swati B.","non-dropping-particle":"","parse-names":false,"suffix":""},{"dropping-particle":"","family":"Liaw","given":"Kai-Li","non-dropping-particle":"","parse-names":false,"suffix":""},{"dropping-particle":"","family":"Tadesse","given":"Amha","non-dropping-particle":"","parse-names":false,"suffix":""},{"dropping-particle":"","family":"Kim","given":"Esther","non-dropping-particle":"","parse-names":false,"suffix":""},{"dropping-particle":"","family":"Phongnarisorn","given":"Chailert","non-dropping-particle":"","parse-names":false,"suffix":""},{"dropping-particle":"","family":"Wootipoom","given":"Virach","non-dropping-particle":"","parse-names":false,"suffix":""},{"dropping-particle":"","family":"Yuenyao","given":"Pissimai","non-dropping-particle":"","parse-names":false,"suffix":""},{"dropping-particle":"","family":"Vipupinyo","given":"Charoen","non-dropping-particle":"","parse-names":false,"suffix":""},{"dropping-particle":"","family":"Sriplienchan","given":"Somchai","non-dropping-particle":"","parse-names":false,"suffix":""},{"dropping-particle":"","family":"Celentano","given":"David D.","non-dropping-particle":"","parse-names":false,"suffix":""}],"container-title":"The Journal of Infectious Diseases","id":"ITEM-1","issue":"10","issued":{"date-parts":[["2011","11","15"]]},"page":"1505-1513","title":"Combined oral contraceptive use increases HPV persistence but not new HPV detection in a cohort of women from Thailand","type":"article-journal","volume":"204"},"uris":["http://www.mendeley.com/documents/?uuid=30e7634c-73a6-39c8-b007-ec3057c4c118"]}],"mendeley":{"formattedCitation":"[41]","plainTextFormattedCitation":"[41]","previouslyFormattedCitation":"[41]"},"properties":{"noteIndex":0},"schema":"https://github.com/citation-style-language/schema/raw/master/csl-citation.json"}</w:instrText>
            </w:r>
            <w:r>
              <w:rPr>
                <w:rFonts w:asciiTheme="minorHAnsi" w:hAnsiTheme="minorHAnsi" w:cstheme="minorHAnsi"/>
                <w:sz w:val="20"/>
                <w:szCs w:val="18"/>
              </w:rPr>
              <w:fldChar w:fldCharType="separate"/>
            </w:r>
            <w:r w:rsidRPr="008031AE">
              <w:rPr>
                <w:rFonts w:asciiTheme="minorHAnsi" w:hAnsiTheme="minorHAnsi" w:cstheme="minorHAnsi"/>
                <w:noProof/>
                <w:sz w:val="20"/>
                <w:szCs w:val="18"/>
              </w:rPr>
              <w:t>[41]</w:t>
            </w:r>
            <w:r>
              <w:rPr>
                <w:rFonts w:asciiTheme="minorHAnsi" w:hAnsiTheme="minorHAnsi" w:cstheme="minorHAnsi"/>
                <w:sz w:val="20"/>
                <w:szCs w:val="18"/>
              </w:rPr>
              <w:fldChar w:fldCharType="end"/>
            </w:r>
          </w:p>
        </w:tc>
        <w:tc>
          <w:tcPr>
            <w:tcW w:w="1244" w:type="dxa"/>
          </w:tcPr>
          <w:p w14:paraId="09E8CF25"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PC</w:t>
            </w:r>
          </w:p>
        </w:tc>
        <w:tc>
          <w:tcPr>
            <w:tcW w:w="1286" w:type="dxa"/>
          </w:tcPr>
          <w:p w14:paraId="435F6388"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315" w:type="dxa"/>
          </w:tcPr>
          <w:p w14:paraId="3D7A2EE0"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604" w:type="dxa"/>
          </w:tcPr>
          <w:p w14:paraId="13651262"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93" w:type="dxa"/>
          </w:tcPr>
          <w:p w14:paraId="277EE643"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315" w:type="dxa"/>
          </w:tcPr>
          <w:p w14:paraId="4A5455B5"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77" w:type="dxa"/>
          </w:tcPr>
          <w:p w14:paraId="2068D187"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0</w:t>
            </w:r>
          </w:p>
        </w:tc>
        <w:tc>
          <w:tcPr>
            <w:tcW w:w="1396" w:type="dxa"/>
          </w:tcPr>
          <w:p w14:paraId="703AFA89"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b/>
                <w:sz w:val="20"/>
                <w:szCs w:val="18"/>
              </w:rPr>
              <w:t xml:space="preserve">8 </w:t>
            </w:r>
            <w:r w:rsidRPr="00EE2286">
              <w:rPr>
                <w:rFonts w:asciiTheme="minorHAnsi" w:hAnsiTheme="minorHAnsi" w:cstheme="minorHAnsi"/>
                <w:sz w:val="20"/>
                <w:szCs w:val="18"/>
              </w:rPr>
              <w:t>(High)</w:t>
            </w:r>
          </w:p>
        </w:tc>
      </w:tr>
      <w:tr w:rsidR="007D342D" w:rsidRPr="00EE2286" w14:paraId="09FC5A34" w14:textId="77777777" w:rsidTr="00DA791E">
        <w:tc>
          <w:tcPr>
            <w:tcW w:w="1985" w:type="dxa"/>
          </w:tcPr>
          <w:p w14:paraId="1F365809" w14:textId="77777777" w:rsidR="007D342D" w:rsidRPr="00EE2286" w:rsidRDefault="007D342D" w:rsidP="00DA791E">
            <w:pPr>
              <w:rPr>
                <w:rFonts w:asciiTheme="minorHAnsi" w:hAnsiTheme="minorHAnsi" w:cstheme="minorHAnsi"/>
                <w:sz w:val="20"/>
                <w:szCs w:val="18"/>
              </w:rPr>
            </w:pPr>
            <w:proofErr w:type="spellStart"/>
            <w:r w:rsidRPr="00EE2286">
              <w:rPr>
                <w:rFonts w:asciiTheme="minorHAnsi" w:hAnsiTheme="minorHAnsi" w:cstheme="minorHAnsi"/>
                <w:sz w:val="20"/>
                <w:szCs w:val="18"/>
              </w:rPr>
              <w:t>Masese</w:t>
            </w:r>
            <w:proofErr w:type="spellEnd"/>
            <w:r w:rsidRPr="00EE2286">
              <w:rPr>
                <w:rFonts w:asciiTheme="minorHAnsi" w:hAnsiTheme="minorHAnsi" w:cstheme="minorHAnsi"/>
                <w:sz w:val="20"/>
                <w:szCs w:val="18"/>
              </w:rPr>
              <w:t xml:space="preserve"> </w:t>
            </w:r>
            <w:r w:rsidRPr="00EE2286">
              <w:rPr>
                <w:rFonts w:asciiTheme="minorHAnsi" w:hAnsiTheme="minorHAnsi" w:cstheme="minorHAnsi"/>
                <w:sz w:val="20"/>
                <w:szCs w:val="18"/>
              </w:rPr>
              <w:lastRenderedPageBreak/>
              <w:t>2013</w:t>
            </w:r>
            <w:r>
              <w:rPr>
                <w:rFonts w:asciiTheme="minorHAnsi" w:hAnsiTheme="minorHAnsi" w:cstheme="minorHAnsi"/>
                <w:sz w:val="20"/>
                <w:szCs w:val="18"/>
              </w:rPr>
              <w:t xml:space="preserve"> </w:t>
            </w:r>
            <w:r>
              <w:rPr>
                <w:rFonts w:asciiTheme="minorHAnsi" w:hAnsiTheme="minorHAnsi" w:cstheme="minorHAnsi"/>
                <w:sz w:val="20"/>
                <w:szCs w:val="18"/>
              </w:rPr>
              <w:fldChar w:fldCharType="begin" w:fldLock="1"/>
            </w:r>
            <w:r>
              <w:rPr>
                <w:rFonts w:asciiTheme="minorHAnsi" w:hAnsiTheme="minorHAnsi" w:cstheme="minorHAnsi"/>
                <w:sz w:val="20"/>
                <w:szCs w:val="18"/>
              </w:rPr>
              <w:instrText>ADDIN CSL_CITATION {"citationItems":[{"id":"ITEM-1","itemData":{"DOI":"10.1097/OLQ.0b013e318272fe45","ISSN":"1537-4521","PMID":"23407467","abstract":"BACKGROUND In Africa, data on Chlamydia trachomatis infection are scarce because reliable diagnosis is costly and not widely available. Our objective was to evaluate the incidence and correlates of C. trachomatis infection among high-risk Kenyan women. METHODS We conducted prospective cohort analyses using data from a cohort of women who reported transactional sex. C. trachomatis testing was performed using the Gen-Probe Aptima GC/CT Detection System. We used Andersen-Gill proportional hazards modeling to evaluate correlates of C. trachomatis. RESULTS Between August 2006 and December 2010, 865 women contributed 2011 person-years of observation. Sixty-four women experienced 101 episodes of C. trachomatis infection (incidence rate, 5.0/100 person-years). There was a large difference in incidence by age group: those younger than 25 years had an incidence of 27.6 per 100 person-years (95% confidence interval [CI], 16.3-46.5), those 25 to 34 years old had an incidence of 8.4 per 100 person-years (95% CI, 6.4-11.0), and those 35 years and older had an incidence of 2.6 per 100 person-years (95% CI, 1.8-3.6). In multivariate analyses, younger age (&lt;25 and 25-34 years vs. ≥35 years; hazard ratio [HR], 8.5 [95% CI, 4.1-17.7] and 2.9 [95% CI, 1.7-5.0], respectively), depot medroxyprogesterone acetate use (HR, 1.8; 95% CI, 1.1-3.0), and recent Neisseria gonorrhoeae infection (HR, 3.3; 95% CI, 1.5-7.4) were significantly associated with increased risk of acquiring C. trachomatis infection. CONCLUSIONS The high incidence of C. trachomatis among younger high-risk women suggests the need for screening as an important public health intervention for this population.","author":[{"dropping-particle":"","family":"Masese","given":"Linnet","non-dropping-particle":"","parse-names":false,"suffix":""},{"dropping-particle":"","family":"Baeten","given":"Jared M","non-dropping-particle":"","parse-names":false,"suffix":""},{"dropping-particle":"","family":"Richardson","given":"Barbra A","non-dropping-particle":"","parse-names":false,"suffix":""},{"dropping-particle":"","family":"Deya","given":"Ruth","non-dropping-particle":"","parse-names":false,"suffix":""},{"dropping-particle":"","family":"Kabare","given":"Emmanuel","non-dropping-particle":"","parse-names":false,"suffix":""},{"dropping-particle":"","family":"Bukusi","given":"Elizabeth","non-dropping-particle":"","parse-names":false,"suffix":""},{"dropping-particle":"","family":"John-Stewart","given":"Grace","non-dropping-particle":"","parse-names":false,"suffix":""},{"dropping-particle":"","family":"Jaoko","given":"Walter","non-dropping-particle":"","parse-names":false,"suffix":""},{"dropping-particle":"","family":"McClelland","given":"R Scott","non-dropping-particle":"","parse-names":false,"suffix":""}],"container-title":"Sexually Transmitted Diseases","id":"ITEM-1","issue":"3","issued":{"date-parts":[["2013","3"]]},"page":"221-5","title":"Incidence and correlates of Chlamydia trachomatis infection in a high-risk cohort of Kenyan women","type":"article-journal","volume":"40"},"uris":["http://www.mendeley.com/documents/?uuid=725e281a-7bcb-306c-a055-1c0951ab4456"]}],"mendeley":{"formattedCitation":"[51]","plainTextFormattedCitation":"[51]","previouslyFormattedCitation":"[51]"},"properties":{"noteIndex":0},"schema":"https://github.com/citation-style-language/schema/raw/master/csl-citation.json"}</w:instrText>
            </w:r>
            <w:r>
              <w:rPr>
                <w:rFonts w:asciiTheme="minorHAnsi" w:hAnsiTheme="minorHAnsi" w:cstheme="minorHAnsi"/>
                <w:sz w:val="20"/>
                <w:szCs w:val="18"/>
              </w:rPr>
              <w:fldChar w:fldCharType="separate"/>
            </w:r>
            <w:r w:rsidRPr="008E6390">
              <w:rPr>
                <w:rFonts w:asciiTheme="minorHAnsi" w:hAnsiTheme="minorHAnsi" w:cstheme="minorHAnsi"/>
                <w:noProof/>
                <w:sz w:val="20"/>
                <w:szCs w:val="18"/>
              </w:rPr>
              <w:t>[51]</w:t>
            </w:r>
            <w:r>
              <w:rPr>
                <w:rFonts w:asciiTheme="minorHAnsi" w:hAnsiTheme="minorHAnsi" w:cstheme="minorHAnsi"/>
                <w:sz w:val="20"/>
                <w:szCs w:val="18"/>
              </w:rPr>
              <w:fldChar w:fldCharType="end"/>
            </w:r>
          </w:p>
        </w:tc>
        <w:tc>
          <w:tcPr>
            <w:tcW w:w="1244" w:type="dxa"/>
          </w:tcPr>
          <w:p w14:paraId="02DC2126"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lastRenderedPageBreak/>
              <w:t>PC</w:t>
            </w:r>
          </w:p>
        </w:tc>
        <w:tc>
          <w:tcPr>
            <w:tcW w:w="1286" w:type="dxa"/>
          </w:tcPr>
          <w:p w14:paraId="51F0540B"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315" w:type="dxa"/>
          </w:tcPr>
          <w:p w14:paraId="0BD50E68"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604" w:type="dxa"/>
          </w:tcPr>
          <w:p w14:paraId="07965F30"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93" w:type="dxa"/>
          </w:tcPr>
          <w:p w14:paraId="2ECE58C7"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315" w:type="dxa"/>
          </w:tcPr>
          <w:p w14:paraId="3D30A7CE"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77" w:type="dxa"/>
          </w:tcPr>
          <w:p w14:paraId="0EA257B1"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0</w:t>
            </w:r>
          </w:p>
        </w:tc>
        <w:tc>
          <w:tcPr>
            <w:tcW w:w="1396" w:type="dxa"/>
          </w:tcPr>
          <w:p w14:paraId="050ACA37"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b/>
                <w:sz w:val="20"/>
                <w:szCs w:val="18"/>
              </w:rPr>
              <w:t xml:space="preserve">7 </w:t>
            </w:r>
            <w:r w:rsidRPr="00EE2286">
              <w:rPr>
                <w:rFonts w:asciiTheme="minorHAnsi" w:hAnsiTheme="minorHAnsi" w:cstheme="minorHAnsi"/>
                <w:sz w:val="20"/>
                <w:szCs w:val="18"/>
              </w:rPr>
              <w:lastRenderedPageBreak/>
              <w:t>(Medium)</w:t>
            </w:r>
          </w:p>
        </w:tc>
      </w:tr>
      <w:tr w:rsidR="007D342D" w:rsidRPr="00EE2286" w14:paraId="70DEDF60" w14:textId="77777777" w:rsidTr="00DA791E">
        <w:tc>
          <w:tcPr>
            <w:tcW w:w="1985" w:type="dxa"/>
          </w:tcPr>
          <w:p w14:paraId="311D358A"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lastRenderedPageBreak/>
              <w:t xml:space="preserve">Morrison 2004 </w:t>
            </w:r>
            <w:r>
              <w:rPr>
                <w:rFonts w:asciiTheme="minorHAnsi" w:hAnsiTheme="minorHAnsi" w:cstheme="minorHAnsi"/>
                <w:sz w:val="20"/>
                <w:szCs w:val="18"/>
              </w:rPr>
              <w:fldChar w:fldCharType="begin" w:fldLock="1"/>
            </w:r>
            <w:r>
              <w:rPr>
                <w:rFonts w:asciiTheme="minorHAnsi" w:hAnsiTheme="minorHAnsi" w:cstheme="minorHAnsi"/>
                <w:sz w:val="20"/>
                <w:szCs w:val="18"/>
              </w:rPr>
              <w:instrText>ADDIN CSL_CITATION {"citationItems":[{"id":"ITEM-1","itemData":{"PMID":"15480119","abstract":"BACKGROUND AND OBJECTIVES Several previous studies have suggested that hormonal contraception could be associated with increased risk of cervical infections. However, few high-quality prospective studies have examined this relationship. GOAL The goal of this study was to measure the effect of oral contraceptives (OC) and depot-medroxyprogesterone acetate (DMPA) on the acquisition of cervical chlamydial and gonococcal infections. STUDY Women attending 2 reproductive health centers in Baltimore, MD, were enrolled into a prospective cohort study. Participants were 15 to 45 years and were initiating OCs or DMPA or not using hormonal contraception. Interviews, physical examinations, and testing for incident cervical infections were conducted at 3, 6, and 12 months. RESULTS The analysis included 819 women. Most were single (77%) and nulliparous (75%); 43% were black. Median age was 22 years. During the study, 45 women acquired a chlamydial or gonococcal infection (6.2 per 100 women-years). DMPA use (hazard ratio [HR], 3.6; 95% confidence interval [CI], 1.6-8.5), but not OC use (HR, 1.5; 95% CI, 0.6-3.5), was significantly associated with increased acquisition of cervical infections after adjusting for other risk factors. Cervical ectopy was not an important mediator of cervical infection risk. CONCLUSIONS DMPA use, but not OC use, appeared to be significantly associated with increased acquisition of cervical chlamydial and gonococcal infections.","author":[{"dropping-particle":"","family":"Morrison","given":"Charles S","non-dropping-particle":"","parse-names":false,"suffix":""},{"dropping-particle":"","family":"Bright","given":"Patricia","non-dropping-particle":"","parse-names":false,"suffix":""},{"dropping-particle":"","family":"Wong","given":"Emelita L","non-dropping-particle":"","parse-names":false,"suffix":""},{"dropping-particle":"","family":"Kwok","given":"Cynthia","non-dropping-particle":"","parse-names":false,"suffix":""},{"dropping-particle":"","family":"Yacobson","given":"Irina","non-dropping-particle":"","parse-names":false,"suffix":""},{"dropping-particle":"","family":"Gaydos","given":"Charlotte A","non-dropping-particle":"","parse-names":false,"suffix":""},{"dropping-particle":"","family":"Tucker","given":"Heidi T","non-dropping-particle":"","parse-names":false,"suffix":""},{"dropping-particle":"","family":"Blumenthal","given":"Paul D","non-dropping-particle":"","parse-names":false,"suffix":""}],"container-title":"Sexually Transmitted Diseases","id":"ITEM-1","issue":"9","issued":{"date-parts":[["2004","9"]]},"page":"561-7","title":"Hormonal contraceptive use, cervical ectopy, and the acquisition of cervical infections.","type":"article-journal","volume":"31"},"uris":["http://www.mendeley.com/documents/?uuid=06eeb7f9-281c-3ad6-9a76-388c295597df"]}],"mendeley":{"formattedCitation":"[25]","plainTextFormattedCitation":"[25]","previouslyFormattedCitation":"[25]"},"properties":{"noteIndex":0},"schema":"https://github.com/citation-style-language/schema/raw/master/csl-citation.json"}</w:instrText>
            </w:r>
            <w:r>
              <w:rPr>
                <w:rFonts w:asciiTheme="minorHAnsi" w:hAnsiTheme="minorHAnsi" w:cstheme="minorHAnsi"/>
                <w:sz w:val="20"/>
                <w:szCs w:val="18"/>
              </w:rPr>
              <w:fldChar w:fldCharType="separate"/>
            </w:r>
            <w:r w:rsidRPr="00E115DE">
              <w:rPr>
                <w:rFonts w:asciiTheme="minorHAnsi" w:hAnsiTheme="minorHAnsi" w:cstheme="minorHAnsi"/>
                <w:noProof/>
                <w:sz w:val="20"/>
                <w:szCs w:val="18"/>
              </w:rPr>
              <w:t>[25]</w:t>
            </w:r>
            <w:r>
              <w:rPr>
                <w:rFonts w:asciiTheme="minorHAnsi" w:hAnsiTheme="minorHAnsi" w:cstheme="minorHAnsi"/>
                <w:sz w:val="20"/>
                <w:szCs w:val="18"/>
              </w:rPr>
              <w:fldChar w:fldCharType="end"/>
            </w:r>
          </w:p>
        </w:tc>
        <w:tc>
          <w:tcPr>
            <w:tcW w:w="1244" w:type="dxa"/>
          </w:tcPr>
          <w:p w14:paraId="489BAEE6"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PC</w:t>
            </w:r>
          </w:p>
        </w:tc>
        <w:tc>
          <w:tcPr>
            <w:tcW w:w="1286" w:type="dxa"/>
          </w:tcPr>
          <w:p w14:paraId="17917723"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2</w:t>
            </w:r>
          </w:p>
        </w:tc>
        <w:tc>
          <w:tcPr>
            <w:tcW w:w="1315" w:type="dxa"/>
          </w:tcPr>
          <w:p w14:paraId="42943B6D"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1</w:t>
            </w:r>
          </w:p>
        </w:tc>
        <w:tc>
          <w:tcPr>
            <w:tcW w:w="1604" w:type="dxa"/>
          </w:tcPr>
          <w:p w14:paraId="4BB8A9E6"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1</w:t>
            </w:r>
          </w:p>
        </w:tc>
        <w:tc>
          <w:tcPr>
            <w:tcW w:w="1293" w:type="dxa"/>
          </w:tcPr>
          <w:p w14:paraId="065ACC94"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2</w:t>
            </w:r>
          </w:p>
        </w:tc>
        <w:tc>
          <w:tcPr>
            <w:tcW w:w="1315" w:type="dxa"/>
          </w:tcPr>
          <w:p w14:paraId="6466EC15"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0</w:t>
            </w:r>
          </w:p>
        </w:tc>
        <w:tc>
          <w:tcPr>
            <w:tcW w:w="1277" w:type="dxa"/>
          </w:tcPr>
          <w:p w14:paraId="5B7BC2CF"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1</w:t>
            </w:r>
          </w:p>
        </w:tc>
        <w:tc>
          <w:tcPr>
            <w:tcW w:w="1396" w:type="dxa"/>
          </w:tcPr>
          <w:p w14:paraId="35ED6F98" w14:textId="77777777" w:rsidR="007D342D" w:rsidRPr="00EE2286" w:rsidRDefault="007D342D" w:rsidP="00DA791E">
            <w:pPr>
              <w:rPr>
                <w:rFonts w:asciiTheme="minorHAnsi" w:hAnsiTheme="minorHAnsi" w:cstheme="minorHAnsi"/>
                <w:b/>
                <w:sz w:val="20"/>
                <w:szCs w:val="18"/>
              </w:rPr>
            </w:pPr>
            <w:r w:rsidRPr="00EE2286">
              <w:rPr>
                <w:rFonts w:asciiTheme="minorHAnsi" w:hAnsiTheme="minorHAnsi" w:cstheme="minorHAnsi"/>
                <w:b/>
                <w:sz w:val="20"/>
                <w:szCs w:val="18"/>
              </w:rPr>
              <w:t xml:space="preserve">7 </w:t>
            </w:r>
            <w:r w:rsidRPr="00EE2286">
              <w:rPr>
                <w:rFonts w:asciiTheme="minorHAnsi" w:hAnsiTheme="minorHAnsi" w:cstheme="minorHAnsi"/>
                <w:sz w:val="20"/>
                <w:szCs w:val="18"/>
              </w:rPr>
              <w:t>(Medium)</w:t>
            </w:r>
          </w:p>
        </w:tc>
      </w:tr>
      <w:tr w:rsidR="007D342D" w:rsidRPr="00EE2286" w14:paraId="35952B8B" w14:textId="77777777" w:rsidTr="00DA791E">
        <w:tc>
          <w:tcPr>
            <w:tcW w:w="1985" w:type="dxa"/>
          </w:tcPr>
          <w:p w14:paraId="312C58D1" w14:textId="77777777" w:rsidR="007D342D" w:rsidRPr="004C239C" w:rsidRDefault="007D342D" w:rsidP="00DA791E">
            <w:pPr>
              <w:rPr>
                <w:rFonts w:asciiTheme="minorHAnsi" w:hAnsiTheme="minorHAnsi" w:cstheme="minorHAnsi"/>
                <w:sz w:val="20"/>
                <w:szCs w:val="18"/>
              </w:rPr>
            </w:pPr>
            <w:r w:rsidRPr="004C239C">
              <w:rPr>
                <w:rFonts w:asciiTheme="minorHAnsi" w:hAnsiTheme="minorHAnsi" w:cstheme="minorHAnsi"/>
                <w:sz w:val="20"/>
                <w:szCs w:val="18"/>
              </w:rPr>
              <w:t>Moscicki</w:t>
            </w:r>
            <w:r w:rsidRPr="00D934E1">
              <w:rPr>
                <w:rFonts w:asciiTheme="minorHAnsi" w:hAnsiTheme="minorHAnsi" w:cstheme="minorHAnsi"/>
                <w:sz w:val="20"/>
                <w:szCs w:val="18"/>
              </w:rPr>
              <w:t xml:space="preserve"> 2001 </w:t>
            </w:r>
            <w:r w:rsidRPr="004C239C">
              <w:rPr>
                <w:rFonts w:asciiTheme="minorHAnsi" w:hAnsiTheme="minorHAnsi" w:cstheme="minorHAnsi"/>
                <w:sz w:val="20"/>
                <w:szCs w:val="18"/>
              </w:rPr>
              <w:fldChar w:fldCharType="begin" w:fldLock="1"/>
            </w:r>
            <w:r w:rsidRPr="004C239C">
              <w:rPr>
                <w:rFonts w:asciiTheme="minorHAnsi" w:hAnsiTheme="minorHAnsi" w:cstheme="minorHAnsi"/>
                <w:sz w:val="20"/>
                <w:szCs w:val="18"/>
              </w:rPr>
              <w:instrText>ADDIN CSL_CITATION {"citationItems":[{"id":"ITEM-1","itemData":{"ISSN":"0098-7484","PMID":"11410098","abstract":"CONTEXT Low-grade squamous intraepithelial lesions (LSILs) have been described as a benign cytological consequence of active human papillomavirus (HPV) replication. Several studies have reported that certain behavioral and biological risks exist for LSIL, suggesting that HPV alone is not sufficient for the development of LSIL. However, because most of these studies have been cross-sectional, it is not known whether behavioral and biological risks are simply risks for HPV infection itself. OBJECTIVE To prospectively examine risks of incident HPV infection in HPV-negative females and of incident LSIL development in females with HPV infection. DESIGN Prospective cohort study conducted between 1990-2000, with a median follow-up of 50 months. SETTING AND PARTICIPANTS Females aged 13 to 21 years who attended 2 family planning clinics in the San Francisco bay area; 496 had prevalent HPV infection and 105 were HPV-negative. MAIN OUTCOME MEASURE Incident development of HPV infection and LSIL, analyzed by various demographic, behavioral, and clinical risk factors. RESULTS Fifty-four incident HPV infections occurred in the 105 females who were HPV-negative at study entry (median duration of follow-up for those who remained HPV-negative was 26 months). Multivariable analysis showed that risks of HPV included sexual behavior (relative hazard [RH], 10.10; 95% confidence interval [CI], 3.24-31.50 per new partner per month), history of herpes simplex virus (RH, 3.54; 95% CI, 1.37-9.10), and history of vulvar warts (RH, 2.73; 95% CI, 1.27-5.87). Current use of oral contraceptives had a significantly protective effect (RH, 0.49; 95% CI, 0.28-0.86). Among the 496 individuals who were HPV-positive at baseline or in follow-up, there were 109 incident cases of LSIL during the follow-up interval, with a median follow-up time of 60 months for those who never developed LSIL. Human papillomavirus infection was the most significant risk factor for development of LSIL. The multivariable model showed the following risks for LSIL: HPV infection for less than 1 year (RH, 7.40; 95% CI, 4.74-11.57); HPV infection for 1 to 2 years (RH, 10.27; 95% CI, 5.64-18.69); HPV infection for 2 to 3 years (RH, 6.11; 95% CI, 1.86-20.06); and daily cigarette smoking (RH, 1.67; 95% CI, 1.12-2.48). CONCLUSION Our results indicate distinct risks for HPV and LSIL. In addition, most women with HPV infection in our study did not develop LSIL within a median follow-up period of 60 months. These findings und…","author":[{"dropping-particle":"","family":"Moscicki","given":"A B","non-dropping-particle":"","parse-names":false,"suffix":""},{"dropping-particle":"","family":"Hills","given":"N","non-dropping-particle":"","parse-names":false,"suffix":""},{"dropping-particle":"","family":"Shiboski","given":"S","non-dropping-particle":"","parse-names":false,"suffix":""},{"dropping-particle":"","family":"Powell","given":"K","non-dropping-particle":"","parse-names":false,"suffix":""},{"dropping-particle":"","family":"Jay","given":"N","non-dropping-particle":"","parse-names":false,"suffix":""},{"dropping-particle":"","family":"Hanson","given":"E","non-dropping-particle":"","parse-names":false,"suffix":""},{"dropping-particle":"","family":"Miller","given":"S","non-dropping-particle":"","parse-names":false,"suffix":""},{"dropping-particle":"","family":"Clayton","given":"L","non-dropping-particle":"","parse-names":false,"suffix":""},{"dropping-particle":"","family":"Farhat","given":"S","non-dropping-particle":"","parse-names":false,"suffix":""},{"dropping-particle":"","family":"Broering","given":"J","non-dropping-particle":"","parse-names":false,"suffix":""},{"dropping-particle":"","family":"Darragh","given":"T","non-dropping-particle":"","parse-names":false,"suffix":""},{"dropping-particle":"","family":"Palefsky","given":"J","non-dropping-particle":"","parse-names":false,"suffix":""}],"container-title":"JAMA","id":"ITEM-1","issue":"23","issued":{"date-parts":[["2001","6","20"]]},"page":"2995-3002","title":"Risks for incident human papillomavirus infection and low-grade squamous intraepithelial lesion development in young females.","type":"article-journal","volume":"285"},"uris":["http://www.mendeley.com/documents/?uuid=572cb43d-213b-3009-9454-ab709937646e"]}],"mendeley":{"formattedCitation":"[26]","plainTextFormattedCitation":"[26]","previouslyFormattedCitation":"[26]"},"properties":{"noteIndex":0},"schema":"https://github.com/citation-style-language/schema/raw/master/csl-citation.json"}</w:instrText>
            </w:r>
            <w:r w:rsidRPr="004C239C">
              <w:rPr>
                <w:rFonts w:asciiTheme="minorHAnsi" w:hAnsiTheme="minorHAnsi" w:cstheme="minorHAnsi"/>
                <w:sz w:val="20"/>
                <w:szCs w:val="18"/>
              </w:rPr>
              <w:fldChar w:fldCharType="separate"/>
            </w:r>
            <w:r w:rsidRPr="004C239C">
              <w:rPr>
                <w:rFonts w:asciiTheme="minorHAnsi" w:hAnsiTheme="minorHAnsi" w:cstheme="minorHAnsi"/>
                <w:noProof/>
                <w:sz w:val="20"/>
                <w:szCs w:val="18"/>
              </w:rPr>
              <w:t>[26]</w:t>
            </w:r>
            <w:r w:rsidRPr="004C239C">
              <w:rPr>
                <w:rFonts w:asciiTheme="minorHAnsi" w:hAnsiTheme="minorHAnsi" w:cstheme="minorHAnsi"/>
                <w:sz w:val="20"/>
                <w:szCs w:val="18"/>
              </w:rPr>
              <w:fldChar w:fldCharType="end"/>
            </w:r>
          </w:p>
        </w:tc>
        <w:tc>
          <w:tcPr>
            <w:tcW w:w="1244" w:type="dxa"/>
          </w:tcPr>
          <w:p w14:paraId="0D5815FB" w14:textId="77777777" w:rsidR="007D342D" w:rsidRPr="000923EE" w:rsidRDefault="007D342D" w:rsidP="00DA791E">
            <w:pPr>
              <w:rPr>
                <w:rFonts w:asciiTheme="minorHAnsi" w:hAnsiTheme="minorHAnsi" w:cstheme="minorHAnsi"/>
                <w:sz w:val="20"/>
                <w:szCs w:val="18"/>
              </w:rPr>
            </w:pPr>
            <w:r w:rsidRPr="00D934E1">
              <w:rPr>
                <w:rFonts w:asciiTheme="minorHAnsi" w:hAnsiTheme="minorHAnsi" w:cstheme="minorHAnsi"/>
                <w:sz w:val="20"/>
                <w:szCs w:val="18"/>
              </w:rPr>
              <w:t>PC</w:t>
            </w:r>
          </w:p>
        </w:tc>
        <w:tc>
          <w:tcPr>
            <w:tcW w:w="1286" w:type="dxa"/>
          </w:tcPr>
          <w:p w14:paraId="074FFFAD" w14:textId="77777777" w:rsidR="007D342D" w:rsidRPr="0007440C" w:rsidRDefault="007D342D" w:rsidP="00DA791E">
            <w:pPr>
              <w:rPr>
                <w:rFonts w:asciiTheme="minorHAnsi" w:hAnsiTheme="minorHAnsi" w:cstheme="minorHAnsi"/>
                <w:sz w:val="20"/>
                <w:szCs w:val="18"/>
              </w:rPr>
            </w:pPr>
            <w:r w:rsidRPr="00E37D66">
              <w:rPr>
                <w:rFonts w:asciiTheme="minorHAnsi" w:hAnsiTheme="minorHAnsi" w:cstheme="minorHAnsi"/>
                <w:sz w:val="20"/>
                <w:szCs w:val="18"/>
              </w:rPr>
              <w:t>1</w:t>
            </w:r>
          </w:p>
        </w:tc>
        <w:tc>
          <w:tcPr>
            <w:tcW w:w="1315" w:type="dxa"/>
          </w:tcPr>
          <w:p w14:paraId="231039E2" w14:textId="77777777" w:rsidR="007D342D" w:rsidRPr="001621A4" w:rsidRDefault="007D342D" w:rsidP="00DA791E">
            <w:pPr>
              <w:rPr>
                <w:rFonts w:asciiTheme="minorHAnsi" w:hAnsiTheme="minorHAnsi" w:cstheme="minorHAnsi"/>
                <w:sz w:val="20"/>
                <w:szCs w:val="18"/>
              </w:rPr>
            </w:pPr>
            <w:r w:rsidRPr="0000111D">
              <w:rPr>
                <w:rFonts w:asciiTheme="minorHAnsi" w:hAnsiTheme="minorHAnsi" w:cstheme="minorHAnsi"/>
                <w:sz w:val="20"/>
                <w:szCs w:val="18"/>
              </w:rPr>
              <w:t>2</w:t>
            </w:r>
          </w:p>
        </w:tc>
        <w:tc>
          <w:tcPr>
            <w:tcW w:w="1604" w:type="dxa"/>
          </w:tcPr>
          <w:p w14:paraId="4089691F" w14:textId="77777777" w:rsidR="007D342D" w:rsidRPr="005C5230" w:rsidRDefault="007D342D" w:rsidP="00DA791E">
            <w:pPr>
              <w:rPr>
                <w:rFonts w:asciiTheme="minorHAnsi" w:hAnsiTheme="minorHAnsi" w:cstheme="minorHAnsi"/>
                <w:sz w:val="20"/>
                <w:szCs w:val="18"/>
              </w:rPr>
            </w:pPr>
            <w:r w:rsidRPr="005C5230">
              <w:rPr>
                <w:rFonts w:asciiTheme="minorHAnsi" w:hAnsiTheme="minorHAnsi" w:cstheme="minorHAnsi"/>
                <w:sz w:val="20"/>
                <w:szCs w:val="18"/>
              </w:rPr>
              <w:t>1</w:t>
            </w:r>
          </w:p>
        </w:tc>
        <w:tc>
          <w:tcPr>
            <w:tcW w:w="1293" w:type="dxa"/>
          </w:tcPr>
          <w:p w14:paraId="729291D1" w14:textId="77777777" w:rsidR="007D342D" w:rsidRPr="000E489F" w:rsidRDefault="007D342D" w:rsidP="00DA791E">
            <w:pPr>
              <w:rPr>
                <w:rFonts w:asciiTheme="minorHAnsi" w:hAnsiTheme="minorHAnsi" w:cstheme="minorHAnsi"/>
                <w:sz w:val="20"/>
                <w:szCs w:val="18"/>
              </w:rPr>
            </w:pPr>
            <w:r w:rsidRPr="000E489F">
              <w:rPr>
                <w:rFonts w:asciiTheme="minorHAnsi" w:hAnsiTheme="minorHAnsi" w:cstheme="minorHAnsi"/>
                <w:sz w:val="20"/>
                <w:szCs w:val="18"/>
              </w:rPr>
              <w:t>1</w:t>
            </w:r>
          </w:p>
        </w:tc>
        <w:tc>
          <w:tcPr>
            <w:tcW w:w="1315" w:type="dxa"/>
          </w:tcPr>
          <w:p w14:paraId="7BF0EAAB" w14:textId="77777777" w:rsidR="007D342D" w:rsidRPr="004C239C" w:rsidRDefault="007D342D" w:rsidP="00DA791E">
            <w:pPr>
              <w:rPr>
                <w:rFonts w:asciiTheme="minorHAnsi" w:hAnsiTheme="minorHAnsi" w:cstheme="minorHAnsi"/>
                <w:sz w:val="20"/>
                <w:szCs w:val="18"/>
              </w:rPr>
            </w:pPr>
            <w:r w:rsidRPr="004C239C">
              <w:rPr>
                <w:rFonts w:asciiTheme="minorHAnsi" w:hAnsiTheme="minorHAnsi" w:cstheme="minorHAnsi"/>
                <w:sz w:val="20"/>
                <w:szCs w:val="18"/>
              </w:rPr>
              <w:t>1</w:t>
            </w:r>
          </w:p>
        </w:tc>
        <w:tc>
          <w:tcPr>
            <w:tcW w:w="1277" w:type="dxa"/>
          </w:tcPr>
          <w:p w14:paraId="6467AA1D" w14:textId="77777777" w:rsidR="007D342D" w:rsidRPr="004C239C" w:rsidRDefault="007D342D" w:rsidP="00DA791E">
            <w:pPr>
              <w:rPr>
                <w:rFonts w:asciiTheme="minorHAnsi" w:hAnsiTheme="minorHAnsi" w:cstheme="minorHAnsi"/>
                <w:sz w:val="20"/>
                <w:szCs w:val="18"/>
              </w:rPr>
            </w:pPr>
            <w:r w:rsidRPr="004C239C">
              <w:rPr>
                <w:rFonts w:asciiTheme="minorHAnsi" w:hAnsiTheme="minorHAnsi" w:cstheme="minorHAnsi"/>
                <w:sz w:val="20"/>
                <w:szCs w:val="18"/>
              </w:rPr>
              <w:t>0</w:t>
            </w:r>
          </w:p>
        </w:tc>
        <w:tc>
          <w:tcPr>
            <w:tcW w:w="1396" w:type="dxa"/>
          </w:tcPr>
          <w:p w14:paraId="77F60E72" w14:textId="77777777" w:rsidR="007D342D" w:rsidRPr="00EE2286" w:rsidRDefault="007D342D" w:rsidP="00DA791E">
            <w:pPr>
              <w:rPr>
                <w:rFonts w:asciiTheme="minorHAnsi" w:hAnsiTheme="minorHAnsi" w:cstheme="minorHAnsi"/>
                <w:b/>
                <w:sz w:val="20"/>
                <w:szCs w:val="18"/>
              </w:rPr>
            </w:pPr>
            <w:r>
              <w:rPr>
                <w:rFonts w:asciiTheme="minorHAnsi" w:hAnsiTheme="minorHAnsi" w:cstheme="minorHAnsi"/>
                <w:b/>
                <w:sz w:val="20"/>
                <w:szCs w:val="18"/>
              </w:rPr>
              <w:t xml:space="preserve">6 </w:t>
            </w:r>
            <w:r w:rsidRPr="00EE2286">
              <w:rPr>
                <w:rFonts w:asciiTheme="minorHAnsi" w:hAnsiTheme="minorHAnsi" w:cstheme="minorHAnsi"/>
                <w:sz w:val="20"/>
                <w:szCs w:val="18"/>
              </w:rPr>
              <w:t>(</w:t>
            </w:r>
            <w:r>
              <w:rPr>
                <w:rFonts w:asciiTheme="minorHAnsi" w:hAnsiTheme="minorHAnsi" w:cstheme="minorHAnsi"/>
                <w:sz w:val="20"/>
                <w:szCs w:val="18"/>
              </w:rPr>
              <w:t>Medium</w:t>
            </w:r>
            <w:r w:rsidRPr="00EE2286">
              <w:rPr>
                <w:rFonts w:asciiTheme="minorHAnsi" w:hAnsiTheme="minorHAnsi" w:cstheme="minorHAnsi"/>
                <w:sz w:val="20"/>
                <w:szCs w:val="18"/>
              </w:rPr>
              <w:t>)</w:t>
            </w:r>
          </w:p>
        </w:tc>
      </w:tr>
      <w:tr w:rsidR="007D342D" w:rsidRPr="00EE2286" w14:paraId="6E2E3FF4" w14:textId="77777777" w:rsidTr="00DA791E">
        <w:tc>
          <w:tcPr>
            <w:tcW w:w="1985" w:type="dxa"/>
          </w:tcPr>
          <w:p w14:paraId="36B43E5A"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Nielsen 2009</w:t>
            </w:r>
            <w:r>
              <w:rPr>
                <w:rFonts w:asciiTheme="minorHAnsi" w:hAnsiTheme="minorHAnsi" w:cstheme="minorHAnsi"/>
                <w:sz w:val="20"/>
                <w:szCs w:val="18"/>
              </w:rPr>
              <w:t xml:space="preserve"> </w:t>
            </w:r>
            <w:r>
              <w:rPr>
                <w:rFonts w:asciiTheme="minorHAnsi" w:hAnsiTheme="minorHAnsi" w:cstheme="minorHAnsi"/>
                <w:sz w:val="20"/>
                <w:szCs w:val="18"/>
              </w:rPr>
              <w:fldChar w:fldCharType="begin" w:fldLock="1"/>
            </w:r>
            <w:r>
              <w:rPr>
                <w:rFonts w:asciiTheme="minorHAnsi" w:hAnsiTheme="minorHAnsi" w:cstheme="minorHAnsi"/>
                <w:sz w:val="20"/>
                <w:szCs w:val="18"/>
              </w:rPr>
              <w:instrText>ADDIN CSL_CITATION {"citationItems":[{"id":"ITEM-1","itemData":{"DOI":"10.1097/OLQ.0b013e3181a96d0e","ISSN":"0148-5717","PMID":"19955872","abstract":"BACKGROUND Human papillomavirus (HPV) is the cause of cervical cancer. To better understand the natural history of HPV, we assessed the incidence of type-specific HPV infection and examined risk factors for acquisition of high-risk (HR) HPV infection in Danish women. METHODS A population-based prospective cohort study of women aged 20 to 29 years was conducted. Participants were interviewed and underwent 2 gynaecological examinations 2 years apart. Women for whom Hybrid Capture 2 results were available at both visits were included in the analysis (n = 7454). RESULTS A HR HPV infection was acquired by 12.8% of the women during follow-up. The incidence decreased with increasing age. The commonest types were HPV16, HPV31, and HPV52. HPV66, HPV58, and HPV53 were mainly acquired with other HR types. Multiple HR types were acquired in 50% of the women who became HPV-positive during follow-up. In initially HPV-negative women age, number of sexual partners, and oral contraceptive use were the main risk factors for acquisition, particularly of multiple HR HPV types. CONCLUSIONS HPV infections were commonly acquired. We confirmed the sexually transmitted nature of the infection. Our findings show that both the level of potential exposure and other behavioral factors increase the risk for HR HPV acquisition.","author":[{"dropping-particle":"","family":"Nielsen","given":"Ann","non-dropping-particle":"","parse-names":false,"suffix":""},{"dropping-particle":"","family":"Iftner","given":"Thomas","non-dropping-particle":"","parse-names":false,"suffix":""},{"dropping-particle":"","family":"Munk","given":"Christian","non-dropping-particle":"","parse-names":false,"suffix":""},{"dropping-particle":"","family":"Kjaer","given":"Susanne K.","non-dropping-particle":"","parse-names":false,"suffix":""}],"container-title":"Sexually Transmitted Diseases","id":"ITEM-1","issue":"10","issued":{"date-parts":[["2009","10"]]},"page":"609-615","title":"Acquisition of high-risk human papillomavirus infection in a population-based cohort of Danish women","type":"article-journal","volume":"36"},"uris":["http://www.mendeley.com/documents/?uuid=887614f6-4458-3660-8eb4-44ba09649a0c"]}],"mendeley":{"formattedCitation":"[42]","plainTextFormattedCitation":"[42]","previouslyFormattedCitation":"[42]"},"properties":{"noteIndex":0},"schema":"https://github.com/citation-style-language/schema/raw/master/csl-citation.json"}</w:instrText>
            </w:r>
            <w:r>
              <w:rPr>
                <w:rFonts w:asciiTheme="minorHAnsi" w:hAnsiTheme="minorHAnsi" w:cstheme="minorHAnsi"/>
                <w:sz w:val="20"/>
                <w:szCs w:val="18"/>
              </w:rPr>
              <w:fldChar w:fldCharType="separate"/>
            </w:r>
            <w:r w:rsidRPr="008031AE">
              <w:rPr>
                <w:rFonts w:asciiTheme="minorHAnsi" w:hAnsiTheme="minorHAnsi" w:cstheme="minorHAnsi"/>
                <w:noProof/>
                <w:sz w:val="20"/>
                <w:szCs w:val="18"/>
              </w:rPr>
              <w:t>[42]</w:t>
            </w:r>
            <w:r>
              <w:rPr>
                <w:rFonts w:asciiTheme="minorHAnsi" w:hAnsiTheme="minorHAnsi" w:cstheme="minorHAnsi"/>
                <w:sz w:val="20"/>
                <w:szCs w:val="18"/>
              </w:rPr>
              <w:fldChar w:fldCharType="end"/>
            </w:r>
          </w:p>
        </w:tc>
        <w:tc>
          <w:tcPr>
            <w:tcW w:w="1244" w:type="dxa"/>
          </w:tcPr>
          <w:p w14:paraId="3BC8C7C8"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PC</w:t>
            </w:r>
          </w:p>
        </w:tc>
        <w:tc>
          <w:tcPr>
            <w:tcW w:w="1286" w:type="dxa"/>
          </w:tcPr>
          <w:p w14:paraId="20A50944"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315" w:type="dxa"/>
          </w:tcPr>
          <w:p w14:paraId="766145B9"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604" w:type="dxa"/>
          </w:tcPr>
          <w:p w14:paraId="0CBCCA1D"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93" w:type="dxa"/>
          </w:tcPr>
          <w:p w14:paraId="41A27069"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315" w:type="dxa"/>
          </w:tcPr>
          <w:p w14:paraId="0FBF36A0"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277" w:type="dxa"/>
          </w:tcPr>
          <w:p w14:paraId="359F60BB"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0</w:t>
            </w:r>
          </w:p>
        </w:tc>
        <w:tc>
          <w:tcPr>
            <w:tcW w:w="1396" w:type="dxa"/>
          </w:tcPr>
          <w:p w14:paraId="3E4EC026"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b/>
                <w:sz w:val="20"/>
                <w:szCs w:val="18"/>
              </w:rPr>
              <w:t>7</w:t>
            </w:r>
            <w:r w:rsidRPr="00EE2286">
              <w:rPr>
                <w:rFonts w:asciiTheme="minorHAnsi" w:hAnsiTheme="minorHAnsi" w:cstheme="minorHAnsi"/>
                <w:b/>
                <w:sz w:val="20"/>
                <w:szCs w:val="18"/>
              </w:rPr>
              <w:t xml:space="preserve"> </w:t>
            </w:r>
            <w:r w:rsidRPr="00EE2286">
              <w:rPr>
                <w:rFonts w:asciiTheme="minorHAnsi" w:hAnsiTheme="minorHAnsi" w:cstheme="minorHAnsi"/>
                <w:sz w:val="20"/>
                <w:szCs w:val="18"/>
              </w:rPr>
              <w:t>(</w:t>
            </w:r>
            <w:r>
              <w:rPr>
                <w:rFonts w:asciiTheme="minorHAnsi" w:hAnsiTheme="minorHAnsi" w:cstheme="minorHAnsi"/>
                <w:sz w:val="20"/>
                <w:szCs w:val="18"/>
              </w:rPr>
              <w:t>Medium</w:t>
            </w:r>
            <w:r w:rsidRPr="00EE2286">
              <w:rPr>
                <w:rFonts w:asciiTheme="minorHAnsi" w:hAnsiTheme="minorHAnsi" w:cstheme="minorHAnsi"/>
                <w:sz w:val="20"/>
                <w:szCs w:val="18"/>
              </w:rPr>
              <w:t>)</w:t>
            </w:r>
          </w:p>
        </w:tc>
      </w:tr>
      <w:tr w:rsidR="007D342D" w:rsidRPr="00EE2286" w14:paraId="6FF9EC60" w14:textId="77777777" w:rsidTr="00DA791E">
        <w:trPr>
          <w:trHeight w:val="78"/>
        </w:trPr>
        <w:tc>
          <w:tcPr>
            <w:tcW w:w="1985" w:type="dxa"/>
          </w:tcPr>
          <w:p w14:paraId="7F585EC9"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Pettifor 2009</w:t>
            </w:r>
            <w:r>
              <w:rPr>
                <w:rFonts w:asciiTheme="minorHAnsi" w:hAnsiTheme="minorHAnsi" w:cstheme="minorHAnsi"/>
                <w:sz w:val="20"/>
                <w:szCs w:val="18"/>
              </w:rPr>
              <w:t xml:space="preserve"> </w:t>
            </w:r>
            <w:r>
              <w:rPr>
                <w:rFonts w:asciiTheme="minorHAnsi" w:hAnsiTheme="minorHAnsi" w:cstheme="minorHAnsi"/>
                <w:sz w:val="20"/>
                <w:szCs w:val="18"/>
              </w:rPr>
              <w:fldChar w:fldCharType="begin" w:fldLock="1"/>
            </w:r>
            <w:r>
              <w:rPr>
                <w:rFonts w:asciiTheme="minorHAnsi" w:hAnsiTheme="minorHAnsi" w:cstheme="minorHAnsi"/>
                <w:sz w:val="20"/>
                <w:szCs w:val="18"/>
              </w:rPr>
              <w:instrText>ADDIN CSL_CITATION {"citationItems":[{"id":"ITEM-1","itemData":{"DOI":"10.1016/j.contraception.2009.06.007","ISSN":"1879-0518","PMID":"19913149","abstract":"OBJECTIVE This study was conducted to determine the association between the use of injectable progestin contraception (IPC) and the risk of infection with Neisseria gonorrhoeae (GC), Chlamydia trachomatis (CT), bacterial vaginosis (BV) and Trichomonas vaginalis (TV) among women in South Africa. METHODS From August 1999 through May 2001, 643 HIV-1-negative women were recruited from family planning clinics in Orange Farm, South Africa. IPC [norethisterone enanthate (NET-EN) and depot medroxyprogesterone acetate (DMPA)] users and nonhormonal contraception users were recruited in approximately equal numbers. Eligible participants were seen at enrolment and on four follow-up visits over a 12-month period; 567 returned for at least one follow-up visit. Multivariable Poisson regression models with generalized estimating equations were used to compute the incidence rate ratios (IRRs) for infections with GC, CT, BV and TV by use of NET-EN or DMPA relative to nonuse during follow-up. RESULTS In multivariable models, the use of DMPA slightly increased the risk of infection with CT [IRR=1.24; 95% confidence interval (95% CI)=0.80-1.94] and GC (IRR=1.30; 95% CI=0.58-2.98), although these associations were not statistically significant. In contrast, DMPA appeared to be protective for TV (IRR=0.35; 95% CI=0.12-1.01), although this estimate was very imprecise. The use of both DMPA and NET-EN was associated with a decreased risk of BV. CONCLUSIONS The use of DMPA among women in this study population was associated with an increased - but not statistically significant - risk of cervical infection with chlamydia and gonorrhea, and a decreased risk of TV and BV. Given the inconsistencies and limitations of the data describing an increased risk of CT and GC with IPC use, the potential risk of sexually transmitted infections (STIs) must be balanced against the risk of unintended pregnancy and its health consequences, especially in developing countries. Women opting to use IPC should be counseled to use condoms to protect against STIs and HIV.","author":[{"dropping-particle":"","family":"Pettifor","given":"Audrey","non-dropping-particle":"","parse-names":false,"suffix":""},{"dropping-particle":"","family":"Delany","given":"Sinead","non-dropping-particle":"","parse-names":false,"suffix":""},{"dropping-particle":"","family":"Kleinschmidt","given":"Immo","non-dropping-particle":"","parse-names":false,"suffix":""},{"dropping-particle":"","family":"Miller","given":"William C","non-dropping-particle":"","parse-names":false,"suffix":""},{"dropping-particle":"","family":"Atashili","given":"Julius","non-dropping-particle":"","parse-names":false,"suffix":""},{"dropping-particle":"","family":"Rees","given":"Helen","non-dropping-particle":"","parse-names":false,"suffix":""}],"container-title":"Contraception","id":"ITEM-1","issue":"6","issued":{"date-parts":[["2009","12"]]},"page":"555-60","title":"Use of injectable progestin contraception and risk of STI among South African women.","type":"article-journal","volume":"80"},"uris":["http://www.mendeley.com/documents/?uuid=45e239d2-c5f9-365d-aaa3-264f2f2eabb2"]}],"mendeley":{"formattedCitation":"[48]","plainTextFormattedCitation":"[48]","previouslyFormattedCitation":"[48]"},"properties":{"noteIndex":0},"schema":"https://github.com/citation-style-language/schema/raw/master/csl-citation.json"}</w:instrText>
            </w:r>
            <w:r>
              <w:rPr>
                <w:rFonts w:asciiTheme="minorHAnsi" w:hAnsiTheme="minorHAnsi" w:cstheme="minorHAnsi"/>
                <w:sz w:val="20"/>
                <w:szCs w:val="18"/>
              </w:rPr>
              <w:fldChar w:fldCharType="separate"/>
            </w:r>
            <w:r w:rsidRPr="008E6390">
              <w:rPr>
                <w:rFonts w:asciiTheme="minorHAnsi" w:hAnsiTheme="minorHAnsi" w:cstheme="minorHAnsi"/>
                <w:noProof/>
                <w:sz w:val="20"/>
                <w:szCs w:val="18"/>
              </w:rPr>
              <w:t>[48]</w:t>
            </w:r>
            <w:r>
              <w:rPr>
                <w:rFonts w:asciiTheme="minorHAnsi" w:hAnsiTheme="minorHAnsi" w:cstheme="minorHAnsi"/>
                <w:sz w:val="20"/>
                <w:szCs w:val="18"/>
              </w:rPr>
              <w:fldChar w:fldCharType="end"/>
            </w:r>
          </w:p>
        </w:tc>
        <w:tc>
          <w:tcPr>
            <w:tcW w:w="1244" w:type="dxa"/>
          </w:tcPr>
          <w:p w14:paraId="7C393BA1"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PC</w:t>
            </w:r>
          </w:p>
        </w:tc>
        <w:tc>
          <w:tcPr>
            <w:tcW w:w="1286" w:type="dxa"/>
          </w:tcPr>
          <w:p w14:paraId="3AB17E02"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315" w:type="dxa"/>
          </w:tcPr>
          <w:p w14:paraId="463BE992"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604" w:type="dxa"/>
          </w:tcPr>
          <w:p w14:paraId="037C4D86"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93" w:type="dxa"/>
          </w:tcPr>
          <w:p w14:paraId="52B6CC18"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315" w:type="dxa"/>
          </w:tcPr>
          <w:p w14:paraId="49C09A52"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77" w:type="dxa"/>
          </w:tcPr>
          <w:p w14:paraId="7CED2150"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396" w:type="dxa"/>
          </w:tcPr>
          <w:p w14:paraId="3023FEFD"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b/>
                <w:sz w:val="20"/>
                <w:szCs w:val="18"/>
              </w:rPr>
              <w:t xml:space="preserve">9 </w:t>
            </w:r>
            <w:r w:rsidRPr="00EE2286">
              <w:rPr>
                <w:rFonts w:asciiTheme="minorHAnsi" w:hAnsiTheme="minorHAnsi" w:cstheme="minorHAnsi"/>
                <w:sz w:val="20"/>
                <w:szCs w:val="18"/>
              </w:rPr>
              <w:t>(High)</w:t>
            </w:r>
          </w:p>
        </w:tc>
      </w:tr>
      <w:tr w:rsidR="007D342D" w:rsidRPr="00EE2286" w14:paraId="558EEBA5" w14:textId="77777777" w:rsidTr="00DA791E">
        <w:tc>
          <w:tcPr>
            <w:tcW w:w="1985" w:type="dxa"/>
          </w:tcPr>
          <w:p w14:paraId="61EE0F1E"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Phelan 2009</w:t>
            </w:r>
            <w:r>
              <w:rPr>
                <w:rFonts w:asciiTheme="minorHAnsi" w:hAnsiTheme="minorHAnsi" w:cstheme="minorHAnsi"/>
                <w:sz w:val="20"/>
                <w:szCs w:val="18"/>
              </w:rPr>
              <w:t xml:space="preserve"> </w:t>
            </w:r>
            <w:r>
              <w:rPr>
                <w:rFonts w:asciiTheme="minorHAnsi" w:hAnsiTheme="minorHAnsi" w:cstheme="minorHAnsi"/>
                <w:sz w:val="20"/>
                <w:szCs w:val="18"/>
              </w:rPr>
              <w:fldChar w:fldCharType="begin" w:fldLock="1"/>
            </w:r>
            <w:r>
              <w:rPr>
                <w:rFonts w:asciiTheme="minorHAnsi" w:hAnsiTheme="minorHAnsi" w:cstheme="minorHAnsi"/>
                <w:sz w:val="20"/>
                <w:szCs w:val="18"/>
              </w:rPr>
              <w:instrText>ADDIN CSL_CITATION {"citationItems":[{"id":"ITEM-1","itemData":{"DOI":"10.1097/OLQ.0b013e31818d3df3","ISSN":"1537-4521","PMID":"19174735","abstract":"BACKGROUND We sought to identify factors associated with newly detected human papillomavirus (HPV) infection in a high-risk cohort of injection drug using women in Baltimore, MD. METHODS We studied 146 HIV-infected and 73 HIV-uninfected female participants in a 5-year prospective HIV natural history study. We examined the association of sexual and nonsexual risk factors and newly detected type-specific HPV infection as determined by consensus PCR between consecutive visits. RESULTS Newly detected HPV was more common among HIV-infected versus HIV-uninfected women (30% and 6%, respectively; P &lt;0.01). Among the entire cohort, recent crack use (OR, 1.7; 95% CI, 1.1-2.6) and HIV infection/CD4 cell count were independent predictors for new HPV detection (HIV-uninfected as reference, OR, 4.6; 95% CI, 2.3-8.9, OR, 5.4; 95% CI, 2.8-10.3, and OR, 10.9; 95% CI, 5.5-21.7 for HIV-infected CD4 &gt;500, 200-500, and &lt;200, respectively). Among HIV-uninfected women, recent marijuana use was an independent predictor of newly detected HPV infection (OR, 3.5; 95% CI, 1.3-9.5). CONCLUSIONS Newly detected HPV clearly increased with greater immunosuppression in HIV-infected injection drug users. Larger studies of HIV-uninfected and infected high-risk individuals are needed to clarify the independent associations of crack and marijuana use with new (or reactivated) HPV infection.","author":[{"dropping-particle":"","family":"Phelan","given":"Darcy F","non-dropping-particle":"","parse-names":false,"suffix":""},{"dropping-particle":"","family":"Gange","given":"Stephen J","non-dropping-particle":"","parse-names":false,"suffix":""},{"dropping-particle":"","family":"Ahdieh-Grant","given":"Linda","non-dropping-particle":"","parse-names":false,"suffix":""},{"dropping-particle":"","family":"Mehta","given":"Shruti H","non-dropping-particle":"","parse-names":false,"suffix":""},{"dropping-particle":"","family":"Kirk","given":"Gregory D","non-dropping-particle":"","parse-names":false,"suffix":""},{"dropping-particle":"","family":"Shah","given":"Keerti","non-dropping-particle":"","parse-names":false,"suffix":""},{"dropping-particle":"","family":"Gravitt","given":"Patti","non-dropping-particle":"","parse-names":false,"suffix":""}],"container-title":"Sexually transmitted diseases","id":"ITEM-1","issue":"3","issued":{"date-parts":[["2009"]]},"page":"149-56","title":"Determinants of newly detected human papillomavirus infection in HIV-infected and HIV-uninfected injection drug using women","type":"article-journal","volume":"36"},"uris":["http://www.mendeley.com/documents/?uuid=a337f909-6c6e-3903-acd2-587218c7e335"]}],"mendeley":{"formattedCitation":"[43]","plainTextFormattedCitation":"[43]","previouslyFormattedCitation":"[43]"},"properties":{"noteIndex":0},"schema":"https://github.com/citation-style-language/schema/raw/master/csl-citation.json"}</w:instrText>
            </w:r>
            <w:r>
              <w:rPr>
                <w:rFonts w:asciiTheme="minorHAnsi" w:hAnsiTheme="minorHAnsi" w:cstheme="minorHAnsi"/>
                <w:sz w:val="20"/>
                <w:szCs w:val="18"/>
              </w:rPr>
              <w:fldChar w:fldCharType="separate"/>
            </w:r>
            <w:r w:rsidRPr="008031AE">
              <w:rPr>
                <w:rFonts w:asciiTheme="minorHAnsi" w:hAnsiTheme="minorHAnsi" w:cstheme="minorHAnsi"/>
                <w:noProof/>
                <w:sz w:val="20"/>
                <w:szCs w:val="18"/>
              </w:rPr>
              <w:t>[43]</w:t>
            </w:r>
            <w:r>
              <w:rPr>
                <w:rFonts w:asciiTheme="minorHAnsi" w:hAnsiTheme="minorHAnsi" w:cstheme="minorHAnsi"/>
                <w:sz w:val="20"/>
                <w:szCs w:val="18"/>
              </w:rPr>
              <w:fldChar w:fldCharType="end"/>
            </w:r>
          </w:p>
        </w:tc>
        <w:tc>
          <w:tcPr>
            <w:tcW w:w="1244" w:type="dxa"/>
          </w:tcPr>
          <w:p w14:paraId="04C6CFA3"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PC</w:t>
            </w:r>
          </w:p>
        </w:tc>
        <w:tc>
          <w:tcPr>
            <w:tcW w:w="1286" w:type="dxa"/>
          </w:tcPr>
          <w:p w14:paraId="5A185C9B"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315" w:type="dxa"/>
          </w:tcPr>
          <w:p w14:paraId="73A58F94"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604" w:type="dxa"/>
          </w:tcPr>
          <w:p w14:paraId="318228D6"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93" w:type="dxa"/>
          </w:tcPr>
          <w:p w14:paraId="69656E2F"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315" w:type="dxa"/>
          </w:tcPr>
          <w:p w14:paraId="7340F61C"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77" w:type="dxa"/>
          </w:tcPr>
          <w:p w14:paraId="1E2E85BD"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0</w:t>
            </w:r>
          </w:p>
        </w:tc>
        <w:tc>
          <w:tcPr>
            <w:tcW w:w="1396" w:type="dxa"/>
          </w:tcPr>
          <w:p w14:paraId="79CD56FC"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b/>
                <w:sz w:val="20"/>
                <w:szCs w:val="18"/>
              </w:rPr>
              <w:t xml:space="preserve">6 </w:t>
            </w:r>
            <w:r w:rsidRPr="00EE2286">
              <w:rPr>
                <w:rFonts w:asciiTheme="minorHAnsi" w:hAnsiTheme="minorHAnsi" w:cstheme="minorHAnsi"/>
                <w:sz w:val="20"/>
                <w:szCs w:val="18"/>
              </w:rPr>
              <w:t>(Medium)</w:t>
            </w:r>
          </w:p>
        </w:tc>
      </w:tr>
      <w:tr w:rsidR="007D342D" w:rsidRPr="00EE2286" w14:paraId="57698925" w14:textId="77777777" w:rsidTr="00DA791E">
        <w:tc>
          <w:tcPr>
            <w:tcW w:w="1985" w:type="dxa"/>
          </w:tcPr>
          <w:p w14:paraId="66F2FA92" w14:textId="77777777" w:rsidR="007D342D" w:rsidRPr="00EE2286" w:rsidRDefault="007D342D" w:rsidP="00DA791E">
            <w:pPr>
              <w:rPr>
                <w:rFonts w:asciiTheme="minorHAnsi" w:hAnsiTheme="minorHAnsi" w:cstheme="minorHAnsi"/>
                <w:sz w:val="20"/>
                <w:szCs w:val="18"/>
              </w:rPr>
            </w:pPr>
            <w:proofErr w:type="spellStart"/>
            <w:r w:rsidRPr="00EE2286">
              <w:rPr>
                <w:rFonts w:asciiTheme="minorHAnsi" w:hAnsiTheme="minorHAnsi" w:cstheme="minorHAnsi"/>
                <w:sz w:val="20"/>
                <w:szCs w:val="18"/>
              </w:rPr>
              <w:t>Pintye</w:t>
            </w:r>
            <w:proofErr w:type="spellEnd"/>
            <w:r w:rsidRPr="00EE2286">
              <w:rPr>
                <w:rFonts w:asciiTheme="minorHAnsi" w:hAnsiTheme="minorHAnsi" w:cstheme="minorHAnsi"/>
                <w:sz w:val="20"/>
                <w:szCs w:val="18"/>
              </w:rPr>
              <w:t xml:space="preserve"> 2017</w:t>
            </w:r>
            <w:r>
              <w:rPr>
                <w:rFonts w:asciiTheme="minorHAnsi" w:hAnsiTheme="minorHAnsi" w:cstheme="minorHAnsi"/>
                <w:sz w:val="20"/>
                <w:szCs w:val="18"/>
              </w:rPr>
              <w:t xml:space="preserve"> </w:t>
            </w:r>
            <w:r>
              <w:rPr>
                <w:rFonts w:asciiTheme="minorHAnsi" w:hAnsiTheme="minorHAnsi" w:cstheme="minorHAnsi"/>
                <w:sz w:val="20"/>
                <w:szCs w:val="18"/>
              </w:rPr>
              <w:fldChar w:fldCharType="begin" w:fldLock="1"/>
            </w:r>
            <w:r>
              <w:rPr>
                <w:rFonts w:asciiTheme="minorHAnsi" w:hAnsiTheme="minorHAnsi" w:cstheme="minorHAnsi"/>
                <w:sz w:val="20"/>
                <w:szCs w:val="18"/>
              </w:rPr>
              <w:instrText>ADDIN CSL_CITATION {"citationItems":[{"id":"ITEM-1","itemData":{"DOI":"10.1136/sextrans-2016-052629","ISSN":"1472-3263","PMID":"27519258","abstract":"OBJECTIVE Trichomonas vaginalis is the world's most common curable STI and has implications for reproductive health in women. We determined incidence and correlates of T. vaginalis in an HIV-uninfected peripartum cohort. METHODS Women participating in a prospective study of peripartum HIV acquisition in Western Kenya were enrolled during pregnancy and followed until 9 months post partum. T. vaginalis was assessed every 1-3 months using wet mount microscopy. Correlates of incident T. vaginalis were determined using Cox proportional hazards models. RESULTS Among 1271 women enrolled, median age was 22 years (IQR 19-27) and gestational age was 22 weeks (IQR 18-26); most (78%) were married and had uncircumcised male partners (69%). Prevalent T. vaginalis was detected in 81 women (6%) at enrolment. Among women without T. vaginalis at enrolment, 112 had T. vaginalis detected during 1079 person-years of follow-up (10.4 per 100 person-years). After adjustment for socio-economic factors, male partner circumcision status, pregnancy status and other STIs, T. vaginalis incidence was higher during pregnancy than post partum (22.3 vs 7.7 per 100 person-years, adjusted HR (aHR) 3.68, 95% CI 1.90 to 7.15, p&lt;0.001). Women with circumcised male partners had a 58% lower risk of incident T. vaginalis compared with women with uncircumcised partners (aHR 0.42, 95% CI 0.23 to 0.76, p=0.004). Employed women had lower risk of incident T. vaginalis than unemployed women (aHR 0.49, 95% CI 0.31 to 0.79, p=0.003); recent STI was associated with increased T. vaginalis risk (aHR 2.97, 95% CI 1.49 to 5.94, p=0.002). CONCLUSIONS T. vaginalis was relatively common in this peripartum cohort. Male circumcision may confer benefits in preventing T. vaginalis.","author":[{"dropping-particle":"","family":"Pintye","given":"Jillian","non-dropping-particle":"","parse-names":false,"suffix":""},{"dropping-particle":"","family":"Drake","given":"Alison L","non-dropping-particle":"","parse-names":false,"suffix":""},{"dropping-particle":"","family":"Unger","given":"Jennifer A","non-dropping-particle":"","parse-names":false,"suffix":""},{"dropping-particle":"","family":"Matemo","given":"Daniel","non-dropping-particle":"","parse-names":false,"suffix":""},{"dropping-particle":"","family":"Kinuthia","given":"John","non-dropping-particle":"","parse-names":false,"suffix":""},{"dropping-particle":"","family":"McClelland","given":"R Scott","non-dropping-particle":"","parse-names":false,"suffix":""},{"dropping-particle":"","family":"John-Stewart","given":"Grace","non-dropping-particle":"","parse-names":false,"suffix":""}],"container-title":"Sexually transmitted infections","id":"ITEM-1","issue":"2","issued":{"date-parts":[["2017","3"]]},"page":"137-143","title":"Male partner circumcision associated with lower Trichomonas vaginalis incidence among pregnant and postpartum Kenyan women: a prospective cohort study.","type":"article-journal","volume":"93"},"uris":["http://www.mendeley.com/documents/?uuid=d30f4ece-39fd-32e9-807d-fd228b077161"]}],"mendeley":{"formattedCitation":"[49]","plainTextFormattedCitation":"[49]","previouslyFormattedCitation":"[49]"},"properties":{"noteIndex":0},"schema":"https://github.com/citation-style-language/schema/raw/master/csl-citation.json"}</w:instrText>
            </w:r>
            <w:r>
              <w:rPr>
                <w:rFonts w:asciiTheme="minorHAnsi" w:hAnsiTheme="minorHAnsi" w:cstheme="minorHAnsi"/>
                <w:sz w:val="20"/>
                <w:szCs w:val="18"/>
              </w:rPr>
              <w:fldChar w:fldCharType="separate"/>
            </w:r>
            <w:r w:rsidRPr="008E6390">
              <w:rPr>
                <w:rFonts w:asciiTheme="minorHAnsi" w:hAnsiTheme="minorHAnsi" w:cstheme="minorHAnsi"/>
                <w:noProof/>
                <w:sz w:val="20"/>
                <w:szCs w:val="18"/>
              </w:rPr>
              <w:t>[49]</w:t>
            </w:r>
            <w:r>
              <w:rPr>
                <w:rFonts w:asciiTheme="minorHAnsi" w:hAnsiTheme="minorHAnsi" w:cstheme="minorHAnsi"/>
                <w:sz w:val="20"/>
                <w:szCs w:val="18"/>
              </w:rPr>
              <w:fldChar w:fldCharType="end"/>
            </w:r>
          </w:p>
        </w:tc>
        <w:tc>
          <w:tcPr>
            <w:tcW w:w="1244" w:type="dxa"/>
          </w:tcPr>
          <w:p w14:paraId="1283A6E2"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PC</w:t>
            </w:r>
          </w:p>
        </w:tc>
        <w:tc>
          <w:tcPr>
            <w:tcW w:w="1286" w:type="dxa"/>
          </w:tcPr>
          <w:p w14:paraId="5FA5D888"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315" w:type="dxa"/>
          </w:tcPr>
          <w:p w14:paraId="7870CE97"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604" w:type="dxa"/>
          </w:tcPr>
          <w:p w14:paraId="1AB27A5B"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93" w:type="dxa"/>
          </w:tcPr>
          <w:p w14:paraId="4C0CC681"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315" w:type="dxa"/>
          </w:tcPr>
          <w:p w14:paraId="21282DB7"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77" w:type="dxa"/>
          </w:tcPr>
          <w:p w14:paraId="1D6E79B5"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0</w:t>
            </w:r>
          </w:p>
        </w:tc>
        <w:tc>
          <w:tcPr>
            <w:tcW w:w="1396" w:type="dxa"/>
          </w:tcPr>
          <w:p w14:paraId="323FDF62"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b/>
                <w:sz w:val="20"/>
                <w:szCs w:val="18"/>
              </w:rPr>
              <w:t xml:space="preserve">8 </w:t>
            </w:r>
            <w:r w:rsidRPr="00EE2286">
              <w:rPr>
                <w:rFonts w:asciiTheme="minorHAnsi" w:hAnsiTheme="minorHAnsi" w:cstheme="minorHAnsi"/>
                <w:sz w:val="20"/>
                <w:szCs w:val="18"/>
              </w:rPr>
              <w:t>(High)</w:t>
            </w:r>
          </w:p>
        </w:tc>
      </w:tr>
      <w:tr w:rsidR="007D342D" w:rsidRPr="00EE2286" w14:paraId="050047F7" w14:textId="77777777" w:rsidTr="00DA791E">
        <w:tc>
          <w:tcPr>
            <w:tcW w:w="1985" w:type="dxa"/>
          </w:tcPr>
          <w:p w14:paraId="06BF226B"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Romer 2013</w:t>
            </w:r>
            <w:r>
              <w:rPr>
                <w:rFonts w:asciiTheme="minorHAnsi" w:hAnsiTheme="minorHAnsi" w:cstheme="minorHAnsi"/>
                <w:sz w:val="20"/>
                <w:szCs w:val="18"/>
              </w:rPr>
              <w:t xml:space="preserve"> </w:t>
            </w:r>
            <w:r>
              <w:rPr>
                <w:rFonts w:asciiTheme="minorHAnsi" w:hAnsiTheme="minorHAnsi" w:cstheme="minorHAnsi"/>
                <w:sz w:val="20"/>
                <w:szCs w:val="18"/>
              </w:rPr>
              <w:fldChar w:fldCharType="begin" w:fldLock="1"/>
            </w:r>
            <w:r>
              <w:rPr>
                <w:rFonts w:asciiTheme="minorHAnsi" w:hAnsiTheme="minorHAnsi" w:cstheme="minorHAnsi"/>
                <w:sz w:val="20"/>
                <w:szCs w:val="18"/>
              </w:rPr>
              <w:instrText>ADDIN CSL_CITATION {"citationItems":[{"id":"ITEM-1","itemData":{"DOI":"10.1016/j.jadohealth.2012.04.007","PMID":"23260839","abstract":"PURPOSE To determine whether depot medroxyprogesterone acetate (DMPA) use is associated with an increased risk of acquisition of sexually transmitted infections (STIs) in a cohort of healthy adolescents, for whom prospective evidence is sparse. METHODS Adolescent women aged 14-17 years (n = 342) were recruited from clinical sites in the United States between 1999 and 2005. They returned quarterly for interviews and STI testing. During alternating 3-month periods, participants also completed daily diaries of sexual behaviors and performed weekly vaginal self-obtained swabs to test for STIs. Data collected through 2009 (median follow-up length = 42.2 months) were analyzed. Univariable and multivariable tests of association between STI acquisition during the 3-month diary period and covariates were calculated, using nonlinear mixed-effect logistic regression models to control for repeated measurements. RESULTS In multivariable analysis, there were no significant associations between DMPA use in the current or previous 3-month period and incidence of Chlamydia trachomatis, Neisseria gonorrhoeae, or Trichomonas vaginalis. The number of total or unprotected sexual events during the diary period was not associated with the risk of STI. Older age was a protective factor for the development of Chlamydia trachomatis (odds ratio = .85; 95% confidence interval = .76-.96). The only factor significantly associated with an increased risk of contracting all three STIs was a greater number of sexual partners during the diary period (odds ratio, range = 1.91-2.62). CONCLUSIONS In this U.S.-based cohort of adolescent women, we found no evidence that DMPA use was associated with increased STI risk. Efforts to curb STI transmission among adolescents should focus on education about the reduced number of sexual partners.","author":[{"dropping-particle":"","family":"Romer","given":"Amy","non-dropping-particle":"","parse-names":false,"suffix":""},{"dropping-particle":"","family":"Shew","given":"Marcia L.","non-dropping-particle":"","parse-names":false,"suffix":""},{"dropping-particle":"","family":"Ofner","given":"Susan","non-dropping-particle":"","parse-names":false,"suffix":""},{"dropping-particle":"","family":"Gilliam","given":"Melissa L.","non-dropping-particle":"","parse-names":false,"suffix":""},{"dropping-particle":"","family":"Martins","given":"Summer L.","non-dropping-particle":"","parse-names":false,"suffix":""},{"dropping-particle":"","family":"Fortenberry","given":"J. Dennis","non-dropping-particle":"","parse-names":false,"suffix":""}],"container-title":"Journal of Adolescent Health","id":"ITEM-1","issue":"1","issued":{"date-parts":[["2013","1"]]},"page":"83-88","title":"Depot medroxyprogesterone acetate use is not associated with risk of incident sexually transmitted infections among adolescent women","type":"article-journal","volume":"52"},"uris":["http://www.mendeley.com/documents/?uuid=982f0fd0-7e4e-3ca4-8199-e9b5f08b14e2"]}],"mendeley":{"formattedCitation":"[50]","plainTextFormattedCitation":"[50]","previouslyFormattedCitation":"[50]"},"properties":{"noteIndex":0},"schema":"https://github.com/citation-style-language/schema/raw/master/csl-citation.json"}</w:instrText>
            </w:r>
            <w:r>
              <w:rPr>
                <w:rFonts w:asciiTheme="minorHAnsi" w:hAnsiTheme="minorHAnsi" w:cstheme="minorHAnsi"/>
                <w:sz w:val="20"/>
                <w:szCs w:val="18"/>
              </w:rPr>
              <w:fldChar w:fldCharType="separate"/>
            </w:r>
            <w:r w:rsidRPr="008E6390">
              <w:rPr>
                <w:rFonts w:asciiTheme="minorHAnsi" w:hAnsiTheme="minorHAnsi" w:cstheme="minorHAnsi"/>
                <w:noProof/>
                <w:sz w:val="20"/>
                <w:szCs w:val="18"/>
              </w:rPr>
              <w:t>[50]</w:t>
            </w:r>
            <w:r>
              <w:rPr>
                <w:rFonts w:asciiTheme="minorHAnsi" w:hAnsiTheme="minorHAnsi" w:cstheme="minorHAnsi"/>
                <w:sz w:val="20"/>
                <w:szCs w:val="18"/>
              </w:rPr>
              <w:fldChar w:fldCharType="end"/>
            </w:r>
          </w:p>
        </w:tc>
        <w:tc>
          <w:tcPr>
            <w:tcW w:w="1244" w:type="dxa"/>
          </w:tcPr>
          <w:p w14:paraId="6D980B68"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PC</w:t>
            </w:r>
          </w:p>
        </w:tc>
        <w:tc>
          <w:tcPr>
            <w:tcW w:w="1286" w:type="dxa"/>
          </w:tcPr>
          <w:p w14:paraId="7CFA78E2"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315" w:type="dxa"/>
          </w:tcPr>
          <w:p w14:paraId="2FFC69B8"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604" w:type="dxa"/>
          </w:tcPr>
          <w:p w14:paraId="017075D0"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93" w:type="dxa"/>
          </w:tcPr>
          <w:p w14:paraId="5264685B"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315" w:type="dxa"/>
          </w:tcPr>
          <w:p w14:paraId="710442F3"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77" w:type="dxa"/>
          </w:tcPr>
          <w:p w14:paraId="4B894C0D"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396" w:type="dxa"/>
          </w:tcPr>
          <w:p w14:paraId="6D377E97"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b/>
                <w:sz w:val="20"/>
                <w:szCs w:val="18"/>
              </w:rPr>
              <w:t xml:space="preserve">8 </w:t>
            </w:r>
            <w:r w:rsidRPr="00EE2286">
              <w:rPr>
                <w:rFonts w:asciiTheme="minorHAnsi" w:hAnsiTheme="minorHAnsi" w:cstheme="minorHAnsi"/>
                <w:sz w:val="20"/>
                <w:szCs w:val="18"/>
              </w:rPr>
              <w:t>(High)</w:t>
            </w:r>
          </w:p>
        </w:tc>
      </w:tr>
      <w:tr w:rsidR="007D342D" w:rsidRPr="00EE2286" w14:paraId="47C14C2E" w14:textId="77777777" w:rsidTr="00DA791E">
        <w:tc>
          <w:tcPr>
            <w:tcW w:w="1985" w:type="dxa"/>
          </w:tcPr>
          <w:p w14:paraId="76D591CA"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Russell 2016</w:t>
            </w:r>
            <w:r>
              <w:rPr>
                <w:rFonts w:asciiTheme="minorHAnsi" w:hAnsiTheme="minorHAnsi" w:cstheme="minorHAnsi"/>
                <w:sz w:val="20"/>
                <w:szCs w:val="18"/>
              </w:rPr>
              <w:t xml:space="preserve"> </w:t>
            </w:r>
            <w:r>
              <w:rPr>
                <w:rFonts w:asciiTheme="minorHAnsi" w:hAnsiTheme="minorHAnsi" w:cstheme="minorHAnsi"/>
                <w:sz w:val="20"/>
                <w:szCs w:val="18"/>
              </w:rPr>
              <w:fldChar w:fldCharType="begin" w:fldLock="1"/>
            </w:r>
            <w:r>
              <w:rPr>
                <w:rFonts w:asciiTheme="minorHAnsi" w:hAnsiTheme="minorHAnsi" w:cstheme="minorHAnsi"/>
                <w:sz w:val="20"/>
                <w:szCs w:val="18"/>
              </w:rPr>
              <w:instrText>ADDIN CSL_CITATION {"citationItems":[{"id":"ITEM-1","itemData":{"DOI":"10.1093/infdis/jiv438","ISSN":"1537-6613","PMID":"26347571","abstract":"BACKGROUND Chlamydia trachomatis genital tract infection is a major cause of female reproductive morbidity. Risk factors for ascending infection are unknown, and the role for antibody in protection is not well established. METHODS We recruited 225 women from urban outpatient clinics and followed them for a median of 12 months. We performed a cross-sectional analysis of serum anti-chlamydial immunoglobulin G (IgG), behavioral factors, and microbiological factors associated with endometrial infection at enrollment, and a longitudinal analysis of factors associated with incident infection. RESULTS Oral contraceptives (adjusted relative risk [RR], 2.02 [95% confidence interval {CI}, 1.38-2.97]) and gonorrhea (adjusted RR, 1.66 [95% CI, 1.07-2.60]) were associated with endometrial infection. Gonorrhea (adjusted hazard ratio [HR], 3.09 [95% CI, 1.41-6.78]), cervical infection at enrollment (adjusted HR, 2.33 [95% CI, 1.07-5.11]), and exposure to uncircumcised partners (adjusted HR, 2.65 [95% CI, 1.21-5.82]) or infected partners (adjusted HR, 4.99 [95% CI, 2.66-9.39]) significantly increased the risk of incident infection. Seropositivity was associated with a reduced cervical burden (P &lt; .05) but no differences in rates of ascending infection (adjusted RR, 1.24 [95% CI, .71-2.19]) or incident infection (adjusted HR, 0.94 [95% CI, .52-1.69]). CONCLUSIONS Serum anti-chlamydial IgG is not associated with a lowered rate of ascending or repeat infection. Identification of factors associated with ascending infection and increased risk of incident infection provide guidance for targeted screening of women at increased risk for sequelae.","author":[{"dropping-particle":"","family":"Russell","given":"Ali N","non-dropping-particle":"","parse-names":false,"suffix":""},{"dropping-particle":"","family":"Zheng","given":"Xiaojing","non-dropping-particle":"","parse-names":false,"suffix":""},{"dropping-particle":"","family":"O'Connell","given":"Catherine M","non-dropping-particle":"","parse-names":false,"suffix":""},{"dropping-particle":"","family":"Taylor","given":"Brandie D","non-dropping-particle":"","parse-names":false,"suffix":""},{"dropping-particle":"","family":"Wiesenfeld","given":"Harold C","non-dropping-particle":"","parse-names":false,"suffix":""},{"dropping-particle":"","family":"Hillier","given":"Sharon L","non-dropping-particle":"","parse-names":false,"suffix":""},{"dropping-particle":"","family":"Zhong","given":"Wujuan","non-dropping-particle":"","parse-names":false,"suffix":""},{"dropping-particle":"","family":"Darville","given":"Toni","non-dropping-particle":"","parse-names":false,"suffix":""}],"container-title":"Journal of Infectious Diseases","id":"ITEM-1","issue":"4","issued":{"date-parts":[["2016","2","15"]]},"page":"523-31","title":"Analysis of factors driving incident and ascending infection and the role of serum antibody in Chlamydia trachomatis genital tract infection","type":"article-journal","volume":"213"},"uris":["http://www.mendeley.com/documents/?uuid=1fca306e-3976-3d90-98bc-13b5f5763fc4"]}],"mendeley":{"formattedCitation":"[52]","plainTextFormattedCitation":"[52]","previouslyFormattedCitation":"[52]"},"properties":{"noteIndex":0},"schema":"https://github.com/citation-style-language/schema/raw/master/csl-citation.json"}</w:instrText>
            </w:r>
            <w:r>
              <w:rPr>
                <w:rFonts w:asciiTheme="minorHAnsi" w:hAnsiTheme="minorHAnsi" w:cstheme="minorHAnsi"/>
                <w:sz w:val="20"/>
                <w:szCs w:val="18"/>
              </w:rPr>
              <w:fldChar w:fldCharType="separate"/>
            </w:r>
            <w:r w:rsidRPr="008E6390">
              <w:rPr>
                <w:rFonts w:asciiTheme="minorHAnsi" w:hAnsiTheme="minorHAnsi" w:cstheme="minorHAnsi"/>
                <w:noProof/>
                <w:sz w:val="20"/>
                <w:szCs w:val="18"/>
              </w:rPr>
              <w:t>[52]</w:t>
            </w:r>
            <w:r>
              <w:rPr>
                <w:rFonts w:asciiTheme="minorHAnsi" w:hAnsiTheme="minorHAnsi" w:cstheme="minorHAnsi"/>
                <w:sz w:val="20"/>
                <w:szCs w:val="18"/>
              </w:rPr>
              <w:fldChar w:fldCharType="end"/>
            </w:r>
          </w:p>
        </w:tc>
        <w:tc>
          <w:tcPr>
            <w:tcW w:w="1244" w:type="dxa"/>
          </w:tcPr>
          <w:p w14:paraId="7A46E206"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PC</w:t>
            </w:r>
          </w:p>
        </w:tc>
        <w:tc>
          <w:tcPr>
            <w:tcW w:w="1286" w:type="dxa"/>
          </w:tcPr>
          <w:p w14:paraId="0C59F2E6"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315" w:type="dxa"/>
          </w:tcPr>
          <w:p w14:paraId="71C818A0"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604" w:type="dxa"/>
          </w:tcPr>
          <w:p w14:paraId="24659F5F"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93" w:type="dxa"/>
          </w:tcPr>
          <w:p w14:paraId="699FD30E"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315" w:type="dxa"/>
          </w:tcPr>
          <w:p w14:paraId="3370AE3B"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77" w:type="dxa"/>
          </w:tcPr>
          <w:p w14:paraId="04D8E7BA"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396" w:type="dxa"/>
          </w:tcPr>
          <w:p w14:paraId="103E7954"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b/>
                <w:sz w:val="20"/>
                <w:szCs w:val="18"/>
              </w:rPr>
              <w:t xml:space="preserve">8 </w:t>
            </w:r>
            <w:r w:rsidRPr="00EE2286">
              <w:rPr>
                <w:rFonts w:asciiTheme="minorHAnsi" w:hAnsiTheme="minorHAnsi" w:cstheme="minorHAnsi"/>
                <w:sz w:val="20"/>
                <w:szCs w:val="18"/>
              </w:rPr>
              <w:t>(High)</w:t>
            </w:r>
          </w:p>
        </w:tc>
      </w:tr>
      <w:tr w:rsidR="007D342D" w:rsidRPr="00EE2286" w14:paraId="25CE6C19" w14:textId="77777777" w:rsidTr="00DA791E">
        <w:tc>
          <w:tcPr>
            <w:tcW w:w="1985" w:type="dxa"/>
          </w:tcPr>
          <w:p w14:paraId="5D94512F" w14:textId="77777777" w:rsidR="007D342D" w:rsidRPr="00EE2286" w:rsidRDefault="007D342D" w:rsidP="00DA791E">
            <w:pPr>
              <w:rPr>
                <w:rFonts w:asciiTheme="minorHAnsi" w:hAnsiTheme="minorHAnsi" w:cstheme="minorHAnsi"/>
                <w:sz w:val="20"/>
                <w:szCs w:val="18"/>
              </w:rPr>
            </w:pPr>
            <w:proofErr w:type="spellStart"/>
            <w:r>
              <w:rPr>
                <w:rFonts w:asciiTheme="minorHAnsi" w:hAnsiTheme="minorHAnsi" w:cstheme="minorHAnsi"/>
                <w:sz w:val="20"/>
                <w:szCs w:val="18"/>
              </w:rPr>
              <w:t>Sellors</w:t>
            </w:r>
            <w:proofErr w:type="spellEnd"/>
            <w:r>
              <w:rPr>
                <w:rFonts w:asciiTheme="minorHAnsi" w:hAnsiTheme="minorHAnsi" w:cstheme="minorHAnsi"/>
                <w:sz w:val="20"/>
                <w:szCs w:val="18"/>
              </w:rPr>
              <w:t xml:space="preserve"> 2003 </w:t>
            </w:r>
            <w:r>
              <w:rPr>
                <w:rFonts w:asciiTheme="minorHAnsi" w:hAnsiTheme="minorHAnsi" w:cstheme="minorHAnsi"/>
                <w:sz w:val="20"/>
                <w:szCs w:val="18"/>
              </w:rPr>
              <w:fldChar w:fldCharType="begin" w:fldLock="1"/>
            </w:r>
            <w:r>
              <w:rPr>
                <w:rFonts w:asciiTheme="minorHAnsi" w:hAnsiTheme="minorHAnsi" w:cstheme="minorHAnsi"/>
                <w:sz w:val="20"/>
                <w:szCs w:val="18"/>
              </w:rPr>
              <w:instrText>ADDIN CSL_CITATION {"citationItems":[{"id":"ITEM-1","itemData":{"ISSN":"0820-3946","PMID":"12591782","abstract":"BACKGROUND Persistent infection with carcinogenic human papillomavirus (HPV) is linked to high-grade lesions and cervical cancer. To better understand the natural history of HPV, we sought to determine the rates of incident and cleared carcinogenic HPV infection, by age, among women aged 15-49 years and to explore risk factors for incident infection. METHODS Women enrolled in an earlier HPV prevalence survey (500 of 800 who were HPV-negative and all 121 who were HPV-positive) were invited to participate in follow-up HPV testing at their periodic health examination one year later. A cervical soft-brush specimen for HPV testing and a smear for cytologic examination were obtained, and participants completed a questionnaire on their demographic characteristics and sexual history. RESULTS Two hundred and fifty-three (50.6%) previously HPV-negative women and 54 (44.6%) previously HPV-positive women were retested. The mean interval between visits was 14.0 (standard deviation 2.0, median 13.5, range 9.0-21.3) months. Incident HPV infection occurred in 11.1% (28/253) of the women overall, with the highest rate, 25.0% (6/24), in the 15-19-year age group. In the univariate analyses, risk factors for incident HPV were the median number of sexual partners in the past year (&lt; or = 1 v. &gt; or = 2: odds ratio [OR] 8.2, 95% confidence interval [CI] 3.0-22.2; p &lt; 0.001) and the median number of sexual partners over a lifetime (&gt; 3 v. &lt; or = 3: OR 3.0, 95% CI 1.2-7.2; p = 0.014). In multivariate logistic regression modelling adjusted for age, median number of sexual partners in the past year, median number of sexual partners over a lifetime, marital status, current smoking and current use of oral contraceptives, only the median number of sexual partners in the past year remained significantly associated with incidence (OR 6.2, 95% CI 1.6-24.5; p = 0.009). Of the previously HPV-positive women, 51.9% (28/54) had cleared the infection. INTERPRETATION Incident infection with carcinogenic HPV was highest in women aged 15-19 years, and risk factors were consistent with a sexually transmitted infection. A large proportion of the women who were HPV-positive appeared to have cleared the infection after one year.","author":[{"dropping-particle":"","family":"Sellors","given":"John W","non-dropping-particle":"","parse-names":false,"suffix":""},{"dropping-particle":"","family":"Karwalajtys","given":"Tina L","non-dropping-particle":"","parse-names":false,"suffix":""},{"dropping-particle":"","family":"Kaczorowski","given":"Janusz","non-dropping-particle":"","parse-names":false,"suffix":""},{"dropping-particle":"","family":"Mahony","given":"James B","non-dropping-particle":"","parse-names":false,"suffix":""},{"dropping-particle":"","family":"Lytwyn","given":"Alice","non-dropping-particle":"","parse-names":false,"suffix":""},{"dropping-particle":"","family":"Chong","given":"Sylvia","non-dropping-particle":"","parse-names":false,"suffix":""},{"dropping-particle":"","family":"Sparrow","given":"Joanna","non-dropping-particle":"","parse-names":false,"suffix":""},{"dropping-particle":"","family":"Lorincz","given":"Attila","non-dropping-particle":"","parse-names":false,"suffix":""},{"dropping-particle":"","family":"Survey of HPV in Ontario Women Group","given":"","non-dropping-particle":"","parse-names":false,"suffix":""}],"container-title":"CMAJ : Canadian Medical Association journal = journal de l'Association medicale canadienne","id":"ITEM-1","issue":"4","issued":{"date-parts":[["2003","2","18"]]},"page":"421-5","title":"Incidence, clearance and predictors of human papillomavirus infection in women.","type":"article-journal","volume":"168"},"uris":["http://www.mendeley.com/documents/?uuid=203af2f0-f7fe-30fd-8ef9-d2b2c2d04dce"]}],"mendeley":{"formattedCitation":"[28]","plainTextFormattedCitation":"[28]","previouslyFormattedCitation":"[28]"},"properties":{"noteIndex":0},"schema":"https://github.com/citation-style-language/schema/raw/master/csl-citation.json"}</w:instrText>
            </w:r>
            <w:r>
              <w:rPr>
                <w:rFonts w:asciiTheme="minorHAnsi" w:hAnsiTheme="minorHAnsi" w:cstheme="minorHAnsi"/>
                <w:sz w:val="20"/>
                <w:szCs w:val="18"/>
              </w:rPr>
              <w:fldChar w:fldCharType="separate"/>
            </w:r>
            <w:r w:rsidRPr="008E6390">
              <w:rPr>
                <w:rFonts w:asciiTheme="minorHAnsi" w:hAnsiTheme="minorHAnsi" w:cstheme="minorHAnsi"/>
                <w:noProof/>
                <w:sz w:val="20"/>
                <w:szCs w:val="18"/>
              </w:rPr>
              <w:t>[28]</w:t>
            </w:r>
            <w:r>
              <w:rPr>
                <w:rFonts w:asciiTheme="minorHAnsi" w:hAnsiTheme="minorHAnsi" w:cstheme="minorHAnsi"/>
                <w:sz w:val="20"/>
                <w:szCs w:val="18"/>
              </w:rPr>
              <w:fldChar w:fldCharType="end"/>
            </w:r>
          </w:p>
        </w:tc>
        <w:tc>
          <w:tcPr>
            <w:tcW w:w="1244" w:type="dxa"/>
          </w:tcPr>
          <w:p w14:paraId="1DFB5510"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PC</w:t>
            </w:r>
          </w:p>
        </w:tc>
        <w:tc>
          <w:tcPr>
            <w:tcW w:w="1286" w:type="dxa"/>
          </w:tcPr>
          <w:p w14:paraId="4DFB0A3F"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1</w:t>
            </w:r>
          </w:p>
        </w:tc>
        <w:tc>
          <w:tcPr>
            <w:tcW w:w="1315" w:type="dxa"/>
          </w:tcPr>
          <w:p w14:paraId="32C4FF02"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1</w:t>
            </w:r>
          </w:p>
        </w:tc>
        <w:tc>
          <w:tcPr>
            <w:tcW w:w="1604" w:type="dxa"/>
          </w:tcPr>
          <w:p w14:paraId="4A77CDB0"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1</w:t>
            </w:r>
          </w:p>
        </w:tc>
        <w:tc>
          <w:tcPr>
            <w:tcW w:w="1293" w:type="dxa"/>
          </w:tcPr>
          <w:p w14:paraId="711AAA3B"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1</w:t>
            </w:r>
          </w:p>
        </w:tc>
        <w:tc>
          <w:tcPr>
            <w:tcW w:w="1315" w:type="dxa"/>
          </w:tcPr>
          <w:p w14:paraId="27019CB6"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1</w:t>
            </w:r>
          </w:p>
        </w:tc>
        <w:tc>
          <w:tcPr>
            <w:tcW w:w="1277" w:type="dxa"/>
          </w:tcPr>
          <w:p w14:paraId="03E5AE97"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0</w:t>
            </w:r>
          </w:p>
        </w:tc>
        <w:tc>
          <w:tcPr>
            <w:tcW w:w="1396" w:type="dxa"/>
          </w:tcPr>
          <w:p w14:paraId="1D677A60" w14:textId="77777777" w:rsidR="007D342D" w:rsidRPr="001F4B73" w:rsidRDefault="007D342D" w:rsidP="00DA791E">
            <w:pPr>
              <w:rPr>
                <w:rFonts w:asciiTheme="minorHAnsi" w:hAnsiTheme="minorHAnsi" w:cstheme="minorHAnsi"/>
                <w:sz w:val="20"/>
                <w:szCs w:val="18"/>
              </w:rPr>
            </w:pPr>
            <w:r>
              <w:rPr>
                <w:rFonts w:asciiTheme="minorHAnsi" w:hAnsiTheme="minorHAnsi" w:cstheme="minorHAnsi"/>
                <w:b/>
                <w:sz w:val="20"/>
                <w:szCs w:val="18"/>
              </w:rPr>
              <w:t xml:space="preserve">5 </w:t>
            </w:r>
            <w:r>
              <w:rPr>
                <w:rFonts w:asciiTheme="minorHAnsi" w:hAnsiTheme="minorHAnsi" w:cstheme="minorHAnsi"/>
                <w:sz w:val="20"/>
                <w:szCs w:val="18"/>
              </w:rPr>
              <w:t>(Medium)</w:t>
            </w:r>
          </w:p>
        </w:tc>
      </w:tr>
      <w:tr w:rsidR="007D342D" w:rsidRPr="00EE2286" w14:paraId="10844C3A" w14:textId="77777777" w:rsidTr="00DA791E">
        <w:tc>
          <w:tcPr>
            <w:tcW w:w="1985" w:type="dxa"/>
          </w:tcPr>
          <w:p w14:paraId="7B15CFE6"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Shew 2015</w:t>
            </w:r>
            <w:r>
              <w:rPr>
                <w:rFonts w:asciiTheme="minorHAnsi" w:hAnsiTheme="minorHAnsi" w:cstheme="minorHAnsi"/>
                <w:sz w:val="20"/>
                <w:szCs w:val="18"/>
              </w:rPr>
              <w:t xml:space="preserve"> </w:t>
            </w:r>
            <w:r>
              <w:rPr>
                <w:rFonts w:asciiTheme="minorHAnsi" w:hAnsiTheme="minorHAnsi" w:cstheme="minorHAnsi"/>
                <w:sz w:val="20"/>
                <w:szCs w:val="18"/>
              </w:rPr>
              <w:fldChar w:fldCharType="begin" w:fldLock="1"/>
            </w:r>
            <w:r>
              <w:rPr>
                <w:rFonts w:asciiTheme="minorHAnsi" w:hAnsiTheme="minorHAnsi" w:cstheme="minorHAnsi"/>
                <w:sz w:val="20"/>
                <w:szCs w:val="18"/>
              </w:rPr>
              <w:instrText>ADDIN CSL_CITATION {"citationItems":[{"id":"ITEM-1","itemData":{"DOI":"10.1002/jmv.24284","ISSN":"1096-9071","PMID":"26112742","abstract":"Redetection of a type-specific human papillomavirus (HPV) infection may represent reinfection. However, a growing body of literature suggests that reactivation of HPV is common and that episodic detection of a HPV infection may represent reactivation of a persistent virus. A cohort of prospectively followed adolescent women (N = 150), ages 14-17, was observed on average 6.4 years. The authors describe the redetection of 37 HPV types and associated factors of redetection of high-risk (HR) and low-risk (LR) types using Cox proportional hazard models. Of 1,248 HPV type-specific infections, 286 (22.9%) were associated with redetection after apparent clearance. Chlamydia infections (HR = 1.99 [95%CI, 1.15-3.49]) and non-condom use (HR = 1.1 [95%CI, 1.04-1.99]) were associated with increased redetection of HR-HPV infections. Oral contraceptive pills (HR = 2.73 [95%CI, 1.52-4.90]) and number of sexual partners (HR = 1.44 [95%CI, 1.04-1.99]) were associated with increased redetection of LR-HPV infections. Episodic detection of HPV is common for HR- and LR-HPV types. This finding and identified factors or redetection have clinical implications and enhances the understanding of HPV natural history.","author":[{"dropping-particle":"","family":"Shew","given":"Marcia L","non-dropping-particle":"","parse-names":false,"suffix":""},{"dropping-particle":"","family":"Ermel","given":"Aaron C","non-dropping-particle":"","parse-names":false,"suffix":""},{"dropping-particle":"","family":"Tong","given":"Yan","non-dropping-particle":"","parse-names":false,"suffix":""},{"dropping-particle":"","family":"Tu","given":"Wanzhu","non-dropping-particle":"","parse-names":false,"suffix":""},{"dropping-particle":"","family":"Qadadri","given":"Brahim","non-dropping-particle":"","parse-names":false,"suffix":""},{"dropping-particle":"","family":"Brown","given":"Darron R","non-dropping-particle":"","parse-names":false,"suffix":""}],"container-title":"Journal of Medical Virology","id":"ITEM-1","issue":"12","issued":{"date-parts":[["2015","12"]]},"page":"2122-9","title":"Episodic detection of human papillomavirus within a longitudinal cohort of young women","type":"article-journal","volume":"87"},"uris":["http://www.mendeley.com/documents/?uuid=7973532b-a063-380b-b212-863940c94014"]}],"mendeley":{"formattedCitation":"[44]","plainTextFormattedCitation":"[44]","previouslyFormattedCitation":"[44]"},"properties":{"noteIndex":0},"schema":"https://github.com/citation-style-language/schema/raw/master/csl-citation.json"}</w:instrText>
            </w:r>
            <w:r>
              <w:rPr>
                <w:rFonts w:asciiTheme="minorHAnsi" w:hAnsiTheme="minorHAnsi" w:cstheme="minorHAnsi"/>
                <w:sz w:val="20"/>
                <w:szCs w:val="18"/>
              </w:rPr>
              <w:fldChar w:fldCharType="separate"/>
            </w:r>
            <w:r w:rsidRPr="008031AE">
              <w:rPr>
                <w:rFonts w:asciiTheme="minorHAnsi" w:hAnsiTheme="minorHAnsi" w:cstheme="minorHAnsi"/>
                <w:noProof/>
                <w:sz w:val="20"/>
                <w:szCs w:val="18"/>
              </w:rPr>
              <w:t>[44]</w:t>
            </w:r>
            <w:r>
              <w:rPr>
                <w:rFonts w:asciiTheme="minorHAnsi" w:hAnsiTheme="minorHAnsi" w:cstheme="minorHAnsi"/>
                <w:sz w:val="20"/>
                <w:szCs w:val="18"/>
              </w:rPr>
              <w:fldChar w:fldCharType="end"/>
            </w:r>
          </w:p>
        </w:tc>
        <w:tc>
          <w:tcPr>
            <w:tcW w:w="1244" w:type="dxa"/>
          </w:tcPr>
          <w:p w14:paraId="0ED59C13"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PC</w:t>
            </w:r>
          </w:p>
        </w:tc>
        <w:tc>
          <w:tcPr>
            <w:tcW w:w="1286" w:type="dxa"/>
          </w:tcPr>
          <w:p w14:paraId="33D13F93"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315" w:type="dxa"/>
          </w:tcPr>
          <w:p w14:paraId="7D80A67E"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604" w:type="dxa"/>
          </w:tcPr>
          <w:p w14:paraId="4B80238A"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1</w:t>
            </w:r>
          </w:p>
        </w:tc>
        <w:tc>
          <w:tcPr>
            <w:tcW w:w="1293" w:type="dxa"/>
          </w:tcPr>
          <w:p w14:paraId="0DE0310A"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315" w:type="dxa"/>
          </w:tcPr>
          <w:p w14:paraId="6CC6002E"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77" w:type="dxa"/>
          </w:tcPr>
          <w:p w14:paraId="0301E3B8"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0</w:t>
            </w:r>
          </w:p>
        </w:tc>
        <w:tc>
          <w:tcPr>
            <w:tcW w:w="1396" w:type="dxa"/>
          </w:tcPr>
          <w:p w14:paraId="7A89B8D2"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b/>
                <w:sz w:val="20"/>
                <w:szCs w:val="18"/>
              </w:rPr>
              <w:t>7</w:t>
            </w:r>
            <w:r w:rsidRPr="00EE2286">
              <w:rPr>
                <w:rFonts w:asciiTheme="minorHAnsi" w:hAnsiTheme="minorHAnsi" w:cstheme="minorHAnsi"/>
                <w:b/>
                <w:sz w:val="20"/>
                <w:szCs w:val="18"/>
              </w:rPr>
              <w:t xml:space="preserve"> </w:t>
            </w:r>
            <w:r w:rsidRPr="00EE2286">
              <w:rPr>
                <w:rFonts w:asciiTheme="minorHAnsi" w:hAnsiTheme="minorHAnsi" w:cstheme="minorHAnsi"/>
                <w:sz w:val="20"/>
                <w:szCs w:val="18"/>
              </w:rPr>
              <w:t>(Medium)</w:t>
            </w:r>
          </w:p>
        </w:tc>
      </w:tr>
      <w:tr w:rsidR="007D342D" w:rsidRPr="00EE2286" w14:paraId="0A79887D" w14:textId="77777777" w:rsidTr="00DA791E">
        <w:tc>
          <w:tcPr>
            <w:tcW w:w="1985" w:type="dxa"/>
          </w:tcPr>
          <w:p w14:paraId="3E6D01E5" w14:textId="77777777" w:rsidR="007D342D" w:rsidRPr="00EE2286" w:rsidRDefault="007D342D" w:rsidP="00DA791E">
            <w:pPr>
              <w:rPr>
                <w:rFonts w:asciiTheme="minorHAnsi" w:hAnsiTheme="minorHAnsi" w:cstheme="minorHAnsi"/>
                <w:sz w:val="20"/>
                <w:szCs w:val="18"/>
              </w:rPr>
            </w:pPr>
            <w:proofErr w:type="spellStart"/>
            <w:r w:rsidRPr="00EE2286">
              <w:rPr>
                <w:rFonts w:asciiTheme="minorHAnsi" w:hAnsiTheme="minorHAnsi" w:cstheme="minorHAnsi"/>
                <w:sz w:val="20"/>
                <w:szCs w:val="18"/>
              </w:rPr>
              <w:t>Socias</w:t>
            </w:r>
            <w:proofErr w:type="spellEnd"/>
            <w:r w:rsidRPr="00EE2286">
              <w:rPr>
                <w:rFonts w:asciiTheme="minorHAnsi" w:hAnsiTheme="minorHAnsi" w:cstheme="minorHAnsi"/>
                <w:sz w:val="20"/>
                <w:szCs w:val="18"/>
              </w:rPr>
              <w:t xml:space="preserve"> 2017</w:t>
            </w:r>
            <w:r>
              <w:rPr>
                <w:rFonts w:asciiTheme="minorHAnsi" w:hAnsiTheme="minorHAnsi" w:cstheme="minorHAnsi"/>
                <w:sz w:val="20"/>
                <w:szCs w:val="18"/>
              </w:rPr>
              <w:t xml:space="preserve"> </w:t>
            </w:r>
            <w:r>
              <w:rPr>
                <w:rFonts w:asciiTheme="minorHAnsi" w:hAnsiTheme="minorHAnsi" w:cstheme="minorHAnsi"/>
                <w:sz w:val="20"/>
                <w:szCs w:val="18"/>
              </w:rPr>
              <w:fldChar w:fldCharType="begin" w:fldLock="1"/>
            </w:r>
            <w:r>
              <w:rPr>
                <w:rFonts w:asciiTheme="minorHAnsi" w:hAnsiTheme="minorHAnsi" w:cstheme="minorHAnsi"/>
                <w:sz w:val="20"/>
                <w:szCs w:val="18"/>
              </w:rPr>
              <w:instrText>ADDIN CSL_CITATION {"citationItems":[{"id":"ITEM-1","itemData":{"DOI":"10.1136/sextrans-2016-052838","ISSN":"1472-3263","PMID":"27821613","abstract":"OBJECTIVES Increased risk of herpes simplex virus 2 (HSV-2) has been proposed as a possible indirect pathway through which hormonal contraceptives (specifically depot medroxyprogesterone acetate (DMPA)) may increase the risk of HIV acquisition among women. We investigated the effects of DMPA on HSV-2 acquisition among female sex workers. METHODS Longitudinal data were drawn from a prospective cohort of sex workers in Vancouver, Canada. The primary outcome was HSV-2 seroconversion. Extended Cox regression analyses were used to model the independent effect of DMPA use on HSV-2 acquisition. RESULTS Between January 2010 and February 2014, 149 HSV-2 seronegative women were enrolled, contributing to 228 person-years (py) of follow-up. Of these, 19 (13.3%) reported DMPA use. There were 39 HSV-2 seroconversions (12 among DMPA users and 27 among non-users) over the study period (median follow-up of 18.6 months (IQR 8.4-29.9)), resulting in an overall incidence rate of 17.1 cases per 100 py (95% CI 12.4 to 23.6). Incidence rates were higher among DMPA users (57.4 cases per 100 py, 95% CI 31.4 to 105.0) compared with non-users (13.1 cases per 100 py, 95% CI 8.9 to 19.1). After adjusting for key confounders, use of DMPA remained an independent predictor of HSV-2 acquisition (adjusted HR 4.43, 95% CI 1.90 to 10.35). CONCLUSIONS The high observed incidence rates of HSV-2, together with a strong association between DMPA exposure and HSV-2 acquisition, raise serious concerns about the provision of optimal reproductive and sexual healthcare to sex workers in this setting. Given the known links between HSV-2 and HIV, our findings underscore the need for further research to better understand the potential association between DMPA and increased risk of HSV-2 and other STIs to help inform the development of safer reproductive choices for women worldwide.","author":[{"dropping-particle":"","family":"Socías","given":"M Eugenia","non-dropping-particle":"","parse-names":false,"suffix":""},{"dropping-particle":"","family":"Duff","given":"Putu","non-dropping-particle":"","parse-names":false,"suffix":""},{"dropping-particle":"","family":"Shoveller","given":"Jean","non-dropping-particle":"","parse-names":false,"suffix":""},{"dropping-particle":"","family":"Montaner","given":"Julio S G","non-dropping-particle":"","parse-names":false,"suffix":""},{"dropping-particle":"","family":"Nguyen","given":"Paul","non-dropping-particle":"","parse-names":false,"suffix":""},{"dropping-particle":"","family":"Ogilvie","given":"Gina","non-dropping-particle":"","parse-names":false,"suffix":""},{"dropping-particle":"","family":"Shannon","given":"Kate","non-dropping-particle":"","parse-names":false,"suffix":""}],"container-title":"Sexually Transmitted Infections","id":"ITEM-1","issue":"4","issued":{"date-parts":[["2017","6"]]},"page":"284-289","title":"Use of injectable hormonal contraception and HSV-2 acquisition in a cohort of female sex workers in Vancouver, Canada.","type":"article-journal","volume":"93"},"uris":["http://www.mendeley.com/documents/?uuid=a4a9660c-10c2-3e31-a069-86ac99f06412"]}],"mendeley":{"formattedCitation":"[54]","plainTextFormattedCitation":"[54]","previouslyFormattedCitation":"[54]"},"properties":{"noteIndex":0},"schema":"https://github.com/citation-style-language/schema/raw/master/csl-citation.json"}</w:instrText>
            </w:r>
            <w:r>
              <w:rPr>
                <w:rFonts w:asciiTheme="minorHAnsi" w:hAnsiTheme="minorHAnsi" w:cstheme="minorHAnsi"/>
                <w:sz w:val="20"/>
                <w:szCs w:val="18"/>
              </w:rPr>
              <w:fldChar w:fldCharType="separate"/>
            </w:r>
            <w:r w:rsidRPr="008E6390">
              <w:rPr>
                <w:rFonts w:asciiTheme="minorHAnsi" w:hAnsiTheme="minorHAnsi" w:cstheme="minorHAnsi"/>
                <w:noProof/>
                <w:sz w:val="20"/>
                <w:szCs w:val="18"/>
              </w:rPr>
              <w:t>[54]</w:t>
            </w:r>
            <w:r>
              <w:rPr>
                <w:rFonts w:asciiTheme="minorHAnsi" w:hAnsiTheme="minorHAnsi" w:cstheme="minorHAnsi"/>
                <w:sz w:val="20"/>
                <w:szCs w:val="18"/>
              </w:rPr>
              <w:fldChar w:fldCharType="end"/>
            </w:r>
          </w:p>
        </w:tc>
        <w:tc>
          <w:tcPr>
            <w:tcW w:w="1244" w:type="dxa"/>
          </w:tcPr>
          <w:p w14:paraId="76EE8A33"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PC</w:t>
            </w:r>
          </w:p>
        </w:tc>
        <w:tc>
          <w:tcPr>
            <w:tcW w:w="1286" w:type="dxa"/>
          </w:tcPr>
          <w:p w14:paraId="3838C8D4"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0</w:t>
            </w:r>
          </w:p>
        </w:tc>
        <w:tc>
          <w:tcPr>
            <w:tcW w:w="1315" w:type="dxa"/>
          </w:tcPr>
          <w:p w14:paraId="757D420E"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604" w:type="dxa"/>
          </w:tcPr>
          <w:p w14:paraId="615C1981"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93" w:type="dxa"/>
          </w:tcPr>
          <w:p w14:paraId="254B64F9"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315" w:type="dxa"/>
          </w:tcPr>
          <w:p w14:paraId="586D68A4"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77" w:type="dxa"/>
          </w:tcPr>
          <w:p w14:paraId="785440A7"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0</w:t>
            </w:r>
          </w:p>
        </w:tc>
        <w:tc>
          <w:tcPr>
            <w:tcW w:w="1396" w:type="dxa"/>
          </w:tcPr>
          <w:p w14:paraId="53414825"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b/>
                <w:sz w:val="20"/>
                <w:szCs w:val="18"/>
              </w:rPr>
              <w:t xml:space="preserve">6 </w:t>
            </w:r>
            <w:r w:rsidRPr="00EE2286">
              <w:rPr>
                <w:rFonts w:asciiTheme="minorHAnsi" w:hAnsiTheme="minorHAnsi" w:cstheme="minorHAnsi"/>
                <w:sz w:val="20"/>
                <w:szCs w:val="18"/>
              </w:rPr>
              <w:t>(Medium)</w:t>
            </w:r>
          </w:p>
        </w:tc>
      </w:tr>
      <w:tr w:rsidR="007D342D" w:rsidRPr="00EE2286" w14:paraId="53681A35" w14:textId="77777777" w:rsidTr="00DA791E">
        <w:tc>
          <w:tcPr>
            <w:tcW w:w="1985" w:type="dxa"/>
          </w:tcPr>
          <w:p w14:paraId="7375DD1A"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 xml:space="preserve">Winer 2003 </w:t>
            </w:r>
            <w:r>
              <w:rPr>
                <w:rFonts w:asciiTheme="minorHAnsi" w:hAnsiTheme="minorHAnsi" w:cstheme="minorHAnsi"/>
                <w:sz w:val="20"/>
                <w:szCs w:val="18"/>
              </w:rPr>
              <w:fldChar w:fldCharType="begin" w:fldLock="1"/>
            </w:r>
            <w:r>
              <w:rPr>
                <w:rFonts w:asciiTheme="minorHAnsi" w:hAnsiTheme="minorHAnsi" w:cstheme="minorHAnsi"/>
                <w:sz w:val="20"/>
                <w:szCs w:val="18"/>
              </w:rPr>
              <w:instrText>ADDIN CSL_CITATION {"citationItems":[{"id":"ITEM-1","itemData":{"ISSN":"0002-9262","PMID":"12543621","abstract":"Incidence data on human papillomavirus (HPV) infection are limited, and risk factors for transmission are largely unknown. The authors followed 603 female university students in Washington State at 4-month intervals between 1990 and 2000. At each visit, a sexual and health questionnaire was completed and cervical and vulvovaginal samples were collected to detect HPV DNA. At 24 months, the cumulative incidence of first-time infection was 32.3% (95% confidence interval: 28.0, 37.1). Incidences calculated from time of new-partner acquisition were comparable for enrolled virgins and nonvirgins. Smoking, oral contraceptive use, and report of a new male sex partner--in particular, one known for less than 8 months before sex occurred or one reporting other partners--were predictive of incident infection. Always using male condoms with a new partner was not protective. Infection in virgins was rare, but any type of nonpenetrative sexual contact was associated with an increased risk. Detection of oral HPV was rare and was not associated with oral-penile contact. The data show that the incidence of HPV associated with acquisition of a new sex partner is high and that nonpenetrative sexual contact is a plausible route of transmission in virgins.","author":[{"dropping-particle":"","family":"Winer","given":"Rachel L","non-dropping-particle":"","parse-names":false,"suffix":""},{"dropping-particle":"","family":"Lee","given":"Shu-Kuang","non-dropping-particle":"","parse-names":false,"suffix":""},{"dropping-particle":"","family":"Hughes","given":"James P","non-dropping-particle":"","parse-names":false,"suffix":""},{"dropping-particle":"","family":"Adam","given":"Diane E","non-dropping-particle":"","parse-names":false,"suffix":""},{"dropping-particle":"","family":"Kiviat","given":"Nancy B","non-dropping-particle":"","parse-names":false,"suffix":""},{"dropping-particle":"","family":"Koutsky","given":"Laura A","non-dropping-particle":"","parse-names":false,"suffix":""}],"container-title":"American journal of epidemiology","id":"ITEM-1","issue":"3","issued":{"date-parts":[["2003","2","1"]]},"page":"218-26","title":"Genital human papillomavirus infection: incidence and risk factors in a cohort of female university students.","type":"article-journal","volume":"157"},"uris":["http://www.mendeley.com/documents/?uuid=ff6944a5-7812-354c-b145-604dfb3c4175"]}],"mendeley":{"formattedCitation":"[27]","plainTextFormattedCitation":"[27]","previouslyFormattedCitation":"[27]"},"properties":{"noteIndex":0},"schema":"https://github.com/citation-style-language/schema/raw/master/csl-citation.json"}</w:instrText>
            </w:r>
            <w:r>
              <w:rPr>
                <w:rFonts w:asciiTheme="minorHAnsi" w:hAnsiTheme="minorHAnsi" w:cstheme="minorHAnsi"/>
                <w:sz w:val="20"/>
                <w:szCs w:val="18"/>
              </w:rPr>
              <w:fldChar w:fldCharType="separate"/>
            </w:r>
            <w:r w:rsidRPr="008E6390">
              <w:rPr>
                <w:rFonts w:asciiTheme="minorHAnsi" w:hAnsiTheme="minorHAnsi" w:cstheme="minorHAnsi"/>
                <w:noProof/>
                <w:sz w:val="20"/>
                <w:szCs w:val="18"/>
              </w:rPr>
              <w:t>[27]</w:t>
            </w:r>
            <w:r>
              <w:rPr>
                <w:rFonts w:asciiTheme="minorHAnsi" w:hAnsiTheme="minorHAnsi" w:cstheme="minorHAnsi"/>
                <w:sz w:val="20"/>
                <w:szCs w:val="18"/>
              </w:rPr>
              <w:fldChar w:fldCharType="end"/>
            </w:r>
          </w:p>
        </w:tc>
        <w:tc>
          <w:tcPr>
            <w:tcW w:w="1244" w:type="dxa"/>
          </w:tcPr>
          <w:p w14:paraId="0BB02968"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PC</w:t>
            </w:r>
          </w:p>
        </w:tc>
        <w:tc>
          <w:tcPr>
            <w:tcW w:w="1286" w:type="dxa"/>
          </w:tcPr>
          <w:p w14:paraId="0031311C"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0</w:t>
            </w:r>
          </w:p>
        </w:tc>
        <w:tc>
          <w:tcPr>
            <w:tcW w:w="1315" w:type="dxa"/>
          </w:tcPr>
          <w:p w14:paraId="7A35A6BB"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2</w:t>
            </w:r>
          </w:p>
        </w:tc>
        <w:tc>
          <w:tcPr>
            <w:tcW w:w="1604" w:type="dxa"/>
          </w:tcPr>
          <w:p w14:paraId="774A508A"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1</w:t>
            </w:r>
          </w:p>
        </w:tc>
        <w:tc>
          <w:tcPr>
            <w:tcW w:w="1293" w:type="dxa"/>
          </w:tcPr>
          <w:p w14:paraId="7900A90D"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2</w:t>
            </w:r>
          </w:p>
        </w:tc>
        <w:tc>
          <w:tcPr>
            <w:tcW w:w="1315" w:type="dxa"/>
          </w:tcPr>
          <w:p w14:paraId="29625FB8"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1</w:t>
            </w:r>
          </w:p>
        </w:tc>
        <w:tc>
          <w:tcPr>
            <w:tcW w:w="1277" w:type="dxa"/>
          </w:tcPr>
          <w:p w14:paraId="3DFEE365" w14:textId="77777777" w:rsidR="007D342D" w:rsidRPr="00EE2286" w:rsidRDefault="007D342D" w:rsidP="00DA791E">
            <w:pPr>
              <w:rPr>
                <w:rFonts w:asciiTheme="minorHAnsi" w:hAnsiTheme="minorHAnsi" w:cstheme="minorHAnsi"/>
                <w:sz w:val="20"/>
                <w:szCs w:val="18"/>
              </w:rPr>
            </w:pPr>
            <w:r>
              <w:rPr>
                <w:rFonts w:asciiTheme="minorHAnsi" w:hAnsiTheme="minorHAnsi" w:cstheme="minorHAnsi"/>
                <w:sz w:val="20"/>
                <w:szCs w:val="18"/>
              </w:rPr>
              <w:t>0</w:t>
            </w:r>
          </w:p>
        </w:tc>
        <w:tc>
          <w:tcPr>
            <w:tcW w:w="1396" w:type="dxa"/>
          </w:tcPr>
          <w:p w14:paraId="76667374" w14:textId="77777777" w:rsidR="007D342D" w:rsidRPr="00EE2286" w:rsidRDefault="007D342D" w:rsidP="00DA791E">
            <w:pPr>
              <w:rPr>
                <w:rFonts w:asciiTheme="minorHAnsi" w:hAnsiTheme="minorHAnsi" w:cstheme="minorHAnsi"/>
                <w:b/>
                <w:sz w:val="20"/>
                <w:szCs w:val="18"/>
              </w:rPr>
            </w:pPr>
            <w:r w:rsidRPr="00EE2286">
              <w:rPr>
                <w:rFonts w:asciiTheme="minorHAnsi" w:hAnsiTheme="minorHAnsi" w:cstheme="minorHAnsi"/>
                <w:b/>
                <w:sz w:val="20"/>
                <w:szCs w:val="18"/>
              </w:rPr>
              <w:t xml:space="preserve">6 </w:t>
            </w:r>
            <w:r w:rsidRPr="00EE2286">
              <w:rPr>
                <w:rFonts w:asciiTheme="minorHAnsi" w:hAnsiTheme="minorHAnsi" w:cstheme="minorHAnsi"/>
                <w:sz w:val="20"/>
                <w:szCs w:val="18"/>
              </w:rPr>
              <w:t>(Medium)</w:t>
            </w:r>
          </w:p>
        </w:tc>
      </w:tr>
      <w:tr w:rsidR="007D342D" w:rsidRPr="00EE2286" w14:paraId="146E8019" w14:textId="77777777" w:rsidTr="00DA791E">
        <w:tc>
          <w:tcPr>
            <w:tcW w:w="1985" w:type="dxa"/>
          </w:tcPr>
          <w:p w14:paraId="5BC240D7"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Winer 2016</w:t>
            </w:r>
            <w:r>
              <w:rPr>
                <w:rFonts w:asciiTheme="minorHAnsi" w:hAnsiTheme="minorHAnsi" w:cstheme="minorHAnsi"/>
                <w:sz w:val="20"/>
                <w:szCs w:val="18"/>
              </w:rPr>
              <w:t xml:space="preserve"> </w:t>
            </w:r>
            <w:r>
              <w:rPr>
                <w:rFonts w:asciiTheme="minorHAnsi" w:hAnsiTheme="minorHAnsi" w:cstheme="minorHAnsi"/>
                <w:sz w:val="20"/>
                <w:szCs w:val="18"/>
              </w:rPr>
              <w:fldChar w:fldCharType="begin" w:fldLock="1"/>
            </w:r>
            <w:r>
              <w:rPr>
                <w:rFonts w:asciiTheme="minorHAnsi" w:hAnsiTheme="minorHAnsi" w:cstheme="minorHAnsi"/>
                <w:sz w:val="20"/>
                <w:szCs w:val="18"/>
              </w:rPr>
              <w:instrText>ADDIN CSL_CITATION {"citationItems":[{"id":"ITEM-1","itemData":{"DOI":"10.1093/infdis/jiw074","ISSN":"0022-1899","PMID":"27009602","abstract":"BACKGROUND The risk of incident high-risk human papillomavirus (HR-HPV) infection associated with recent sexual behaviors is undefined in mid-adult women (defined as women aged 25-65 years). METHODS Triannually, 420 female online daters aged 25-65 years submitted vaginal specimens for HPV testing and completed health and sexual behavior questionnaires. The cumulative incidence of and risk factors for incident HR-HPV detection were estimated by Kaplan-Meier and Cox proportional hazards methods. RESULTS The 12-month cumulative incidence of HR-HPV detection was 25.4% (95% confidence interval [CI], 21.3%-30.1%). Current hormonal contraceptive use was positively associated with incident HR-HPV detection. Lifetime number of male sex partners was also positively associated but only among women not recently sexually active with male partners. In analysis that adjusted for hormonal contraceptive use and marital status, women reporting multiple male partners or male partners who were new, casual, or had ≥1 concurrent partnership had a hazard of incident HR-HPV detection that was 2.81 times (95% CI, 1.38-5.69 times) that for women who reported no male sex partners in the past 6 months. Thus, among women with multiple male partners or male partners who were new, casual, or had ≥1 concurrent partnership, approximately 64% of incident HR-HPV infections were attributable to one of those partners. CONCLUSIONS Among high-risk mid-adult women with recent new male partners, multiple male partners, or male partners who were casual or had ≥1 concurrent partnership, about two thirds of incident HR-HPV detections are likely new acquisitions, whereas about one third of cases are likely redetections of prior infections.","author":[{"dropping-particle":"","family":"Winer","given":"Rachel L.","non-dropping-particle":"","parse-names":false,"suffix":""},{"dropping-particle":"","family":"Hughes","given":"James P.","non-dropping-particle":"","parse-names":false,"suffix":""},{"dropping-particle":"","family":"Feng","given":"Qinghua","non-dropping-particle":"","parse-names":false,"suffix":""},{"dropping-particle":"","family":"Stern","given":"Joshua E.","non-dropping-particle":"","parse-names":false,"suffix":""},{"dropping-particle":"","family":"Xi","given":"Long Fu","non-dropping-particle":"","parse-names":false,"suffix":""},{"dropping-particle":"","family":"Koutsky","given":"Laura A.","non-dropping-particle":"","parse-names":false,"suffix":""}],"container-title":"Journal of Infectious Diseases","id":"ITEM-1","issue":"5","issued":{"date-parts":[["2016","9","1"]]},"page":"665-675","title":"Incident detection of high-risk human papillomavirus infections in a cohort of high-risk women aged 25–65 years","type":"article-journal","volume":"214"},"uris":["http://www.mendeley.com/documents/?uuid=3d2fe2b6-c069-3438-a768-30cec656205f"]}],"mendeley":{"formattedCitation":"[45]","plainTextFormattedCitation":"[45]","previouslyFormattedCitation":"[45]"},"properties":{"noteIndex":0},"schema":"https://github.com/citation-style-language/schema/raw/master/csl-citation.json"}</w:instrText>
            </w:r>
            <w:r>
              <w:rPr>
                <w:rFonts w:asciiTheme="minorHAnsi" w:hAnsiTheme="minorHAnsi" w:cstheme="minorHAnsi"/>
                <w:sz w:val="20"/>
                <w:szCs w:val="18"/>
              </w:rPr>
              <w:fldChar w:fldCharType="separate"/>
            </w:r>
            <w:r w:rsidRPr="008031AE">
              <w:rPr>
                <w:rFonts w:asciiTheme="minorHAnsi" w:hAnsiTheme="minorHAnsi" w:cstheme="minorHAnsi"/>
                <w:noProof/>
                <w:sz w:val="20"/>
                <w:szCs w:val="18"/>
              </w:rPr>
              <w:t>[45]</w:t>
            </w:r>
            <w:r>
              <w:rPr>
                <w:rFonts w:asciiTheme="minorHAnsi" w:hAnsiTheme="minorHAnsi" w:cstheme="minorHAnsi"/>
                <w:sz w:val="20"/>
                <w:szCs w:val="18"/>
              </w:rPr>
              <w:fldChar w:fldCharType="end"/>
            </w:r>
          </w:p>
        </w:tc>
        <w:tc>
          <w:tcPr>
            <w:tcW w:w="1244" w:type="dxa"/>
          </w:tcPr>
          <w:p w14:paraId="463E4CED"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PC</w:t>
            </w:r>
          </w:p>
        </w:tc>
        <w:tc>
          <w:tcPr>
            <w:tcW w:w="1286" w:type="dxa"/>
          </w:tcPr>
          <w:p w14:paraId="5F19EB40"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0</w:t>
            </w:r>
          </w:p>
        </w:tc>
        <w:tc>
          <w:tcPr>
            <w:tcW w:w="1315" w:type="dxa"/>
          </w:tcPr>
          <w:p w14:paraId="0062D736"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0</w:t>
            </w:r>
          </w:p>
        </w:tc>
        <w:tc>
          <w:tcPr>
            <w:tcW w:w="1604" w:type="dxa"/>
          </w:tcPr>
          <w:p w14:paraId="6AE6E7BD"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0</w:t>
            </w:r>
          </w:p>
        </w:tc>
        <w:tc>
          <w:tcPr>
            <w:tcW w:w="1293" w:type="dxa"/>
          </w:tcPr>
          <w:p w14:paraId="3755358C"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2</w:t>
            </w:r>
          </w:p>
        </w:tc>
        <w:tc>
          <w:tcPr>
            <w:tcW w:w="1315" w:type="dxa"/>
          </w:tcPr>
          <w:p w14:paraId="5AF415B2"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1</w:t>
            </w:r>
          </w:p>
        </w:tc>
        <w:tc>
          <w:tcPr>
            <w:tcW w:w="1277" w:type="dxa"/>
          </w:tcPr>
          <w:p w14:paraId="60F145B3"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sz w:val="20"/>
                <w:szCs w:val="18"/>
              </w:rPr>
              <w:t>0</w:t>
            </w:r>
          </w:p>
        </w:tc>
        <w:tc>
          <w:tcPr>
            <w:tcW w:w="1396" w:type="dxa"/>
          </w:tcPr>
          <w:p w14:paraId="230BBD6B" w14:textId="77777777" w:rsidR="007D342D" w:rsidRPr="00EE2286" w:rsidRDefault="007D342D" w:rsidP="00DA791E">
            <w:pPr>
              <w:rPr>
                <w:rFonts w:asciiTheme="minorHAnsi" w:hAnsiTheme="minorHAnsi" w:cstheme="minorHAnsi"/>
                <w:sz w:val="20"/>
                <w:szCs w:val="18"/>
              </w:rPr>
            </w:pPr>
            <w:r w:rsidRPr="00EE2286">
              <w:rPr>
                <w:rFonts w:asciiTheme="minorHAnsi" w:hAnsiTheme="minorHAnsi" w:cstheme="minorHAnsi"/>
                <w:b/>
                <w:sz w:val="20"/>
                <w:szCs w:val="18"/>
              </w:rPr>
              <w:t xml:space="preserve">3 </w:t>
            </w:r>
            <w:r w:rsidRPr="00EE2286">
              <w:rPr>
                <w:rFonts w:asciiTheme="minorHAnsi" w:hAnsiTheme="minorHAnsi" w:cstheme="minorHAnsi"/>
                <w:sz w:val="20"/>
                <w:szCs w:val="18"/>
              </w:rPr>
              <w:t>(Low)</w:t>
            </w:r>
          </w:p>
        </w:tc>
      </w:tr>
    </w:tbl>
    <w:p w14:paraId="6E350AD5" w14:textId="77777777" w:rsidR="007D342D" w:rsidRDefault="007D342D" w:rsidP="007D342D">
      <w:pPr>
        <w:rPr>
          <w:rFonts w:asciiTheme="minorHAnsi" w:hAnsiTheme="minorHAnsi" w:cstheme="minorHAnsi"/>
          <w:sz w:val="20"/>
          <w:szCs w:val="18"/>
        </w:rPr>
      </w:pPr>
      <w:r w:rsidRPr="00EE2286">
        <w:rPr>
          <w:rFonts w:asciiTheme="minorHAnsi" w:hAnsiTheme="minorHAnsi" w:cstheme="minorHAnsi"/>
          <w:sz w:val="20"/>
          <w:szCs w:val="18"/>
        </w:rPr>
        <w:t xml:space="preserve">Notation: PC: prospective cohort, RC: retrospective cohort, Secondary RCT: secondary analysis of RCT. NR: not reported. </w:t>
      </w:r>
      <w:bookmarkStart w:id="0" w:name="_GoBack"/>
      <w:bookmarkEnd w:id="0"/>
    </w:p>
    <w:p w14:paraId="03ED7FB9" w14:textId="77777777" w:rsidR="007D342D" w:rsidRPr="00766218" w:rsidRDefault="007D342D" w:rsidP="007D342D">
      <w:pPr>
        <w:rPr>
          <w:rFonts w:asciiTheme="minorHAnsi" w:hAnsiTheme="minorHAnsi" w:cstheme="minorHAnsi"/>
          <w:sz w:val="20"/>
          <w:szCs w:val="18"/>
        </w:rPr>
      </w:pPr>
      <w:r>
        <w:rPr>
          <w:rFonts w:asciiTheme="minorHAnsi" w:hAnsiTheme="minorHAnsi" w:cstheme="minorHAnsi"/>
          <w:sz w:val="20"/>
          <w:szCs w:val="18"/>
        </w:rPr>
        <w:t xml:space="preserve">Rating criteria: </w:t>
      </w:r>
      <w:r w:rsidRPr="0001497D">
        <w:rPr>
          <w:rFonts w:asciiTheme="minorHAnsi" w:hAnsiTheme="minorHAnsi" w:cstheme="minorHAnsi"/>
          <w:i/>
          <w:sz w:val="20"/>
          <w:szCs w:val="18"/>
        </w:rPr>
        <w:t>Non-users drawn from same community as HC users</w:t>
      </w:r>
      <w:r>
        <w:rPr>
          <w:rFonts w:asciiTheme="minorHAnsi" w:hAnsiTheme="minorHAnsi" w:cstheme="minorHAnsi"/>
          <w:sz w:val="20"/>
          <w:szCs w:val="18"/>
        </w:rPr>
        <w:t xml:space="preserve">: </w:t>
      </w:r>
      <w:r w:rsidRPr="0001497D">
        <w:rPr>
          <w:rFonts w:asciiTheme="minorHAnsi" w:hAnsiTheme="minorHAnsi" w:cstheme="minorHAnsi"/>
          <w:sz w:val="20"/>
          <w:szCs w:val="18"/>
        </w:rPr>
        <w:t xml:space="preserve">a) </w:t>
      </w:r>
      <w:r>
        <w:rPr>
          <w:rFonts w:asciiTheme="minorHAnsi" w:hAnsiTheme="minorHAnsi" w:cstheme="minorHAnsi"/>
          <w:sz w:val="20"/>
          <w:szCs w:val="18"/>
        </w:rPr>
        <w:t>respondents</w:t>
      </w:r>
      <w:r w:rsidRPr="0001497D">
        <w:rPr>
          <w:rFonts w:asciiTheme="minorHAnsi" w:hAnsiTheme="minorHAnsi" w:cstheme="minorHAnsi"/>
          <w:sz w:val="20"/>
          <w:szCs w:val="18"/>
        </w:rPr>
        <w:t xml:space="preserve"> drawn from the same community as HC users (i.e., d</w:t>
      </w:r>
      <w:r>
        <w:rPr>
          <w:rFonts w:asciiTheme="minorHAnsi" w:hAnsiTheme="minorHAnsi" w:cstheme="minorHAnsi"/>
          <w:sz w:val="20"/>
          <w:szCs w:val="18"/>
        </w:rPr>
        <w:t xml:space="preserve">oes not include pregnant women) (1 point) and </w:t>
      </w:r>
      <w:r w:rsidRPr="0001497D">
        <w:rPr>
          <w:rFonts w:asciiTheme="minorHAnsi" w:hAnsiTheme="minorHAnsi" w:cstheme="minorHAnsi"/>
          <w:sz w:val="20"/>
          <w:szCs w:val="18"/>
        </w:rPr>
        <w:t>b) comparison group does not include users of another HC method (unless intentional head-to-head comparison</w:t>
      </w:r>
      <w:r>
        <w:rPr>
          <w:rFonts w:asciiTheme="minorHAnsi" w:hAnsiTheme="minorHAnsi" w:cstheme="minorHAnsi"/>
          <w:sz w:val="20"/>
          <w:szCs w:val="18"/>
        </w:rPr>
        <w:t xml:space="preserve"> (1 point). </w:t>
      </w:r>
      <w:r>
        <w:rPr>
          <w:rFonts w:asciiTheme="minorHAnsi" w:hAnsiTheme="minorHAnsi" w:cstheme="minorHAnsi"/>
          <w:i/>
          <w:sz w:val="20"/>
          <w:szCs w:val="18"/>
        </w:rPr>
        <w:t xml:space="preserve">Ascertainment of HC use: </w:t>
      </w:r>
      <w:r>
        <w:rPr>
          <w:rFonts w:asciiTheme="minorHAnsi" w:hAnsiTheme="minorHAnsi" w:cstheme="minorHAnsi"/>
          <w:sz w:val="20"/>
          <w:szCs w:val="18"/>
        </w:rPr>
        <w:t xml:space="preserve">a) separate estimates for different types of HCs (1 point), b) HC use assessed more than once and at intervals &lt;6 months (1 point). </w:t>
      </w:r>
      <w:r>
        <w:rPr>
          <w:rFonts w:asciiTheme="minorHAnsi" w:hAnsiTheme="minorHAnsi" w:cstheme="minorHAnsi"/>
          <w:i/>
          <w:sz w:val="20"/>
          <w:szCs w:val="18"/>
        </w:rPr>
        <w:t>Demonstration STI not present at start of study</w:t>
      </w:r>
      <w:r>
        <w:rPr>
          <w:rFonts w:asciiTheme="minorHAnsi" w:hAnsiTheme="minorHAnsi" w:cstheme="minorHAnsi"/>
          <w:sz w:val="20"/>
          <w:szCs w:val="18"/>
        </w:rPr>
        <w:t xml:space="preserve">: test for pathogen used to confirm respondents were STI negative at study start (1 point). </w:t>
      </w:r>
      <w:r>
        <w:rPr>
          <w:rFonts w:asciiTheme="minorHAnsi" w:hAnsiTheme="minorHAnsi" w:cstheme="minorHAnsi"/>
          <w:i/>
          <w:sz w:val="20"/>
          <w:szCs w:val="18"/>
        </w:rPr>
        <w:t xml:space="preserve">Comparability of cohorts demonstrated: </w:t>
      </w:r>
      <w:r>
        <w:rPr>
          <w:rFonts w:asciiTheme="minorHAnsi" w:hAnsiTheme="minorHAnsi" w:cstheme="minorHAnsi"/>
          <w:sz w:val="20"/>
          <w:szCs w:val="18"/>
        </w:rPr>
        <w:t xml:space="preserve"> a) adjusted analyses performed (1 point); b) authors adjust for condom use or demonstrates negligible difference (1 point); </w:t>
      </w:r>
      <w:r>
        <w:rPr>
          <w:rFonts w:asciiTheme="minorHAnsi" w:hAnsiTheme="minorHAnsi" w:cstheme="minorHAnsi"/>
          <w:i/>
          <w:sz w:val="20"/>
          <w:szCs w:val="18"/>
        </w:rPr>
        <w:t>Ascertainment of STI</w:t>
      </w:r>
      <w:r>
        <w:rPr>
          <w:rFonts w:asciiTheme="minorHAnsi" w:hAnsiTheme="minorHAnsi" w:cstheme="minorHAnsi"/>
          <w:sz w:val="20"/>
          <w:szCs w:val="18"/>
        </w:rPr>
        <w:t xml:space="preserve">: a) independent blind assessment of STI performed (1 point); b) separate estimates for different types of STIs provided using test for pathogen (1 point); </w:t>
      </w:r>
      <w:r>
        <w:rPr>
          <w:rFonts w:asciiTheme="minorHAnsi" w:hAnsiTheme="minorHAnsi" w:cstheme="minorHAnsi"/>
          <w:i/>
          <w:sz w:val="20"/>
          <w:szCs w:val="18"/>
        </w:rPr>
        <w:t>Adequacy of follow-up of cohorts</w:t>
      </w:r>
      <w:r>
        <w:rPr>
          <w:rFonts w:asciiTheme="minorHAnsi" w:hAnsiTheme="minorHAnsi" w:cstheme="minorHAnsi"/>
          <w:sz w:val="20"/>
          <w:szCs w:val="18"/>
        </w:rPr>
        <w:t xml:space="preserve">: a) subjects lost to follow-up unlikely to introduce bias (either high retention &gt;80% or description of those lost is provided and comparable to those who remain in the study) (1 point).  </w:t>
      </w:r>
    </w:p>
    <w:p w14:paraId="494996E0" w14:textId="77777777" w:rsidR="007D342D" w:rsidRDefault="007D342D" w:rsidP="007D342D">
      <w:pPr>
        <w:rPr>
          <w:rFonts w:asciiTheme="minorHAnsi" w:hAnsiTheme="minorHAnsi" w:cstheme="minorHAnsi"/>
          <w:sz w:val="20"/>
          <w:szCs w:val="18"/>
        </w:rPr>
      </w:pPr>
    </w:p>
    <w:p w14:paraId="272DF1D5" w14:textId="77777777" w:rsidR="002C0CD8" w:rsidRDefault="002C0CD8"/>
    <w:sectPr w:rsidR="002C0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42D"/>
    <w:rsid w:val="002C0CD8"/>
    <w:rsid w:val="007D342D"/>
    <w:rsid w:val="008968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C8FE"/>
  <w15:docId w15:val="{7242637D-C3D0-499F-9108-99120A62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42D"/>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342D"/>
    <w:pPr>
      <w:spacing w:after="0" w:line="240" w:lineRule="auto"/>
    </w:pPr>
    <w:rPr>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15215</Words>
  <Characters>86730</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Moncada</dc:creator>
  <cp:lastModifiedBy>Stevens, Emily</cp:lastModifiedBy>
  <cp:revision>2</cp:revision>
  <dcterms:created xsi:type="dcterms:W3CDTF">2019-03-26T16:30:00Z</dcterms:created>
  <dcterms:modified xsi:type="dcterms:W3CDTF">2019-03-26T16:30:00Z</dcterms:modified>
</cp:coreProperties>
</file>