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F7C" w:rsidRPr="00F958A6" w:rsidRDefault="00101F7C" w:rsidP="00101F7C">
      <w:pPr>
        <w:outlineLvl w:val="0"/>
        <w:rPr>
          <w:rFonts w:asciiTheme="minorHAnsi" w:hAnsiTheme="minorHAnsi" w:cstheme="minorHAnsi"/>
          <w:b/>
          <w:sz w:val="22"/>
          <w:szCs w:val="18"/>
        </w:rPr>
      </w:pPr>
      <w:bookmarkStart w:id="0" w:name="_GoBack"/>
      <w:bookmarkEnd w:id="0"/>
      <w:r>
        <w:rPr>
          <w:rFonts w:asciiTheme="minorHAnsi" w:hAnsiTheme="minorHAnsi" w:cstheme="minorHAnsi"/>
          <w:b/>
          <w:sz w:val="22"/>
          <w:szCs w:val="18"/>
        </w:rPr>
        <w:t>Table 5</w:t>
      </w:r>
      <w:r w:rsidRPr="00010F3C">
        <w:rPr>
          <w:rFonts w:asciiTheme="minorHAnsi" w:hAnsiTheme="minorHAnsi" w:cstheme="minorHAnsi"/>
          <w:b/>
          <w:sz w:val="22"/>
          <w:szCs w:val="18"/>
        </w:rPr>
        <w:t xml:space="preserve">. Prospective associations between hormonal contraceptive use and herpes simplex virus type 2 (HSV-2) (N=4). </w:t>
      </w:r>
    </w:p>
    <w:tbl>
      <w:tblPr>
        <w:tblStyle w:val="TableGrid"/>
        <w:tblW w:w="13634" w:type="dxa"/>
        <w:tblLook w:val="04A0" w:firstRow="1" w:lastRow="0" w:firstColumn="1" w:lastColumn="0" w:noHBand="0" w:noVBand="1"/>
      </w:tblPr>
      <w:tblGrid>
        <w:gridCol w:w="1036"/>
        <w:gridCol w:w="1425"/>
        <w:gridCol w:w="1246"/>
        <w:gridCol w:w="1245"/>
        <w:gridCol w:w="1246"/>
        <w:gridCol w:w="2527"/>
        <w:gridCol w:w="1170"/>
        <w:gridCol w:w="1170"/>
        <w:gridCol w:w="1465"/>
        <w:gridCol w:w="1104"/>
      </w:tblGrid>
      <w:tr w:rsidR="00101F7C" w:rsidRPr="00010F3C" w:rsidTr="00DB49DC">
        <w:trPr>
          <w:trHeight w:val="950"/>
          <w:tblHeader/>
        </w:trPr>
        <w:tc>
          <w:tcPr>
            <w:tcW w:w="1036" w:type="dxa"/>
          </w:tcPr>
          <w:p w:rsidR="00101F7C" w:rsidRPr="00010F3C" w:rsidRDefault="00101F7C" w:rsidP="00DB49DC">
            <w:pPr>
              <w:rPr>
                <w:rFonts w:asciiTheme="minorHAnsi" w:hAnsiTheme="minorHAnsi" w:cstheme="minorHAnsi"/>
                <w:b/>
                <w:sz w:val="20"/>
                <w:szCs w:val="18"/>
              </w:rPr>
            </w:pPr>
            <w:r w:rsidRPr="00010F3C">
              <w:rPr>
                <w:rFonts w:asciiTheme="minorHAnsi" w:hAnsiTheme="minorHAnsi" w:cstheme="minorHAnsi"/>
                <w:b/>
                <w:sz w:val="20"/>
                <w:szCs w:val="18"/>
              </w:rPr>
              <w:t>Study</w:t>
            </w:r>
          </w:p>
        </w:tc>
        <w:tc>
          <w:tcPr>
            <w:tcW w:w="1425" w:type="dxa"/>
          </w:tcPr>
          <w:p w:rsidR="00101F7C" w:rsidRPr="00010F3C" w:rsidRDefault="00101F7C" w:rsidP="00DB49DC">
            <w:pPr>
              <w:rPr>
                <w:rFonts w:asciiTheme="minorHAnsi" w:hAnsiTheme="minorHAnsi" w:cstheme="minorHAnsi"/>
                <w:b/>
                <w:sz w:val="20"/>
                <w:szCs w:val="18"/>
              </w:rPr>
            </w:pPr>
            <w:r w:rsidRPr="00010F3C">
              <w:rPr>
                <w:rFonts w:asciiTheme="minorHAnsi" w:hAnsiTheme="minorHAnsi" w:cstheme="minorHAnsi"/>
                <w:b/>
                <w:sz w:val="20"/>
                <w:szCs w:val="18"/>
              </w:rPr>
              <w:t>N, study sample</w:t>
            </w:r>
          </w:p>
        </w:tc>
        <w:tc>
          <w:tcPr>
            <w:tcW w:w="1246" w:type="dxa"/>
          </w:tcPr>
          <w:p w:rsidR="00101F7C" w:rsidRPr="00010F3C" w:rsidRDefault="00101F7C" w:rsidP="00DB49DC">
            <w:pPr>
              <w:rPr>
                <w:rFonts w:asciiTheme="minorHAnsi" w:hAnsiTheme="minorHAnsi" w:cstheme="minorHAnsi"/>
                <w:b/>
                <w:sz w:val="20"/>
                <w:szCs w:val="18"/>
              </w:rPr>
            </w:pPr>
            <w:r w:rsidRPr="00010F3C">
              <w:rPr>
                <w:rFonts w:asciiTheme="minorHAnsi" w:hAnsiTheme="minorHAnsi" w:cstheme="minorHAnsi"/>
                <w:b/>
                <w:sz w:val="20"/>
                <w:szCs w:val="18"/>
              </w:rPr>
              <w:t>Length of follow-up; frequency STI assessment</w:t>
            </w:r>
          </w:p>
        </w:tc>
        <w:tc>
          <w:tcPr>
            <w:tcW w:w="1245" w:type="dxa"/>
          </w:tcPr>
          <w:p w:rsidR="00101F7C" w:rsidRPr="00010F3C" w:rsidRDefault="00101F7C" w:rsidP="00DB49DC">
            <w:pPr>
              <w:rPr>
                <w:rFonts w:asciiTheme="minorHAnsi" w:hAnsiTheme="minorHAnsi" w:cstheme="minorHAnsi"/>
                <w:b/>
                <w:sz w:val="20"/>
                <w:szCs w:val="18"/>
              </w:rPr>
            </w:pPr>
            <w:r w:rsidRPr="00010F3C">
              <w:rPr>
                <w:rFonts w:asciiTheme="minorHAnsi" w:hAnsiTheme="minorHAnsi" w:cstheme="minorHAnsi"/>
                <w:b/>
                <w:sz w:val="20"/>
                <w:szCs w:val="18"/>
              </w:rPr>
              <w:t>STI diagnostic test</w:t>
            </w:r>
          </w:p>
        </w:tc>
        <w:tc>
          <w:tcPr>
            <w:tcW w:w="1246" w:type="dxa"/>
          </w:tcPr>
          <w:p w:rsidR="00101F7C" w:rsidRPr="00010F3C" w:rsidRDefault="00101F7C" w:rsidP="00DB49DC">
            <w:pPr>
              <w:rPr>
                <w:rFonts w:asciiTheme="minorHAnsi" w:hAnsiTheme="minorHAnsi" w:cstheme="minorHAnsi"/>
                <w:b/>
                <w:sz w:val="20"/>
                <w:szCs w:val="18"/>
              </w:rPr>
            </w:pPr>
            <w:r w:rsidRPr="00010F3C">
              <w:rPr>
                <w:rFonts w:asciiTheme="minorHAnsi" w:hAnsiTheme="minorHAnsi" w:cstheme="minorHAnsi"/>
                <w:b/>
                <w:sz w:val="20"/>
                <w:szCs w:val="18"/>
              </w:rPr>
              <w:t>Length of follow-up; frequency STI assessment</w:t>
            </w:r>
          </w:p>
        </w:tc>
        <w:tc>
          <w:tcPr>
            <w:tcW w:w="2527" w:type="dxa"/>
          </w:tcPr>
          <w:p w:rsidR="00101F7C" w:rsidRPr="00010F3C" w:rsidRDefault="00101F7C" w:rsidP="00DB49DC">
            <w:pPr>
              <w:rPr>
                <w:rFonts w:asciiTheme="minorHAnsi" w:hAnsiTheme="minorHAnsi" w:cstheme="minorHAnsi"/>
                <w:b/>
                <w:sz w:val="20"/>
                <w:szCs w:val="18"/>
              </w:rPr>
            </w:pPr>
            <w:r w:rsidRPr="00010F3C">
              <w:rPr>
                <w:rFonts w:asciiTheme="minorHAnsi" w:hAnsiTheme="minorHAnsi" w:cstheme="minorHAnsi"/>
                <w:b/>
                <w:sz w:val="20"/>
                <w:szCs w:val="18"/>
              </w:rPr>
              <w:t>Covariates</w:t>
            </w:r>
          </w:p>
        </w:tc>
        <w:tc>
          <w:tcPr>
            <w:tcW w:w="1170" w:type="dxa"/>
          </w:tcPr>
          <w:p w:rsidR="00101F7C" w:rsidRPr="00010F3C" w:rsidRDefault="00101F7C" w:rsidP="00DB49DC">
            <w:pPr>
              <w:rPr>
                <w:rFonts w:asciiTheme="minorHAnsi" w:hAnsiTheme="minorHAnsi" w:cstheme="minorHAnsi"/>
                <w:b/>
                <w:sz w:val="20"/>
                <w:szCs w:val="18"/>
              </w:rPr>
            </w:pPr>
            <w:r w:rsidRPr="00010F3C">
              <w:rPr>
                <w:rFonts w:asciiTheme="minorHAnsi" w:hAnsiTheme="minorHAnsi" w:cstheme="minorHAnsi"/>
                <w:b/>
                <w:sz w:val="20"/>
                <w:szCs w:val="18"/>
              </w:rPr>
              <w:t>Reference group</w:t>
            </w:r>
          </w:p>
        </w:tc>
        <w:tc>
          <w:tcPr>
            <w:tcW w:w="1170" w:type="dxa"/>
          </w:tcPr>
          <w:p w:rsidR="00101F7C" w:rsidRPr="00010F3C" w:rsidRDefault="00101F7C" w:rsidP="00DB49DC">
            <w:pPr>
              <w:rPr>
                <w:rFonts w:asciiTheme="minorHAnsi" w:hAnsiTheme="minorHAnsi" w:cstheme="minorHAnsi"/>
                <w:b/>
                <w:sz w:val="20"/>
                <w:szCs w:val="18"/>
              </w:rPr>
            </w:pPr>
            <w:proofErr w:type="spellStart"/>
            <w:r w:rsidRPr="00010F3C">
              <w:rPr>
                <w:rFonts w:asciiTheme="minorHAnsi" w:hAnsiTheme="minorHAnsi" w:cstheme="minorHAnsi"/>
                <w:b/>
                <w:sz w:val="20"/>
                <w:szCs w:val="18"/>
              </w:rPr>
              <w:t>OC</w:t>
            </w:r>
            <w:r>
              <w:rPr>
                <w:rFonts w:asciiTheme="minorHAnsi" w:hAnsiTheme="minorHAnsi" w:cstheme="minorHAnsi"/>
                <w:b/>
                <w:sz w:val="20"/>
                <w:szCs w:val="18"/>
              </w:rPr>
              <w:t>P</w:t>
            </w:r>
            <w:r w:rsidRPr="00F77DB6">
              <w:rPr>
                <w:rFonts w:asciiTheme="minorHAnsi" w:hAnsiTheme="minorHAnsi" w:cstheme="minorHAnsi"/>
                <w:sz w:val="20"/>
                <w:szCs w:val="18"/>
                <w:vertAlign w:val="superscript"/>
              </w:rPr>
              <w:t>a</w:t>
            </w:r>
            <w:proofErr w:type="spellEnd"/>
          </w:p>
        </w:tc>
        <w:tc>
          <w:tcPr>
            <w:tcW w:w="1465" w:type="dxa"/>
          </w:tcPr>
          <w:p w:rsidR="00101F7C" w:rsidRPr="00010F3C" w:rsidRDefault="00101F7C" w:rsidP="00DB49DC">
            <w:pPr>
              <w:rPr>
                <w:rFonts w:asciiTheme="minorHAnsi" w:hAnsiTheme="minorHAnsi" w:cstheme="minorHAnsi"/>
                <w:b/>
                <w:sz w:val="20"/>
                <w:szCs w:val="18"/>
              </w:rPr>
            </w:pPr>
            <w:r w:rsidRPr="00010F3C">
              <w:rPr>
                <w:rFonts w:asciiTheme="minorHAnsi" w:hAnsiTheme="minorHAnsi" w:cstheme="minorHAnsi"/>
                <w:b/>
                <w:sz w:val="20"/>
                <w:szCs w:val="18"/>
              </w:rPr>
              <w:t>Injectable</w:t>
            </w:r>
          </w:p>
        </w:tc>
        <w:tc>
          <w:tcPr>
            <w:tcW w:w="1104" w:type="dxa"/>
          </w:tcPr>
          <w:p w:rsidR="00101F7C" w:rsidRPr="00010F3C" w:rsidRDefault="00101F7C" w:rsidP="00DB49DC">
            <w:pPr>
              <w:rPr>
                <w:rFonts w:asciiTheme="minorHAnsi" w:hAnsiTheme="minorHAnsi" w:cstheme="minorHAnsi"/>
                <w:b/>
                <w:sz w:val="20"/>
                <w:szCs w:val="18"/>
              </w:rPr>
            </w:pPr>
            <w:r w:rsidRPr="00010F3C">
              <w:rPr>
                <w:rFonts w:asciiTheme="minorHAnsi" w:hAnsiTheme="minorHAnsi" w:cstheme="minorHAnsi"/>
                <w:b/>
                <w:sz w:val="20"/>
                <w:szCs w:val="18"/>
              </w:rPr>
              <w:t>Combined HC</w:t>
            </w:r>
          </w:p>
        </w:tc>
      </w:tr>
      <w:tr w:rsidR="00101F7C" w:rsidRPr="00010F3C" w:rsidTr="00DB49DC">
        <w:trPr>
          <w:trHeight w:val="1403"/>
        </w:trPr>
        <w:tc>
          <w:tcPr>
            <w:tcW w:w="1036" w:type="dxa"/>
          </w:tcPr>
          <w:p w:rsidR="00101F7C" w:rsidRPr="00010F3C" w:rsidRDefault="00101F7C"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Borgdorff</w:t>
            </w:r>
            <w:proofErr w:type="spellEnd"/>
            <w:r w:rsidRPr="00010F3C">
              <w:rPr>
                <w:rFonts w:asciiTheme="minorHAnsi" w:hAnsiTheme="minorHAnsi" w:cstheme="minorHAnsi"/>
                <w:sz w:val="18"/>
                <w:szCs w:val="18"/>
              </w:rPr>
              <w:t>, 2015</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{"citationItems":[{"id":"ITEM-1","itemData":{"DOI":"10.1097/OLQ.0000000000000245","ISSN":"0148-5717","PMID":"25668647","abstract":"BACKGROUND The observed association between Depo-Provera injectable use and increased HIV acquisition may be caused by hormone-induced increased susceptibility to other sexually transmitted infections (STIs) or changes in the cervicovaginal microbiota (VMB), accompanied by genital immune activation and/or mucosal remodeling. METHODS Rwandan female sex workers (n = 800) were interviewed about contraceptive use and sexual behavior and were tested for STIs, bacterial vaginosis by Nugent score and pregnancy, at baseline. A subset of 397 HIV-negative, nonpregnant women were interviewed and tested again at regular intervals for 2 years. The VMB of a subset of 174 women was characterized by phylogenetic microarray. Outcomes of STI and VMB were compared between women with hormonal exposures (reporting oral contraceptive or injectable use, or testing positive for pregnancy) and controls (not reporting hormonal contraception and not pregnant). RESULTS Oral contraceptive use was associated with increased human papillomavirus prevalence (adjusted odds ratio [aOR], 3.10; 1.21-7.94) and Chlamydia trachomatis incidence (aOR, 6.13; 1.58-23.80), injectable use with increased herpes simplex virus-2 prevalence (aOR, 2.13; 1.26-3.59) and pregnancy with lower HIV prevalence (aOR, 0.45; 0.22-0.92) but higher candidiasis incidence (aOR, 2.14; 1.12-4.09). Hormonal status was not associated with Nugent score category or phylogenetic VMB clustering, but oral contraceptive users had lower semiquantitative vaginal abundance of Prevotella, Sneathia/Leptotrichia amnionii, and Mycoplasma species. CONCLUSIONS Oral contraceptive and injectable use were associated with several STIs but not with VMB composition. The increased herpes simplex virus-2 prevalence among injectable users might explain the potentially higher HIV risk in these women, but more research is needed to confirm these results and elucidate biological mechanisms.","author":[{"dropping-particle":"","family":"Borgdorff","given":"Hanneke","non-dropping-particle":"","parse-names":false,"suffix":""},{"dropping-particle":"","family":"Verwijs","given":"Marijn C.","non-dropping-particle":"","parse-names":false,"suffix":""},{"dropping-particle":"","family":"Wit","given":"Ferdinand W.N.M.","non-dropping-particle":"","parse-names":false,"suffix":""},{"dropping-particle":"","family":"Tsivtsivadze","given":"Evgeni","non-dropping-particle":"","parse-names":false,"suffix":""},{"dropping-particle":"","family":"Ndayisaba","given":"Gilles F.","non-dropping-particle":"","parse-names":false,"suffix":""},{"dropping-particle":"","family":"Verhelst","given":"Rita","non-dropping-particle":"","parse-names":false,"suffix":""},{"dropping-particle":"","family":"Schuren","given":"Frank H.","non-dropping-particle":"","parse-names":false,"suffix":""},{"dropping-particle":"","family":"Wijgert","given":"Janneke H.H.M.","non-dropping-particle":"van de","parse-names":false,"suffix":""}],"container-title":"Sexually Transmitted Diseases","id":"ITEM-1","issue":"3","issued":{"date-parts":[["2015","3"]]},"page":"143-152","title":"The impact of hormonal contraception and pregnancy on sexually transmitted infections and on cervicovaginal microbiota in African sex workers","type":"article-journal","volume":"42"},"uris":["http://www.mendeley.com/documents/?uuid=7085ed09-1392-3a2e-8bf7-46c4f1b4e68f"]}],"mendeley":{"formattedCitation":"[37]","plainTextFormattedCitation":"[37]","previouslyFormattedCitation":"[37]"},"properties":{"noteIndex":0},"schema":"https://github.com/citation-style-language/schema/raw/master/csl-citation.json"}</w:instrText>
            </w:r>
            <w:r>
              <w:rPr>
                <w:rFonts w:asciiTheme="minorHAnsi" w:hAnsiTheme="minorHAnsi" w:cstheme="minorHAnsi"/>
                <w:sz w:val="18"/>
                <w:szCs w:val="18"/>
              </w:rPr>
              <w:fldChar w:fldCharType="separate"/>
            </w:r>
            <w:r w:rsidRPr="008031AE">
              <w:rPr>
                <w:rFonts w:asciiTheme="minorHAnsi" w:hAnsiTheme="minorHAnsi" w:cstheme="minorHAnsi"/>
                <w:noProof/>
                <w:sz w:val="18"/>
                <w:szCs w:val="18"/>
              </w:rPr>
              <w:t>[37]</w:t>
            </w:r>
            <w:r>
              <w:rPr>
                <w:rFonts w:asciiTheme="minorHAnsi" w:hAnsiTheme="minorHAnsi" w:cstheme="minorHAnsi"/>
                <w:sz w:val="18"/>
                <w:szCs w:val="18"/>
              </w:rPr>
              <w:fldChar w:fldCharType="end"/>
            </w:r>
          </w:p>
        </w:tc>
        <w:tc>
          <w:tcPr>
            <w:tcW w:w="1425"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 xml:space="preserve">163, HIV-negative sex workers in Kigali, Rwanda ages 18 to 49, </w:t>
            </w:r>
            <w:r w:rsidRPr="00010F3C">
              <w:rPr>
                <w:rFonts w:asciiTheme="minorHAnsi" w:hAnsiTheme="minorHAnsi" w:cstheme="minorHAnsi"/>
                <w:i/>
                <w:sz w:val="18"/>
                <w:szCs w:val="18"/>
              </w:rPr>
              <w:t xml:space="preserve">N=21 HSV-2 incident </w:t>
            </w:r>
            <w:proofErr w:type="spellStart"/>
            <w:r w:rsidRPr="00010F3C">
              <w:rPr>
                <w:rFonts w:asciiTheme="minorHAnsi" w:hAnsiTheme="minorHAnsi" w:cstheme="minorHAnsi"/>
                <w:i/>
                <w:sz w:val="18"/>
                <w:szCs w:val="18"/>
              </w:rPr>
              <w:t>cases</w:t>
            </w:r>
            <w:r>
              <w:rPr>
                <w:rFonts w:asciiTheme="minorHAnsi" w:hAnsiTheme="minorHAnsi" w:cstheme="minorHAnsi"/>
                <w:i/>
                <w:sz w:val="18"/>
                <w:szCs w:val="18"/>
                <w:vertAlign w:val="superscript"/>
              </w:rPr>
              <w:t>c</w:t>
            </w:r>
            <w:proofErr w:type="spellEnd"/>
          </w:p>
        </w:tc>
        <w:tc>
          <w:tcPr>
            <w:tcW w:w="1246"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24M; 0M, 3M, 6M, 12M, 24M</w:t>
            </w:r>
          </w:p>
          <w:p w:rsidR="00101F7C" w:rsidRPr="00010F3C" w:rsidRDefault="00101F7C" w:rsidP="00DB49DC">
            <w:pPr>
              <w:rPr>
                <w:rFonts w:asciiTheme="minorHAnsi" w:hAnsiTheme="minorHAnsi" w:cstheme="minorHAnsi"/>
                <w:sz w:val="18"/>
                <w:szCs w:val="18"/>
              </w:rPr>
            </w:pPr>
          </w:p>
        </w:tc>
        <w:tc>
          <w:tcPr>
            <w:tcW w:w="1245" w:type="dxa"/>
          </w:tcPr>
          <w:p w:rsidR="00101F7C" w:rsidRPr="00010F3C" w:rsidRDefault="00101F7C"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HerpeSelect</w:t>
            </w:r>
            <w:proofErr w:type="spellEnd"/>
            <w:r w:rsidRPr="00010F3C">
              <w:rPr>
                <w:rFonts w:asciiTheme="minorHAnsi" w:hAnsiTheme="minorHAnsi" w:cstheme="minorHAnsi"/>
                <w:sz w:val="18"/>
                <w:szCs w:val="18"/>
              </w:rPr>
              <w:t xml:space="preserve"> 2 ELISA (index ≥3.5 defined as positive)</w:t>
            </w:r>
          </w:p>
        </w:tc>
        <w:tc>
          <w:tcPr>
            <w:tcW w:w="1246"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24M; 0M, 3M, 6M, 12M, 24M</w:t>
            </w:r>
          </w:p>
          <w:p w:rsidR="00101F7C" w:rsidRPr="00010F3C" w:rsidRDefault="00101F7C" w:rsidP="00DB49DC">
            <w:pPr>
              <w:rPr>
                <w:rFonts w:asciiTheme="minorHAnsi" w:hAnsiTheme="minorHAnsi" w:cstheme="minorHAnsi"/>
                <w:sz w:val="18"/>
                <w:szCs w:val="18"/>
              </w:rPr>
            </w:pPr>
          </w:p>
          <w:p w:rsidR="00101F7C" w:rsidRPr="00010F3C" w:rsidRDefault="00101F7C" w:rsidP="00DB49DC">
            <w:pPr>
              <w:rPr>
                <w:rFonts w:asciiTheme="minorHAnsi" w:hAnsiTheme="minorHAnsi" w:cstheme="minorHAnsi"/>
                <w:sz w:val="18"/>
                <w:szCs w:val="18"/>
              </w:rPr>
            </w:pPr>
          </w:p>
        </w:tc>
        <w:tc>
          <w:tcPr>
            <w:tcW w:w="2527"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Age, education, years worked as sex worker, breast-feeding, consistent condom use, antibiotic use past 14 d, ever used antibiotics, time duration between assessments</w:t>
            </w:r>
          </w:p>
        </w:tc>
        <w:tc>
          <w:tcPr>
            <w:tcW w:w="1170"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 xml:space="preserve">Non-pregnant non-hormonal </w:t>
            </w:r>
            <w:r>
              <w:rPr>
                <w:rFonts w:asciiTheme="minorHAnsi" w:hAnsiTheme="minorHAnsi" w:cstheme="minorHAnsi"/>
                <w:sz w:val="18"/>
                <w:szCs w:val="18"/>
              </w:rPr>
              <w:t>user</w:t>
            </w:r>
          </w:p>
        </w:tc>
        <w:tc>
          <w:tcPr>
            <w:tcW w:w="1170"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color w:val="000000"/>
                <w:sz w:val="18"/>
                <w:szCs w:val="18"/>
              </w:rPr>
              <w:t>OC</w:t>
            </w:r>
            <w:r>
              <w:rPr>
                <w:rFonts w:asciiTheme="minorHAnsi" w:hAnsiTheme="minorHAnsi" w:cstheme="minorHAnsi"/>
                <w:color w:val="000000"/>
                <w:sz w:val="18"/>
                <w:szCs w:val="18"/>
              </w:rPr>
              <w:t xml:space="preserve">P </w:t>
            </w:r>
            <w:proofErr w:type="spellStart"/>
            <w:r w:rsidRPr="00010F3C">
              <w:rPr>
                <w:rFonts w:asciiTheme="minorHAnsi" w:hAnsiTheme="minorHAnsi" w:cstheme="minorHAnsi"/>
                <w:color w:val="000000"/>
                <w:sz w:val="18"/>
                <w:szCs w:val="18"/>
              </w:rPr>
              <w:t>aOR</w:t>
            </w:r>
            <w:proofErr w:type="spellEnd"/>
            <w:r w:rsidRPr="00010F3C">
              <w:rPr>
                <w:rFonts w:asciiTheme="minorHAnsi" w:hAnsiTheme="minorHAnsi" w:cstheme="minorHAnsi"/>
                <w:color w:val="000000"/>
                <w:sz w:val="18"/>
                <w:szCs w:val="18"/>
              </w:rPr>
              <w:t>: 4.28 (0.07, 262.1)</w:t>
            </w:r>
          </w:p>
        </w:tc>
        <w:tc>
          <w:tcPr>
            <w:tcW w:w="1465" w:type="dxa"/>
          </w:tcPr>
          <w:p w:rsidR="00101F7C" w:rsidRPr="00010F3C" w:rsidRDefault="00101F7C" w:rsidP="00DB49DC">
            <w:pPr>
              <w:rPr>
                <w:rFonts w:asciiTheme="minorHAnsi" w:hAnsiTheme="minorHAnsi" w:cstheme="minorHAnsi"/>
                <w:color w:val="000000"/>
                <w:sz w:val="18"/>
                <w:szCs w:val="18"/>
              </w:rPr>
            </w:pPr>
            <w:r w:rsidRPr="00010F3C">
              <w:rPr>
                <w:rFonts w:asciiTheme="minorHAnsi" w:hAnsiTheme="minorHAnsi" w:cstheme="minorHAnsi"/>
                <w:sz w:val="18"/>
                <w:szCs w:val="18"/>
              </w:rPr>
              <w:t xml:space="preserve">Injectable (type not </w:t>
            </w:r>
            <w:proofErr w:type="spellStart"/>
            <w:r w:rsidRPr="00010F3C">
              <w:rPr>
                <w:rFonts w:asciiTheme="minorHAnsi" w:hAnsiTheme="minorHAnsi" w:cstheme="minorHAnsi"/>
                <w:sz w:val="18"/>
                <w:szCs w:val="18"/>
              </w:rPr>
              <w:t>specified</w:t>
            </w:r>
            <w:r>
              <w:rPr>
                <w:rFonts w:asciiTheme="minorHAnsi" w:hAnsiTheme="minorHAnsi" w:cstheme="minorHAnsi"/>
                <w:sz w:val="18"/>
                <w:szCs w:val="18"/>
                <w:vertAlign w:val="superscript"/>
              </w:rPr>
              <w:t>d</w:t>
            </w:r>
            <w:proofErr w:type="spellEnd"/>
            <w:r w:rsidRPr="00010F3C">
              <w:rPr>
                <w:rFonts w:asciiTheme="minorHAnsi" w:hAnsiTheme="minorHAnsi" w:cstheme="minorHAnsi"/>
                <w:sz w:val="18"/>
                <w:szCs w:val="18"/>
              </w:rPr>
              <w:t xml:space="preserve">) </w:t>
            </w:r>
            <w:proofErr w:type="spellStart"/>
            <w:r w:rsidRPr="00010F3C">
              <w:rPr>
                <w:rFonts w:asciiTheme="minorHAnsi" w:hAnsiTheme="minorHAnsi" w:cstheme="minorHAnsi"/>
                <w:sz w:val="18"/>
                <w:szCs w:val="18"/>
              </w:rPr>
              <w:t>aOR</w:t>
            </w:r>
            <w:proofErr w:type="spellEnd"/>
            <w:r w:rsidRPr="00010F3C">
              <w:rPr>
                <w:rFonts w:asciiTheme="minorHAnsi" w:hAnsiTheme="minorHAnsi" w:cstheme="minorHAnsi"/>
                <w:color w:val="000000"/>
                <w:sz w:val="18"/>
                <w:szCs w:val="18"/>
              </w:rPr>
              <w:t>: 6.34 (0.25, 158.5)</w:t>
            </w:r>
          </w:p>
          <w:p w:rsidR="00101F7C" w:rsidRPr="00010F3C" w:rsidRDefault="00101F7C" w:rsidP="00DB49DC">
            <w:pPr>
              <w:rPr>
                <w:rFonts w:asciiTheme="minorHAnsi" w:hAnsiTheme="minorHAnsi" w:cstheme="minorHAnsi"/>
                <w:sz w:val="18"/>
                <w:szCs w:val="18"/>
              </w:rPr>
            </w:pPr>
          </w:p>
        </w:tc>
        <w:tc>
          <w:tcPr>
            <w:tcW w:w="1104"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NA</w:t>
            </w:r>
          </w:p>
        </w:tc>
      </w:tr>
      <w:tr w:rsidR="00101F7C" w:rsidRPr="00010F3C" w:rsidTr="00DB49DC">
        <w:trPr>
          <w:trHeight w:val="3993"/>
        </w:trPr>
        <w:tc>
          <w:tcPr>
            <w:tcW w:w="1036" w:type="dxa"/>
          </w:tcPr>
          <w:p w:rsidR="00101F7C" w:rsidRPr="00010F3C" w:rsidRDefault="00101F7C"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Chohan</w:t>
            </w:r>
            <w:proofErr w:type="spellEnd"/>
            <w:r w:rsidRPr="00010F3C">
              <w:rPr>
                <w:rFonts w:asciiTheme="minorHAnsi" w:hAnsiTheme="minorHAnsi" w:cstheme="minorHAnsi"/>
                <w:sz w:val="18"/>
                <w:szCs w:val="18"/>
              </w:rPr>
              <w:t>, 2009</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{"citationItems":[{"id":"ITEM-1","itemData":{"DOI":"10.1136/sti.2009.036103","ISSN":"1368-4973","PMID":"19457873","abstract":"OBJECTIVES Several studies have demonstrated an association between herpes simplex virus type 2 (HSV-2) and HIV-1, but available data on risk factors for HSV-2 acquisition are limited. The objective of this analysis was to determine the incidence and risk factors for HSV-2 acquisition among HIV-1-seronegative female sex workers in Kenya. METHODS Between February 1993 and December 2006, HIV-1-seronegative women attending a municipal sexually transmitted infection (STI) clinic were invited to enroll in a prospective cohort study. Screening for HIV-1 and STIs were done at monthly follow-up visits. Archived blood samples were tested for HSV-2. RESULTS Of 1527 HIV-1-seronegative women enrolled, 302 (20%) were HSV-2 seronegative at baseline of whom 297 had at least one follow-up visit. HSV-2 incidence was high (23 cases/100 person-years; 115 cases). In multivariate analysis, HSV-2 was significantly associated with more recent entry into sex work, workplace and higher number of sex partners per week. Condom use was protective, although this was statistically significant only for the intermediate strata (25-75% condom use; HR 0.43; p = 0.05). There were statistical trends for bacterial vaginosis to increase HSV-2 risk (HR 1.56; p = 0.07) and for oral contraceptive use to decrease risk (HR 0.50; p = 0.08). The 23% annual HSV-2 incidence in this study is among the highest reported anywhere in the world. CONCLUSIONS Women were at increased risk if they had recently entered sex work, had a higher number of sex partners or worked in bars. HSV-2 risk reduction interventions are urgently needed among high-risk African women.","author":[{"dropping-particle":"","family":"Chohan","given":"V","non-dropping-particle":"","parse-names":false,"suffix":""},{"dropping-particle":"","family":"Baeten","given":"J M","non-dropping-particle":"","parse-names":false,"suffix":""},{"dropping-particle":"","family":"Benki","given":"S","non-dropping-particle":"","parse-names":false,"suffix":""},{"dropping-particle":"","family":"Graham","given":"S M","non-dropping-particle":"","parse-names":false,"suffix":""},{"dropping-particle":"","family":"Lavreys","given":"L","non-dropping-particle":"","parse-names":false,"suffix":""},{"dropping-particle":"","family":"Mandaliya","given":"K","non-dropping-particle":"","parse-names":false,"suffix":""},{"dropping-particle":"","family":"Ndinya-Achola","given":"J O","non-dropping-particle":"","parse-names":false,"suffix":""},{"dropping-particle":"","family":"Jaoko","given":"W","non-dropping-particle":"","parse-names":false,"suffix":""},{"dropping-particle":"","family":"Overbaugh","given":"J","non-dropping-particle":"","parse-names":false,"suffix":""},{"dropping-particle":"","family":"McClelland","given":"R S","non-dropping-particle":"","parse-names":false,"suffix":""}],"container-title":"Sexually Transmitted Infections","id":"ITEM-1","issue":"7","issued":{"date-parts":[["2009","12","1"]]},"page":"489-492","title":"A prospective study of risk factors for herpes simplex virus type 2 acquisition among high-risk HIV-1 seronegative women in Kenya","type":"article-journal","volume":"85"},"uris":["http://www.mendeley.com/documents/?uuid=911de947-1b48-33f1-9e3e-dd4221d2291e"]}],"mendeley":{"formattedCitation":"[53]","plainTextFormattedCitation":"[53]","previouslyFormattedCitation":"[53]"},"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[53]</w:t>
            </w:r>
            <w:r>
              <w:rPr>
                <w:rFonts w:asciiTheme="minorHAnsi" w:hAnsiTheme="minorHAnsi" w:cstheme="minorHAnsi"/>
                <w:sz w:val="18"/>
                <w:szCs w:val="18"/>
              </w:rPr>
              <w:fldChar w:fldCharType="end"/>
            </w:r>
          </w:p>
        </w:tc>
        <w:tc>
          <w:tcPr>
            <w:tcW w:w="1425" w:type="dxa"/>
          </w:tcPr>
          <w:p w:rsidR="00101F7C" w:rsidRPr="00010F3C" w:rsidRDefault="00101F7C" w:rsidP="00DB49DC">
            <w:pPr>
              <w:rPr>
                <w:rFonts w:asciiTheme="minorHAnsi" w:hAnsiTheme="minorHAnsi" w:cstheme="minorHAnsi"/>
                <w:i/>
                <w:sz w:val="18"/>
                <w:szCs w:val="18"/>
              </w:rPr>
            </w:pPr>
            <w:r w:rsidRPr="00010F3C">
              <w:rPr>
                <w:rFonts w:asciiTheme="minorHAnsi" w:hAnsiTheme="minorHAnsi" w:cstheme="minorHAnsi"/>
                <w:sz w:val="18"/>
                <w:szCs w:val="18"/>
              </w:rPr>
              <w:t>297, HIV-negative sex workers in Mombasa, Kenya ages 18 to 46, N=</w:t>
            </w:r>
            <w:r w:rsidRPr="00010F3C">
              <w:rPr>
                <w:rFonts w:asciiTheme="minorHAnsi" w:hAnsiTheme="minorHAnsi" w:cstheme="minorHAnsi"/>
                <w:i/>
                <w:color w:val="000000" w:themeColor="text1"/>
                <w:sz w:val="18"/>
                <w:szCs w:val="18"/>
              </w:rPr>
              <w:t>115</w:t>
            </w:r>
            <w:r w:rsidRPr="00010F3C">
              <w:rPr>
                <w:rFonts w:asciiTheme="minorHAnsi" w:hAnsiTheme="minorHAnsi" w:cstheme="minorHAnsi"/>
                <w:i/>
                <w:sz w:val="18"/>
                <w:szCs w:val="18"/>
              </w:rPr>
              <w:t xml:space="preserve"> HSV-2 incident cases (23 cases per 100 </w:t>
            </w:r>
            <w:proofErr w:type="gramStart"/>
            <w:r w:rsidRPr="00010F3C">
              <w:rPr>
                <w:rFonts w:asciiTheme="minorHAnsi" w:hAnsiTheme="minorHAnsi" w:cstheme="minorHAnsi"/>
                <w:i/>
                <w:sz w:val="18"/>
                <w:szCs w:val="18"/>
              </w:rPr>
              <w:t>PY)</w:t>
            </w:r>
            <w:r>
              <w:rPr>
                <w:rFonts w:asciiTheme="minorHAnsi" w:hAnsiTheme="minorHAnsi" w:cstheme="minorHAnsi"/>
                <w:i/>
                <w:sz w:val="18"/>
                <w:szCs w:val="18"/>
                <w:vertAlign w:val="superscript"/>
              </w:rPr>
              <w:t>b</w:t>
            </w:r>
            <w:proofErr w:type="gramEnd"/>
          </w:p>
          <w:p w:rsidR="00101F7C" w:rsidRPr="00010F3C" w:rsidRDefault="00101F7C" w:rsidP="00DB49DC">
            <w:pPr>
              <w:rPr>
                <w:rFonts w:asciiTheme="minorHAnsi" w:hAnsiTheme="minorHAnsi" w:cstheme="minorHAnsi"/>
                <w:i/>
                <w:sz w:val="18"/>
                <w:szCs w:val="18"/>
              </w:rPr>
            </w:pPr>
          </w:p>
          <w:p w:rsidR="00101F7C" w:rsidRPr="00010F3C" w:rsidRDefault="00101F7C" w:rsidP="00DB49DC">
            <w:pPr>
              <w:rPr>
                <w:rFonts w:asciiTheme="minorHAnsi" w:hAnsiTheme="minorHAnsi" w:cstheme="minorHAnsi"/>
                <w:sz w:val="18"/>
                <w:szCs w:val="18"/>
              </w:rPr>
            </w:pPr>
          </w:p>
        </w:tc>
        <w:tc>
          <w:tcPr>
            <w:tcW w:w="1246"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13Y; every 1M (median time b/w visits: 33d [IQR 28-48]</w:t>
            </w:r>
          </w:p>
          <w:p w:rsidR="00101F7C" w:rsidRPr="00010F3C" w:rsidRDefault="00101F7C" w:rsidP="00DB49DC">
            <w:pPr>
              <w:pStyle w:val="p1"/>
              <w:rPr>
                <w:rFonts w:asciiTheme="minorHAnsi" w:hAnsiTheme="minorHAnsi" w:cstheme="minorHAnsi"/>
                <w:sz w:val="18"/>
                <w:szCs w:val="18"/>
              </w:rPr>
            </w:pPr>
          </w:p>
        </w:tc>
        <w:tc>
          <w:tcPr>
            <w:tcW w:w="1245" w:type="dxa"/>
          </w:tcPr>
          <w:p w:rsidR="00101F7C" w:rsidRPr="00010F3C" w:rsidRDefault="00101F7C" w:rsidP="00DB49DC">
            <w:pPr>
              <w:pStyle w:val="p1"/>
              <w:rPr>
                <w:rFonts w:asciiTheme="minorHAnsi" w:hAnsiTheme="minorHAnsi" w:cstheme="minorHAnsi"/>
                <w:sz w:val="18"/>
                <w:szCs w:val="18"/>
              </w:rPr>
            </w:pPr>
            <w:r w:rsidRPr="00010F3C">
              <w:rPr>
                <w:rFonts w:asciiTheme="minorHAnsi" w:hAnsiTheme="minorHAnsi" w:cstheme="minorHAnsi"/>
                <w:sz w:val="18"/>
                <w:szCs w:val="18"/>
              </w:rPr>
              <w:t xml:space="preserve">HSV-2- type-specific HSV-2 </w:t>
            </w:r>
            <w:proofErr w:type="spellStart"/>
            <w:proofErr w:type="gramStart"/>
            <w:r w:rsidRPr="00010F3C">
              <w:rPr>
                <w:rFonts w:asciiTheme="minorHAnsi" w:hAnsiTheme="minorHAnsi" w:cstheme="minorHAnsi"/>
                <w:sz w:val="18"/>
                <w:szCs w:val="18"/>
              </w:rPr>
              <w:t>gG</w:t>
            </w:r>
            <w:proofErr w:type="spellEnd"/>
            <w:r w:rsidRPr="00010F3C">
              <w:rPr>
                <w:rFonts w:asciiTheme="minorHAnsi" w:hAnsiTheme="minorHAnsi" w:cstheme="minorHAnsi"/>
                <w:sz w:val="18"/>
                <w:szCs w:val="18"/>
              </w:rPr>
              <w:t xml:space="preserve"> based</w:t>
            </w:r>
            <w:proofErr w:type="gramEnd"/>
            <w:r w:rsidRPr="00010F3C">
              <w:rPr>
                <w:rFonts w:asciiTheme="minorHAnsi" w:hAnsiTheme="minorHAnsi" w:cstheme="minorHAnsi"/>
                <w:sz w:val="18"/>
                <w:szCs w:val="18"/>
              </w:rPr>
              <w:t xml:space="preserve"> ELISA (index value of &gt;1.1 defined as positive)</w:t>
            </w:r>
          </w:p>
          <w:p w:rsidR="00101F7C" w:rsidRPr="00010F3C" w:rsidRDefault="00101F7C" w:rsidP="00DB49DC">
            <w:pPr>
              <w:rPr>
                <w:rFonts w:asciiTheme="minorHAnsi" w:hAnsiTheme="minorHAnsi" w:cstheme="minorHAnsi"/>
                <w:sz w:val="18"/>
                <w:szCs w:val="18"/>
              </w:rPr>
            </w:pPr>
          </w:p>
        </w:tc>
        <w:tc>
          <w:tcPr>
            <w:tcW w:w="1246"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13Y; every 1M (median time b/w visits: 33d [IQR 28-48]</w:t>
            </w:r>
          </w:p>
          <w:p w:rsidR="00101F7C" w:rsidRPr="00010F3C" w:rsidRDefault="00101F7C" w:rsidP="00DB49DC">
            <w:pPr>
              <w:rPr>
                <w:rFonts w:asciiTheme="minorHAnsi" w:hAnsiTheme="minorHAnsi" w:cstheme="minorHAnsi"/>
                <w:sz w:val="18"/>
                <w:szCs w:val="18"/>
              </w:rPr>
            </w:pPr>
          </w:p>
          <w:p w:rsidR="00101F7C" w:rsidRPr="00010F3C" w:rsidRDefault="00101F7C" w:rsidP="00DB49DC">
            <w:pPr>
              <w:pStyle w:val="p1"/>
              <w:rPr>
                <w:rFonts w:asciiTheme="minorHAnsi" w:hAnsiTheme="minorHAnsi" w:cstheme="minorHAnsi"/>
                <w:sz w:val="18"/>
                <w:szCs w:val="18"/>
              </w:rPr>
            </w:pPr>
          </w:p>
        </w:tc>
        <w:tc>
          <w:tcPr>
            <w:tcW w:w="2527"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Education, parity, alcohol and tobacco use, vaginal washing practices, bar vs. night club work. Time-dependent variables: age, duration of sex work, presence of other genital tract infections, # sex partners per week, condom use during past working week</w:t>
            </w:r>
          </w:p>
          <w:p w:rsidR="00101F7C" w:rsidRPr="00010F3C" w:rsidRDefault="00101F7C" w:rsidP="00DB49DC">
            <w:pPr>
              <w:rPr>
                <w:rFonts w:asciiTheme="minorHAnsi" w:hAnsiTheme="minorHAnsi" w:cstheme="minorHAnsi"/>
                <w:sz w:val="18"/>
                <w:szCs w:val="18"/>
              </w:rPr>
            </w:pPr>
          </w:p>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 xml:space="preserve">Final model: duration of sex work, bar (vs. night club) work, # sex partners per week, percentage condom </w:t>
            </w:r>
            <w:proofErr w:type="gramStart"/>
            <w:r w:rsidRPr="00010F3C">
              <w:rPr>
                <w:rFonts w:asciiTheme="minorHAnsi" w:hAnsiTheme="minorHAnsi" w:cstheme="minorHAnsi"/>
                <w:sz w:val="18"/>
                <w:szCs w:val="18"/>
              </w:rPr>
              <w:t>use</w:t>
            </w:r>
            <w:proofErr w:type="gramEnd"/>
            <w:r w:rsidRPr="00010F3C">
              <w:rPr>
                <w:rFonts w:asciiTheme="minorHAnsi" w:hAnsiTheme="minorHAnsi" w:cstheme="minorHAnsi"/>
                <w:sz w:val="18"/>
                <w:szCs w:val="18"/>
              </w:rPr>
              <w:t xml:space="preserve"> past week, presence of BV </w:t>
            </w:r>
          </w:p>
        </w:tc>
        <w:tc>
          <w:tcPr>
            <w:tcW w:w="1170"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Non-</w:t>
            </w:r>
            <w:r>
              <w:rPr>
                <w:rFonts w:asciiTheme="minorHAnsi" w:hAnsiTheme="minorHAnsi" w:cstheme="minorHAnsi"/>
                <w:sz w:val="18"/>
                <w:szCs w:val="18"/>
              </w:rPr>
              <w:t xml:space="preserve">hormonal </w:t>
            </w:r>
            <w:r w:rsidRPr="00010F3C">
              <w:rPr>
                <w:rFonts w:asciiTheme="minorHAnsi" w:hAnsiTheme="minorHAnsi" w:cstheme="minorHAnsi"/>
                <w:sz w:val="18"/>
                <w:szCs w:val="18"/>
              </w:rPr>
              <w:t xml:space="preserve">user </w:t>
            </w:r>
          </w:p>
        </w:tc>
        <w:tc>
          <w:tcPr>
            <w:tcW w:w="1170" w:type="dxa"/>
          </w:tcPr>
          <w:p w:rsidR="00101F7C" w:rsidRPr="00010F3C" w:rsidRDefault="00101F7C" w:rsidP="00DB49DC">
            <w:pPr>
              <w:rPr>
                <w:rFonts w:asciiTheme="minorHAnsi" w:hAnsiTheme="minorHAnsi" w:cstheme="minorHAnsi"/>
                <w:color w:val="000000"/>
                <w:sz w:val="18"/>
                <w:szCs w:val="18"/>
              </w:rPr>
            </w:pPr>
            <w:r w:rsidRPr="00010F3C">
              <w:rPr>
                <w:rFonts w:asciiTheme="minorHAnsi" w:hAnsiTheme="minorHAnsi" w:cstheme="minorHAnsi"/>
                <w:color w:val="000000"/>
                <w:sz w:val="18"/>
                <w:szCs w:val="18"/>
              </w:rPr>
              <w:t>OC</w:t>
            </w:r>
            <w:r>
              <w:rPr>
                <w:rFonts w:asciiTheme="minorHAnsi" w:hAnsiTheme="minorHAnsi" w:cstheme="minorHAnsi"/>
                <w:color w:val="000000"/>
                <w:sz w:val="18"/>
                <w:szCs w:val="18"/>
              </w:rPr>
              <w:t>P</w:t>
            </w:r>
            <w:r w:rsidRPr="00010F3C">
              <w:rPr>
                <w:rFonts w:asciiTheme="minorHAnsi" w:hAnsiTheme="minorHAnsi" w:cstheme="minorHAnsi"/>
                <w:color w:val="000000"/>
                <w:sz w:val="18"/>
                <w:szCs w:val="18"/>
              </w:rPr>
              <w:t xml:space="preserve"> </w:t>
            </w:r>
            <w:proofErr w:type="spellStart"/>
            <w:r w:rsidRPr="00010F3C">
              <w:rPr>
                <w:rFonts w:asciiTheme="minorHAnsi" w:hAnsiTheme="minorHAnsi" w:cstheme="minorHAnsi"/>
                <w:color w:val="000000"/>
                <w:sz w:val="18"/>
                <w:szCs w:val="18"/>
              </w:rPr>
              <w:t>aHR</w:t>
            </w:r>
            <w:proofErr w:type="spellEnd"/>
            <w:r w:rsidRPr="00010F3C">
              <w:rPr>
                <w:rFonts w:asciiTheme="minorHAnsi" w:hAnsiTheme="minorHAnsi" w:cstheme="minorHAnsi"/>
                <w:color w:val="000000"/>
                <w:sz w:val="18"/>
                <w:szCs w:val="18"/>
              </w:rPr>
              <w:t xml:space="preserve">: 0.50 (0.23, </w:t>
            </w:r>
            <w:proofErr w:type="gramStart"/>
            <w:r w:rsidRPr="00010F3C">
              <w:rPr>
                <w:rFonts w:asciiTheme="minorHAnsi" w:hAnsiTheme="minorHAnsi" w:cstheme="minorHAnsi"/>
                <w:color w:val="000000"/>
                <w:sz w:val="18"/>
                <w:szCs w:val="18"/>
              </w:rPr>
              <w:t>1.08)</w:t>
            </w:r>
            <w:r w:rsidRPr="00010F3C">
              <w:rPr>
                <w:rFonts w:asciiTheme="minorHAnsi" w:hAnsiTheme="minorHAnsi" w:cstheme="minorHAnsi"/>
                <w:color w:val="000000"/>
                <w:sz w:val="18"/>
                <w:szCs w:val="18"/>
                <w:vertAlign w:val="superscript"/>
              </w:rPr>
              <w:t>#</w:t>
            </w:r>
            <w:proofErr w:type="gramEnd"/>
          </w:p>
        </w:tc>
        <w:tc>
          <w:tcPr>
            <w:tcW w:w="1465" w:type="dxa"/>
          </w:tcPr>
          <w:p w:rsidR="00101F7C" w:rsidRPr="00010F3C" w:rsidRDefault="00101F7C" w:rsidP="00DB49DC">
            <w:pPr>
              <w:rPr>
                <w:rFonts w:asciiTheme="minorHAnsi" w:hAnsiTheme="minorHAnsi" w:cstheme="minorHAnsi"/>
                <w:color w:val="000000"/>
                <w:sz w:val="18"/>
                <w:szCs w:val="18"/>
              </w:rPr>
            </w:pPr>
            <w:r w:rsidRPr="00010F3C">
              <w:rPr>
                <w:rFonts w:asciiTheme="minorHAnsi" w:hAnsiTheme="minorHAnsi" w:cstheme="minorHAnsi"/>
                <w:color w:val="000000"/>
                <w:sz w:val="18"/>
                <w:szCs w:val="18"/>
              </w:rPr>
              <w:t>NA</w:t>
            </w:r>
          </w:p>
        </w:tc>
        <w:tc>
          <w:tcPr>
            <w:tcW w:w="1104" w:type="dxa"/>
          </w:tcPr>
          <w:p w:rsidR="00101F7C" w:rsidRPr="00010F3C" w:rsidRDefault="00101F7C"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aHR</w:t>
            </w:r>
            <w:proofErr w:type="spellEnd"/>
            <w:r w:rsidRPr="00010F3C">
              <w:rPr>
                <w:rFonts w:asciiTheme="minorHAnsi" w:hAnsiTheme="minorHAnsi" w:cstheme="minorHAnsi"/>
                <w:sz w:val="18"/>
                <w:szCs w:val="18"/>
              </w:rPr>
              <w:t xml:space="preserve"> Norplant/ DMPA (combined): 0.92 (0.53, 1.61)</w:t>
            </w:r>
          </w:p>
        </w:tc>
      </w:tr>
      <w:tr w:rsidR="00101F7C" w:rsidRPr="00010F3C" w:rsidTr="00DB49DC">
        <w:trPr>
          <w:trHeight w:val="2461"/>
        </w:trPr>
        <w:tc>
          <w:tcPr>
            <w:tcW w:w="1036"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lastRenderedPageBreak/>
              <w:t>Grabowski, 2015</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{"citationItems":[{"id":"ITEM-1","itemData":{"DOI":"10.1016/S2214-109X(15)00086-8","ISSN":"2214-109X","PMID":"26094162","abstract":"BACKGROUND The injectable hormonal contraceptive depo-medroxyprogesterone acetate (DMPA) has been associated with increased risk of HIV acquisition, but findings are inconsistent. Whether DMPA increases the risk of other sexually transmitted viral infections is unknown. We assessed the association between DMPA use and incident herpes simplex virus type 2 (HSV2) infection in women. METHODS In this prospective study, we enrolled HIV-negative and HSV2-negative women aged 15-49 years whose HIV-negative male partners were concurrently enrolled in a randomised trial of male circumcision in Rakai, Uganda. We excluded women if either they or their male partners HIV seroconverted. The primary outcome was HSV2 seroconversion, assessed annually. The male circumcision trial was registered with ClinicalTrials.gov, number NCT00425984. FINDINGS Between Aug 11, 2003, and July 6, 2006, we enrolled 682 women in this study. We noted HSV2 seroconversions in 70 (10%) women. Incidence was 13·5 per 100 person-years in women consistently using DMPA (nine incident infections per 66·5 person-years), 4·3 per 100 person-years in pregnant women who were not using hormonal contraception (18 incident infections per 423·5 person-years), and 6·6 per 100 person-years in women who were neither pregnant nor using hormonal contraception (35 incident infections per 529·5 person-years). Women consistently using DMPA had an adjusted hazard ratio for HSV2 seroconversion of 2·26 (95% CI 1·09-4·69; p=0·029) compared with women who were neither pregnant nor using hormonal contraception. Of 132 women with HSV2-seropositive partners, seroconversion was 36·4 per 100 person-years in consistent DMPA users (four incident infections per 11 person-years) and 10·7 per 100 person-years in women who were neither pregnant nor using hormonal contraception (11 incident infections per 103 person-years; adjusted hazard ratio 6·23, 95% CI 1·49-26·3; p=0·012). INTERPRETATION Consistent DMPA use might increase risk of HSV2 seroconversion; however, study power was low. These findings should be assessed in larger populations with more frequent follow-up than in this study, and other contraceptive methods should also be assessed. Access to a wide range of highly effective contraceptive methods is needed for women, particularly in sub-Saharan Africa. FUNDING Bill and Melinda Gates Foundation, Doris Duke Charitable Foundation, US National Institutes of Health, and Fogarty International Center.","author":[{"dropping-particle":"","family":"Grabowski","given":"Mary K","non-dropping-particle":"","parse-names":false,"suffix":""},{"dropping-particle":"","family":"Gray","given":"Ronald H","non-dropping-particle":"","parse-names":false,"suffix":""},{"dropping-particle":"","family":"Makumbi","given":"Fred","non-dropping-particle":"","parse-names":false,"suffix":""},{"dropping-particle":"","family":"Kagaayi","given":"Joseph","non-dropping-particle":"","parse-names":false,"suffix":""},{"dropping-particle":"","family":"Redd","given":"Andrew D","non-dropping-particle":"","parse-names":false,"suffix":""},{"dropping-particle":"","family":"Kigozi","given":"Godfrey","non-dropping-particle":"","parse-names":false,"suffix":""},{"dropping-particle":"","family":"Reynolds","given":"Steven J","non-dropping-particle":"","parse-names":false,"suffix":""},{"dropping-particle":"","family":"Nalugoda","given":"Fred","non-dropping-particle":"","parse-names":false,"suffix":""},{"dropping-particle":"","family":"Lutalo","given":"Tom","non-dropping-particle":"","parse-names":false,"suffix":""},{"dropping-particle":"","family":"Wawer","given":"Maria J","non-dropping-particle":"","parse-names":false,"suffix":""},{"dropping-particle":"","family":"Serwadda","given":"David","non-dropping-particle":"","parse-names":false,"suffix":""},{"dropping-particle":"","family":"Quinn","given":"Thomas C","non-dropping-particle":"","parse-names":false,"suffix":""},{"dropping-particle":"","family":"Tobian","given":"Aaron A R","non-dropping-particle":"","parse-names":false,"suffix":""}],"container-title":"Lancet Global Health","id":"ITEM-1","issue":"8","issued":{"date-parts":[["2015"]]},"page":"e478-e486","title":"Use of injectable hormonal contraception and women's risk of herpes simplex virus type 2 acquisition: a prospective study of couples in Rakai, Uganda.","type":"article-journal","volume":"3"},"uris":["http://www.mendeley.com/documents/?uuid=11556fb4-df05-30ea-8e41-258109be4078"]}],"mendeley":{"formattedCitation":"[35]","plainTextFormattedCitation":"[35]","previouslyFormattedCitation":"[35]"},"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[35]</w:t>
            </w:r>
            <w:r>
              <w:rPr>
                <w:rFonts w:asciiTheme="minorHAnsi" w:hAnsiTheme="minorHAnsi" w:cstheme="minorHAnsi"/>
                <w:sz w:val="18"/>
                <w:szCs w:val="18"/>
              </w:rPr>
              <w:fldChar w:fldCharType="end"/>
            </w:r>
          </w:p>
        </w:tc>
        <w:tc>
          <w:tcPr>
            <w:tcW w:w="1425"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682, HIV-negative women in Rakai, Uganda ages 15 to 49 who had a HIV-negative male partner, N=</w:t>
            </w:r>
            <w:r w:rsidRPr="00010F3C">
              <w:rPr>
                <w:rFonts w:asciiTheme="minorHAnsi" w:hAnsiTheme="minorHAnsi" w:cstheme="minorHAnsi"/>
                <w:i/>
                <w:color w:val="000000" w:themeColor="text1"/>
                <w:sz w:val="18"/>
                <w:szCs w:val="18"/>
              </w:rPr>
              <w:t xml:space="preserve">52 HSV-2 incident </w:t>
            </w:r>
            <w:proofErr w:type="spellStart"/>
            <w:r w:rsidRPr="00010F3C">
              <w:rPr>
                <w:rFonts w:asciiTheme="minorHAnsi" w:hAnsiTheme="minorHAnsi" w:cstheme="minorHAnsi"/>
                <w:i/>
                <w:color w:val="000000" w:themeColor="text1"/>
                <w:sz w:val="18"/>
                <w:szCs w:val="18"/>
              </w:rPr>
              <w:t>cases</w:t>
            </w:r>
            <w:r>
              <w:rPr>
                <w:rFonts w:asciiTheme="minorHAnsi" w:hAnsiTheme="minorHAnsi" w:cstheme="minorHAnsi"/>
                <w:color w:val="000000" w:themeColor="text1"/>
                <w:sz w:val="18"/>
                <w:szCs w:val="18"/>
                <w:vertAlign w:val="superscript"/>
              </w:rPr>
              <w:t>e</w:t>
            </w:r>
            <w:proofErr w:type="spellEnd"/>
          </w:p>
        </w:tc>
        <w:tc>
          <w:tcPr>
            <w:tcW w:w="1246"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3Y; 0M, 12M &amp; 24M</w:t>
            </w:r>
          </w:p>
          <w:p w:rsidR="00101F7C" w:rsidRPr="00010F3C" w:rsidRDefault="00101F7C" w:rsidP="00DB49DC">
            <w:pPr>
              <w:rPr>
                <w:rFonts w:asciiTheme="minorHAnsi" w:hAnsiTheme="minorHAnsi" w:cstheme="minorHAnsi"/>
                <w:sz w:val="18"/>
                <w:szCs w:val="18"/>
              </w:rPr>
            </w:pPr>
          </w:p>
        </w:tc>
        <w:tc>
          <w:tcPr>
            <w:tcW w:w="1245"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HSV-2 ELISA test</w:t>
            </w:r>
          </w:p>
        </w:tc>
        <w:tc>
          <w:tcPr>
            <w:tcW w:w="1246"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3Y; 0M, 12M &amp; 24M</w:t>
            </w:r>
          </w:p>
          <w:p w:rsidR="00101F7C" w:rsidRPr="00010F3C" w:rsidRDefault="00101F7C" w:rsidP="00DB49DC">
            <w:pPr>
              <w:rPr>
                <w:rFonts w:asciiTheme="minorHAnsi" w:hAnsiTheme="minorHAnsi" w:cstheme="minorHAnsi"/>
                <w:sz w:val="18"/>
                <w:szCs w:val="18"/>
              </w:rPr>
            </w:pPr>
          </w:p>
        </w:tc>
        <w:tc>
          <w:tcPr>
            <w:tcW w:w="2527"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 xml:space="preserve">Age, education of woman and male partner, # of lifetime sexual partners. Time-varying variables: male circumcision, coital frequency, and female and male self-report of any condom use and non-marital partners in the past year. </w:t>
            </w:r>
          </w:p>
          <w:p w:rsidR="00101F7C" w:rsidRPr="00010F3C" w:rsidRDefault="00101F7C" w:rsidP="00DB49DC">
            <w:pPr>
              <w:rPr>
                <w:rFonts w:asciiTheme="minorHAnsi" w:hAnsiTheme="minorHAnsi" w:cstheme="minorHAnsi"/>
                <w:sz w:val="18"/>
                <w:szCs w:val="18"/>
              </w:rPr>
            </w:pPr>
          </w:p>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Final model: did not include coital frequency or male circumcision based on model fit</w:t>
            </w:r>
          </w:p>
        </w:tc>
        <w:tc>
          <w:tcPr>
            <w:tcW w:w="1170"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Non-pregnant non-</w:t>
            </w:r>
            <w:r>
              <w:rPr>
                <w:rFonts w:asciiTheme="minorHAnsi" w:hAnsiTheme="minorHAnsi" w:cstheme="minorHAnsi"/>
                <w:sz w:val="18"/>
                <w:szCs w:val="18"/>
              </w:rPr>
              <w:t xml:space="preserve">hormonal </w:t>
            </w:r>
            <w:r w:rsidRPr="00010F3C">
              <w:rPr>
                <w:rFonts w:asciiTheme="minorHAnsi" w:hAnsiTheme="minorHAnsi" w:cstheme="minorHAnsi"/>
                <w:sz w:val="18"/>
                <w:szCs w:val="18"/>
              </w:rPr>
              <w:t xml:space="preserve">user </w:t>
            </w:r>
          </w:p>
        </w:tc>
        <w:tc>
          <w:tcPr>
            <w:tcW w:w="1170" w:type="dxa"/>
          </w:tcPr>
          <w:p w:rsidR="00101F7C" w:rsidRPr="00010F3C" w:rsidRDefault="00101F7C" w:rsidP="00DB49DC">
            <w:pPr>
              <w:rPr>
                <w:rFonts w:asciiTheme="minorHAnsi" w:hAnsiTheme="minorHAnsi" w:cstheme="minorHAnsi"/>
                <w:color w:val="000000"/>
                <w:sz w:val="18"/>
                <w:szCs w:val="18"/>
              </w:rPr>
            </w:pPr>
            <w:r w:rsidRPr="00010F3C">
              <w:rPr>
                <w:rFonts w:asciiTheme="minorHAnsi" w:hAnsiTheme="minorHAnsi" w:cstheme="minorHAnsi"/>
                <w:color w:val="000000"/>
                <w:sz w:val="18"/>
                <w:szCs w:val="18"/>
              </w:rPr>
              <w:t>OC</w:t>
            </w:r>
            <w:r>
              <w:rPr>
                <w:rFonts w:asciiTheme="minorHAnsi" w:hAnsiTheme="minorHAnsi" w:cstheme="minorHAnsi"/>
                <w:color w:val="000000"/>
                <w:sz w:val="18"/>
                <w:szCs w:val="18"/>
              </w:rPr>
              <w:t>P</w:t>
            </w:r>
            <w:r w:rsidRPr="00010F3C">
              <w:rPr>
                <w:rFonts w:asciiTheme="minorHAnsi" w:hAnsiTheme="minorHAnsi" w:cstheme="minorHAnsi"/>
                <w:color w:val="000000"/>
                <w:sz w:val="18"/>
                <w:szCs w:val="18"/>
              </w:rPr>
              <w:t xml:space="preserve"> </w:t>
            </w:r>
            <w:proofErr w:type="spellStart"/>
            <w:r w:rsidRPr="00010F3C">
              <w:rPr>
                <w:rFonts w:asciiTheme="minorHAnsi" w:hAnsiTheme="minorHAnsi" w:cstheme="minorHAnsi"/>
                <w:color w:val="000000"/>
                <w:sz w:val="18"/>
                <w:szCs w:val="18"/>
              </w:rPr>
              <w:t>aHR</w:t>
            </w:r>
            <w:proofErr w:type="spellEnd"/>
            <w:r w:rsidRPr="00010F3C">
              <w:rPr>
                <w:rFonts w:asciiTheme="minorHAnsi" w:hAnsiTheme="minorHAnsi" w:cstheme="minorHAnsi"/>
                <w:color w:val="000000"/>
                <w:sz w:val="18"/>
                <w:szCs w:val="18"/>
              </w:rPr>
              <w:t>: 0.49 (0.08, 3.01)</w:t>
            </w:r>
          </w:p>
        </w:tc>
        <w:tc>
          <w:tcPr>
            <w:tcW w:w="1465" w:type="dxa"/>
          </w:tcPr>
          <w:p w:rsidR="00101F7C" w:rsidRPr="00010F3C" w:rsidRDefault="00101F7C" w:rsidP="00DB49DC">
            <w:pPr>
              <w:rPr>
                <w:rFonts w:asciiTheme="minorHAnsi" w:hAnsiTheme="minorHAnsi" w:cstheme="minorHAnsi"/>
                <w:color w:val="000000"/>
                <w:sz w:val="18"/>
                <w:szCs w:val="18"/>
              </w:rPr>
            </w:pPr>
            <w:r w:rsidRPr="00010F3C">
              <w:rPr>
                <w:rFonts w:asciiTheme="minorHAnsi" w:hAnsiTheme="minorHAnsi" w:cstheme="minorHAnsi"/>
                <w:color w:val="000000"/>
                <w:sz w:val="18"/>
                <w:szCs w:val="18"/>
                <w:u w:val="single"/>
              </w:rPr>
              <w:t>Consistent DMPA users</w:t>
            </w:r>
            <w:r w:rsidRPr="00010F3C">
              <w:rPr>
                <w:rFonts w:asciiTheme="minorHAnsi" w:hAnsiTheme="minorHAnsi" w:cstheme="minorHAnsi"/>
                <w:color w:val="000000"/>
                <w:sz w:val="18"/>
                <w:szCs w:val="18"/>
              </w:rPr>
              <w:t xml:space="preserve"> </w:t>
            </w:r>
            <w:proofErr w:type="spellStart"/>
            <w:r w:rsidRPr="00010F3C">
              <w:rPr>
                <w:rFonts w:asciiTheme="minorHAnsi" w:hAnsiTheme="minorHAnsi" w:cstheme="minorHAnsi"/>
                <w:color w:val="000000"/>
                <w:sz w:val="18"/>
                <w:szCs w:val="18"/>
              </w:rPr>
              <w:t>aHR</w:t>
            </w:r>
            <w:proofErr w:type="spellEnd"/>
            <w:r w:rsidRPr="00010F3C">
              <w:rPr>
                <w:rFonts w:asciiTheme="minorHAnsi" w:hAnsiTheme="minorHAnsi" w:cstheme="minorHAnsi"/>
                <w:color w:val="000000"/>
                <w:sz w:val="18"/>
                <w:szCs w:val="18"/>
              </w:rPr>
              <w:t xml:space="preserve">: 2.26 (1.09, </w:t>
            </w:r>
            <w:proofErr w:type="gramStart"/>
            <w:r w:rsidRPr="00010F3C">
              <w:rPr>
                <w:rFonts w:asciiTheme="minorHAnsi" w:hAnsiTheme="minorHAnsi" w:cstheme="minorHAnsi"/>
                <w:color w:val="000000"/>
                <w:sz w:val="18"/>
                <w:szCs w:val="18"/>
              </w:rPr>
              <w:t>4.69)</w:t>
            </w:r>
            <w:r>
              <w:rPr>
                <w:rFonts w:asciiTheme="minorHAnsi" w:hAnsiTheme="minorHAnsi" w:cstheme="minorHAnsi"/>
                <w:color w:val="000000"/>
                <w:sz w:val="18"/>
                <w:szCs w:val="18"/>
              </w:rPr>
              <w:t>*</w:t>
            </w:r>
            <w:proofErr w:type="gramEnd"/>
            <w:r w:rsidRPr="00010F3C">
              <w:rPr>
                <w:rFonts w:asciiTheme="minorHAnsi" w:hAnsiTheme="minorHAnsi" w:cstheme="minorHAnsi"/>
                <w:color w:val="000000"/>
                <w:sz w:val="18"/>
                <w:szCs w:val="18"/>
              </w:rPr>
              <w:t xml:space="preserve">; </w:t>
            </w:r>
            <w:r w:rsidRPr="00010F3C">
              <w:rPr>
                <w:rFonts w:asciiTheme="minorHAnsi" w:hAnsiTheme="minorHAnsi" w:cstheme="minorHAnsi"/>
                <w:color w:val="000000"/>
                <w:sz w:val="18"/>
                <w:szCs w:val="18"/>
                <w:u w:val="single"/>
              </w:rPr>
              <w:t xml:space="preserve">Initiated DMPA </w:t>
            </w:r>
            <w:proofErr w:type="spellStart"/>
            <w:r w:rsidRPr="00010F3C">
              <w:rPr>
                <w:rFonts w:asciiTheme="minorHAnsi" w:hAnsiTheme="minorHAnsi" w:cstheme="minorHAnsi"/>
                <w:color w:val="000000"/>
                <w:sz w:val="18"/>
                <w:szCs w:val="18"/>
              </w:rPr>
              <w:t>aHR</w:t>
            </w:r>
            <w:proofErr w:type="spellEnd"/>
            <w:r w:rsidRPr="00010F3C">
              <w:rPr>
                <w:rFonts w:asciiTheme="minorHAnsi" w:hAnsiTheme="minorHAnsi" w:cstheme="minorHAnsi"/>
                <w:color w:val="000000"/>
                <w:sz w:val="18"/>
                <w:szCs w:val="18"/>
              </w:rPr>
              <w:t xml:space="preserve">: 0.75 (0.29, 1.92); </w:t>
            </w:r>
            <w:r w:rsidRPr="00010F3C">
              <w:rPr>
                <w:rFonts w:asciiTheme="minorHAnsi" w:hAnsiTheme="minorHAnsi" w:cstheme="minorHAnsi"/>
                <w:color w:val="000000"/>
                <w:sz w:val="18"/>
                <w:szCs w:val="18"/>
                <w:u w:val="single"/>
              </w:rPr>
              <w:t>Discontinued DMPA use</w:t>
            </w:r>
            <w:r w:rsidRPr="00010F3C">
              <w:rPr>
                <w:rFonts w:asciiTheme="minorHAnsi" w:hAnsiTheme="minorHAnsi" w:cstheme="minorHAnsi"/>
                <w:color w:val="000000"/>
                <w:sz w:val="18"/>
                <w:szCs w:val="18"/>
              </w:rPr>
              <w:t xml:space="preserve"> </w:t>
            </w:r>
            <w:proofErr w:type="spellStart"/>
            <w:r w:rsidRPr="00010F3C">
              <w:rPr>
                <w:rFonts w:asciiTheme="minorHAnsi" w:hAnsiTheme="minorHAnsi" w:cstheme="minorHAnsi"/>
                <w:color w:val="000000"/>
                <w:sz w:val="18"/>
                <w:szCs w:val="18"/>
              </w:rPr>
              <w:t>aHR</w:t>
            </w:r>
            <w:proofErr w:type="spellEnd"/>
            <w:r w:rsidRPr="00010F3C">
              <w:rPr>
                <w:rFonts w:asciiTheme="minorHAnsi" w:hAnsiTheme="minorHAnsi" w:cstheme="minorHAnsi"/>
                <w:color w:val="000000"/>
                <w:sz w:val="18"/>
                <w:szCs w:val="18"/>
              </w:rPr>
              <w:t>: 0</w:t>
            </w:r>
            <w:r>
              <w:rPr>
                <w:rFonts w:asciiTheme="minorHAnsi" w:hAnsiTheme="minorHAnsi" w:cstheme="minorHAnsi"/>
                <w:color w:val="000000"/>
                <w:sz w:val="18"/>
                <w:szCs w:val="18"/>
              </w:rPr>
              <w:t>.</w:t>
            </w:r>
            <w:r w:rsidRPr="00010F3C">
              <w:rPr>
                <w:rFonts w:asciiTheme="minorHAnsi" w:hAnsiTheme="minorHAnsi" w:cstheme="minorHAnsi"/>
                <w:color w:val="000000"/>
                <w:sz w:val="18"/>
                <w:szCs w:val="18"/>
              </w:rPr>
              <w:t>58 (0.13,2.51)</w:t>
            </w:r>
          </w:p>
        </w:tc>
        <w:tc>
          <w:tcPr>
            <w:tcW w:w="1104"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NA</w:t>
            </w:r>
          </w:p>
        </w:tc>
      </w:tr>
      <w:tr w:rsidR="00101F7C" w:rsidRPr="00010F3C" w:rsidTr="00DB49DC">
        <w:trPr>
          <w:trHeight w:val="3428"/>
        </w:trPr>
        <w:tc>
          <w:tcPr>
            <w:tcW w:w="1036" w:type="dxa"/>
          </w:tcPr>
          <w:p w:rsidR="00101F7C" w:rsidRPr="00010F3C" w:rsidRDefault="00101F7C" w:rsidP="00DB49DC">
            <w:pPr>
              <w:rPr>
                <w:rFonts w:asciiTheme="minorHAnsi" w:hAnsiTheme="minorHAnsi" w:cstheme="minorHAnsi"/>
                <w:sz w:val="18"/>
                <w:szCs w:val="18"/>
              </w:rPr>
            </w:pPr>
            <w:proofErr w:type="spellStart"/>
            <w:r w:rsidRPr="00010F3C">
              <w:rPr>
                <w:rFonts w:asciiTheme="minorHAnsi" w:hAnsiTheme="minorHAnsi" w:cstheme="minorHAnsi"/>
                <w:sz w:val="18"/>
                <w:szCs w:val="18"/>
              </w:rPr>
              <w:t>Socias</w:t>
            </w:r>
            <w:proofErr w:type="spellEnd"/>
            <w:r w:rsidRPr="00010F3C">
              <w:rPr>
                <w:rFonts w:asciiTheme="minorHAnsi" w:hAnsiTheme="minorHAnsi" w:cstheme="minorHAnsi"/>
                <w:sz w:val="18"/>
                <w:szCs w:val="18"/>
              </w:rPr>
              <w:t>, 2017</w:t>
            </w:r>
            <w:r>
              <w:rPr>
                <w:rFonts w:asciiTheme="minorHAnsi" w:hAnsiTheme="minorHAnsi" w:cstheme="minorHAnsi"/>
                <w:sz w:val="18"/>
                <w:szCs w:val="18"/>
              </w:rPr>
              <w:t xml:space="preserve"> </w:t>
            </w:r>
            <w:r>
              <w:rPr>
                <w:rFonts w:asciiTheme="minorHAnsi" w:hAnsiTheme="minorHAnsi" w:cstheme="minorHAnsi"/>
                <w:sz w:val="18"/>
                <w:szCs w:val="18"/>
              </w:rPr>
              <w:fldChar w:fldCharType="begin" w:fldLock="1"/>
            </w:r>
            <w:r>
              <w:rPr>
                <w:rFonts w:asciiTheme="minorHAnsi" w:hAnsiTheme="minorHAnsi" w:cstheme="minorHAnsi"/>
                <w:sz w:val="18"/>
                <w:szCs w:val="18"/>
              </w:rPr>
              <w:instrText>ADDIN CSL_CITATION {"citationItems":[{"id":"ITEM-1","itemData":{"DOI":"10.1136/sextrans-2016-052838","ISSN":"1472-3263","PMID":"27821613","abstract":"OBJECTIVES Increased risk of herpes simplex virus 2 (HSV-2) has been proposed as a possible indirect pathway through which hormonal contraceptives (specifically depot medroxyprogesterone acetate (DMPA)) may increase the risk of HIV acquisition among women. We investigated the effects of DMPA on HSV-2 acquisition among female sex workers. METHODS Longitudinal data were drawn from a prospective cohort of sex workers in Vancouver, Canada. The primary outcome was HSV-2 seroconversion. Extended Cox regression analyses were used to model the independent effect of DMPA use on HSV-2 acquisition. RESULTS Between January 2010 and February 2014, 149 HSV-2 seronegative women were enrolled, contributing to 228 person-years (py) of follow-up. Of these, 19 (13.3%) reported DMPA use. There were 39 HSV-2 seroconversions (12 among DMPA users and 27 among non-users) over the study period (median follow-up of 18.6 months (IQR 8.4-29.9)), resulting in an overall incidence rate of 17.1 cases per 100 py (95% CI 12.4 to 23.6). Incidence rates were higher among DMPA users (57.4 cases per 100 py, 95% CI 31.4 to 105.0) compared with non-users (13.1 cases per 100 py, 95% CI 8.9 to 19.1). After adjusting for key confounders, use of DMPA remained an independent predictor of HSV-2 acquisition (adjusted HR 4.43, 95% CI 1.90 to 10.35). CONCLUSIONS The high observed incidence rates of HSV-2, together with a strong association between DMPA exposure and HSV-2 acquisition, raise serious concerns about the provision of optimal reproductive and sexual healthcare to sex workers in this setting. Given the known links between HSV-2 and HIV, our findings underscore the need for further research to better understand the potential association between DMPA and increased risk of HSV-2 and other STIs to help inform the development of safer reproductive choices for women worldwide.","author":[{"dropping-particle":"","family":"Socías","given":"M Eugenia","non-dropping-particle":"","parse-names":false,"suffix":""},{"dropping-particle":"","family":"Duff","given":"Putu","non-dropping-particle":"","parse-names":false,"suffix":""},{"dropping-particle":"","family":"Shoveller","given":"Jean","non-dropping-particle":"","parse-names":false,"suffix":""},{"dropping-particle":"","family":"Montaner","given":"Julio S G","non-dropping-particle":"","parse-names":false,"suffix":""},{"dropping-particle":"","family":"Nguyen","given":"Paul","non-dropping-particle":"","parse-names":false,"suffix":""},{"dropping-particle":"","family":"Ogilvie","given":"Gina","non-dropping-particle":"","parse-names":false,"suffix":""},{"dropping-particle":"","family":"Shannon","given":"Kate","non-dropping-particle":"","parse-names":false,"suffix":""}],"container-title":"Sexually Transmitted Infections","id":"ITEM-1","issue":"4","issued":{"date-parts":[["2017","6"]]},"page":"284-289","title":"Use of injectable hormonal contraception and HSV-2 acquisition in a cohort of female sex workers in Vancouver, Canada.","type":"article-journal","volume":"93"},"uris":["http://www.mendeley.com/documents/?uuid=a4a9660c-10c2-3e31-a069-86ac99f06412"]}],"mendeley":{"formattedCitation":"[54]","plainTextFormattedCitation":"[54]","previouslyFormattedCitation":"[54]"},"properties":{"noteIndex":0},"schema":"https://github.com/citation-style-language/schema/raw/master/csl-citation.json"}</w:instrText>
            </w:r>
            <w:r>
              <w:rPr>
                <w:rFonts w:asciiTheme="minorHAnsi" w:hAnsiTheme="minorHAnsi" w:cstheme="minorHAnsi"/>
                <w:sz w:val="18"/>
                <w:szCs w:val="18"/>
              </w:rPr>
              <w:fldChar w:fldCharType="separate"/>
            </w:r>
            <w:r w:rsidRPr="008E6390">
              <w:rPr>
                <w:rFonts w:asciiTheme="minorHAnsi" w:hAnsiTheme="minorHAnsi" w:cstheme="minorHAnsi"/>
                <w:noProof/>
                <w:sz w:val="18"/>
                <w:szCs w:val="18"/>
              </w:rPr>
              <w:t>[54]</w:t>
            </w:r>
            <w:r>
              <w:rPr>
                <w:rFonts w:asciiTheme="minorHAnsi" w:hAnsiTheme="minorHAnsi" w:cstheme="minorHAnsi"/>
                <w:sz w:val="18"/>
                <w:szCs w:val="18"/>
              </w:rPr>
              <w:fldChar w:fldCharType="end"/>
            </w:r>
          </w:p>
        </w:tc>
        <w:tc>
          <w:tcPr>
            <w:tcW w:w="1425" w:type="dxa"/>
          </w:tcPr>
          <w:p w:rsidR="00101F7C" w:rsidRPr="00010F3C" w:rsidRDefault="00101F7C" w:rsidP="00DB49DC">
            <w:pPr>
              <w:pStyle w:val="p1"/>
              <w:rPr>
                <w:rFonts w:asciiTheme="minorHAnsi" w:hAnsiTheme="minorHAnsi" w:cstheme="minorHAnsi"/>
                <w:sz w:val="18"/>
                <w:szCs w:val="18"/>
              </w:rPr>
            </w:pPr>
            <w:r>
              <w:rPr>
                <w:rFonts w:asciiTheme="minorHAnsi" w:hAnsiTheme="minorHAnsi" w:cstheme="minorHAnsi"/>
                <w:sz w:val="18"/>
                <w:szCs w:val="18"/>
              </w:rPr>
              <w:t>149, HIV-positive</w:t>
            </w:r>
            <w:r w:rsidRPr="00010F3C">
              <w:rPr>
                <w:rFonts w:asciiTheme="minorHAnsi" w:hAnsiTheme="minorHAnsi" w:cstheme="minorHAnsi"/>
                <w:sz w:val="18"/>
                <w:szCs w:val="18"/>
              </w:rPr>
              <w:t xml:space="preserve"> (N=13) and HIV-</w:t>
            </w:r>
            <w:r>
              <w:rPr>
                <w:rFonts w:asciiTheme="minorHAnsi" w:hAnsiTheme="minorHAnsi" w:cstheme="minorHAnsi"/>
                <w:sz w:val="18"/>
                <w:szCs w:val="18"/>
              </w:rPr>
              <w:t>negative</w:t>
            </w:r>
            <w:r w:rsidRPr="00010F3C">
              <w:rPr>
                <w:rFonts w:asciiTheme="minorHAnsi" w:hAnsiTheme="minorHAnsi" w:cstheme="minorHAnsi"/>
                <w:sz w:val="18"/>
                <w:szCs w:val="18"/>
              </w:rPr>
              <w:t xml:space="preserve"> (N=136) sex workers in Vancouver, Canada ages 14+, </w:t>
            </w:r>
            <w:r w:rsidRPr="00010F3C">
              <w:rPr>
                <w:rFonts w:asciiTheme="minorHAnsi" w:hAnsiTheme="minorHAnsi" w:cstheme="minorHAnsi"/>
                <w:i/>
                <w:color w:val="000000" w:themeColor="text1"/>
                <w:sz w:val="18"/>
                <w:szCs w:val="18"/>
              </w:rPr>
              <w:t xml:space="preserve">N=39 HSV-2 incident cases; </w:t>
            </w:r>
            <w:r w:rsidRPr="00010F3C">
              <w:rPr>
                <w:rFonts w:asciiTheme="minorHAnsi" w:hAnsiTheme="minorHAnsi" w:cstheme="minorHAnsi"/>
                <w:sz w:val="18"/>
                <w:szCs w:val="18"/>
              </w:rPr>
              <w:t>17.1 cases per 100 PY (12.4, 23.6)</w:t>
            </w:r>
          </w:p>
          <w:p w:rsidR="00101F7C" w:rsidRPr="00010F3C" w:rsidRDefault="00101F7C" w:rsidP="00DB49DC">
            <w:pPr>
              <w:rPr>
                <w:rFonts w:asciiTheme="minorHAnsi" w:hAnsiTheme="minorHAnsi" w:cstheme="minorHAnsi"/>
                <w:sz w:val="18"/>
                <w:szCs w:val="18"/>
              </w:rPr>
            </w:pPr>
          </w:p>
        </w:tc>
        <w:tc>
          <w:tcPr>
            <w:tcW w:w="1246"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4Y; every 4M</w:t>
            </w:r>
          </w:p>
          <w:p w:rsidR="00101F7C" w:rsidRPr="00010F3C" w:rsidRDefault="00101F7C" w:rsidP="00DB49DC">
            <w:pPr>
              <w:rPr>
                <w:rFonts w:asciiTheme="minorHAnsi" w:hAnsiTheme="minorHAnsi" w:cstheme="minorHAnsi"/>
                <w:sz w:val="18"/>
                <w:szCs w:val="18"/>
              </w:rPr>
            </w:pPr>
          </w:p>
        </w:tc>
        <w:tc>
          <w:tcPr>
            <w:tcW w:w="1245"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Serum samples via non-specific EIA HSV IgG. If reactive, anti-HSV-2 using TSS Focus HerpeSelect-2 IgG EIA (Focus Diagnostics)</w:t>
            </w:r>
          </w:p>
          <w:p w:rsidR="00101F7C" w:rsidRPr="00010F3C" w:rsidRDefault="00101F7C" w:rsidP="00DB49DC">
            <w:pPr>
              <w:rPr>
                <w:rFonts w:asciiTheme="minorHAnsi" w:hAnsiTheme="minorHAnsi" w:cstheme="minorHAnsi"/>
                <w:sz w:val="18"/>
                <w:szCs w:val="18"/>
              </w:rPr>
            </w:pPr>
          </w:p>
        </w:tc>
        <w:tc>
          <w:tcPr>
            <w:tcW w:w="1246"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4Y; every 4M</w:t>
            </w:r>
          </w:p>
          <w:p w:rsidR="00101F7C" w:rsidRPr="00010F3C" w:rsidRDefault="00101F7C" w:rsidP="00DB49DC">
            <w:pPr>
              <w:rPr>
                <w:rFonts w:asciiTheme="minorHAnsi" w:hAnsiTheme="minorHAnsi" w:cstheme="minorHAnsi"/>
                <w:sz w:val="18"/>
                <w:szCs w:val="18"/>
              </w:rPr>
            </w:pPr>
          </w:p>
          <w:p w:rsidR="00101F7C" w:rsidRPr="00010F3C" w:rsidRDefault="00101F7C" w:rsidP="00DB49DC">
            <w:pPr>
              <w:rPr>
                <w:rFonts w:asciiTheme="minorHAnsi" w:hAnsiTheme="minorHAnsi" w:cstheme="minorHAnsi"/>
                <w:sz w:val="18"/>
                <w:szCs w:val="18"/>
              </w:rPr>
            </w:pPr>
          </w:p>
        </w:tc>
        <w:tc>
          <w:tcPr>
            <w:tcW w:w="2527"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Time invariant: Age, indigenous ancestry, education. Time-varying: HIV status, incident STIs (</w:t>
            </w:r>
            <w:r w:rsidRPr="00D018D5">
              <w:rPr>
                <w:rFonts w:asciiTheme="minorHAnsi" w:hAnsiTheme="minorHAnsi" w:cstheme="minorHAnsi"/>
                <w:i/>
                <w:sz w:val="18"/>
                <w:szCs w:val="18"/>
              </w:rPr>
              <w:t>T. pallidum</w:t>
            </w:r>
            <w:r w:rsidRPr="00010F3C">
              <w:rPr>
                <w:rFonts w:asciiTheme="minorHAnsi" w:hAnsiTheme="minorHAnsi" w:cstheme="minorHAnsi"/>
                <w:sz w:val="18"/>
                <w:szCs w:val="18"/>
              </w:rPr>
              <w:t>, NG and CT), average # of clients per week, # male non-commercial partners, inconsistent use of condoms by clients and non-clients, respectively, type of sex work venue</w:t>
            </w:r>
          </w:p>
          <w:p w:rsidR="00101F7C" w:rsidRPr="00010F3C" w:rsidRDefault="00101F7C" w:rsidP="00DB49DC">
            <w:pPr>
              <w:rPr>
                <w:rFonts w:asciiTheme="minorHAnsi" w:hAnsiTheme="minorHAnsi" w:cstheme="minorHAnsi"/>
                <w:sz w:val="18"/>
                <w:szCs w:val="18"/>
              </w:rPr>
            </w:pPr>
          </w:p>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Final model (stepwise selection): type of sex work venue</w:t>
            </w:r>
          </w:p>
        </w:tc>
        <w:tc>
          <w:tcPr>
            <w:tcW w:w="1170"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Non</w:t>
            </w:r>
            <w:r>
              <w:rPr>
                <w:rFonts w:asciiTheme="minorHAnsi" w:hAnsiTheme="minorHAnsi" w:cstheme="minorHAnsi"/>
                <w:sz w:val="18"/>
                <w:szCs w:val="18"/>
              </w:rPr>
              <w:t>-</w:t>
            </w:r>
            <w:r w:rsidRPr="00010F3C">
              <w:rPr>
                <w:rFonts w:asciiTheme="minorHAnsi" w:hAnsiTheme="minorHAnsi" w:cstheme="minorHAnsi"/>
                <w:sz w:val="18"/>
                <w:szCs w:val="18"/>
              </w:rPr>
              <w:t>DMPA user in prior 6M</w:t>
            </w:r>
          </w:p>
        </w:tc>
        <w:tc>
          <w:tcPr>
            <w:tcW w:w="1170" w:type="dxa"/>
          </w:tcPr>
          <w:p w:rsidR="00101F7C" w:rsidRPr="00010F3C" w:rsidRDefault="00101F7C" w:rsidP="00DB49DC">
            <w:pPr>
              <w:rPr>
                <w:rFonts w:asciiTheme="minorHAnsi" w:hAnsiTheme="minorHAnsi" w:cstheme="minorHAnsi"/>
                <w:color w:val="000000"/>
                <w:sz w:val="18"/>
                <w:szCs w:val="18"/>
              </w:rPr>
            </w:pPr>
            <w:r w:rsidRPr="00010F3C">
              <w:rPr>
                <w:rFonts w:asciiTheme="minorHAnsi" w:hAnsiTheme="minorHAnsi" w:cstheme="minorHAnsi"/>
                <w:color w:val="000000"/>
                <w:sz w:val="18"/>
                <w:szCs w:val="18"/>
              </w:rPr>
              <w:t>NA</w:t>
            </w:r>
          </w:p>
        </w:tc>
        <w:tc>
          <w:tcPr>
            <w:tcW w:w="1465" w:type="dxa"/>
          </w:tcPr>
          <w:p w:rsidR="00101F7C" w:rsidRPr="00010F3C" w:rsidRDefault="00101F7C" w:rsidP="00DB49DC">
            <w:pPr>
              <w:pStyle w:val="p1"/>
              <w:rPr>
                <w:rFonts w:asciiTheme="minorHAnsi" w:hAnsiTheme="minorHAnsi" w:cstheme="minorHAnsi"/>
                <w:sz w:val="18"/>
                <w:szCs w:val="18"/>
              </w:rPr>
            </w:pPr>
            <w:r w:rsidRPr="00010F3C">
              <w:rPr>
                <w:rFonts w:asciiTheme="minorHAnsi" w:hAnsiTheme="minorHAnsi" w:cstheme="minorHAnsi"/>
                <w:color w:val="000000"/>
                <w:sz w:val="18"/>
                <w:szCs w:val="18"/>
                <w:u w:val="single"/>
              </w:rPr>
              <w:t xml:space="preserve">HIV positive and negative DMPA users </w:t>
            </w:r>
            <w:proofErr w:type="spellStart"/>
            <w:r w:rsidRPr="00010F3C">
              <w:rPr>
                <w:rFonts w:asciiTheme="minorHAnsi" w:hAnsiTheme="minorHAnsi" w:cstheme="minorHAnsi"/>
                <w:color w:val="000000"/>
                <w:sz w:val="18"/>
                <w:szCs w:val="18"/>
              </w:rPr>
              <w:t>aHR</w:t>
            </w:r>
            <w:proofErr w:type="spellEnd"/>
            <w:r w:rsidRPr="00010F3C">
              <w:rPr>
                <w:rFonts w:asciiTheme="minorHAnsi" w:hAnsiTheme="minorHAnsi" w:cstheme="minorHAnsi"/>
                <w:color w:val="000000"/>
                <w:sz w:val="18"/>
                <w:szCs w:val="18"/>
              </w:rPr>
              <w:t xml:space="preserve">: 4.43 (1.90, </w:t>
            </w:r>
            <w:proofErr w:type="gramStart"/>
            <w:r w:rsidRPr="00010F3C">
              <w:rPr>
                <w:rFonts w:asciiTheme="minorHAnsi" w:hAnsiTheme="minorHAnsi" w:cstheme="minorHAnsi"/>
                <w:color w:val="000000"/>
                <w:sz w:val="18"/>
                <w:szCs w:val="18"/>
              </w:rPr>
              <w:t>10.35)</w:t>
            </w:r>
            <w:r>
              <w:rPr>
                <w:rFonts w:asciiTheme="minorHAnsi" w:hAnsiTheme="minorHAnsi" w:cstheme="minorHAnsi"/>
                <w:color w:val="000000"/>
                <w:sz w:val="18"/>
                <w:szCs w:val="18"/>
              </w:rPr>
              <w:t>*</w:t>
            </w:r>
            <w:proofErr w:type="gramEnd"/>
            <w:r w:rsidRPr="00010F3C">
              <w:rPr>
                <w:rFonts w:asciiTheme="minorHAnsi" w:hAnsiTheme="minorHAnsi" w:cstheme="minorHAnsi"/>
                <w:color w:val="000000"/>
                <w:sz w:val="18"/>
                <w:szCs w:val="18"/>
              </w:rPr>
              <w:t xml:space="preserve">; </w:t>
            </w:r>
            <w:r w:rsidRPr="00010F3C">
              <w:rPr>
                <w:rFonts w:asciiTheme="minorHAnsi" w:hAnsiTheme="minorHAnsi" w:cstheme="minorHAnsi"/>
                <w:color w:val="000000"/>
                <w:sz w:val="18"/>
                <w:szCs w:val="18"/>
                <w:u w:val="single"/>
              </w:rPr>
              <w:t>HIV negative</w:t>
            </w:r>
            <w:r w:rsidRPr="00010F3C">
              <w:rPr>
                <w:rFonts w:asciiTheme="minorHAnsi" w:hAnsiTheme="minorHAnsi" w:cstheme="minorHAnsi"/>
                <w:sz w:val="18"/>
                <w:szCs w:val="18"/>
              </w:rPr>
              <w:t xml:space="preserve"> </w:t>
            </w:r>
            <w:r w:rsidRPr="00010F3C">
              <w:rPr>
                <w:rFonts w:asciiTheme="minorHAnsi" w:hAnsiTheme="minorHAnsi" w:cstheme="minorHAnsi"/>
                <w:sz w:val="18"/>
                <w:szCs w:val="18"/>
                <w:u w:val="single"/>
              </w:rPr>
              <w:t>DMPA users</w:t>
            </w:r>
            <w:r w:rsidRPr="00010F3C">
              <w:rPr>
                <w:rFonts w:asciiTheme="minorHAnsi" w:hAnsiTheme="minorHAnsi" w:cstheme="minorHAnsi"/>
                <w:sz w:val="18"/>
                <w:szCs w:val="18"/>
              </w:rPr>
              <w:t xml:space="preserve"> </w:t>
            </w:r>
            <w:proofErr w:type="spellStart"/>
            <w:r w:rsidRPr="00010F3C">
              <w:rPr>
                <w:rFonts w:asciiTheme="minorHAnsi" w:hAnsiTheme="minorHAnsi" w:cstheme="minorHAnsi"/>
                <w:color w:val="000000"/>
                <w:sz w:val="18"/>
                <w:szCs w:val="18"/>
              </w:rPr>
              <w:t>aHR</w:t>
            </w:r>
            <w:proofErr w:type="spellEnd"/>
            <w:r w:rsidRPr="00010F3C">
              <w:rPr>
                <w:rFonts w:asciiTheme="minorHAnsi" w:hAnsiTheme="minorHAnsi" w:cstheme="minorHAnsi"/>
                <w:color w:val="000000"/>
                <w:sz w:val="18"/>
                <w:szCs w:val="18"/>
              </w:rPr>
              <w:t xml:space="preserve">: </w:t>
            </w:r>
            <w:r w:rsidRPr="00010F3C">
              <w:rPr>
                <w:rFonts w:asciiTheme="minorHAnsi" w:hAnsiTheme="minorHAnsi" w:cstheme="minorHAnsi"/>
                <w:sz w:val="18"/>
                <w:szCs w:val="18"/>
              </w:rPr>
              <w:t>3.97 (1.64, 9.60)</w:t>
            </w:r>
            <w:r>
              <w:rPr>
                <w:rFonts w:asciiTheme="minorHAnsi" w:hAnsiTheme="minorHAnsi" w:cstheme="minorHAnsi"/>
                <w:sz w:val="18"/>
                <w:szCs w:val="18"/>
              </w:rPr>
              <w:t>*</w:t>
            </w:r>
          </w:p>
          <w:p w:rsidR="00101F7C" w:rsidRPr="00010F3C" w:rsidRDefault="00101F7C" w:rsidP="00DB49DC">
            <w:pPr>
              <w:rPr>
                <w:rFonts w:asciiTheme="minorHAnsi" w:hAnsiTheme="minorHAnsi" w:cstheme="minorHAnsi"/>
                <w:color w:val="000000"/>
                <w:sz w:val="18"/>
                <w:szCs w:val="18"/>
              </w:rPr>
            </w:pPr>
          </w:p>
        </w:tc>
        <w:tc>
          <w:tcPr>
            <w:tcW w:w="1104" w:type="dxa"/>
          </w:tcPr>
          <w:p w:rsidR="00101F7C" w:rsidRPr="00010F3C" w:rsidRDefault="00101F7C" w:rsidP="00DB49DC">
            <w:pPr>
              <w:rPr>
                <w:rFonts w:asciiTheme="minorHAnsi" w:hAnsiTheme="minorHAnsi" w:cstheme="minorHAnsi"/>
                <w:sz w:val="18"/>
                <w:szCs w:val="18"/>
              </w:rPr>
            </w:pPr>
            <w:r w:rsidRPr="00010F3C">
              <w:rPr>
                <w:rFonts w:asciiTheme="minorHAnsi" w:hAnsiTheme="minorHAnsi" w:cstheme="minorHAnsi"/>
                <w:sz w:val="18"/>
                <w:szCs w:val="18"/>
              </w:rPr>
              <w:t>NA</w:t>
            </w:r>
          </w:p>
        </w:tc>
      </w:tr>
    </w:tbl>
    <w:p w:rsidR="00101F7C" w:rsidRDefault="00101F7C" w:rsidP="00101F7C">
      <w:pPr>
        <w:rPr>
          <w:rFonts w:asciiTheme="minorHAnsi" w:hAnsiTheme="minorHAnsi" w:cstheme="minorHAnsi"/>
          <w:sz w:val="18"/>
          <w:szCs w:val="18"/>
        </w:rPr>
      </w:pPr>
      <w:r w:rsidRPr="002811E0">
        <w:rPr>
          <w:rFonts w:asciiTheme="minorHAnsi" w:hAnsiTheme="minorHAnsi" w:cstheme="minorHAnsi"/>
          <w:color w:val="000000" w:themeColor="text1"/>
          <w:sz w:val="18"/>
          <w:szCs w:val="18"/>
        </w:rPr>
        <w:t>Notes:</w:t>
      </w:r>
      <w:r>
        <w:rPr>
          <w:rFonts w:asciiTheme="minorHAnsi" w:hAnsiTheme="minorHAnsi" w:cstheme="minorHAnsi"/>
          <w:color w:val="000000" w:themeColor="text1"/>
          <w:sz w:val="18"/>
          <w:szCs w:val="18"/>
          <w:vertAlign w:val="superscript"/>
        </w:rPr>
        <w:t xml:space="preserve"> </w:t>
      </w:r>
      <w:r w:rsidRPr="00010F3C">
        <w:rPr>
          <w:rFonts w:asciiTheme="minorHAnsi" w:hAnsiTheme="minorHAnsi" w:cstheme="minorHAnsi"/>
          <w:sz w:val="18"/>
          <w:szCs w:val="18"/>
        </w:rPr>
        <w:t>PY: person-years at risk</w:t>
      </w:r>
      <w:r>
        <w:rPr>
          <w:rFonts w:asciiTheme="minorHAnsi" w:hAnsiTheme="minorHAnsi" w:cstheme="minorHAnsi"/>
          <w:sz w:val="18"/>
          <w:szCs w:val="18"/>
        </w:rPr>
        <w:t>.</w:t>
      </w:r>
      <w:r w:rsidRPr="00A37620">
        <w:rPr>
          <w:rFonts w:asciiTheme="minorHAnsi" w:hAnsiTheme="minorHAnsi" w:cstheme="minorHAnsi"/>
          <w:sz w:val="18"/>
          <w:szCs w:val="18"/>
          <w:vertAlign w:val="superscript"/>
        </w:rPr>
        <w:t xml:space="preserve"> </w:t>
      </w:r>
      <w:r w:rsidRPr="00010F3C">
        <w:rPr>
          <w:rFonts w:asciiTheme="minorHAnsi" w:hAnsiTheme="minorHAnsi" w:cstheme="minorHAnsi"/>
          <w:sz w:val="18"/>
          <w:szCs w:val="18"/>
        </w:rPr>
        <w:t>* Statistically significant at p&lt;0.05.</w:t>
      </w:r>
      <w:r>
        <w:rPr>
          <w:rFonts w:asciiTheme="minorHAnsi" w:hAnsiTheme="minorHAnsi" w:cstheme="minorHAnsi"/>
          <w:sz w:val="18"/>
          <w:szCs w:val="18"/>
        </w:rPr>
        <w:t xml:space="preserve"> </w:t>
      </w:r>
      <w:r w:rsidRPr="00010F3C">
        <w:rPr>
          <w:rFonts w:asciiTheme="minorHAnsi" w:hAnsiTheme="minorHAnsi" w:cstheme="minorHAnsi"/>
          <w:sz w:val="18"/>
          <w:szCs w:val="18"/>
          <w:vertAlign w:val="superscript"/>
        </w:rPr>
        <w:t>#</w:t>
      </w:r>
      <w:r w:rsidRPr="00010F3C">
        <w:rPr>
          <w:rFonts w:asciiTheme="minorHAnsi" w:hAnsiTheme="minorHAnsi" w:cstheme="minorHAnsi"/>
          <w:sz w:val="18"/>
          <w:szCs w:val="18"/>
        </w:rPr>
        <w:t xml:space="preserve"> Marginally significant at p=0.08;</w:t>
      </w:r>
    </w:p>
    <w:p w:rsidR="00101F7C" w:rsidRPr="00010F3C" w:rsidRDefault="00101F7C" w:rsidP="00101F7C">
      <w:pPr>
        <w:rPr>
          <w:rFonts w:asciiTheme="minorHAnsi" w:hAnsiTheme="minorHAnsi" w:cstheme="minorHAnsi"/>
          <w:sz w:val="18"/>
          <w:szCs w:val="18"/>
        </w:rPr>
      </w:pPr>
      <w:proofErr w:type="gramStart"/>
      <w:r w:rsidRPr="00F77DB6">
        <w:rPr>
          <w:rFonts w:asciiTheme="minorHAnsi" w:hAnsiTheme="minorHAnsi" w:cstheme="minorHAnsi"/>
          <w:sz w:val="18"/>
          <w:szCs w:val="18"/>
          <w:vertAlign w:val="superscript"/>
        </w:rPr>
        <w:t>a</w:t>
      </w:r>
      <w:proofErr w:type="gramEnd"/>
      <w:r w:rsidRPr="00010F3C">
        <w:rPr>
          <w:rFonts w:asciiTheme="minorHAnsi" w:hAnsiTheme="minorHAnsi" w:cstheme="minorHAnsi"/>
          <w:sz w:val="18"/>
          <w:szCs w:val="18"/>
        </w:rPr>
        <w:t xml:space="preserve"> OC</w:t>
      </w:r>
      <w:r>
        <w:rPr>
          <w:rFonts w:asciiTheme="minorHAnsi" w:hAnsiTheme="minorHAnsi" w:cstheme="minorHAnsi"/>
          <w:sz w:val="18"/>
          <w:szCs w:val="18"/>
        </w:rPr>
        <w:t>P type</w:t>
      </w:r>
      <w:r w:rsidRPr="00010F3C">
        <w:rPr>
          <w:rFonts w:asciiTheme="minorHAnsi" w:hAnsiTheme="minorHAnsi" w:cstheme="minorHAnsi"/>
          <w:sz w:val="18"/>
          <w:szCs w:val="18"/>
        </w:rPr>
        <w:t xml:space="preserve"> was unspecified unless COC (combined oral contraception)</w:t>
      </w:r>
      <w:r>
        <w:rPr>
          <w:rFonts w:asciiTheme="minorHAnsi" w:hAnsiTheme="minorHAnsi" w:cstheme="minorHAnsi"/>
          <w:sz w:val="18"/>
          <w:szCs w:val="18"/>
        </w:rPr>
        <w:t xml:space="preserve"> or POP (progestin-only pill)</w:t>
      </w:r>
      <w:r w:rsidRPr="00010F3C">
        <w:rPr>
          <w:rFonts w:asciiTheme="minorHAnsi" w:hAnsiTheme="minorHAnsi" w:cstheme="minorHAnsi"/>
          <w:sz w:val="18"/>
          <w:szCs w:val="18"/>
        </w:rPr>
        <w:t xml:space="preserve"> is noted.</w:t>
      </w:r>
    </w:p>
    <w:p w:rsidR="00101F7C" w:rsidRPr="00010F3C" w:rsidRDefault="00101F7C" w:rsidP="00101F7C">
      <w:pPr>
        <w:rPr>
          <w:rFonts w:asciiTheme="minorHAnsi" w:hAnsiTheme="minorHAnsi" w:cstheme="minorHAnsi"/>
          <w:b/>
          <w:sz w:val="18"/>
          <w:szCs w:val="18"/>
        </w:rPr>
      </w:pPr>
      <w:r w:rsidRPr="00F77DB6">
        <w:rPr>
          <w:rFonts w:asciiTheme="minorHAnsi" w:hAnsiTheme="minorHAnsi" w:cstheme="minorHAnsi"/>
          <w:sz w:val="18"/>
          <w:szCs w:val="18"/>
          <w:vertAlign w:val="superscript"/>
        </w:rPr>
        <w:t xml:space="preserve">b </w:t>
      </w:r>
      <w:r w:rsidRPr="00010F3C">
        <w:rPr>
          <w:rFonts w:asciiTheme="minorHAnsi" w:hAnsiTheme="minorHAnsi" w:cstheme="minorHAnsi"/>
          <w:i/>
          <w:sz w:val="18"/>
          <w:szCs w:val="18"/>
        </w:rPr>
        <w:t>10 women seroconverted to HSV-2 &amp; HIV-1 at same visit; PY: person-years; NA: not assessed by study.</w:t>
      </w:r>
    </w:p>
    <w:p w:rsidR="00101F7C" w:rsidRPr="00010F3C" w:rsidRDefault="00101F7C" w:rsidP="00101F7C">
      <w:pPr>
        <w:rPr>
          <w:rFonts w:asciiTheme="minorHAnsi" w:hAnsiTheme="minorHAnsi" w:cstheme="minorHAnsi"/>
          <w:i/>
          <w:sz w:val="18"/>
          <w:szCs w:val="18"/>
        </w:rPr>
      </w:pPr>
      <w:r>
        <w:rPr>
          <w:rFonts w:asciiTheme="minorHAnsi" w:hAnsiTheme="minorHAnsi" w:cstheme="minorHAnsi"/>
          <w:i/>
          <w:sz w:val="18"/>
          <w:szCs w:val="18"/>
          <w:vertAlign w:val="superscript"/>
        </w:rPr>
        <w:t>c</w:t>
      </w:r>
      <w:r w:rsidRPr="00010F3C">
        <w:rPr>
          <w:rFonts w:asciiTheme="minorHAnsi" w:hAnsiTheme="minorHAnsi" w:cstheme="minorHAnsi"/>
          <w:i/>
          <w:sz w:val="18"/>
          <w:szCs w:val="18"/>
          <w:vertAlign w:val="superscript"/>
        </w:rPr>
        <w:t xml:space="preserve"> </w:t>
      </w:r>
      <w:r w:rsidRPr="00010F3C">
        <w:rPr>
          <w:rFonts w:asciiTheme="minorHAnsi" w:hAnsiTheme="minorHAnsi" w:cstheme="minorHAnsi"/>
          <w:sz w:val="18"/>
          <w:szCs w:val="18"/>
        </w:rPr>
        <w:t>Women censored after first incident infection.</w:t>
      </w:r>
    </w:p>
    <w:p w:rsidR="00101F7C" w:rsidRPr="00010F3C" w:rsidRDefault="00101F7C" w:rsidP="00101F7C">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vertAlign w:val="superscript"/>
        </w:rPr>
        <w:t>d</w:t>
      </w:r>
      <w:r w:rsidRPr="00010F3C">
        <w:rPr>
          <w:rFonts w:asciiTheme="minorHAnsi" w:hAnsiTheme="minorHAnsi" w:cstheme="minorHAnsi"/>
          <w:color w:val="000000" w:themeColor="text1"/>
          <w:sz w:val="18"/>
          <w:szCs w:val="18"/>
          <w:vertAlign w:val="superscript"/>
        </w:rPr>
        <w:t xml:space="preserve"> </w:t>
      </w:r>
      <w:r w:rsidRPr="00010F3C">
        <w:rPr>
          <w:rFonts w:asciiTheme="minorHAnsi" w:hAnsiTheme="minorHAnsi" w:cstheme="minorHAnsi"/>
          <w:color w:val="000000" w:themeColor="text1"/>
          <w:sz w:val="18"/>
          <w:szCs w:val="18"/>
        </w:rPr>
        <w:t>Injectable type not reported but authors note most commonly DMPA in setting with occasional norethisterone enanthate use.</w:t>
      </w:r>
    </w:p>
    <w:p w:rsidR="00101F7C" w:rsidRDefault="00101F7C" w:rsidP="00101F7C">
      <w:pP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vertAlign w:val="superscript"/>
        </w:rPr>
        <w:t>e</w:t>
      </w:r>
      <w:r w:rsidRPr="00010F3C">
        <w:rPr>
          <w:rFonts w:asciiTheme="minorHAnsi" w:hAnsiTheme="minorHAnsi" w:cstheme="minorHAnsi"/>
          <w:color w:val="000000" w:themeColor="text1"/>
          <w:sz w:val="18"/>
          <w:szCs w:val="18"/>
          <w:vertAlign w:val="superscript"/>
        </w:rPr>
        <w:t xml:space="preserve"> </w:t>
      </w:r>
      <w:r w:rsidRPr="00010F3C">
        <w:rPr>
          <w:rFonts w:asciiTheme="minorHAnsi" w:hAnsiTheme="minorHAnsi" w:cstheme="minorHAnsi"/>
          <w:color w:val="000000" w:themeColor="text1"/>
          <w:sz w:val="18"/>
          <w:szCs w:val="18"/>
        </w:rPr>
        <w:t>Excluding incident cases among pregnant women.</w:t>
      </w:r>
    </w:p>
    <w:p w:rsidR="00101F7C" w:rsidRPr="00010F3C" w:rsidRDefault="00101F7C" w:rsidP="00101F7C">
      <w:pPr>
        <w:rPr>
          <w:rFonts w:asciiTheme="minorHAnsi" w:hAnsiTheme="minorHAnsi" w:cstheme="minorHAnsi"/>
          <w:color w:val="000000" w:themeColor="text1"/>
          <w:sz w:val="18"/>
          <w:szCs w:val="18"/>
        </w:rPr>
      </w:pPr>
    </w:p>
    <w:p w:rsidR="00101F7C" w:rsidRPr="00010F3C" w:rsidRDefault="00101F7C" w:rsidP="00101F7C">
      <w:pPr>
        <w:rPr>
          <w:rFonts w:asciiTheme="minorHAnsi" w:hAnsiTheme="minorHAnsi" w:cstheme="minorHAnsi"/>
          <w:sz w:val="18"/>
          <w:szCs w:val="18"/>
        </w:rPr>
      </w:pPr>
    </w:p>
    <w:p w:rsidR="00101F7C" w:rsidRDefault="00101F7C" w:rsidP="00101F7C"/>
    <w:p w:rsidR="00101F7C" w:rsidRDefault="00101F7C" w:rsidP="00101F7C"/>
    <w:p w:rsidR="001C1BDE" w:rsidRDefault="001C1BDE"/>
    <w:sectPr w:rsidR="001C1BDE" w:rsidSect="00C722E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7C"/>
    <w:rsid w:val="00101F7C"/>
    <w:rsid w:val="001C1BDE"/>
    <w:rsid w:val="003F5C4C"/>
    <w:rsid w:val="00894BCC"/>
    <w:rsid w:val="008D746A"/>
    <w:rsid w:val="00C722ED"/>
    <w:rsid w:val="00D7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82B60-016B-442B-93D8-F3961507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F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01F7C"/>
    <w:rPr>
      <w:rFonts w:ascii="Times" w:eastAsiaTheme="minorHAnsi" w:hAnsi="Times"/>
      <w:sz w:val="14"/>
      <w:szCs w:val="14"/>
    </w:rPr>
  </w:style>
  <w:style w:type="table" w:styleId="TableGrid">
    <w:name w:val="Table Grid"/>
    <w:basedOn w:val="TableNormal"/>
    <w:uiPriority w:val="39"/>
    <w:rsid w:val="00101F7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Detweiler, Rachelle</dc:creator>
  <cp:keywords/>
  <dc:description/>
  <cp:lastModifiedBy>Detweiler, Rachelle</cp:lastModifiedBy>
  <cp:revision>2</cp:revision>
  <dcterms:created xsi:type="dcterms:W3CDTF">2019-03-06T21:24:00Z</dcterms:created>
  <dcterms:modified xsi:type="dcterms:W3CDTF">2019-03-06T21:28:00Z</dcterms:modified>
</cp:coreProperties>
</file>