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B67F3" w14:textId="77777777" w:rsidR="00764A7F" w:rsidRPr="00010F3C" w:rsidRDefault="00764A7F" w:rsidP="00764A7F">
      <w:pPr>
        <w:outlineLvl w:val="0"/>
        <w:rPr>
          <w:rFonts w:asciiTheme="minorHAnsi" w:hAnsiTheme="minorHAnsi" w:cstheme="minorHAnsi"/>
          <w:b/>
          <w:sz w:val="22"/>
          <w:szCs w:val="18"/>
        </w:rPr>
      </w:pPr>
      <w:r>
        <w:rPr>
          <w:rFonts w:asciiTheme="minorHAnsi" w:hAnsiTheme="minorHAnsi" w:cstheme="minorHAnsi"/>
          <w:b/>
          <w:sz w:val="22"/>
          <w:szCs w:val="18"/>
        </w:rPr>
        <w:t>Table 6</w:t>
      </w:r>
      <w:r w:rsidRPr="00010F3C">
        <w:rPr>
          <w:rFonts w:asciiTheme="minorHAnsi" w:hAnsiTheme="minorHAnsi" w:cstheme="minorHAnsi"/>
          <w:b/>
          <w:sz w:val="22"/>
          <w:szCs w:val="18"/>
        </w:rPr>
        <w:t xml:space="preserve">. Prospective associations between hormonal contraceptive use and </w:t>
      </w:r>
      <w:r w:rsidRPr="00D81EF1">
        <w:rPr>
          <w:rFonts w:asciiTheme="minorHAnsi" w:hAnsiTheme="minorHAnsi" w:cstheme="minorHAnsi"/>
          <w:b/>
          <w:i/>
          <w:sz w:val="22"/>
          <w:szCs w:val="18"/>
        </w:rPr>
        <w:t>Chlamydia trachomatis</w:t>
      </w:r>
      <w:r w:rsidRPr="00010F3C">
        <w:rPr>
          <w:rFonts w:asciiTheme="minorHAnsi" w:hAnsiTheme="minorHAnsi" w:cstheme="minorHAnsi"/>
          <w:b/>
          <w:sz w:val="22"/>
          <w:szCs w:val="18"/>
        </w:rPr>
        <w:t xml:space="preserve"> (CT) (N=</w:t>
      </w:r>
      <w:r>
        <w:rPr>
          <w:rFonts w:asciiTheme="minorHAnsi" w:hAnsiTheme="minorHAnsi" w:cstheme="minorHAnsi"/>
          <w:b/>
          <w:sz w:val="22"/>
          <w:szCs w:val="18"/>
        </w:rPr>
        <w:t>9</w:t>
      </w:r>
      <w:r w:rsidRPr="00010F3C">
        <w:rPr>
          <w:rFonts w:asciiTheme="minorHAnsi" w:hAnsiTheme="minorHAnsi" w:cstheme="minorHAnsi"/>
          <w:b/>
          <w:sz w:val="22"/>
          <w:szCs w:val="18"/>
        </w:rPr>
        <w:t>).</w:t>
      </w:r>
    </w:p>
    <w:tbl>
      <w:tblPr>
        <w:tblStyle w:val="TableGrid"/>
        <w:tblW w:w="14058" w:type="dxa"/>
        <w:tblLayout w:type="fixed"/>
        <w:tblLook w:val="04A0" w:firstRow="1" w:lastRow="0" w:firstColumn="1" w:lastColumn="0" w:noHBand="0" w:noVBand="1"/>
      </w:tblPr>
      <w:tblGrid>
        <w:gridCol w:w="985"/>
        <w:gridCol w:w="2160"/>
        <w:gridCol w:w="1350"/>
        <w:gridCol w:w="1440"/>
        <w:gridCol w:w="2700"/>
        <w:gridCol w:w="1350"/>
        <w:gridCol w:w="1283"/>
        <w:gridCol w:w="1350"/>
        <w:gridCol w:w="1440"/>
      </w:tblGrid>
      <w:tr w:rsidR="00764A7F" w:rsidRPr="00010F3C" w14:paraId="24F672E5" w14:textId="77777777" w:rsidTr="00DB49DC">
        <w:trPr>
          <w:tblHeader/>
        </w:trPr>
        <w:tc>
          <w:tcPr>
            <w:tcW w:w="985" w:type="dxa"/>
          </w:tcPr>
          <w:p w14:paraId="77AFB46F" w14:textId="77777777" w:rsidR="00764A7F" w:rsidRPr="00010F3C" w:rsidRDefault="00764A7F" w:rsidP="00DB49DC">
            <w:pPr>
              <w:rPr>
                <w:rFonts w:asciiTheme="minorHAnsi" w:hAnsiTheme="minorHAnsi" w:cstheme="minorHAnsi"/>
                <w:b/>
                <w:sz w:val="20"/>
                <w:szCs w:val="18"/>
              </w:rPr>
            </w:pPr>
            <w:r w:rsidRPr="00010F3C">
              <w:rPr>
                <w:rFonts w:asciiTheme="minorHAnsi" w:hAnsiTheme="minorHAnsi" w:cstheme="minorHAnsi"/>
                <w:b/>
                <w:sz w:val="20"/>
                <w:szCs w:val="18"/>
              </w:rPr>
              <w:t>Study</w:t>
            </w:r>
          </w:p>
        </w:tc>
        <w:tc>
          <w:tcPr>
            <w:tcW w:w="2160" w:type="dxa"/>
          </w:tcPr>
          <w:p w14:paraId="2AA9FA64" w14:textId="77777777" w:rsidR="00764A7F" w:rsidRPr="00010F3C" w:rsidRDefault="00764A7F" w:rsidP="00DB49DC">
            <w:pPr>
              <w:rPr>
                <w:rFonts w:asciiTheme="minorHAnsi" w:hAnsiTheme="minorHAnsi" w:cstheme="minorHAnsi"/>
                <w:b/>
                <w:sz w:val="20"/>
                <w:szCs w:val="18"/>
              </w:rPr>
            </w:pPr>
            <w:r w:rsidRPr="00010F3C">
              <w:rPr>
                <w:rFonts w:asciiTheme="minorHAnsi" w:hAnsiTheme="minorHAnsi" w:cstheme="minorHAnsi"/>
                <w:b/>
                <w:sz w:val="20"/>
                <w:szCs w:val="18"/>
              </w:rPr>
              <w:t xml:space="preserve">N, study sample, </w:t>
            </w:r>
            <w:r w:rsidRPr="00010F3C">
              <w:rPr>
                <w:rFonts w:asciiTheme="minorHAnsi" w:hAnsiTheme="minorHAnsi" w:cstheme="minorHAnsi"/>
                <w:b/>
                <w:i/>
                <w:sz w:val="20"/>
                <w:szCs w:val="18"/>
              </w:rPr>
              <w:t>N of incident cases or incident rate</w:t>
            </w:r>
          </w:p>
        </w:tc>
        <w:tc>
          <w:tcPr>
            <w:tcW w:w="1350" w:type="dxa"/>
          </w:tcPr>
          <w:p w14:paraId="55F78FBD" w14:textId="77777777" w:rsidR="00764A7F" w:rsidRPr="00010F3C" w:rsidRDefault="00764A7F" w:rsidP="00DB49DC">
            <w:pPr>
              <w:rPr>
                <w:rFonts w:asciiTheme="minorHAnsi" w:hAnsiTheme="minorHAnsi" w:cstheme="minorHAnsi"/>
                <w:b/>
                <w:sz w:val="20"/>
                <w:szCs w:val="18"/>
              </w:rPr>
            </w:pPr>
            <w:r w:rsidRPr="00010F3C">
              <w:rPr>
                <w:rFonts w:asciiTheme="minorHAnsi" w:hAnsiTheme="minorHAnsi" w:cstheme="minorHAnsi"/>
                <w:b/>
                <w:sz w:val="20"/>
                <w:szCs w:val="18"/>
              </w:rPr>
              <w:t>Length of follow-up; frequency STI assessment</w:t>
            </w:r>
          </w:p>
        </w:tc>
        <w:tc>
          <w:tcPr>
            <w:tcW w:w="1440" w:type="dxa"/>
          </w:tcPr>
          <w:p w14:paraId="15523575" w14:textId="77777777" w:rsidR="00764A7F" w:rsidRPr="00010F3C" w:rsidRDefault="00764A7F" w:rsidP="00DB49DC">
            <w:pPr>
              <w:rPr>
                <w:rFonts w:asciiTheme="minorHAnsi" w:hAnsiTheme="minorHAnsi" w:cstheme="minorHAnsi"/>
                <w:b/>
                <w:sz w:val="20"/>
                <w:szCs w:val="18"/>
              </w:rPr>
            </w:pPr>
            <w:r w:rsidRPr="00010F3C">
              <w:rPr>
                <w:rFonts w:asciiTheme="minorHAnsi" w:hAnsiTheme="minorHAnsi" w:cstheme="minorHAnsi"/>
                <w:b/>
                <w:sz w:val="20"/>
                <w:szCs w:val="18"/>
              </w:rPr>
              <w:t>STI Diagnostic test</w:t>
            </w:r>
          </w:p>
        </w:tc>
        <w:tc>
          <w:tcPr>
            <w:tcW w:w="2700" w:type="dxa"/>
          </w:tcPr>
          <w:p w14:paraId="0DD97D48" w14:textId="77777777" w:rsidR="00764A7F" w:rsidRPr="00010F3C" w:rsidRDefault="00764A7F" w:rsidP="00DB49DC">
            <w:pPr>
              <w:rPr>
                <w:rFonts w:asciiTheme="minorHAnsi" w:hAnsiTheme="minorHAnsi" w:cstheme="minorHAnsi"/>
                <w:b/>
                <w:sz w:val="20"/>
                <w:szCs w:val="18"/>
              </w:rPr>
            </w:pPr>
            <w:r w:rsidRPr="00010F3C">
              <w:rPr>
                <w:rFonts w:asciiTheme="minorHAnsi" w:hAnsiTheme="minorHAnsi" w:cstheme="minorHAnsi"/>
                <w:b/>
                <w:sz w:val="20"/>
                <w:szCs w:val="18"/>
              </w:rPr>
              <w:t xml:space="preserve">Covariates </w:t>
            </w:r>
          </w:p>
        </w:tc>
        <w:tc>
          <w:tcPr>
            <w:tcW w:w="1350" w:type="dxa"/>
          </w:tcPr>
          <w:p w14:paraId="6BA7FA56" w14:textId="77777777" w:rsidR="00764A7F" w:rsidRPr="00010F3C" w:rsidRDefault="00764A7F" w:rsidP="00DB49DC">
            <w:pPr>
              <w:rPr>
                <w:rFonts w:asciiTheme="minorHAnsi" w:hAnsiTheme="minorHAnsi" w:cstheme="minorHAnsi"/>
                <w:b/>
                <w:sz w:val="20"/>
                <w:szCs w:val="18"/>
              </w:rPr>
            </w:pPr>
            <w:r w:rsidRPr="00010F3C">
              <w:rPr>
                <w:rFonts w:asciiTheme="minorHAnsi" w:hAnsiTheme="minorHAnsi" w:cstheme="minorHAnsi"/>
                <w:b/>
                <w:sz w:val="20"/>
                <w:szCs w:val="18"/>
              </w:rPr>
              <w:t>Reference group</w:t>
            </w:r>
          </w:p>
        </w:tc>
        <w:tc>
          <w:tcPr>
            <w:tcW w:w="1283" w:type="dxa"/>
          </w:tcPr>
          <w:p w14:paraId="263BA483" w14:textId="77777777" w:rsidR="00764A7F" w:rsidRPr="00010F3C" w:rsidRDefault="00764A7F" w:rsidP="00DB49DC">
            <w:pPr>
              <w:rPr>
                <w:rFonts w:asciiTheme="minorHAnsi" w:hAnsiTheme="minorHAnsi" w:cstheme="minorHAnsi"/>
                <w:b/>
                <w:sz w:val="20"/>
                <w:szCs w:val="18"/>
              </w:rPr>
            </w:pPr>
            <w:proofErr w:type="spellStart"/>
            <w:r w:rsidRPr="00010F3C">
              <w:rPr>
                <w:rFonts w:asciiTheme="minorHAnsi" w:hAnsiTheme="minorHAnsi" w:cstheme="minorHAnsi"/>
                <w:b/>
                <w:sz w:val="20"/>
                <w:szCs w:val="18"/>
              </w:rPr>
              <w:t>OC</w:t>
            </w:r>
            <w:r>
              <w:rPr>
                <w:rFonts w:asciiTheme="minorHAnsi" w:hAnsiTheme="minorHAnsi" w:cstheme="minorHAnsi"/>
                <w:b/>
                <w:sz w:val="20"/>
                <w:szCs w:val="18"/>
              </w:rPr>
              <w:t>P</w:t>
            </w:r>
            <w:r w:rsidRPr="00E94DEF">
              <w:rPr>
                <w:rFonts w:asciiTheme="minorHAnsi" w:hAnsiTheme="minorHAnsi" w:cstheme="minorHAnsi"/>
                <w:sz w:val="20"/>
                <w:szCs w:val="18"/>
                <w:vertAlign w:val="superscript"/>
              </w:rPr>
              <w:t>a</w:t>
            </w:r>
            <w:proofErr w:type="spellEnd"/>
          </w:p>
        </w:tc>
        <w:tc>
          <w:tcPr>
            <w:tcW w:w="1350" w:type="dxa"/>
          </w:tcPr>
          <w:p w14:paraId="59230563" w14:textId="77777777" w:rsidR="00764A7F" w:rsidRPr="00010F3C" w:rsidRDefault="00764A7F" w:rsidP="00DB49DC">
            <w:pPr>
              <w:rPr>
                <w:rFonts w:asciiTheme="minorHAnsi" w:hAnsiTheme="minorHAnsi" w:cstheme="minorHAnsi"/>
                <w:b/>
                <w:sz w:val="20"/>
                <w:szCs w:val="18"/>
              </w:rPr>
            </w:pPr>
            <w:r w:rsidRPr="00010F3C">
              <w:rPr>
                <w:rFonts w:asciiTheme="minorHAnsi" w:hAnsiTheme="minorHAnsi" w:cstheme="minorHAnsi"/>
                <w:b/>
                <w:sz w:val="20"/>
                <w:szCs w:val="18"/>
              </w:rPr>
              <w:t>Injectable</w:t>
            </w:r>
          </w:p>
        </w:tc>
        <w:tc>
          <w:tcPr>
            <w:tcW w:w="1440" w:type="dxa"/>
          </w:tcPr>
          <w:p w14:paraId="2F9291F7" w14:textId="77777777" w:rsidR="00764A7F" w:rsidRPr="00010F3C" w:rsidRDefault="00764A7F" w:rsidP="00DB49DC">
            <w:pPr>
              <w:rPr>
                <w:rFonts w:asciiTheme="minorHAnsi" w:hAnsiTheme="minorHAnsi" w:cstheme="minorHAnsi"/>
                <w:b/>
                <w:sz w:val="20"/>
                <w:szCs w:val="18"/>
              </w:rPr>
            </w:pPr>
            <w:r w:rsidRPr="00010F3C">
              <w:rPr>
                <w:rFonts w:asciiTheme="minorHAnsi" w:hAnsiTheme="minorHAnsi" w:cstheme="minorHAnsi"/>
                <w:b/>
                <w:sz w:val="20"/>
                <w:szCs w:val="18"/>
              </w:rPr>
              <w:t>Implant</w:t>
            </w:r>
          </w:p>
        </w:tc>
      </w:tr>
      <w:tr w:rsidR="00764A7F" w:rsidRPr="00010F3C" w14:paraId="23BD4AC7" w14:textId="77777777" w:rsidTr="00DB49DC">
        <w:tc>
          <w:tcPr>
            <w:tcW w:w="985" w:type="dxa"/>
          </w:tcPr>
          <w:p w14:paraId="1DA27D95" w14:textId="77777777" w:rsidR="00764A7F" w:rsidRPr="00010F3C" w:rsidRDefault="00764A7F" w:rsidP="00DB49DC">
            <w:pPr>
              <w:rPr>
                <w:rFonts w:asciiTheme="minorHAnsi" w:hAnsiTheme="minorHAnsi" w:cstheme="minorHAnsi"/>
                <w:sz w:val="18"/>
                <w:szCs w:val="18"/>
              </w:rPr>
            </w:pPr>
            <w:proofErr w:type="spellStart"/>
            <w:r w:rsidRPr="00010F3C">
              <w:rPr>
                <w:rFonts w:asciiTheme="minorHAnsi" w:hAnsiTheme="minorHAnsi" w:cstheme="minorHAnsi"/>
                <w:sz w:val="18"/>
                <w:szCs w:val="18"/>
              </w:rPr>
              <w:t>Borgdorff</w:t>
            </w:r>
            <w:proofErr w:type="spellEnd"/>
            <w:r w:rsidRPr="00010F3C">
              <w:rPr>
                <w:rFonts w:asciiTheme="minorHAnsi" w:hAnsiTheme="minorHAnsi" w:cstheme="minorHAnsi"/>
                <w:sz w:val="18"/>
                <w:szCs w:val="18"/>
              </w:rPr>
              <w:t>, 2015</w:t>
            </w:r>
            <w:r>
              <w:rPr>
                <w:rFonts w:asciiTheme="minorHAnsi" w:hAnsiTheme="minorHAnsi" w:cstheme="minorHAnsi"/>
                <w:sz w:val="18"/>
                <w:szCs w:val="18"/>
              </w:rPr>
              <w:t xml:space="preserve"> </w:t>
            </w:r>
            <w:r>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{"citationItems":[{"id":"ITEM-1","itemData":{"DOI":"10.1097/OLQ.0000000000000245","ISSN":"0148-5717","PMID":"25668647","abstract":"BACKGROUND The observed association between Depo-Provera injectable use and increased HIV acquisition may be caused by hormone-induced increased susceptibility to other sexually transmitted infections (STIs) or changes in the cervicovaginal microbiota (VMB), accompanied by genital immune activation and/or mucosal remodeling. METHODS Rwandan female sex workers (n = 800) were interviewed about contraceptive use and sexual behavior and were tested for STIs, bacterial vaginosis by Nugent score and pregnancy, at baseline. A subset of 397 HIV-negative, nonpregnant women were interviewed and tested again at regular intervals for 2 years. The VMB of a subset of 174 women was characterized by phylogenetic microarray. Outcomes of STI and VMB were compared between women with hormonal exposures (reporting oral contraceptive or injectable use, or testing positive for pregnancy) and controls (not reporting hormonal contraception and not pregnant). RESULTS Oral contraceptive use was associated with increased human papillomavirus prevalence (adjusted odds ratio [aOR], 3.10; 1.21-7.94) and Chlamydia trachomatis incidence (aOR, 6.13; 1.58-23.80), injectable use with increased herpes simplex virus-2 prevalence (aOR, 2.13; 1.26-3.59) and pregnancy with lower HIV prevalence (aOR, 0.45; 0.22-0.92) but higher candidiasis incidence (aOR, 2.14; 1.12-4.09). Hormonal status was not associated with Nugent score category or phylogenetic VMB clustering, but oral contraceptive users had lower semiquantitative vaginal abundance of Prevotella, Sneathia/Leptotrichia amnionii, and Mycoplasma species. CONCLUSIONS Oral contraceptive and injectable use were associated with several STIs but not with VMB composition. The increased herpes simplex virus-2 prevalence among injectable users might explain the potentially higher HIV risk in these women, but more research is needed to confirm these results and elucidate biological mechanisms.","author":[{"dropping-particle":"","family":"Borgdorff","given":"Hanneke","non-dropping-particle":"","parse-names":false,"suffix":""},{"dropping-particle":"","family":"Verwijs","given":"Marijn C.","non-dropping-particle":"","parse-names":false,"suffix":""},{"dropping-particle":"","family":"Wit","given":"Ferdinand W.N.M.","non-dropping-particle":"","parse-names":false,"suffix":""},{"dropping-particle":"","family":"Tsivtsivadze","given":"Evgeni","non-dropping-particle":"","parse-names":false,"suffix":""},{"dropping-particle":"","family":"Ndayisaba","given":"Gilles F.","non-dropping-particle":"","parse-names":false,"suffix":""},{"dropping-particle":"","family":"Verhelst","given":"Rita","non-dropping-particle":"","parse-names":false,"suffix":""},{"dropping-particle":"","family":"Schuren","given":"Frank H.","non-dropping-particle":"","parse-names":false,"suffix":""},{"dropping-particle":"","family":"Wijgert","given":"Janneke H.H.M.","non-dropping-particle":"van de","parse-names":false,"suffix":""}],"container-title":"Sexually Transmitted Diseases","id":"ITEM-1","issue":"3","issued":{"date-parts":[["2015","3"]]},"page":"143-152","title":"The impact of hormonal contraception and pregnancy on sexually transmitted infections and on cervicovaginal microbiota in African sex workers","type":"article-journal","volume":"42"},"uris":["http://www.mendeley.com/documents/?uuid=7085ed09-1392-3a2e-8bf7-46c4f1b4e68f"]}],"mendeley":{"formattedCitation":"[37]","plainTextFormattedCitation":"[37]","previouslyFormattedCitation":"[37]"},"properties":{"noteIndex":0},"schema":"https://github.com/citation-style-language/schema/raw/master/csl-citation.json"}</w:instrText>
            </w:r>
            <w:r>
              <w:rPr>
                <w:rFonts w:asciiTheme="minorHAnsi" w:hAnsiTheme="minorHAnsi" w:cstheme="minorHAnsi"/>
                <w:sz w:val="18"/>
                <w:szCs w:val="18"/>
              </w:rPr>
              <w:fldChar w:fldCharType="separate"/>
            </w:r>
            <w:r w:rsidRPr="008031AE">
              <w:rPr>
                <w:rFonts w:asciiTheme="minorHAnsi" w:hAnsiTheme="minorHAnsi" w:cstheme="minorHAnsi"/>
                <w:noProof/>
                <w:sz w:val="18"/>
                <w:szCs w:val="18"/>
              </w:rPr>
              <w:t>[37]</w:t>
            </w:r>
            <w:r>
              <w:rPr>
                <w:rFonts w:asciiTheme="minorHAnsi" w:hAnsiTheme="minorHAnsi" w:cstheme="minorHAnsi"/>
                <w:sz w:val="18"/>
                <w:szCs w:val="18"/>
              </w:rPr>
              <w:fldChar w:fldCharType="end"/>
            </w:r>
          </w:p>
        </w:tc>
        <w:tc>
          <w:tcPr>
            <w:tcW w:w="2160" w:type="dxa"/>
          </w:tcPr>
          <w:p w14:paraId="7DB86E0E"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sz w:val="18"/>
                <w:szCs w:val="18"/>
              </w:rPr>
              <w:t>397, HIV-negative sex workers in Kigali</w:t>
            </w:r>
            <w:r>
              <w:rPr>
                <w:rFonts w:asciiTheme="minorHAnsi" w:hAnsiTheme="minorHAnsi" w:cstheme="minorHAnsi"/>
                <w:sz w:val="18"/>
                <w:szCs w:val="18"/>
              </w:rPr>
              <w:t>,</w:t>
            </w:r>
            <w:r w:rsidRPr="00010F3C">
              <w:rPr>
                <w:rFonts w:asciiTheme="minorHAnsi" w:hAnsiTheme="minorHAnsi" w:cstheme="minorHAnsi"/>
                <w:sz w:val="18"/>
                <w:szCs w:val="18"/>
              </w:rPr>
              <w:t xml:space="preserve"> Rwanda ages 18-49; </w:t>
            </w:r>
            <w:r w:rsidRPr="00010F3C">
              <w:rPr>
                <w:rFonts w:asciiTheme="minorHAnsi" w:hAnsiTheme="minorHAnsi" w:cstheme="minorHAnsi"/>
                <w:i/>
                <w:sz w:val="18"/>
                <w:szCs w:val="18"/>
              </w:rPr>
              <w:t xml:space="preserve">N=30 incident </w:t>
            </w:r>
            <w:proofErr w:type="spellStart"/>
            <w:proofErr w:type="gramStart"/>
            <w:r w:rsidRPr="00010F3C">
              <w:rPr>
                <w:rFonts w:asciiTheme="minorHAnsi" w:hAnsiTheme="minorHAnsi" w:cstheme="minorHAnsi"/>
                <w:i/>
                <w:sz w:val="18"/>
                <w:szCs w:val="18"/>
              </w:rPr>
              <w:t>cases</w:t>
            </w:r>
            <w:r>
              <w:rPr>
                <w:rFonts w:asciiTheme="minorHAnsi" w:hAnsiTheme="minorHAnsi" w:cstheme="minorHAnsi"/>
                <w:i/>
                <w:sz w:val="18"/>
                <w:szCs w:val="18"/>
                <w:vertAlign w:val="superscript"/>
              </w:rPr>
              <w:t>b</w:t>
            </w:r>
            <w:r w:rsidRPr="00010F3C">
              <w:rPr>
                <w:rFonts w:asciiTheme="minorHAnsi" w:hAnsiTheme="minorHAnsi" w:cstheme="minorHAnsi"/>
                <w:i/>
                <w:sz w:val="18"/>
                <w:szCs w:val="18"/>
                <w:vertAlign w:val="superscript"/>
              </w:rPr>
              <w:t>,</w:t>
            </w:r>
            <w:r>
              <w:rPr>
                <w:rFonts w:asciiTheme="minorHAnsi" w:hAnsiTheme="minorHAnsi" w:cstheme="minorHAnsi"/>
                <w:i/>
                <w:sz w:val="18"/>
                <w:szCs w:val="18"/>
                <w:vertAlign w:val="superscript"/>
              </w:rPr>
              <w:t>e</w:t>
            </w:r>
            <w:proofErr w:type="spellEnd"/>
            <w:proofErr w:type="gramEnd"/>
          </w:p>
        </w:tc>
        <w:tc>
          <w:tcPr>
            <w:tcW w:w="1350" w:type="dxa"/>
          </w:tcPr>
          <w:p w14:paraId="27630061"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sz w:val="18"/>
                <w:szCs w:val="18"/>
              </w:rPr>
              <w:t>12M; 0M, 6M, 12M</w:t>
            </w:r>
          </w:p>
          <w:p w14:paraId="1C12554B" w14:textId="77777777" w:rsidR="00764A7F" w:rsidRPr="00010F3C" w:rsidRDefault="00764A7F" w:rsidP="00DB49DC">
            <w:pPr>
              <w:rPr>
                <w:rFonts w:asciiTheme="minorHAnsi" w:hAnsiTheme="minorHAnsi" w:cstheme="minorHAnsi"/>
                <w:sz w:val="18"/>
                <w:szCs w:val="18"/>
              </w:rPr>
            </w:pPr>
          </w:p>
          <w:p w14:paraId="065EDFBD" w14:textId="77777777" w:rsidR="00764A7F" w:rsidRPr="00010F3C" w:rsidRDefault="00764A7F" w:rsidP="00DB49DC">
            <w:pPr>
              <w:pStyle w:val="p1"/>
              <w:rPr>
                <w:rFonts w:asciiTheme="minorHAnsi" w:hAnsiTheme="minorHAnsi" w:cstheme="minorHAnsi"/>
                <w:sz w:val="18"/>
                <w:szCs w:val="18"/>
              </w:rPr>
            </w:pPr>
          </w:p>
        </w:tc>
        <w:tc>
          <w:tcPr>
            <w:tcW w:w="1440" w:type="dxa"/>
          </w:tcPr>
          <w:p w14:paraId="00B9FFB3" w14:textId="77777777" w:rsidR="00764A7F" w:rsidRPr="00010F3C" w:rsidRDefault="00764A7F" w:rsidP="00DB49DC">
            <w:pPr>
              <w:pStyle w:val="p1"/>
              <w:rPr>
                <w:rFonts w:asciiTheme="minorHAnsi" w:hAnsiTheme="minorHAnsi" w:cstheme="minorHAnsi"/>
                <w:sz w:val="18"/>
                <w:szCs w:val="18"/>
              </w:rPr>
            </w:pPr>
            <w:r w:rsidRPr="00010F3C">
              <w:rPr>
                <w:rFonts w:asciiTheme="minorHAnsi" w:hAnsiTheme="minorHAnsi" w:cstheme="minorHAnsi"/>
                <w:sz w:val="18"/>
                <w:szCs w:val="18"/>
              </w:rPr>
              <w:t xml:space="preserve">Endocervical swabs via </w:t>
            </w:r>
            <w:proofErr w:type="spellStart"/>
            <w:r w:rsidRPr="00010F3C">
              <w:rPr>
                <w:rFonts w:asciiTheme="minorHAnsi" w:hAnsiTheme="minorHAnsi" w:cstheme="minorHAnsi"/>
                <w:sz w:val="18"/>
                <w:szCs w:val="18"/>
              </w:rPr>
              <w:t>Amplicor</w:t>
            </w:r>
            <w:proofErr w:type="spellEnd"/>
            <w:r w:rsidRPr="00010F3C">
              <w:rPr>
                <w:rFonts w:asciiTheme="minorHAnsi" w:hAnsiTheme="minorHAnsi" w:cstheme="minorHAnsi"/>
                <w:sz w:val="18"/>
                <w:szCs w:val="18"/>
              </w:rPr>
              <w:t xml:space="preserve"> CT/NG PCR test (Roche Diagnostic</w:t>
            </w:r>
            <w:r>
              <w:rPr>
                <w:rFonts w:asciiTheme="minorHAnsi" w:hAnsiTheme="minorHAnsi" w:cstheme="minorHAnsi"/>
                <w:sz w:val="18"/>
                <w:szCs w:val="18"/>
              </w:rPr>
              <w:t>s</w:t>
            </w:r>
            <w:r w:rsidRPr="00010F3C">
              <w:rPr>
                <w:rFonts w:asciiTheme="minorHAnsi" w:hAnsiTheme="minorHAnsi" w:cstheme="minorHAnsi"/>
                <w:sz w:val="18"/>
                <w:szCs w:val="18"/>
              </w:rPr>
              <w:t>)</w:t>
            </w:r>
          </w:p>
          <w:p w14:paraId="7A9325AE" w14:textId="77777777" w:rsidR="00764A7F" w:rsidRPr="00010F3C" w:rsidRDefault="00764A7F" w:rsidP="00DB49DC">
            <w:pPr>
              <w:rPr>
                <w:rFonts w:asciiTheme="minorHAnsi" w:hAnsiTheme="minorHAnsi" w:cstheme="minorHAnsi"/>
                <w:sz w:val="18"/>
                <w:szCs w:val="18"/>
              </w:rPr>
            </w:pPr>
          </w:p>
        </w:tc>
        <w:tc>
          <w:tcPr>
            <w:tcW w:w="2700" w:type="dxa"/>
          </w:tcPr>
          <w:p w14:paraId="7A197221"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sz w:val="18"/>
                <w:szCs w:val="18"/>
              </w:rPr>
              <w:t>Age, education, years worked as sex worker, breast-feeding, consistent condom use, antibiotic use past 14 d, ever used antibiotics, time duration between assessments</w:t>
            </w:r>
          </w:p>
        </w:tc>
        <w:tc>
          <w:tcPr>
            <w:tcW w:w="1350" w:type="dxa"/>
          </w:tcPr>
          <w:p w14:paraId="3D3C5359"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sz w:val="18"/>
                <w:szCs w:val="18"/>
              </w:rPr>
              <w:t>Non-pregnant non-</w:t>
            </w:r>
            <w:r>
              <w:rPr>
                <w:rFonts w:asciiTheme="minorHAnsi" w:hAnsiTheme="minorHAnsi" w:cstheme="minorHAnsi"/>
                <w:sz w:val="18"/>
                <w:szCs w:val="18"/>
              </w:rPr>
              <w:t xml:space="preserve">hormonal </w:t>
            </w:r>
            <w:r w:rsidRPr="00010F3C">
              <w:rPr>
                <w:rFonts w:asciiTheme="minorHAnsi" w:hAnsiTheme="minorHAnsi" w:cstheme="minorHAnsi"/>
                <w:sz w:val="18"/>
                <w:szCs w:val="18"/>
              </w:rPr>
              <w:t xml:space="preserve">user </w:t>
            </w:r>
          </w:p>
        </w:tc>
        <w:tc>
          <w:tcPr>
            <w:tcW w:w="1283" w:type="dxa"/>
          </w:tcPr>
          <w:p w14:paraId="4E5664CF"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sz w:val="18"/>
                <w:szCs w:val="18"/>
              </w:rPr>
              <w:t>OC</w:t>
            </w:r>
            <w:r>
              <w:rPr>
                <w:rFonts w:asciiTheme="minorHAnsi" w:hAnsiTheme="minorHAnsi" w:cstheme="minorHAnsi"/>
                <w:sz w:val="18"/>
                <w:szCs w:val="18"/>
              </w:rPr>
              <w:t>P</w:t>
            </w:r>
            <w:r w:rsidRPr="00010F3C">
              <w:rPr>
                <w:rFonts w:asciiTheme="minorHAnsi" w:hAnsiTheme="minorHAnsi" w:cstheme="minorHAnsi"/>
                <w:sz w:val="18"/>
                <w:szCs w:val="18"/>
              </w:rPr>
              <w:t xml:space="preserve"> </w:t>
            </w:r>
            <w:proofErr w:type="spellStart"/>
            <w:r w:rsidRPr="00010F3C">
              <w:rPr>
                <w:rFonts w:asciiTheme="minorHAnsi" w:hAnsiTheme="minorHAnsi" w:cstheme="minorHAnsi"/>
                <w:sz w:val="18"/>
                <w:szCs w:val="18"/>
              </w:rPr>
              <w:t>aOR</w:t>
            </w:r>
            <w:proofErr w:type="spellEnd"/>
            <w:r w:rsidRPr="00010F3C">
              <w:rPr>
                <w:rFonts w:asciiTheme="minorHAnsi" w:hAnsiTheme="minorHAnsi" w:cstheme="minorHAnsi"/>
                <w:sz w:val="18"/>
                <w:szCs w:val="18"/>
              </w:rPr>
              <w:t xml:space="preserve">: 6.13 (1.5, </w:t>
            </w:r>
            <w:proofErr w:type="gramStart"/>
            <w:r w:rsidRPr="00010F3C">
              <w:rPr>
                <w:rFonts w:asciiTheme="minorHAnsi" w:hAnsiTheme="minorHAnsi" w:cstheme="minorHAnsi"/>
                <w:sz w:val="18"/>
                <w:szCs w:val="18"/>
              </w:rPr>
              <w:t>23.8)*</w:t>
            </w:r>
            <w:proofErr w:type="gramEnd"/>
          </w:p>
        </w:tc>
        <w:tc>
          <w:tcPr>
            <w:tcW w:w="1350" w:type="dxa"/>
          </w:tcPr>
          <w:p w14:paraId="63662D1E"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sz w:val="18"/>
                <w:szCs w:val="18"/>
              </w:rPr>
              <w:t xml:space="preserve">Injectable (type not </w:t>
            </w:r>
            <w:proofErr w:type="spellStart"/>
            <w:r w:rsidRPr="00010F3C">
              <w:rPr>
                <w:rFonts w:asciiTheme="minorHAnsi" w:hAnsiTheme="minorHAnsi" w:cstheme="minorHAnsi"/>
                <w:sz w:val="18"/>
                <w:szCs w:val="18"/>
              </w:rPr>
              <w:t>specified</w:t>
            </w:r>
            <w:r>
              <w:rPr>
                <w:rFonts w:asciiTheme="minorHAnsi" w:hAnsiTheme="minorHAnsi" w:cstheme="minorHAnsi"/>
                <w:sz w:val="18"/>
                <w:szCs w:val="18"/>
                <w:vertAlign w:val="superscript"/>
              </w:rPr>
              <w:t>d</w:t>
            </w:r>
            <w:proofErr w:type="spellEnd"/>
            <w:r w:rsidRPr="00010F3C">
              <w:rPr>
                <w:rFonts w:asciiTheme="minorHAnsi" w:hAnsiTheme="minorHAnsi" w:cstheme="minorHAnsi"/>
                <w:sz w:val="18"/>
                <w:szCs w:val="18"/>
              </w:rPr>
              <w:t xml:space="preserve">) </w:t>
            </w:r>
            <w:proofErr w:type="spellStart"/>
            <w:r w:rsidRPr="00010F3C">
              <w:rPr>
                <w:rFonts w:asciiTheme="minorHAnsi" w:hAnsiTheme="minorHAnsi" w:cstheme="minorHAnsi"/>
                <w:sz w:val="18"/>
                <w:szCs w:val="18"/>
              </w:rPr>
              <w:t>aOR</w:t>
            </w:r>
            <w:proofErr w:type="spellEnd"/>
            <w:r w:rsidRPr="00010F3C">
              <w:rPr>
                <w:rFonts w:asciiTheme="minorHAnsi" w:hAnsiTheme="minorHAnsi" w:cstheme="minorHAnsi"/>
                <w:sz w:val="18"/>
                <w:szCs w:val="18"/>
              </w:rPr>
              <w:t>:  2.24 (0.69, 7.29)</w:t>
            </w:r>
          </w:p>
          <w:p w14:paraId="61DDC285" w14:textId="77777777" w:rsidR="00764A7F" w:rsidRPr="00010F3C" w:rsidRDefault="00764A7F" w:rsidP="00DB49DC">
            <w:pPr>
              <w:rPr>
                <w:rFonts w:asciiTheme="minorHAnsi" w:hAnsiTheme="minorHAnsi" w:cstheme="minorHAnsi"/>
                <w:sz w:val="18"/>
                <w:szCs w:val="18"/>
              </w:rPr>
            </w:pPr>
          </w:p>
        </w:tc>
        <w:tc>
          <w:tcPr>
            <w:tcW w:w="1440" w:type="dxa"/>
          </w:tcPr>
          <w:p w14:paraId="137C545E"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sz w:val="18"/>
                <w:szCs w:val="18"/>
              </w:rPr>
              <w:t>NA</w:t>
            </w:r>
          </w:p>
        </w:tc>
      </w:tr>
      <w:tr w:rsidR="00764A7F" w:rsidRPr="00010F3C" w14:paraId="1CFFF4CF" w14:textId="77777777" w:rsidTr="00DB49DC">
        <w:tc>
          <w:tcPr>
            <w:tcW w:w="985" w:type="dxa"/>
          </w:tcPr>
          <w:p w14:paraId="2FEA89B6" w14:textId="77777777" w:rsidR="00764A7F" w:rsidRPr="00010F3C" w:rsidRDefault="00764A7F" w:rsidP="00DB49DC">
            <w:pPr>
              <w:rPr>
                <w:rFonts w:asciiTheme="minorHAnsi" w:hAnsiTheme="minorHAnsi" w:cstheme="minorHAnsi"/>
                <w:sz w:val="18"/>
                <w:szCs w:val="18"/>
              </w:rPr>
            </w:pPr>
            <w:proofErr w:type="spellStart"/>
            <w:r w:rsidRPr="00E94DEF">
              <w:rPr>
                <w:rFonts w:asciiTheme="minorHAnsi" w:hAnsiTheme="minorHAnsi" w:cstheme="minorHAnsi"/>
                <w:sz w:val="18"/>
                <w:szCs w:val="18"/>
              </w:rPr>
              <w:t>Baeten</w:t>
            </w:r>
            <w:proofErr w:type="spellEnd"/>
            <w:r w:rsidRPr="00E94DEF">
              <w:rPr>
                <w:rFonts w:asciiTheme="minorHAnsi" w:hAnsiTheme="minorHAnsi" w:cstheme="minorHAnsi"/>
                <w:sz w:val="18"/>
                <w:szCs w:val="18"/>
              </w:rPr>
              <w:t xml:space="preserve">, 2001 </w:t>
            </w:r>
            <w:r w:rsidRPr="00E94DEF">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{"citationItems":[{"id":"ITEM-1","itemData":{"DOI":"10.1067/mob.2001.115862","ISSN":"00029378","PMID":"11518896","abstract":"OBJECTIVES To examine the relationship between use of oral contraceptive pills or depot medroxyprogesterone acetate and sexually transmitted disease acquisition. STUDY DESIGN Prospective cohort included 948 Kenyan prostitutes. Multivariate Andersen-Gill proportional hazards models were constructed, adjusting for sexual behavioral and demographic variables. RESULTS When compared with women who were using no contraception, users of oral contraceptive pills were at increased risk for acquisition of chlamydia (hazard ratio, 1.8; 95% confidence interval, 1.1-2.9) and vaginal candidiasis (hazard ratio, 1.5; 95% confidence interval, 1.2-1.9) and at decreased risk for bacterial vaginosis (hazard ratio, 0.8; 95% confidence interval, 0.7-1.0). Women using depot medroxyprogesterone acetate had significantly increased risk of chlamydia infection (hazard ratio, 1.6; 95% confidence interval, 1.1-2.4) and significantly decreased risk of bacterial vaginosis (hazard ratio, 0.7; 95% confidence interval, 0.5-0.8), trichomoniasis (hazard ratio, 0.6; 95% confidence interval, 0.4-1.0), and pelvic inflammatory disease (hazard ratio, 0.4; 95% confidence interval, 0.2-0.7). Consistent condom use was associated with significantly decreased risk of gonorrhea, chlamydia, genital ulcer disease, bacterial vaginosis, and pelvic inflammatory disease. CONCLUSIONS The use of oral or injectable hormonal contraception altered susceptibility to sexually transmitted diseases, which may in turn influence transmission of human immunodeficiency virus type 1. Consistent condom use was protective with regards to sexually transmitted disease and should be encouraged for the prevention of sexually transmitted disease and human immunodeficiency virus type 1 among women who use hormonal contraception.","author":[{"dropping-particle":"","family":"Baeten","given":"Jared M.","non-dropping-particle":"","parse-names":false,"suffix":""},{"dropping-particle":"","family":"Nyange","given":"Patrick M.","non-dropping-particle":"","parse-names":false,"suffix":""},{"dropping-particle":"","family":"Richardson","given":"Barbra A.","non-dropping-particle":"","parse-names":false,"suffix":""},{"dropping-particle":"","family":"Lavreys","given":"Ludo","non-dropping-particle":"","parse-names":false,"suffix":""},{"dropping-particle":"","family":"Chohan","given":"Bhavna","non-dropping-particle":"","parse-names":false,"suffix":""},{"dropping-particle":"","family":"Martin","given":"Harold L.","non-dropping-particle":"","parse-names":false,"suffix":""},{"dropping-particle":"","family":"Mandaliya","given":"Kishorchandra","non-dropping-particle":"","parse-names":false,"suffix":""},{"dropping-particle":"","family":"Ndinya-Achola","given":"Jeckoniah O.","non-dropping-particle":"","parse-names":false,"suffix":""},{"dropping-particle":"","family":"Bwayo","given":"Job J.","non-dropping-particle":"","parse-names":false,"suffix":""},{"dropping-particle":"","family":"Kreiss","given":"Joan K.","non-dropping-particle":"","parse-names":false,"suffix":""}],"container-title":"American Journal of Obstetrics and Gynecology","id":"ITEM-1","issue":"2","issued":{"date-parts":[["2001","8"]]},"page":"380-385","title":"Hormonal contraception and risk of sexually transmitted disease acquisition: Results from a prospective study","type":"article-journal","volume":"185"},"uris":["http://www.mendeley.com/documents/?uuid=9c9675ce-9729-368a-b116-fc5af34e832f"]}],"mendeley":{"formattedCitation":"[21]","plainTextFormattedCitation":"[21]","previouslyFormattedCitation":"[21]"},"properties":{"noteIndex":0},"schema":"https://github.com/citation-style-language/schema/raw/master/csl-citation.json"}</w:instrText>
            </w:r>
            <w:r w:rsidRPr="00E94DEF">
              <w:rPr>
                <w:rFonts w:asciiTheme="minorHAnsi" w:hAnsiTheme="minorHAnsi" w:cstheme="minorHAnsi"/>
                <w:sz w:val="18"/>
                <w:szCs w:val="18"/>
              </w:rPr>
              <w:fldChar w:fldCharType="separate"/>
            </w:r>
            <w:r w:rsidRPr="00E115DE">
              <w:rPr>
                <w:rFonts w:asciiTheme="minorHAnsi" w:hAnsiTheme="minorHAnsi" w:cstheme="minorHAnsi"/>
                <w:noProof/>
                <w:sz w:val="18"/>
                <w:szCs w:val="18"/>
              </w:rPr>
              <w:t>[21]</w:t>
            </w:r>
            <w:r w:rsidRPr="00E94DEF">
              <w:rPr>
                <w:rFonts w:asciiTheme="minorHAnsi" w:hAnsiTheme="minorHAnsi" w:cstheme="minorHAnsi"/>
                <w:sz w:val="18"/>
                <w:szCs w:val="18"/>
              </w:rPr>
              <w:fldChar w:fldCharType="end"/>
            </w:r>
          </w:p>
        </w:tc>
        <w:tc>
          <w:tcPr>
            <w:tcW w:w="2160" w:type="dxa"/>
          </w:tcPr>
          <w:p w14:paraId="53B1E7A7" w14:textId="77777777" w:rsidR="00764A7F" w:rsidRPr="00010F3C" w:rsidRDefault="00764A7F" w:rsidP="00DB49DC">
            <w:pPr>
              <w:rPr>
                <w:rFonts w:asciiTheme="minorHAnsi" w:hAnsiTheme="minorHAnsi" w:cstheme="minorHAnsi"/>
                <w:sz w:val="18"/>
                <w:szCs w:val="18"/>
              </w:rPr>
            </w:pPr>
            <w:r w:rsidRPr="00E94DEF">
              <w:rPr>
                <w:rFonts w:asciiTheme="minorHAnsi" w:hAnsiTheme="minorHAnsi" w:cstheme="minorHAnsi"/>
                <w:sz w:val="18"/>
                <w:szCs w:val="18"/>
              </w:rPr>
              <w:t>948, HIV-1 negative sex workers in Mombasa, Kenya ages 16-48</w:t>
            </w:r>
            <w:r>
              <w:rPr>
                <w:rFonts w:asciiTheme="minorHAnsi" w:hAnsiTheme="minorHAnsi" w:cstheme="minorHAnsi"/>
                <w:sz w:val="18"/>
                <w:szCs w:val="18"/>
              </w:rPr>
              <w:t>; N=175 incident cases (11.1/100 PY)</w:t>
            </w:r>
          </w:p>
        </w:tc>
        <w:tc>
          <w:tcPr>
            <w:tcW w:w="1350" w:type="dxa"/>
          </w:tcPr>
          <w:p w14:paraId="6B10D805" w14:textId="77777777" w:rsidR="00764A7F" w:rsidRPr="00010F3C" w:rsidRDefault="00764A7F" w:rsidP="00DB49DC">
            <w:pPr>
              <w:rPr>
                <w:rFonts w:asciiTheme="minorHAnsi" w:hAnsiTheme="minorHAnsi" w:cstheme="minorHAnsi"/>
                <w:sz w:val="18"/>
                <w:szCs w:val="18"/>
              </w:rPr>
            </w:pPr>
            <w:r w:rsidRPr="00897A42">
              <w:rPr>
                <w:rFonts w:asciiTheme="minorHAnsi" w:hAnsiTheme="minorHAnsi" w:cstheme="minorHAnsi"/>
                <w:sz w:val="18"/>
                <w:szCs w:val="18"/>
              </w:rPr>
              <w:t>Range 15 to 2366</w:t>
            </w:r>
            <w:r>
              <w:rPr>
                <w:rFonts w:asciiTheme="minorHAnsi" w:hAnsiTheme="minorHAnsi" w:cstheme="minorHAnsi"/>
                <w:sz w:val="18"/>
                <w:szCs w:val="18"/>
              </w:rPr>
              <w:t xml:space="preserve"> days</w:t>
            </w:r>
            <w:r w:rsidRPr="00897A42">
              <w:rPr>
                <w:rFonts w:asciiTheme="minorHAnsi" w:hAnsiTheme="minorHAnsi" w:cstheme="minorHAnsi"/>
                <w:sz w:val="18"/>
                <w:szCs w:val="18"/>
              </w:rPr>
              <w:t xml:space="preserve"> (median: 42</w:t>
            </w:r>
            <w:r>
              <w:rPr>
                <w:rFonts w:asciiTheme="minorHAnsi" w:hAnsiTheme="minorHAnsi" w:cstheme="minorHAnsi"/>
                <w:sz w:val="18"/>
                <w:szCs w:val="18"/>
              </w:rPr>
              <w:t>1 days); median time b/w visits: 35 days</w:t>
            </w:r>
          </w:p>
        </w:tc>
        <w:tc>
          <w:tcPr>
            <w:tcW w:w="1440" w:type="dxa"/>
          </w:tcPr>
          <w:p w14:paraId="003C164E" w14:textId="77777777" w:rsidR="00764A7F" w:rsidRPr="00010F3C" w:rsidRDefault="00764A7F" w:rsidP="00DB49DC">
            <w:pPr>
              <w:pStyle w:val="p1"/>
              <w:rPr>
                <w:rFonts w:asciiTheme="minorHAnsi" w:hAnsiTheme="minorHAnsi" w:cstheme="minorHAnsi"/>
                <w:sz w:val="18"/>
                <w:szCs w:val="18"/>
              </w:rPr>
            </w:pPr>
            <w:r>
              <w:rPr>
                <w:rFonts w:asciiTheme="minorHAnsi" w:hAnsiTheme="minorHAnsi" w:cstheme="minorHAnsi"/>
                <w:sz w:val="18"/>
                <w:szCs w:val="18"/>
              </w:rPr>
              <w:t>E</w:t>
            </w:r>
            <w:r w:rsidRPr="00E94DEF">
              <w:rPr>
                <w:rFonts w:asciiTheme="minorHAnsi" w:hAnsiTheme="minorHAnsi" w:cstheme="minorHAnsi"/>
                <w:sz w:val="18"/>
                <w:szCs w:val="18"/>
              </w:rPr>
              <w:t xml:space="preserve">nzyme-linked </w:t>
            </w:r>
            <w:proofErr w:type="spellStart"/>
            <w:r w:rsidRPr="00E94DEF">
              <w:rPr>
                <w:rFonts w:asciiTheme="minorHAnsi" w:hAnsiTheme="minorHAnsi" w:cstheme="minorHAnsi"/>
                <w:sz w:val="18"/>
                <w:szCs w:val="18"/>
              </w:rPr>
              <w:t>immunoabsorbent</w:t>
            </w:r>
            <w:proofErr w:type="spellEnd"/>
            <w:r w:rsidRPr="00E94DEF">
              <w:rPr>
                <w:rFonts w:asciiTheme="minorHAnsi" w:hAnsiTheme="minorHAnsi" w:cstheme="minorHAnsi"/>
                <w:sz w:val="18"/>
                <w:szCs w:val="18"/>
              </w:rPr>
              <w:t xml:space="preserve"> assay (ELISA) (</w:t>
            </w:r>
            <w:proofErr w:type="spellStart"/>
            <w:r w:rsidRPr="00E94DEF">
              <w:rPr>
                <w:rFonts w:asciiTheme="minorHAnsi" w:hAnsiTheme="minorHAnsi" w:cstheme="minorHAnsi"/>
                <w:sz w:val="18"/>
                <w:szCs w:val="18"/>
              </w:rPr>
              <w:t>Microtrak</w:t>
            </w:r>
            <w:proofErr w:type="spellEnd"/>
            <w:r w:rsidRPr="00E94DEF">
              <w:rPr>
                <w:rFonts w:asciiTheme="minorHAnsi" w:hAnsiTheme="minorHAnsi" w:cstheme="minorHAnsi"/>
                <w:sz w:val="18"/>
                <w:szCs w:val="18"/>
              </w:rPr>
              <w:t>)</w:t>
            </w:r>
          </w:p>
        </w:tc>
        <w:tc>
          <w:tcPr>
            <w:tcW w:w="2700" w:type="dxa"/>
          </w:tcPr>
          <w:p w14:paraId="1C3063C3" w14:textId="77777777" w:rsidR="00764A7F" w:rsidRPr="00010F3C" w:rsidRDefault="00764A7F" w:rsidP="00DB49DC">
            <w:pPr>
              <w:rPr>
                <w:rFonts w:asciiTheme="minorHAnsi" w:hAnsiTheme="minorHAnsi" w:cstheme="minorHAnsi"/>
                <w:sz w:val="18"/>
                <w:szCs w:val="18"/>
              </w:rPr>
            </w:pPr>
            <w:r w:rsidRPr="00E94DEF">
              <w:rPr>
                <w:rFonts w:asciiTheme="minorHAnsi" w:hAnsiTheme="minorHAnsi" w:cstheme="minorHAnsi"/>
                <w:sz w:val="18"/>
                <w:szCs w:val="18"/>
              </w:rPr>
              <w:t>Age, years of education, years of prostitution, parity, number of sexual partners, place of work (</w:t>
            </w:r>
            <w:proofErr w:type="spellStart"/>
            <w:r w:rsidRPr="00E94DEF">
              <w:rPr>
                <w:rFonts w:asciiTheme="minorHAnsi" w:hAnsiTheme="minorHAnsi" w:cstheme="minorHAnsi"/>
                <w:sz w:val="18"/>
                <w:szCs w:val="18"/>
              </w:rPr>
              <w:t>ie</w:t>
            </w:r>
            <w:proofErr w:type="spellEnd"/>
            <w:r w:rsidRPr="00E94DEF">
              <w:rPr>
                <w:rFonts w:asciiTheme="minorHAnsi" w:hAnsiTheme="minorHAnsi" w:cstheme="minorHAnsi"/>
                <w:sz w:val="18"/>
                <w:szCs w:val="18"/>
              </w:rPr>
              <w:t>, bar vs. nightclub), number of sexual contacts, and condom usage</w:t>
            </w:r>
          </w:p>
        </w:tc>
        <w:tc>
          <w:tcPr>
            <w:tcW w:w="1350" w:type="dxa"/>
          </w:tcPr>
          <w:p w14:paraId="076FF6E1" w14:textId="77777777" w:rsidR="00764A7F" w:rsidRPr="00010F3C" w:rsidRDefault="00764A7F" w:rsidP="00DB49DC">
            <w:pPr>
              <w:rPr>
                <w:rFonts w:asciiTheme="minorHAnsi" w:hAnsiTheme="minorHAnsi" w:cstheme="minorHAnsi"/>
                <w:sz w:val="18"/>
                <w:szCs w:val="18"/>
              </w:rPr>
            </w:pPr>
            <w:r w:rsidRPr="00E752DB">
              <w:rPr>
                <w:rFonts w:asciiTheme="minorHAnsi" w:hAnsiTheme="minorHAnsi" w:cstheme="minorHAnsi"/>
                <w:sz w:val="18"/>
                <w:szCs w:val="18"/>
              </w:rPr>
              <w:t>No contraceptives or tubal ligation</w:t>
            </w:r>
          </w:p>
        </w:tc>
        <w:tc>
          <w:tcPr>
            <w:tcW w:w="1283" w:type="dxa"/>
          </w:tcPr>
          <w:p w14:paraId="6D5EB8BA" w14:textId="77777777" w:rsidR="00764A7F" w:rsidRPr="00010F3C" w:rsidRDefault="00764A7F" w:rsidP="00DB49DC">
            <w:pPr>
              <w:rPr>
                <w:rFonts w:asciiTheme="minorHAnsi" w:hAnsiTheme="minorHAnsi" w:cstheme="minorHAnsi"/>
                <w:sz w:val="18"/>
                <w:szCs w:val="18"/>
              </w:rPr>
            </w:pPr>
            <w:r>
              <w:rPr>
                <w:rFonts w:asciiTheme="minorHAnsi" w:hAnsiTheme="minorHAnsi" w:cstheme="minorHAnsi"/>
                <w:sz w:val="18"/>
                <w:szCs w:val="18"/>
              </w:rPr>
              <w:t xml:space="preserve">OCP </w:t>
            </w:r>
            <w:proofErr w:type="spellStart"/>
            <w:r>
              <w:rPr>
                <w:rFonts w:asciiTheme="minorHAnsi" w:hAnsiTheme="minorHAnsi" w:cstheme="minorHAnsi"/>
                <w:sz w:val="18"/>
                <w:szCs w:val="18"/>
              </w:rPr>
              <w:t>aHR</w:t>
            </w:r>
            <w:proofErr w:type="spellEnd"/>
            <w:r>
              <w:rPr>
                <w:rFonts w:asciiTheme="minorHAnsi" w:hAnsiTheme="minorHAnsi" w:cstheme="minorHAnsi"/>
                <w:sz w:val="18"/>
                <w:szCs w:val="18"/>
              </w:rPr>
              <w:t xml:space="preserve">: 1.8 (1.1, </w:t>
            </w:r>
            <w:proofErr w:type="gramStart"/>
            <w:r>
              <w:rPr>
                <w:rFonts w:asciiTheme="minorHAnsi" w:hAnsiTheme="minorHAnsi" w:cstheme="minorHAnsi"/>
                <w:sz w:val="18"/>
                <w:szCs w:val="18"/>
              </w:rPr>
              <w:t>2.9)*</w:t>
            </w:r>
            <w:proofErr w:type="gramEnd"/>
          </w:p>
        </w:tc>
        <w:tc>
          <w:tcPr>
            <w:tcW w:w="1350" w:type="dxa"/>
          </w:tcPr>
          <w:p w14:paraId="65E1B11A" w14:textId="77777777" w:rsidR="00764A7F" w:rsidRPr="00010F3C" w:rsidRDefault="00764A7F" w:rsidP="00DB49DC">
            <w:pPr>
              <w:rPr>
                <w:rFonts w:asciiTheme="minorHAnsi" w:hAnsiTheme="minorHAnsi" w:cstheme="minorHAnsi"/>
                <w:sz w:val="18"/>
                <w:szCs w:val="18"/>
              </w:rPr>
            </w:pPr>
            <w:r>
              <w:rPr>
                <w:rFonts w:asciiTheme="minorHAnsi" w:hAnsiTheme="minorHAnsi" w:cstheme="minorHAnsi"/>
                <w:sz w:val="18"/>
                <w:szCs w:val="18"/>
              </w:rPr>
              <w:t xml:space="preserve">DMPA </w:t>
            </w:r>
            <w:proofErr w:type="spellStart"/>
            <w:r>
              <w:rPr>
                <w:rFonts w:asciiTheme="minorHAnsi" w:hAnsiTheme="minorHAnsi" w:cstheme="minorHAnsi"/>
                <w:sz w:val="18"/>
                <w:szCs w:val="18"/>
              </w:rPr>
              <w:t>aHR</w:t>
            </w:r>
            <w:proofErr w:type="spellEnd"/>
            <w:r>
              <w:rPr>
                <w:rFonts w:asciiTheme="minorHAnsi" w:hAnsiTheme="minorHAnsi" w:cstheme="minorHAnsi"/>
                <w:sz w:val="18"/>
                <w:szCs w:val="18"/>
              </w:rPr>
              <w:t xml:space="preserve">: 1.6 (1.1, </w:t>
            </w:r>
            <w:proofErr w:type="gramStart"/>
            <w:r>
              <w:rPr>
                <w:rFonts w:asciiTheme="minorHAnsi" w:hAnsiTheme="minorHAnsi" w:cstheme="minorHAnsi"/>
                <w:sz w:val="18"/>
                <w:szCs w:val="18"/>
              </w:rPr>
              <w:t>2.4)*</w:t>
            </w:r>
            <w:proofErr w:type="gramEnd"/>
          </w:p>
        </w:tc>
        <w:tc>
          <w:tcPr>
            <w:tcW w:w="1440" w:type="dxa"/>
          </w:tcPr>
          <w:p w14:paraId="1E542444" w14:textId="77777777" w:rsidR="00764A7F" w:rsidRPr="00010F3C" w:rsidRDefault="00764A7F" w:rsidP="00DB49DC">
            <w:pPr>
              <w:rPr>
                <w:rFonts w:asciiTheme="minorHAnsi" w:hAnsiTheme="minorHAnsi" w:cstheme="minorHAnsi"/>
                <w:sz w:val="18"/>
                <w:szCs w:val="18"/>
              </w:rPr>
            </w:pPr>
            <w:r w:rsidRPr="00897A42">
              <w:rPr>
                <w:rFonts w:asciiTheme="minorHAnsi" w:hAnsiTheme="minorHAnsi" w:cstheme="minorHAnsi"/>
                <w:sz w:val="18"/>
                <w:szCs w:val="18"/>
              </w:rPr>
              <w:t>NA</w:t>
            </w:r>
          </w:p>
        </w:tc>
      </w:tr>
      <w:tr w:rsidR="00764A7F" w:rsidRPr="00010F3C" w14:paraId="34E735FB" w14:textId="77777777" w:rsidTr="00DB49DC">
        <w:trPr>
          <w:trHeight w:val="530"/>
        </w:trPr>
        <w:tc>
          <w:tcPr>
            <w:tcW w:w="985" w:type="dxa"/>
          </w:tcPr>
          <w:p w14:paraId="225F7434" w14:textId="77777777" w:rsidR="00764A7F" w:rsidRPr="00010F3C" w:rsidRDefault="00764A7F" w:rsidP="00DB49DC">
            <w:pPr>
              <w:rPr>
                <w:rFonts w:asciiTheme="minorHAnsi" w:hAnsiTheme="minorHAnsi" w:cstheme="minorHAnsi"/>
                <w:sz w:val="18"/>
                <w:szCs w:val="18"/>
              </w:rPr>
            </w:pPr>
            <w:proofErr w:type="spellStart"/>
            <w:r w:rsidRPr="00010F3C">
              <w:rPr>
                <w:rFonts w:asciiTheme="minorHAnsi" w:hAnsiTheme="minorHAnsi" w:cstheme="minorHAnsi"/>
                <w:sz w:val="18"/>
                <w:szCs w:val="18"/>
              </w:rPr>
              <w:t>Kapiga</w:t>
            </w:r>
            <w:proofErr w:type="spellEnd"/>
            <w:r w:rsidRPr="00010F3C">
              <w:rPr>
                <w:rFonts w:asciiTheme="minorHAnsi" w:hAnsiTheme="minorHAnsi" w:cstheme="minorHAnsi"/>
                <w:sz w:val="18"/>
                <w:szCs w:val="18"/>
              </w:rPr>
              <w:t>, 2009</w:t>
            </w:r>
            <w:r>
              <w:rPr>
                <w:rFonts w:asciiTheme="minorHAnsi" w:hAnsiTheme="minorHAnsi" w:cstheme="minorHAnsi"/>
                <w:sz w:val="18"/>
                <w:szCs w:val="18"/>
              </w:rPr>
              <w:t xml:space="preserve"> </w:t>
            </w:r>
            <w:r>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{"citationItems":[{"id":"ITEM-1","itemData":{"DOI":"10.1097/OLQ.0b013e318191ba01","PMID":"19265734","abstract":"OBJECTIVE To determine risk factors for sexually transmitted infections (STIs) among women in Durban and Hlabisa (South Africa), Moshi (Tanzania), and Lusaka (Zambia). STUDY DESIGN Between 2003 and 2004, 958 women at risk of STIs were enrolled in a 1-year prospective study. They were interviewed at each monthly visit, and samples for STI testing were collected during quarterly and other visits when clinically indicated. RESULTS The incidence of infections as measured in person-years at risk (PYAR) was as follows: overall trichomoniasis, 31.9/100 PYAR; chlamydial infection in South Africa, 19.5/100 PYAR; chlamydial infection in Tanzania and Zambia, 4.9/100 PYAR; gonorrhea in South Africa, 16.5/100 PYAR; gonorrhea in Tanzania and Zambia, 5.3/100 PYAR; overall syphilis, 7.5/100 PYAR; and overall HIV, 3.8/100 PYAR. The incidence of most STIs was highest among the South African sites, where chlamydial infection and gonorrhea were detected by using a more sensitive assay. Independent risk factors included age, hormonal contraceptive methods, and measures of sexual behavior, including number of sex partners and occurrence of anal sex in the past 3 months. Women with incident HIV infection were at increased risk of chlamydial infection [odds ratio (OR) = 5.5, 95% confidence interval (CI): 2.0-15.2]and gonorrhea (OR = 5.7, 95% CI: 1.9-17.0) in South African sites. Despite ongoing counseling during the study, high-risk sexual behaviors were common, and consistent condom use remained low. CONCLUSIONS The incidence of STIs, including HIV, was high among women in this study. These findings highlight the urgent need for effective HIV/STI prevention programs in this population.","author":[{"dropping-particle":"","family":"Kapiga","given":"Saidi","non-dropping-particle":"","parse-names":false,"suffix":""},{"dropping-particle":"","family":"Kelly","given":"Cliff","non-dropping-particle":"","parse-names":false,"suffix":""},{"dropping-particle":"","family":"Weiss","given":"Stephen","non-dropping-particle":"","parse-names":false,"suffix":""},{"dropping-particle":"","family":"Daley","given":"Tara","non-dropping-particle":"","parse-names":false,"suffix":""},{"dropping-particle":"","family":"Peterson","given":"Leigh","non-dropping-particle":"","parse-names":false,"suffix":""},{"dropping-particle":"","family":"Leburg","given":"Corey","non-dropping-particle":"","parse-names":false,"suffix":""},{"dropping-particle":"","family":"Ramjee","given":"Gita","non-dropping-particle":"","parse-names":false,"suffix":""}],"container-title":"Sexually Transmitted Diseases","id":"ITEM-1","issue":"4","issued":{"date-parts":[["2009","4"]]},"page":"199-206","title":"Risk factors for incidence of sexually transmitted infections among women in South Africa, Tanzania, and Zambia: Results from HPTN 055 study","type":"article-journal","volume":"36"},"uris":["http://www.mendeley.com/documents/?uuid=9796a310-66c3-3ac3-ac3f-20e1f341bfc4"]}],"mendeley":{"formattedCitation":"[47]","plainTextFormattedCitation":"[47]","previouslyFormattedCitation":"[47]"},"properties":{"noteIndex":0},"schema":"https://github.com/citation-style-language/schema/raw/master/csl-citation.json"}</w:instrText>
            </w:r>
            <w:r>
              <w:rPr>
                <w:rFonts w:asciiTheme="minorHAnsi" w:hAnsiTheme="minorHAnsi" w:cstheme="minorHAnsi"/>
                <w:sz w:val="18"/>
                <w:szCs w:val="18"/>
              </w:rPr>
              <w:fldChar w:fldCharType="separate"/>
            </w:r>
            <w:r w:rsidRPr="008E6390">
              <w:rPr>
                <w:rFonts w:asciiTheme="minorHAnsi" w:hAnsiTheme="minorHAnsi" w:cstheme="minorHAnsi"/>
                <w:noProof/>
                <w:sz w:val="18"/>
                <w:szCs w:val="18"/>
              </w:rPr>
              <w:t>[47]</w:t>
            </w:r>
            <w:r>
              <w:rPr>
                <w:rFonts w:asciiTheme="minorHAnsi" w:hAnsiTheme="minorHAnsi" w:cstheme="minorHAnsi"/>
                <w:sz w:val="18"/>
                <w:szCs w:val="18"/>
              </w:rPr>
              <w:fldChar w:fldCharType="end"/>
            </w:r>
          </w:p>
        </w:tc>
        <w:tc>
          <w:tcPr>
            <w:tcW w:w="2160" w:type="dxa"/>
          </w:tcPr>
          <w:p w14:paraId="42F9C1E9" w14:textId="77777777" w:rsidR="00764A7F" w:rsidRPr="00010F3C" w:rsidRDefault="00764A7F" w:rsidP="00DB49DC">
            <w:pPr>
              <w:pStyle w:val="p1"/>
              <w:rPr>
                <w:rFonts w:asciiTheme="minorHAnsi" w:hAnsiTheme="minorHAnsi" w:cstheme="minorHAnsi"/>
                <w:i/>
                <w:sz w:val="18"/>
                <w:szCs w:val="18"/>
              </w:rPr>
            </w:pPr>
            <w:r w:rsidRPr="00010F3C">
              <w:rPr>
                <w:rFonts w:asciiTheme="minorHAnsi" w:hAnsiTheme="minorHAnsi" w:cstheme="minorHAnsi"/>
                <w:sz w:val="18"/>
                <w:szCs w:val="18"/>
              </w:rPr>
              <w:t xml:space="preserve">958, HIV negative women ages 16 to 62 in Lusaka, Zambia (ZA), Moshi Tanzania (TZ) and Durban/Hlabisa, South Africa (SA); </w:t>
            </w:r>
            <w:r w:rsidRPr="00010F3C">
              <w:rPr>
                <w:rFonts w:asciiTheme="minorHAnsi" w:hAnsiTheme="minorHAnsi" w:cstheme="minorHAnsi"/>
                <w:i/>
                <w:sz w:val="18"/>
                <w:szCs w:val="18"/>
              </w:rPr>
              <w:t xml:space="preserve">Incidence </w:t>
            </w:r>
            <w:proofErr w:type="spellStart"/>
            <w:r w:rsidRPr="00010F3C">
              <w:rPr>
                <w:rFonts w:asciiTheme="minorHAnsi" w:hAnsiTheme="minorHAnsi" w:cstheme="minorHAnsi"/>
                <w:i/>
                <w:sz w:val="18"/>
                <w:szCs w:val="18"/>
              </w:rPr>
              <w:t>rate</w:t>
            </w:r>
            <w:r>
              <w:rPr>
                <w:rFonts w:asciiTheme="minorHAnsi" w:hAnsiTheme="minorHAnsi" w:cstheme="minorHAnsi"/>
                <w:i/>
                <w:sz w:val="18"/>
                <w:szCs w:val="18"/>
                <w:vertAlign w:val="superscript"/>
              </w:rPr>
              <w:t>b</w:t>
            </w:r>
            <w:proofErr w:type="spellEnd"/>
            <w:r w:rsidRPr="00010F3C">
              <w:rPr>
                <w:rFonts w:asciiTheme="minorHAnsi" w:hAnsiTheme="minorHAnsi" w:cstheme="minorHAnsi"/>
                <w:i/>
                <w:sz w:val="18"/>
                <w:szCs w:val="18"/>
              </w:rPr>
              <w:t>: 19.5/100 PYAR (SA); 4.9/100 PYAR (TZ, ZA)</w:t>
            </w:r>
          </w:p>
          <w:p w14:paraId="0290EB61" w14:textId="77777777" w:rsidR="00764A7F" w:rsidRPr="00010F3C" w:rsidRDefault="00764A7F" w:rsidP="00DB49DC">
            <w:pPr>
              <w:rPr>
                <w:rFonts w:asciiTheme="minorHAnsi" w:hAnsiTheme="minorHAnsi" w:cstheme="minorHAnsi"/>
                <w:sz w:val="18"/>
                <w:szCs w:val="18"/>
              </w:rPr>
            </w:pPr>
          </w:p>
        </w:tc>
        <w:tc>
          <w:tcPr>
            <w:tcW w:w="1350" w:type="dxa"/>
          </w:tcPr>
          <w:p w14:paraId="0CA292A7"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sz w:val="18"/>
                <w:szCs w:val="18"/>
              </w:rPr>
              <w:t>12M, every 3M</w:t>
            </w:r>
          </w:p>
          <w:p w14:paraId="53E0BCCD" w14:textId="77777777" w:rsidR="00764A7F" w:rsidRPr="00010F3C" w:rsidRDefault="00764A7F" w:rsidP="00DB49DC">
            <w:pPr>
              <w:pStyle w:val="p1"/>
              <w:rPr>
                <w:rFonts w:asciiTheme="minorHAnsi" w:hAnsiTheme="minorHAnsi" w:cstheme="minorHAnsi"/>
                <w:sz w:val="18"/>
                <w:szCs w:val="18"/>
              </w:rPr>
            </w:pPr>
          </w:p>
          <w:p w14:paraId="6FB7F4C7" w14:textId="77777777" w:rsidR="00764A7F" w:rsidRPr="00010F3C" w:rsidRDefault="00764A7F" w:rsidP="00DB49DC">
            <w:pPr>
              <w:rPr>
                <w:rFonts w:asciiTheme="minorHAnsi" w:hAnsiTheme="minorHAnsi" w:cstheme="minorHAnsi"/>
                <w:sz w:val="18"/>
                <w:szCs w:val="18"/>
              </w:rPr>
            </w:pPr>
          </w:p>
        </w:tc>
        <w:tc>
          <w:tcPr>
            <w:tcW w:w="1440" w:type="dxa"/>
          </w:tcPr>
          <w:p w14:paraId="7F3671EC"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sz w:val="18"/>
                <w:szCs w:val="18"/>
                <w:u w:val="single"/>
              </w:rPr>
              <w:t>TZ/ZA site</w:t>
            </w:r>
            <w:r w:rsidRPr="00010F3C">
              <w:rPr>
                <w:rFonts w:asciiTheme="minorHAnsi" w:hAnsiTheme="minorHAnsi" w:cstheme="minorHAnsi"/>
                <w:sz w:val="18"/>
                <w:szCs w:val="18"/>
              </w:rPr>
              <w:t>: endocervical swabs via enzyme-linked</w:t>
            </w:r>
          </w:p>
          <w:p w14:paraId="66BD5FD8" w14:textId="77777777" w:rsidR="00764A7F" w:rsidRPr="00010F3C" w:rsidRDefault="00764A7F" w:rsidP="00DB49DC">
            <w:pPr>
              <w:pStyle w:val="p1"/>
              <w:rPr>
                <w:rFonts w:asciiTheme="minorHAnsi" w:hAnsiTheme="minorHAnsi" w:cstheme="minorHAnsi"/>
                <w:sz w:val="18"/>
                <w:szCs w:val="18"/>
              </w:rPr>
            </w:pPr>
            <w:r w:rsidRPr="00010F3C">
              <w:rPr>
                <w:rFonts w:asciiTheme="minorHAnsi" w:hAnsiTheme="minorHAnsi" w:cstheme="minorHAnsi"/>
                <w:sz w:val="18"/>
                <w:szCs w:val="18"/>
              </w:rPr>
              <w:t>immunosorbent assay (ELISA</w:t>
            </w:r>
            <w:r>
              <w:rPr>
                <w:rFonts w:asciiTheme="minorHAnsi" w:hAnsiTheme="minorHAnsi" w:cstheme="minorHAnsi"/>
                <w:sz w:val="18"/>
                <w:szCs w:val="18"/>
              </w:rPr>
              <w:t>)</w:t>
            </w:r>
            <w:r w:rsidRPr="00010F3C">
              <w:rPr>
                <w:rFonts w:asciiTheme="minorHAnsi" w:hAnsiTheme="minorHAnsi" w:cstheme="minorHAnsi"/>
                <w:sz w:val="18"/>
                <w:szCs w:val="18"/>
              </w:rPr>
              <w:t xml:space="preserve">, </w:t>
            </w:r>
            <w:r>
              <w:rPr>
                <w:rFonts w:asciiTheme="minorHAnsi" w:hAnsiTheme="minorHAnsi" w:cstheme="minorHAnsi"/>
                <w:sz w:val="18"/>
                <w:szCs w:val="18"/>
              </w:rPr>
              <w:t>(</w:t>
            </w:r>
            <w:r w:rsidRPr="00010F3C">
              <w:rPr>
                <w:rFonts w:asciiTheme="minorHAnsi" w:hAnsiTheme="minorHAnsi" w:cstheme="minorHAnsi"/>
                <w:sz w:val="18"/>
                <w:szCs w:val="18"/>
              </w:rPr>
              <w:t xml:space="preserve">Murex Biotech); </w:t>
            </w:r>
            <w:r w:rsidRPr="00010F3C">
              <w:rPr>
                <w:rFonts w:asciiTheme="minorHAnsi" w:hAnsiTheme="minorHAnsi" w:cstheme="minorHAnsi"/>
                <w:sz w:val="18"/>
                <w:szCs w:val="18"/>
                <w:u w:val="single"/>
              </w:rPr>
              <w:t>SA site</w:t>
            </w:r>
            <w:r w:rsidRPr="00010F3C">
              <w:rPr>
                <w:rFonts w:asciiTheme="minorHAnsi" w:hAnsiTheme="minorHAnsi" w:cstheme="minorHAnsi"/>
                <w:sz w:val="18"/>
                <w:szCs w:val="18"/>
              </w:rPr>
              <w:t>: urine samples via BD Probe Tec ET assay</w:t>
            </w:r>
          </w:p>
          <w:p w14:paraId="0A12DE14" w14:textId="77777777" w:rsidR="00764A7F" w:rsidRPr="00010F3C" w:rsidRDefault="00764A7F" w:rsidP="00DB49DC">
            <w:pPr>
              <w:pStyle w:val="p1"/>
              <w:rPr>
                <w:rFonts w:asciiTheme="minorHAnsi" w:hAnsiTheme="minorHAnsi" w:cstheme="minorHAnsi"/>
                <w:szCs w:val="18"/>
              </w:rPr>
            </w:pPr>
          </w:p>
          <w:p w14:paraId="10DE5B5E" w14:textId="77777777" w:rsidR="00764A7F" w:rsidRPr="00010F3C" w:rsidRDefault="00764A7F" w:rsidP="00DB49DC">
            <w:pPr>
              <w:rPr>
                <w:rFonts w:asciiTheme="minorHAnsi" w:hAnsiTheme="minorHAnsi" w:cstheme="minorHAnsi"/>
                <w:sz w:val="18"/>
                <w:szCs w:val="18"/>
              </w:rPr>
            </w:pPr>
          </w:p>
        </w:tc>
        <w:tc>
          <w:tcPr>
            <w:tcW w:w="2700" w:type="dxa"/>
          </w:tcPr>
          <w:p w14:paraId="3D63DE2B"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sz w:val="18"/>
                <w:szCs w:val="18"/>
              </w:rPr>
              <w:t xml:space="preserve">Age, site, partner earns income, # sex partners, frequency vaginal sex in past 1W, anal sex in past 3M, other STIs, bacterial vaginosis, candida, abnormal vaginal discharge on exam, abnormal cervical discharge on exam, incident HIV </w:t>
            </w:r>
          </w:p>
          <w:p w14:paraId="3B4EFA3A" w14:textId="77777777" w:rsidR="00764A7F" w:rsidRPr="00010F3C" w:rsidRDefault="00764A7F" w:rsidP="00DB49DC">
            <w:pPr>
              <w:rPr>
                <w:rFonts w:asciiTheme="minorHAnsi" w:hAnsiTheme="minorHAnsi" w:cstheme="minorHAnsi"/>
                <w:sz w:val="18"/>
                <w:szCs w:val="18"/>
              </w:rPr>
            </w:pPr>
          </w:p>
          <w:p w14:paraId="5FE25E68"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sz w:val="18"/>
                <w:szCs w:val="18"/>
              </w:rPr>
              <w:t xml:space="preserve">Final model (empirical approach): site, age, # sex partners, incident HIV infection and </w:t>
            </w:r>
            <w:r w:rsidRPr="00D81EF1">
              <w:rPr>
                <w:rFonts w:asciiTheme="minorHAnsi" w:hAnsiTheme="minorHAnsi" w:cstheme="minorHAnsi"/>
                <w:i/>
                <w:sz w:val="18"/>
                <w:szCs w:val="18"/>
              </w:rPr>
              <w:t xml:space="preserve">N. </w:t>
            </w:r>
            <w:r w:rsidRPr="00F77DB6">
              <w:rPr>
                <w:rFonts w:asciiTheme="minorHAnsi" w:hAnsiTheme="minorHAnsi" w:cstheme="minorHAnsi"/>
                <w:i/>
                <w:sz w:val="18"/>
                <w:szCs w:val="18"/>
              </w:rPr>
              <w:t>gonorrhoeae</w:t>
            </w:r>
            <w:r w:rsidRPr="00D81EF1" w:rsidDel="000E572B">
              <w:rPr>
                <w:rFonts w:asciiTheme="minorHAnsi" w:hAnsiTheme="minorHAnsi" w:cstheme="minorHAnsi"/>
                <w:i/>
                <w:sz w:val="18"/>
                <w:szCs w:val="18"/>
              </w:rPr>
              <w:t xml:space="preserve"> </w:t>
            </w:r>
            <w:r w:rsidRPr="00010F3C">
              <w:rPr>
                <w:rFonts w:asciiTheme="minorHAnsi" w:hAnsiTheme="minorHAnsi" w:cstheme="minorHAnsi"/>
                <w:sz w:val="18"/>
                <w:szCs w:val="18"/>
              </w:rPr>
              <w:t>infection (SA model); site, presence of candida and abnormal vaginal discharge on exam (TZ/ZA model)</w:t>
            </w:r>
          </w:p>
        </w:tc>
        <w:tc>
          <w:tcPr>
            <w:tcW w:w="1350" w:type="dxa"/>
          </w:tcPr>
          <w:p w14:paraId="0A4CA5BC"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sz w:val="18"/>
                <w:szCs w:val="18"/>
              </w:rPr>
              <w:t>Not specified</w:t>
            </w:r>
          </w:p>
        </w:tc>
        <w:tc>
          <w:tcPr>
            <w:tcW w:w="1283" w:type="dxa"/>
          </w:tcPr>
          <w:p w14:paraId="397ECAA1"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sz w:val="18"/>
                <w:szCs w:val="18"/>
                <w:u w:val="single"/>
              </w:rPr>
              <w:t>OC</w:t>
            </w:r>
            <w:r>
              <w:rPr>
                <w:rFonts w:asciiTheme="minorHAnsi" w:hAnsiTheme="minorHAnsi" w:cstheme="minorHAnsi"/>
                <w:sz w:val="18"/>
                <w:szCs w:val="18"/>
                <w:u w:val="single"/>
              </w:rPr>
              <w:t xml:space="preserve">P </w:t>
            </w:r>
            <w:r w:rsidRPr="00010F3C">
              <w:rPr>
                <w:rFonts w:asciiTheme="minorHAnsi" w:hAnsiTheme="minorHAnsi" w:cstheme="minorHAnsi"/>
                <w:sz w:val="18"/>
                <w:szCs w:val="18"/>
                <w:u w:val="single"/>
              </w:rPr>
              <w:t xml:space="preserve">SA </w:t>
            </w:r>
            <w:proofErr w:type="spellStart"/>
            <w:r w:rsidRPr="00010F3C">
              <w:rPr>
                <w:rFonts w:asciiTheme="minorHAnsi" w:hAnsiTheme="minorHAnsi" w:cstheme="minorHAnsi"/>
                <w:sz w:val="18"/>
                <w:szCs w:val="18"/>
                <w:u w:val="single"/>
              </w:rPr>
              <w:t>aOR</w:t>
            </w:r>
            <w:proofErr w:type="spellEnd"/>
            <w:r w:rsidRPr="00010F3C">
              <w:rPr>
                <w:rFonts w:asciiTheme="minorHAnsi" w:hAnsiTheme="minorHAnsi" w:cstheme="minorHAnsi"/>
                <w:sz w:val="18"/>
                <w:szCs w:val="18"/>
              </w:rPr>
              <w:t xml:space="preserve">: NR (ns); </w:t>
            </w:r>
            <w:r w:rsidRPr="00010F3C">
              <w:rPr>
                <w:rFonts w:asciiTheme="minorHAnsi" w:hAnsiTheme="minorHAnsi" w:cstheme="minorHAnsi"/>
                <w:sz w:val="18"/>
                <w:szCs w:val="18"/>
                <w:u w:val="single"/>
              </w:rPr>
              <w:t xml:space="preserve">Moshi TZ/ ZA site </w:t>
            </w:r>
            <w:proofErr w:type="spellStart"/>
            <w:r w:rsidRPr="00010F3C">
              <w:rPr>
                <w:rFonts w:asciiTheme="minorHAnsi" w:hAnsiTheme="minorHAnsi" w:cstheme="minorHAnsi"/>
                <w:sz w:val="18"/>
                <w:szCs w:val="18"/>
                <w:u w:val="single"/>
              </w:rPr>
              <w:t>aOR</w:t>
            </w:r>
            <w:proofErr w:type="spellEnd"/>
            <w:r w:rsidRPr="00010F3C">
              <w:rPr>
                <w:rFonts w:asciiTheme="minorHAnsi" w:hAnsiTheme="minorHAnsi" w:cstheme="minorHAnsi"/>
                <w:sz w:val="18"/>
                <w:szCs w:val="18"/>
              </w:rPr>
              <w:t>: NR (ns)</w:t>
            </w:r>
          </w:p>
        </w:tc>
        <w:tc>
          <w:tcPr>
            <w:tcW w:w="1350" w:type="dxa"/>
          </w:tcPr>
          <w:p w14:paraId="50305835"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sz w:val="18"/>
                <w:szCs w:val="18"/>
                <w:u w:val="single"/>
              </w:rPr>
              <w:t xml:space="preserve">DMPA SA </w:t>
            </w:r>
            <w:proofErr w:type="spellStart"/>
            <w:r w:rsidRPr="00010F3C">
              <w:rPr>
                <w:rFonts w:asciiTheme="minorHAnsi" w:hAnsiTheme="minorHAnsi" w:cstheme="minorHAnsi"/>
                <w:sz w:val="18"/>
                <w:szCs w:val="18"/>
                <w:u w:val="single"/>
              </w:rPr>
              <w:t>aOR</w:t>
            </w:r>
            <w:proofErr w:type="spellEnd"/>
            <w:r w:rsidRPr="00010F3C">
              <w:rPr>
                <w:rFonts w:asciiTheme="minorHAnsi" w:hAnsiTheme="minorHAnsi" w:cstheme="minorHAnsi"/>
                <w:sz w:val="18"/>
                <w:szCs w:val="18"/>
              </w:rPr>
              <w:t>: 1.8</w:t>
            </w:r>
            <w:r>
              <w:rPr>
                <w:rFonts w:asciiTheme="minorHAnsi" w:hAnsiTheme="minorHAnsi" w:cstheme="minorHAnsi"/>
                <w:sz w:val="18"/>
                <w:szCs w:val="18"/>
              </w:rPr>
              <w:t xml:space="preserve"> </w:t>
            </w:r>
            <w:r w:rsidRPr="00010F3C">
              <w:rPr>
                <w:rFonts w:asciiTheme="minorHAnsi" w:hAnsiTheme="minorHAnsi" w:cstheme="minorHAnsi"/>
                <w:sz w:val="18"/>
                <w:szCs w:val="18"/>
              </w:rPr>
              <w:t xml:space="preserve">(1.0, </w:t>
            </w:r>
            <w:proofErr w:type="gramStart"/>
            <w:r w:rsidRPr="00010F3C">
              <w:rPr>
                <w:rFonts w:asciiTheme="minorHAnsi" w:hAnsiTheme="minorHAnsi" w:cstheme="minorHAnsi"/>
                <w:sz w:val="18"/>
                <w:szCs w:val="18"/>
              </w:rPr>
              <w:t>3.3)</w:t>
            </w:r>
            <w:r>
              <w:rPr>
                <w:rFonts w:asciiTheme="minorHAnsi" w:hAnsiTheme="minorHAnsi" w:cstheme="minorHAnsi"/>
                <w:sz w:val="18"/>
                <w:szCs w:val="18"/>
              </w:rPr>
              <w:t>*</w:t>
            </w:r>
            <w:proofErr w:type="gramEnd"/>
            <w:r w:rsidRPr="00010F3C">
              <w:rPr>
                <w:rFonts w:asciiTheme="minorHAnsi" w:hAnsiTheme="minorHAnsi" w:cstheme="minorHAnsi"/>
                <w:sz w:val="18"/>
                <w:szCs w:val="18"/>
              </w:rPr>
              <w:t xml:space="preserve">; </w:t>
            </w:r>
            <w:r w:rsidRPr="00010F3C">
              <w:rPr>
                <w:rFonts w:asciiTheme="minorHAnsi" w:hAnsiTheme="minorHAnsi" w:cstheme="minorHAnsi"/>
                <w:sz w:val="18"/>
                <w:szCs w:val="18"/>
                <w:u w:val="single"/>
              </w:rPr>
              <w:t xml:space="preserve">TZ/ ZA site </w:t>
            </w:r>
            <w:proofErr w:type="spellStart"/>
            <w:r w:rsidRPr="00010F3C">
              <w:rPr>
                <w:rFonts w:asciiTheme="minorHAnsi" w:hAnsiTheme="minorHAnsi" w:cstheme="minorHAnsi"/>
                <w:sz w:val="18"/>
                <w:szCs w:val="18"/>
                <w:u w:val="single"/>
              </w:rPr>
              <w:t>aOR</w:t>
            </w:r>
            <w:proofErr w:type="spellEnd"/>
            <w:r w:rsidRPr="00010F3C">
              <w:rPr>
                <w:rFonts w:asciiTheme="minorHAnsi" w:hAnsiTheme="minorHAnsi" w:cstheme="minorHAnsi"/>
                <w:sz w:val="18"/>
                <w:szCs w:val="18"/>
              </w:rPr>
              <w:t>: NR (ns)</w:t>
            </w:r>
          </w:p>
          <w:p w14:paraId="69B4BB4C" w14:textId="77777777" w:rsidR="00764A7F" w:rsidRPr="00010F3C" w:rsidRDefault="00764A7F" w:rsidP="00DB49DC">
            <w:pPr>
              <w:rPr>
                <w:rFonts w:asciiTheme="minorHAnsi" w:hAnsiTheme="minorHAnsi" w:cstheme="minorHAnsi"/>
                <w:sz w:val="18"/>
                <w:szCs w:val="18"/>
              </w:rPr>
            </w:pPr>
          </w:p>
        </w:tc>
        <w:tc>
          <w:tcPr>
            <w:tcW w:w="1440" w:type="dxa"/>
          </w:tcPr>
          <w:p w14:paraId="55824ED7"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sz w:val="18"/>
                <w:szCs w:val="18"/>
                <w:u w:val="single"/>
              </w:rPr>
              <w:t>Norplant</w:t>
            </w:r>
            <w:r>
              <w:rPr>
                <w:rFonts w:asciiTheme="minorHAnsi" w:hAnsiTheme="minorHAnsi" w:cstheme="minorHAnsi"/>
                <w:sz w:val="18"/>
                <w:szCs w:val="18"/>
                <w:u w:val="single"/>
              </w:rPr>
              <w:t xml:space="preserve"> </w:t>
            </w:r>
            <w:r w:rsidRPr="00010F3C">
              <w:rPr>
                <w:rFonts w:asciiTheme="minorHAnsi" w:hAnsiTheme="minorHAnsi" w:cstheme="minorHAnsi"/>
                <w:sz w:val="18"/>
                <w:szCs w:val="18"/>
                <w:u w:val="single"/>
              </w:rPr>
              <w:t xml:space="preserve">SA </w:t>
            </w:r>
            <w:proofErr w:type="spellStart"/>
            <w:r w:rsidRPr="00010F3C">
              <w:rPr>
                <w:rFonts w:asciiTheme="minorHAnsi" w:hAnsiTheme="minorHAnsi" w:cstheme="minorHAnsi"/>
                <w:sz w:val="18"/>
                <w:szCs w:val="18"/>
                <w:u w:val="single"/>
              </w:rPr>
              <w:t>aOR</w:t>
            </w:r>
            <w:proofErr w:type="spellEnd"/>
            <w:r w:rsidRPr="00010F3C">
              <w:rPr>
                <w:rFonts w:asciiTheme="minorHAnsi" w:hAnsiTheme="minorHAnsi" w:cstheme="minorHAnsi"/>
                <w:sz w:val="18"/>
                <w:szCs w:val="18"/>
              </w:rPr>
              <w:t xml:space="preserve">: NR (ns); </w:t>
            </w:r>
            <w:r w:rsidRPr="00010F3C">
              <w:rPr>
                <w:rFonts w:asciiTheme="minorHAnsi" w:hAnsiTheme="minorHAnsi" w:cstheme="minorHAnsi"/>
                <w:sz w:val="18"/>
                <w:szCs w:val="18"/>
                <w:u w:val="single"/>
              </w:rPr>
              <w:t>Norplant TZ</w:t>
            </w:r>
            <w:r>
              <w:rPr>
                <w:rFonts w:asciiTheme="minorHAnsi" w:hAnsiTheme="minorHAnsi" w:cstheme="minorHAnsi"/>
                <w:sz w:val="18"/>
                <w:szCs w:val="18"/>
                <w:u w:val="single"/>
              </w:rPr>
              <w:t>/</w:t>
            </w:r>
            <w:r w:rsidRPr="00010F3C">
              <w:rPr>
                <w:rFonts w:asciiTheme="minorHAnsi" w:hAnsiTheme="minorHAnsi" w:cstheme="minorHAnsi"/>
                <w:sz w:val="18"/>
                <w:szCs w:val="18"/>
                <w:u w:val="single"/>
              </w:rPr>
              <w:t xml:space="preserve">ZA site </w:t>
            </w:r>
            <w:proofErr w:type="spellStart"/>
            <w:r w:rsidRPr="00010F3C">
              <w:rPr>
                <w:rFonts w:asciiTheme="minorHAnsi" w:hAnsiTheme="minorHAnsi" w:cstheme="minorHAnsi"/>
                <w:sz w:val="18"/>
                <w:szCs w:val="18"/>
                <w:u w:val="single"/>
              </w:rPr>
              <w:t>aOR</w:t>
            </w:r>
            <w:proofErr w:type="spellEnd"/>
            <w:r w:rsidRPr="00010F3C">
              <w:rPr>
                <w:rFonts w:asciiTheme="minorHAnsi" w:hAnsiTheme="minorHAnsi" w:cstheme="minorHAnsi"/>
                <w:sz w:val="18"/>
                <w:szCs w:val="18"/>
              </w:rPr>
              <w:t>: NR (ns)</w:t>
            </w:r>
          </w:p>
          <w:p w14:paraId="03176E18" w14:textId="77777777" w:rsidR="00764A7F" w:rsidRPr="00010F3C" w:rsidRDefault="00764A7F" w:rsidP="00DB49DC">
            <w:pPr>
              <w:rPr>
                <w:rFonts w:asciiTheme="minorHAnsi" w:hAnsiTheme="minorHAnsi" w:cstheme="minorHAnsi"/>
                <w:sz w:val="18"/>
                <w:szCs w:val="18"/>
              </w:rPr>
            </w:pPr>
          </w:p>
        </w:tc>
      </w:tr>
      <w:tr w:rsidR="00764A7F" w:rsidRPr="00010F3C" w14:paraId="374CF4C0" w14:textId="77777777" w:rsidTr="00DB49DC">
        <w:trPr>
          <w:trHeight w:val="530"/>
        </w:trPr>
        <w:tc>
          <w:tcPr>
            <w:tcW w:w="985" w:type="dxa"/>
          </w:tcPr>
          <w:p w14:paraId="250EBEEC" w14:textId="77777777" w:rsidR="00764A7F" w:rsidRPr="00010F3C" w:rsidRDefault="00764A7F" w:rsidP="00DB49DC">
            <w:pPr>
              <w:rPr>
                <w:rFonts w:asciiTheme="minorHAnsi" w:hAnsiTheme="minorHAnsi" w:cstheme="minorHAnsi"/>
                <w:sz w:val="18"/>
                <w:szCs w:val="18"/>
              </w:rPr>
            </w:pPr>
            <w:proofErr w:type="spellStart"/>
            <w:r>
              <w:rPr>
                <w:rFonts w:asciiTheme="minorHAnsi" w:hAnsiTheme="minorHAnsi" w:cstheme="minorHAnsi"/>
                <w:sz w:val="18"/>
                <w:szCs w:val="18"/>
              </w:rPr>
              <w:t>Louv</w:t>
            </w:r>
            <w:proofErr w:type="spellEnd"/>
            <w:r>
              <w:rPr>
                <w:rFonts w:asciiTheme="minorHAnsi" w:hAnsiTheme="minorHAnsi" w:cstheme="minorHAnsi"/>
                <w:sz w:val="18"/>
                <w:szCs w:val="18"/>
              </w:rPr>
              <w:t xml:space="preserve">, 1989 </w:t>
            </w:r>
            <w:r>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{"citationItems":[{"id":"ITEM-1","itemData":{"PMID":"2916625","abstract":"Oral contraceptive users were compared with nonusers with respect to the rate of cervical infections by Chlamydia trachomatis and Neisseria gonorrhoeae. The comparison was adjusted for differences in demographic and behavioral characteristics between the two groups. The rates of infection among oral contraceptive users were increased by approximately 70% (statistically significant) for both pathogens. Cervical ectopy was implicated in the increased rate of chlamydia but not gonorrhea. Rates of gonorrheal infection differed significantly among oral contraceptive formulations; rates were higher for formulations containing more androgenic progestins. The rate of cervical infections by Chlamydia trachomatis and Neisseria gonorrhoeae was compared in 617 oral contraceptive (OC) users and 101 controls who were either IUD users or were sterilized. Study subjects were drawn from an Alabama sexually transmitted diseases clinic; 89% were black and the average age was 23 years. OC use was associated with a 73% increase in chlamydial risk and a 70% increase in the risk of gonococcal infection. The number of sexual partners was positively correlated with the rates of both infections, while age was negatively related. 46% of the OC users compared with 19% of nonusers had cervical ectopy. However, the difference of the effect of ectopy on chlamydia and gonorrhea was not statistically significant between OC users and nonusers. The amount of estrogen in the OC was not associated with ectopy, chlamydia, or gonorrhea. In contrast, gonorrhea rates were higher for women taking OCs that contained norethindrone and norgestrel. Formulations containing the less androgenic progestin, norethindrone acetate, were not associated with increased gonococcal risk. These findings suggest that women using OCs, especially OCs that contain norgestrel, should be screened more aggressively than nonusers of OCs for both gonorrhea and chlamydia.","author":[{"dropping-particle":"","family":"Louv","given":"W C","non-dropping-particle":"","parse-names":false,"suffix":""},{"dropping-particle":"","family":"Austin","given":"H","non-dropping-particle":"","parse-names":false,"suffix":""},{"dropping-particle":"","family":"Perlman","given":"J","non-dropping-particle":"","parse-names":false,"suffix":""},{"dropping-particle":"","family":"Alexander","given":"W J","non-dropping-particle":"","parse-names":false,"suffix":""}],"container-title":"American Journal of Obstetrics and Gynecology","id":"ITEM-1","issue":"2","issued":{"date-parts":[["1989","2"]]},"page":"396-402","title":"Oral contraceptive use and the risk of chlamydial and gonococcal infections","type":"article-journal","volume":"160"},"uris":["http://www.mendeley.com/documents/?uuid=e5a0e5a4-8fa9-3b78-8d74-f4284acec539"]}],"mendeley":{"formattedCitation":"[23]","plainTextFormattedCitation":"[23]","previouslyFormattedCitation":"[23]"},"properties":{"noteIndex":0},"schema":"https://github.com/citation-style-language/schema/raw/master/csl-citation.json"}</w:instrText>
            </w:r>
            <w:r>
              <w:rPr>
                <w:rFonts w:asciiTheme="minorHAnsi" w:hAnsiTheme="minorHAnsi" w:cstheme="minorHAnsi"/>
                <w:sz w:val="18"/>
                <w:szCs w:val="18"/>
              </w:rPr>
              <w:fldChar w:fldCharType="separate"/>
            </w:r>
            <w:r w:rsidRPr="00E115DE">
              <w:rPr>
                <w:rFonts w:asciiTheme="minorHAnsi" w:hAnsiTheme="minorHAnsi" w:cstheme="minorHAnsi"/>
                <w:noProof/>
                <w:sz w:val="18"/>
                <w:szCs w:val="18"/>
              </w:rPr>
              <w:t>[23]</w:t>
            </w:r>
            <w:r>
              <w:rPr>
                <w:rFonts w:asciiTheme="minorHAnsi" w:hAnsiTheme="minorHAnsi" w:cstheme="minorHAnsi"/>
                <w:sz w:val="18"/>
                <w:szCs w:val="18"/>
              </w:rPr>
              <w:fldChar w:fldCharType="end"/>
            </w:r>
          </w:p>
        </w:tc>
        <w:tc>
          <w:tcPr>
            <w:tcW w:w="2160" w:type="dxa"/>
          </w:tcPr>
          <w:p w14:paraId="41BF1AF5" w14:textId="77777777" w:rsidR="00764A7F" w:rsidRPr="00010F3C" w:rsidRDefault="00764A7F" w:rsidP="00DB49DC">
            <w:pPr>
              <w:pStyle w:val="p1"/>
              <w:rPr>
                <w:rFonts w:asciiTheme="minorHAnsi" w:hAnsiTheme="minorHAnsi" w:cstheme="minorHAnsi"/>
                <w:sz w:val="18"/>
                <w:szCs w:val="18"/>
              </w:rPr>
            </w:pPr>
            <w:r>
              <w:rPr>
                <w:rFonts w:asciiTheme="minorHAnsi" w:hAnsiTheme="minorHAnsi" w:cstheme="minorHAnsi"/>
                <w:sz w:val="18"/>
                <w:szCs w:val="18"/>
              </w:rPr>
              <w:t xml:space="preserve">818, U.S. women ages 19 to 29 attending a STI clinic in Birmingham Alabama; </w:t>
            </w:r>
            <w:r>
              <w:rPr>
                <w:rFonts w:asciiTheme="minorHAnsi" w:hAnsiTheme="minorHAnsi" w:cstheme="minorHAnsi"/>
                <w:i/>
                <w:sz w:val="18"/>
                <w:szCs w:val="18"/>
              </w:rPr>
              <w:t>N=214 incident cases</w:t>
            </w:r>
            <w:r>
              <w:rPr>
                <w:rFonts w:asciiTheme="minorHAnsi" w:hAnsiTheme="minorHAnsi" w:cstheme="minorHAnsi"/>
                <w:sz w:val="18"/>
                <w:szCs w:val="18"/>
                <w:vertAlign w:val="superscript"/>
              </w:rPr>
              <w:t xml:space="preserve"> b</w:t>
            </w:r>
            <w:r>
              <w:rPr>
                <w:rFonts w:asciiTheme="minorHAnsi" w:hAnsiTheme="minorHAnsi" w:cstheme="minorHAnsi"/>
                <w:sz w:val="18"/>
                <w:szCs w:val="18"/>
              </w:rPr>
              <w:t xml:space="preserve"> </w:t>
            </w:r>
          </w:p>
        </w:tc>
        <w:tc>
          <w:tcPr>
            <w:tcW w:w="1350" w:type="dxa"/>
          </w:tcPr>
          <w:p w14:paraId="5B79FDD2" w14:textId="77777777" w:rsidR="00764A7F" w:rsidRPr="00010F3C" w:rsidRDefault="00764A7F" w:rsidP="00DB49DC">
            <w:pPr>
              <w:rPr>
                <w:rFonts w:asciiTheme="minorHAnsi" w:hAnsiTheme="minorHAnsi" w:cstheme="minorHAnsi"/>
                <w:sz w:val="18"/>
                <w:szCs w:val="18"/>
              </w:rPr>
            </w:pPr>
            <w:r>
              <w:rPr>
                <w:rFonts w:asciiTheme="minorHAnsi" w:hAnsiTheme="minorHAnsi" w:cstheme="minorHAnsi"/>
                <w:sz w:val="18"/>
                <w:szCs w:val="18"/>
              </w:rPr>
              <w:t>6M; Monthly</w:t>
            </w:r>
          </w:p>
        </w:tc>
        <w:tc>
          <w:tcPr>
            <w:tcW w:w="1440" w:type="dxa"/>
          </w:tcPr>
          <w:p w14:paraId="720B52CD" w14:textId="77777777" w:rsidR="00764A7F" w:rsidRPr="00010F3C" w:rsidRDefault="00764A7F" w:rsidP="00DB49DC">
            <w:pPr>
              <w:rPr>
                <w:rFonts w:asciiTheme="minorHAnsi" w:hAnsiTheme="minorHAnsi" w:cstheme="minorHAnsi"/>
                <w:sz w:val="18"/>
                <w:szCs w:val="18"/>
                <w:u w:val="single"/>
              </w:rPr>
            </w:pPr>
            <w:r>
              <w:rPr>
                <w:rFonts w:asciiTheme="minorHAnsi" w:hAnsiTheme="minorHAnsi" w:cstheme="minorHAnsi"/>
                <w:sz w:val="18"/>
                <w:szCs w:val="18"/>
                <w:u w:val="single"/>
              </w:rPr>
              <w:t>F</w:t>
            </w:r>
            <w:r w:rsidRPr="00702569">
              <w:rPr>
                <w:rFonts w:asciiTheme="minorHAnsi" w:hAnsiTheme="minorHAnsi" w:cstheme="minorHAnsi"/>
                <w:sz w:val="18"/>
                <w:szCs w:val="18"/>
                <w:u w:val="single"/>
              </w:rPr>
              <w:t>luorescein-tagged antibody</w:t>
            </w:r>
            <w:r>
              <w:rPr>
                <w:rFonts w:asciiTheme="minorHAnsi" w:hAnsiTheme="minorHAnsi" w:cstheme="minorHAnsi"/>
                <w:sz w:val="18"/>
                <w:szCs w:val="18"/>
                <w:u w:val="single"/>
              </w:rPr>
              <w:t xml:space="preserve">; </w:t>
            </w:r>
            <w:proofErr w:type="spellStart"/>
            <w:r w:rsidRPr="00702569">
              <w:rPr>
                <w:rFonts w:asciiTheme="minorHAnsi" w:hAnsiTheme="minorHAnsi" w:cstheme="minorHAnsi"/>
                <w:sz w:val="18"/>
                <w:szCs w:val="18"/>
                <w:u w:val="single"/>
              </w:rPr>
              <w:t>Microtrak</w:t>
            </w:r>
            <w:proofErr w:type="spellEnd"/>
            <w:r w:rsidRPr="00702569">
              <w:rPr>
                <w:rFonts w:asciiTheme="minorHAnsi" w:hAnsiTheme="minorHAnsi" w:cstheme="minorHAnsi"/>
                <w:sz w:val="18"/>
                <w:szCs w:val="18"/>
                <w:u w:val="single"/>
              </w:rPr>
              <w:t xml:space="preserve"> Culture confirmation (</w:t>
            </w:r>
            <w:proofErr w:type="spellStart"/>
            <w:r w:rsidRPr="00702569">
              <w:rPr>
                <w:rFonts w:asciiTheme="minorHAnsi" w:hAnsiTheme="minorHAnsi" w:cstheme="minorHAnsi"/>
                <w:sz w:val="18"/>
                <w:szCs w:val="18"/>
                <w:u w:val="single"/>
              </w:rPr>
              <w:t>Syva</w:t>
            </w:r>
            <w:proofErr w:type="spellEnd"/>
            <w:r w:rsidRPr="00702569">
              <w:rPr>
                <w:rFonts w:asciiTheme="minorHAnsi" w:hAnsiTheme="minorHAnsi" w:cstheme="minorHAnsi"/>
                <w:sz w:val="18"/>
                <w:szCs w:val="18"/>
                <w:u w:val="single"/>
              </w:rPr>
              <w:t xml:space="preserve"> CO)</w:t>
            </w:r>
          </w:p>
        </w:tc>
        <w:tc>
          <w:tcPr>
            <w:tcW w:w="2700" w:type="dxa"/>
          </w:tcPr>
          <w:p w14:paraId="377489CB" w14:textId="77777777" w:rsidR="00764A7F" w:rsidRPr="00010F3C" w:rsidRDefault="00764A7F" w:rsidP="00DB49DC">
            <w:pPr>
              <w:rPr>
                <w:rFonts w:asciiTheme="minorHAnsi" w:hAnsiTheme="minorHAnsi" w:cstheme="minorHAnsi"/>
                <w:sz w:val="18"/>
                <w:szCs w:val="18"/>
              </w:rPr>
            </w:pPr>
            <w:r w:rsidRPr="001C18C9">
              <w:rPr>
                <w:rFonts w:asciiTheme="minorHAnsi" w:hAnsiTheme="minorHAnsi" w:cstheme="minorHAnsi"/>
                <w:sz w:val="18"/>
                <w:szCs w:val="18"/>
              </w:rPr>
              <w:t>Age, mean number of sex acts per month, mean number of partners during follow-up period, parity, gravidity</w:t>
            </w:r>
          </w:p>
        </w:tc>
        <w:tc>
          <w:tcPr>
            <w:tcW w:w="1350" w:type="dxa"/>
          </w:tcPr>
          <w:p w14:paraId="0CD70C63" w14:textId="77777777" w:rsidR="00764A7F" w:rsidRPr="00010F3C" w:rsidRDefault="00764A7F" w:rsidP="00DB49DC">
            <w:pPr>
              <w:rPr>
                <w:rFonts w:asciiTheme="minorHAnsi" w:hAnsiTheme="minorHAnsi" w:cstheme="minorHAnsi"/>
                <w:sz w:val="18"/>
                <w:szCs w:val="18"/>
              </w:rPr>
            </w:pPr>
            <w:r>
              <w:rPr>
                <w:rFonts w:asciiTheme="minorHAnsi" w:hAnsiTheme="minorHAnsi" w:cstheme="minorHAnsi"/>
                <w:sz w:val="18"/>
                <w:szCs w:val="18"/>
              </w:rPr>
              <w:t>Tubal ligation or IUD user</w:t>
            </w:r>
          </w:p>
        </w:tc>
        <w:tc>
          <w:tcPr>
            <w:tcW w:w="1283" w:type="dxa"/>
          </w:tcPr>
          <w:p w14:paraId="3102EB10" w14:textId="77777777" w:rsidR="00764A7F" w:rsidRPr="009A5171" w:rsidRDefault="00764A7F" w:rsidP="00DB49DC">
            <w:pPr>
              <w:rPr>
                <w:rFonts w:asciiTheme="minorHAnsi" w:hAnsiTheme="minorHAnsi" w:cstheme="minorHAnsi"/>
                <w:sz w:val="18"/>
                <w:szCs w:val="18"/>
              </w:rPr>
            </w:pPr>
            <w:bookmarkStart w:id="0" w:name="_GoBack"/>
            <w:r w:rsidRPr="009A5171">
              <w:rPr>
                <w:rFonts w:asciiTheme="minorHAnsi" w:hAnsiTheme="minorHAnsi" w:cstheme="minorHAnsi"/>
                <w:sz w:val="18"/>
                <w:szCs w:val="18"/>
              </w:rPr>
              <w:t xml:space="preserve">COC: </w:t>
            </w:r>
            <w:proofErr w:type="spellStart"/>
            <w:r w:rsidRPr="009A5171">
              <w:rPr>
                <w:rFonts w:asciiTheme="minorHAnsi" w:hAnsiTheme="minorHAnsi" w:cstheme="minorHAnsi"/>
                <w:sz w:val="18"/>
                <w:szCs w:val="18"/>
              </w:rPr>
              <w:t>aHR</w:t>
            </w:r>
            <w:proofErr w:type="spellEnd"/>
            <w:r w:rsidRPr="009A5171">
              <w:rPr>
                <w:rFonts w:asciiTheme="minorHAnsi" w:hAnsiTheme="minorHAnsi" w:cstheme="minorHAnsi"/>
                <w:sz w:val="18"/>
                <w:szCs w:val="18"/>
              </w:rPr>
              <w:t xml:space="preserve">: 1.73 (1.08, </w:t>
            </w:r>
            <w:proofErr w:type="gramStart"/>
            <w:r w:rsidRPr="009A5171">
              <w:rPr>
                <w:rFonts w:asciiTheme="minorHAnsi" w:hAnsiTheme="minorHAnsi" w:cstheme="minorHAnsi"/>
                <w:sz w:val="18"/>
                <w:szCs w:val="18"/>
              </w:rPr>
              <w:t>2.77)*</w:t>
            </w:r>
            <w:proofErr w:type="gramEnd"/>
          </w:p>
          <w:bookmarkEnd w:id="0"/>
          <w:p w14:paraId="58008806" w14:textId="77777777" w:rsidR="00764A7F" w:rsidRDefault="00764A7F" w:rsidP="00DB49DC">
            <w:pPr>
              <w:rPr>
                <w:rFonts w:asciiTheme="minorHAnsi" w:hAnsiTheme="minorHAnsi" w:cstheme="minorHAnsi"/>
                <w:sz w:val="18"/>
                <w:szCs w:val="18"/>
                <w:u w:val="single"/>
              </w:rPr>
            </w:pPr>
          </w:p>
          <w:p w14:paraId="276F2566" w14:textId="77777777" w:rsidR="00764A7F" w:rsidRPr="00010F3C" w:rsidRDefault="00764A7F" w:rsidP="00DB49DC">
            <w:pPr>
              <w:rPr>
                <w:rFonts w:asciiTheme="minorHAnsi" w:hAnsiTheme="minorHAnsi" w:cstheme="minorHAnsi"/>
                <w:sz w:val="18"/>
                <w:szCs w:val="18"/>
                <w:u w:val="single"/>
              </w:rPr>
            </w:pPr>
          </w:p>
        </w:tc>
        <w:tc>
          <w:tcPr>
            <w:tcW w:w="1350" w:type="dxa"/>
          </w:tcPr>
          <w:p w14:paraId="6DFA7E03" w14:textId="77777777" w:rsidR="00764A7F" w:rsidRPr="00010F3C" w:rsidRDefault="00764A7F" w:rsidP="00DB49DC">
            <w:pPr>
              <w:rPr>
                <w:rFonts w:asciiTheme="minorHAnsi" w:hAnsiTheme="minorHAnsi" w:cstheme="minorHAnsi"/>
                <w:sz w:val="18"/>
                <w:szCs w:val="18"/>
                <w:u w:val="single"/>
              </w:rPr>
            </w:pPr>
            <w:r>
              <w:rPr>
                <w:rFonts w:asciiTheme="minorHAnsi" w:hAnsiTheme="minorHAnsi" w:cstheme="minorHAnsi"/>
                <w:sz w:val="18"/>
                <w:szCs w:val="18"/>
                <w:u w:val="single"/>
              </w:rPr>
              <w:t>NA</w:t>
            </w:r>
          </w:p>
        </w:tc>
        <w:tc>
          <w:tcPr>
            <w:tcW w:w="1440" w:type="dxa"/>
          </w:tcPr>
          <w:p w14:paraId="3DC12FA0" w14:textId="77777777" w:rsidR="00764A7F" w:rsidRPr="00010F3C" w:rsidRDefault="00764A7F" w:rsidP="00DB49DC">
            <w:pPr>
              <w:rPr>
                <w:rFonts w:asciiTheme="minorHAnsi" w:hAnsiTheme="minorHAnsi" w:cstheme="minorHAnsi"/>
                <w:sz w:val="18"/>
                <w:szCs w:val="18"/>
                <w:u w:val="single"/>
              </w:rPr>
            </w:pPr>
            <w:r>
              <w:rPr>
                <w:rFonts w:asciiTheme="minorHAnsi" w:hAnsiTheme="minorHAnsi" w:cstheme="minorHAnsi"/>
                <w:sz w:val="18"/>
                <w:szCs w:val="18"/>
                <w:u w:val="single"/>
              </w:rPr>
              <w:t>NA</w:t>
            </w:r>
          </w:p>
        </w:tc>
      </w:tr>
      <w:tr w:rsidR="00764A7F" w:rsidRPr="00010F3C" w14:paraId="783C2303" w14:textId="77777777" w:rsidTr="00DB49DC">
        <w:trPr>
          <w:trHeight w:val="530"/>
        </w:trPr>
        <w:tc>
          <w:tcPr>
            <w:tcW w:w="985" w:type="dxa"/>
          </w:tcPr>
          <w:p w14:paraId="1E564B9C" w14:textId="77777777" w:rsidR="00764A7F" w:rsidRPr="003770C1" w:rsidRDefault="00764A7F" w:rsidP="00DB49DC">
            <w:pPr>
              <w:rPr>
                <w:rFonts w:asciiTheme="minorHAnsi" w:hAnsiTheme="minorHAnsi" w:cstheme="minorHAnsi"/>
                <w:sz w:val="18"/>
                <w:szCs w:val="18"/>
              </w:rPr>
            </w:pPr>
            <w:proofErr w:type="spellStart"/>
            <w:r w:rsidRPr="003205B7">
              <w:rPr>
                <w:rFonts w:asciiTheme="minorHAnsi" w:hAnsiTheme="minorHAnsi" w:cstheme="minorHAnsi"/>
                <w:sz w:val="18"/>
                <w:szCs w:val="18"/>
              </w:rPr>
              <w:lastRenderedPageBreak/>
              <w:t>Lavreys</w:t>
            </w:r>
            <w:proofErr w:type="spellEnd"/>
            <w:r>
              <w:rPr>
                <w:rFonts w:asciiTheme="minorHAnsi" w:hAnsiTheme="minorHAnsi" w:cstheme="minorHAnsi"/>
                <w:sz w:val="18"/>
                <w:szCs w:val="18"/>
              </w:rPr>
              <w:t>,</w:t>
            </w:r>
            <w:r w:rsidRPr="003205B7">
              <w:rPr>
                <w:rFonts w:asciiTheme="minorHAnsi" w:hAnsiTheme="minorHAnsi" w:cstheme="minorHAnsi"/>
                <w:sz w:val="18"/>
                <w:szCs w:val="18"/>
              </w:rPr>
              <w:t xml:space="preserve"> 2004  </w:t>
            </w:r>
            <w:r>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{"citationItems":[{"id":"ITEM-1","itemData":{"PMID":"15577651","abstract":"OBJECTIVE To evaluate the relationship between hormonal contraceptive use and the acquisition of cervical sexually transmitted infections (STI) among HIV-1-infected women. DESIGN A prospective cohort study of 242 commercial sex workers in Mombasa, Kenya, followed from the time of HIV-1 infection. METHODS At monthly follow-up visits, sexual behavior and contraceptive use were recorded, and laboratory screening for STI was performed. Multivariate Andersen-Gill proportional hazards models were constructed to examine the association between the use of hormonal contraception and the occurrence of cervical STI. RESULTS The median duration of follow-up after HIV-1 acquisition was 35 months, and 799 person-years of follow-up were accrued. After adjustment for demographic factors and sexual behavior, women using the injectable contraceptive depot medroxyprogesterone acetate were at increased risk of Chlamydia trachomatis infection [hazard ratio (HR) 3.1, 95% confidence interval (CI) 1.0-9.4, P = 0.05] and cervicitis (HR 1.6, 95% CI 1.0-2.3, P = 0.03) compared with women using no contraception. The use of oral contraceptive pills was associated with an increased risk of cervicitis (HR 2.3, 95% CI 1.4-3.8, P = 0.001). Hormonal contraception was not associated with an increased risk of infection with Neisseria gonorrhoeae. CONCLUSION The use of hormonal contraception by HIV-1-infected women was associated with an increased risk of cervicitis and cervical chlamydia infection. HIV-1-seropositive women using hormonal contraception should be counseled about the importance of consistent condom use to prevent both STI and HIV-1 transmission.","author":[{"dropping-particle":"","family":"Lavreys","given":"Ludo","non-dropping-particle":"","parse-names":false,"suffix":""},{"dropping-particle":"","family":"Chohan","given":"Varsha","non-dropping-particle":"","parse-names":false,"suffix":""},{"dropping-particle":"","family":"Overbaugh","given":"Julie","non-dropping-particle":"","parse-names":false,"suffix":""},{"dropping-particle":"","family":"Hassan","given":"Wisal","non-dropping-particle":"","parse-names":false,"suffix":""},{"dropping-particle":"","family":"McClelland","given":"R Scott","non-dropping-particle":"","parse-names":false,"suffix":""},{"dropping-particle":"","family":"Kreiss","given":"Joan","non-dropping-particle":"","parse-names":false,"suffix":""},{"dropping-particle":"","family":"Mandaliya","given":"Kishorchandra","non-dropping-particle":"","parse-names":false,"suffix":""},{"dropping-particle":"","family":"Ndinya-Achola","given":"Jeckoniah","non-dropping-particle":"","parse-names":false,"suffix":""},{"dropping-particle":"","family":"Baeten","given":"Jared M","non-dropping-particle":"","parse-names":false,"suffix":""}],"container-title":"AIDS","id":"ITEM-1","issue":"16","issued":{"date-parts":[["2004","11","5"]]},"page":"2179-84","title":"Hormonal contraception and risk of cervical infections among HIV-1-seropositive Kenyan women.","type":"article-journal","volume":"18"},"uris":["http://www.mendeley.com/documents/?uuid=1293a26e-ffa5-3334-9218-5711b0ffcca4"]}],"mendeley":{"formattedCitation":"[22]","plainTextFormattedCitation":"[22]","previouslyFormattedCitation":"[22]"},"properties":{"noteIndex":0},"schema":"https://github.com/citation-style-language/schema/raw/master/csl-citation.json"}</w:instrText>
            </w:r>
            <w:r>
              <w:rPr>
                <w:rFonts w:asciiTheme="minorHAnsi" w:hAnsiTheme="minorHAnsi" w:cstheme="minorHAnsi"/>
                <w:sz w:val="18"/>
                <w:szCs w:val="18"/>
              </w:rPr>
              <w:fldChar w:fldCharType="separate"/>
            </w:r>
            <w:r w:rsidRPr="00E115DE">
              <w:rPr>
                <w:rFonts w:asciiTheme="minorHAnsi" w:hAnsiTheme="minorHAnsi" w:cstheme="minorHAnsi"/>
                <w:noProof/>
                <w:sz w:val="18"/>
                <w:szCs w:val="18"/>
              </w:rPr>
              <w:t>[22]</w:t>
            </w:r>
            <w:r>
              <w:rPr>
                <w:rFonts w:asciiTheme="minorHAnsi" w:hAnsiTheme="minorHAnsi" w:cstheme="minorHAnsi"/>
                <w:sz w:val="18"/>
                <w:szCs w:val="18"/>
              </w:rPr>
              <w:fldChar w:fldCharType="end"/>
            </w:r>
          </w:p>
        </w:tc>
        <w:tc>
          <w:tcPr>
            <w:tcW w:w="2160" w:type="dxa"/>
          </w:tcPr>
          <w:p w14:paraId="6F9F5BB0" w14:textId="77777777" w:rsidR="00764A7F" w:rsidRPr="003770C1" w:rsidRDefault="00764A7F" w:rsidP="00DB49DC">
            <w:pPr>
              <w:pStyle w:val="p1"/>
              <w:rPr>
                <w:rFonts w:asciiTheme="minorHAnsi" w:hAnsiTheme="minorHAnsi" w:cstheme="minorHAnsi"/>
                <w:sz w:val="18"/>
                <w:szCs w:val="18"/>
              </w:rPr>
            </w:pPr>
            <w:r w:rsidRPr="006E314D">
              <w:rPr>
                <w:rFonts w:asciiTheme="minorHAnsi" w:hAnsiTheme="minorHAnsi" w:cstheme="minorHAnsi"/>
                <w:sz w:val="18"/>
                <w:szCs w:val="18"/>
              </w:rPr>
              <w:t>2</w:t>
            </w:r>
            <w:r w:rsidRPr="002E5706">
              <w:rPr>
                <w:rFonts w:asciiTheme="minorHAnsi" w:hAnsiTheme="minorHAnsi" w:cstheme="minorHAnsi"/>
                <w:sz w:val="18"/>
                <w:szCs w:val="18"/>
              </w:rPr>
              <w:t>42, HIV-1 positive c</w:t>
            </w:r>
            <w:r w:rsidRPr="003205B7">
              <w:rPr>
                <w:rFonts w:asciiTheme="minorHAnsi" w:hAnsiTheme="minorHAnsi" w:cstheme="minorHAnsi"/>
                <w:sz w:val="18"/>
                <w:szCs w:val="18"/>
              </w:rPr>
              <w:t xml:space="preserve">ommercial sex workers attending STI clinic in Mombasa, Kenya; </w:t>
            </w:r>
            <w:r w:rsidRPr="00F77DB6">
              <w:rPr>
                <w:rFonts w:asciiTheme="minorHAnsi" w:hAnsiTheme="minorHAnsi" w:cstheme="minorHAnsi"/>
                <w:i/>
                <w:sz w:val="18"/>
                <w:szCs w:val="18"/>
              </w:rPr>
              <w:t>N=26 incident cases</w:t>
            </w:r>
            <w:r w:rsidRPr="003205B7">
              <w:rPr>
                <w:rFonts w:asciiTheme="minorHAnsi" w:hAnsiTheme="minorHAnsi" w:cstheme="minorHAnsi"/>
                <w:i/>
                <w:sz w:val="18"/>
                <w:szCs w:val="18"/>
              </w:rPr>
              <w:t>, incidence rate: 7.7/100 PY</w:t>
            </w:r>
          </w:p>
        </w:tc>
        <w:tc>
          <w:tcPr>
            <w:tcW w:w="1350" w:type="dxa"/>
          </w:tcPr>
          <w:p w14:paraId="4F8D5BBC" w14:textId="77777777" w:rsidR="00764A7F" w:rsidRPr="003205B7" w:rsidRDefault="00764A7F" w:rsidP="00DB49DC">
            <w:pPr>
              <w:rPr>
                <w:rFonts w:asciiTheme="minorHAnsi" w:hAnsiTheme="minorHAnsi" w:cstheme="minorHAnsi"/>
                <w:sz w:val="18"/>
                <w:szCs w:val="18"/>
              </w:rPr>
            </w:pPr>
            <w:r w:rsidRPr="006E314D">
              <w:rPr>
                <w:rFonts w:asciiTheme="minorHAnsi" w:hAnsiTheme="minorHAnsi" w:cstheme="minorHAnsi"/>
                <w:sz w:val="18"/>
                <w:szCs w:val="18"/>
              </w:rPr>
              <w:t xml:space="preserve">Median follow-up </w:t>
            </w:r>
            <w:r w:rsidRPr="002E5706">
              <w:rPr>
                <w:rFonts w:asciiTheme="minorHAnsi" w:hAnsiTheme="minorHAnsi" w:cstheme="minorHAnsi"/>
                <w:sz w:val="18"/>
                <w:szCs w:val="18"/>
              </w:rPr>
              <w:t xml:space="preserve">35M (IQR: 11-62M); </w:t>
            </w:r>
            <w:r w:rsidRPr="003205B7">
              <w:rPr>
                <w:rFonts w:asciiTheme="minorHAnsi" w:hAnsiTheme="minorHAnsi" w:cstheme="minorHAnsi"/>
                <w:sz w:val="18"/>
                <w:szCs w:val="18"/>
              </w:rPr>
              <w:t>Every 1M</w:t>
            </w:r>
          </w:p>
        </w:tc>
        <w:tc>
          <w:tcPr>
            <w:tcW w:w="1440" w:type="dxa"/>
          </w:tcPr>
          <w:p w14:paraId="7D050B3E" w14:textId="77777777" w:rsidR="00764A7F" w:rsidRPr="003205B7" w:rsidRDefault="00764A7F" w:rsidP="00DB49DC">
            <w:pPr>
              <w:rPr>
                <w:rFonts w:asciiTheme="minorHAnsi" w:hAnsiTheme="minorHAnsi" w:cstheme="minorHAnsi"/>
                <w:sz w:val="18"/>
                <w:szCs w:val="18"/>
                <w:u w:val="single"/>
              </w:rPr>
            </w:pPr>
            <w:r w:rsidRPr="003205B7">
              <w:rPr>
                <w:rFonts w:asciiTheme="minorHAnsi" w:hAnsiTheme="minorHAnsi" w:cstheme="minorHAnsi"/>
                <w:sz w:val="18"/>
                <w:szCs w:val="18"/>
                <w:u w:val="single"/>
              </w:rPr>
              <w:t>Antigen test by ELISA (</w:t>
            </w:r>
            <w:proofErr w:type="spellStart"/>
            <w:r w:rsidRPr="003205B7">
              <w:rPr>
                <w:rFonts w:asciiTheme="minorHAnsi" w:hAnsiTheme="minorHAnsi" w:cstheme="minorHAnsi"/>
                <w:sz w:val="18"/>
                <w:szCs w:val="18"/>
                <w:u w:val="single"/>
              </w:rPr>
              <w:t>Microtrak</w:t>
            </w:r>
            <w:proofErr w:type="spellEnd"/>
            <w:r w:rsidRPr="003205B7">
              <w:rPr>
                <w:rFonts w:asciiTheme="minorHAnsi" w:hAnsiTheme="minorHAnsi" w:cstheme="minorHAnsi"/>
                <w:sz w:val="18"/>
                <w:szCs w:val="18"/>
                <w:u w:val="single"/>
              </w:rPr>
              <w:t xml:space="preserve">, </w:t>
            </w:r>
            <w:proofErr w:type="spellStart"/>
            <w:r w:rsidRPr="003205B7">
              <w:rPr>
                <w:rFonts w:asciiTheme="minorHAnsi" w:hAnsiTheme="minorHAnsi" w:cstheme="minorHAnsi"/>
                <w:sz w:val="18"/>
                <w:szCs w:val="18"/>
                <w:u w:val="single"/>
              </w:rPr>
              <w:t>Syva</w:t>
            </w:r>
            <w:proofErr w:type="spellEnd"/>
            <w:r w:rsidRPr="003205B7">
              <w:rPr>
                <w:rFonts w:asciiTheme="minorHAnsi" w:hAnsiTheme="minorHAnsi" w:cstheme="minorHAnsi"/>
                <w:sz w:val="18"/>
                <w:szCs w:val="18"/>
                <w:u w:val="single"/>
              </w:rPr>
              <w:t>)</w:t>
            </w:r>
          </w:p>
        </w:tc>
        <w:tc>
          <w:tcPr>
            <w:tcW w:w="2700" w:type="dxa"/>
          </w:tcPr>
          <w:p w14:paraId="458D4275" w14:textId="77777777" w:rsidR="00764A7F" w:rsidRPr="003205B7" w:rsidRDefault="00764A7F" w:rsidP="00DB49DC">
            <w:pPr>
              <w:rPr>
                <w:rFonts w:asciiTheme="minorHAnsi" w:hAnsiTheme="minorHAnsi" w:cstheme="minorHAnsi"/>
                <w:sz w:val="18"/>
                <w:szCs w:val="18"/>
              </w:rPr>
            </w:pPr>
            <w:r w:rsidRPr="003205B7">
              <w:rPr>
                <w:rFonts w:asciiTheme="minorHAnsi" w:hAnsiTheme="minorHAnsi" w:cstheme="minorHAnsi"/>
                <w:sz w:val="18"/>
                <w:szCs w:val="18"/>
              </w:rPr>
              <w:t>Age, years of education, years of sex work, parity, workplace, number of sexual partners per week, condom use</w:t>
            </w:r>
          </w:p>
        </w:tc>
        <w:tc>
          <w:tcPr>
            <w:tcW w:w="1350" w:type="dxa"/>
          </w:tcPr>
          <w:p w14:paraId="573B62EF" w14:textId="77777777" w:rsidR="00764A7F" w:rsidRPr="003205B7" w:rsidRDefault="00764A7F" w:rsidP="00DB49DC">
            <w:pPr>
              <w:rPr>
                <w:rFonts w:asciiTheme="minorHAnsi" w:hAnsiTheme="minorHAnsi" w:cstheme="minorHAnsi"/>
                <w:sz w:val="18"/>
                <w:szCs w:val="18"/>
              </w:rPr>
            </w:pPr>
            <w:r w:rsidRPr="003205B7">
              <w:rPr>
                <w:rFonts w:asciiTheme="minorHAnsi" w:hAnsiTheme="minorHAnsi" w:cstheme="minorHAnsi"/>
                <w:sz w:val="18"/>
                <w:szCs w:val="18"/>
              </w:rPr>
              <w:t>No contraception or tubal ligation</w:t>
            </w:r>
          </w:p>
        </w:tc>
        <w:tc>
          <w:tcPr>
            <w:tcW w:w="1283" w:type="dxa"/>
          </w:tcPr>
          <w:p w14:paraId="1C4F6243" w14:textId="77777777" w:rsidR="00764A7F" w:rsidRPr="003205B7" w:rsidRDefault="00764A7F" w:rsidP="00DB49DC">
            <w:pPr>
              <w:rPr>
                <w:rFonts w:asciiTheme="minorHAnsi" w:hAnsiTheme="minorHAnsi" w:cstheme="minorHAnsi"/>
                <w:sz w:val="18"/>
                <w:szCs w:val="18"/>
                <w:u w:val="single"/>
              </w:rPr>
            </w:pPr>
            <w:r w:rsidRPr="00F77DB6">
              <w:rPr>
                <w:rFonts w:asciiTheme="minorHAnsi" w:eastAsiaTheme="minorHAnsi" w:hAnsiTheme="minorHAnsi" w:cstheme="minorHAnsi"/>
                <w:sz w:val="18"/>
                <w:szCs w:val="18"/>
              </w:rPr>
              <w:t xml:space="preserve">OCP: </w:t>
            </w:r>
            <w:proofErr w:type="spellStart"/>
            <w:r w:rsidRPr="00F77DB6">
              <w:rPr>
                <w:rFonts w:asciiTheme="minorHAnsi" w:eastAsiaTheme="minorHAnsi" w:hAnsiTheme="minorHAnsi" w:cstheme="minorHAnsi"/>
                <w:sz w:val="18"/>
                <w:szCs w:val="18"/>
              </w:rPr>
              <w:t>aHR</w:t>
            </w:r>
            <w:proofErr w:type="spellEnd"/>
            <w:r w:rsidRPr="00F77DB6">
              <w:rPr>
                <w:rFonts w:asciiTheme="minorHAnsi" w:eastAsiaTheme="minorHAnsi" w:hAnsiTheme="minorHAnsi" w:cstheme="minorHAnsi"/>
                <w:sz w:val="18"/>
                <w:szCs w:val="18"/>
              </w:rPr>
              <w:t xml:space="preserve"> 2.2</w:t>
            </w:r>
            <w:r>
              <w:rPr>
                <w:rFonts w:asciiTheme="minorHAnsi" w:eastAsiaTheme="minorHAnsi" w:hAnsiTheme="minorHAnsi" w:cstheme="minorHAnsi"/>
                <w:sz w:val="18"/>
                <w:szCs w:val="18"/>
              </w:rPr>
              <w:t>0</w:t>
            </w:r>
            <w:r w:rsidRPr="00F77DB6">
              <w:rPr>
                <w:rFonts w:asciiTheme="minorHAnsi" w:eastAsiaTheme="minorHAnsi" w:hAnsiTheme="minorHAnsi" w:cstheme="minorHAnsi"/>
                <w:sz w:val="18"/>
                <w:szCs w:val="18"/>
              </w:rPr>
              <w:t xml:space="preserve"> (0.70, 7.30)</w:t>
            </w:r>
          </w:p>
        </w:tc>
        <w:tc>
          <w:tcPr>
            <w:tcW w:w="1350" w:type="dxa"/>
          </w:tcPr>
          <w:p w14:paraId="2C796C59" w14:textId="77777777" w:rsidR="00764A7F" w:rsidRPr="003205B7" w:rsidRDefault="00764A7F" w:rsidP="00DB49DC">
            <w:pPr>
              <w:rPr>
                <w:rFonts w:asciiTheme="minorHAnsi" w:hAnsiTheme="minorHAnsi" w:cstheme="minorHAnsi"/>
                <w:sz w:val="18"/>
                <w:szCs w:val="18"/>
                <w:u w:val="single"/>
              </w:rPr>
            </w:pPr>
            <w:r w:rsidRPr="00F77DB6">
              <w:rPr>
                <w:rFonts w:asciiTheme="minorHAnsi" w:eastAsiaTheme="minorHAnsi" w:hAnsiTheme="minorHAnsi" w:cstheme="minorHAnsi"/>
                <w:sz w:val="18"/>
                <w:szCs w:val="18"/>
              </w:rPr>
              <w:t xml:space="preserve">DMPA: </w:t>
            </w:r>
            <w:proofErr w:type="spellStart"/>
            <w:r w:rsidRPr="00F77DB6">
              <w:rPr>
                <w:rFonts w:asciiTheme="minorHAnsi" w:eastAsiaTheme="minorHAnsi" w:hAnsiTheme="minorHAnsi" w:cstheme="minorHAnsi"/>
                <w:sz w:val="18"/>
                <w:szCs w:val="18"/>
              </w:rPr>
              <w:t>aHR</w:t>
            </w:r>
            <w:proofErr w:type="spellEnd"/>
            <w:r w:rsidRPr="00F77DB6">
              <w:rPr>
                <w:rFonts w:asciiTheme="minorHAnsi" w:eastAsiaTheme="minorHAnsi" w:hAnsiTheme="minorHAnsi" w:cstheme="minorHAnsi"/>
                <w:sz w:val="18"/>
                <w:szCs w:val="18"/>
              </w:rPr>
              <w:t xml:space="preserve"> 3.10 (1.0, </w:t>
            </w:r>
            <w:proofErr w:type="gramStart"/>
            <w:r w:rsidRPr="00F77DB6">
              <w:rPr>
                <w:rFonts w:asciiTheme="minorHAnsi" w:eastAsiaTheme="minorHAnsi" w:hAnsiTheme="minorHAnsi" w:cstheme="minorHAnsi"/>
                <w:sz w:val="18"/>
                <w:szCs w:val="18"/>
              </w:rPr>
              <w:t>9.4)</w:t>
            </w:r>
            <w:r w:rsidRPr="00F77DB6">
              <w:rPr>
                <w:rFonts w:asciiTheme="minorHAnsi" w:eastAsiaTheme="minorHAnsi" w:hAnsiTheme="minorHAnsi" w:cstheme="minorHAnsi"/>
                <w:sz w:val="18"/>
                <w:szCs w:val="18"/>
                <w:vertAlign w:val="superscript"/>
              </w:rPr>
              <w:t>#</w:t>
            </w:r>
            <w:proofErr w:type="gramEnd"/>
          </w:p>
        </w:tc>
        <w:tc>
          <w:tcPr>
            <w:tcW w:w="1440" w:type="dxa"/>
          </w:tcPr>
          <w:p w14:paraId="493E5B29" w14:textId="77777777" w:rsidR="00764A7F" w:rsidRPr="00010F3C" w:rsidRDefault="00764A7F" w:rsidP="00DB49DC">
            <w:pPr>
              <w:rPr>
                <w:rFonts w:asciiTheme="minorHAnsi" w:hAnsiTheme="minorHAnsi" w:cstheme="minorHAnsi"/>
                <w:sz w:val="18"/>
                <w:szCs w:val="18"/>
                <w:u w:val="single"/>
              </w:rPr>
            </w:pPr>
            <w:r>
              <w:rPr>
                <w:rFonts w:asciiTheme="minorHAnsi" w:hAnsiTheme="minorHAnsi" w:cstheme="minorHAnsi"/>
                <w:sz w:val="18"/>
                <w:szCs w:val="18"/>
                <w:u w:val="single"/>
              </w:rPr>
              <w:t>NA</w:t>
            </w:r>
          </w:p>
        </w:tc>
      </w:tr>
      <w:tr w:rsidR="00764A7F" w:rsidRPr="00010F3C" w14:paraId="44CC6592" w14:textId="77777777" w:rsidTr="00DB49DC">
        <w:trPr>
          <w:trHeight w:val="1412"/>
        </w:trPr>
        <w:tc>
          <w:tcPr>
            <w:tcW w:w="985" w:type="dxa"/>
          </w:tcPr>
          <w:p w14:paraId="3618123E" w14:textId="77777777" w:rsidR="00764A7F" w:rsidRPr="00010F3C" w:rsidRDefault="00764A7F" w:rsidP="00DB49DC">
            <w:pPr>
              <w:rPr>
                <w:rFonts w:asciiTheme="minorHAnsi" w:hAnsiTheme="minorHAnsi" w:cstheme="minorHAnsi"/>
                <w:sz w:val="18"/>
                <w:szCs w:val="18"/>
              </w:rPr>
            </w:pPr>
            <w:proofErr w:type="spellStart"/>
            <w:r w:rsidRPr="00010F3C">
              <w:rPr>
                <w:rFonts w:asciiTheme="minorHAnsi" w:hAnsiTheme="minorHAnsi" w:cstheme="minorHAnsi"/>
                <w:sz w:val="18"/>
                <w:szCs w:val="18"/>
              </w:rPr>
              <w:t>Masese</w:t>
            </w:r>
            <w:proofErr w:type="spellEnd"/>
            <w:r w:rsidRPr="00010F3C">
              <w:rPr>
                <w:rFonts w:asciiTheme="minorHAnsi" w:hAnsiTheme="minorHAnsi" w:cstheme="minorHAnsi"/>
                <w:sz w:val="18"/>
                <w:szCs w:val="18"/>
              </w:rPr>
              <w:t>, 2013</w:t>
            </w:r>
            <w:r>
              <w:rPr>
                <w:rFonts w:asciiTheme="minorHAnsi" w:hAnsiTheme="minorHAnsi" w:cstheme="minorHAnsi"/>
                <w:sz w:val="18"/>
                <w:szCs w:val="18"/>
              </w:rPr>
              <w:t xml:space="preserve"> </w:t>
            </w:r>
            <w:r>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{"citationItems":[{"id":"ITEM-1","itemData":{"DOI":"10.1097/OLQ.0b013e318272fe45","ISSN":"1537-4521","PMID":"23407467","abstract":"BACKGROUND In Africa, data on Chlamydia trachomatis infection are scarce because reliable diagnosis is costly and not widely available. Our objective was to evaluate the incidence and correlates of C. trachomatis infection among high-risk Kenyan women. METHODS We conducted prospective cohort analyses using data from a cohort of women who reported transactional sex. C. trachomatis testing was performed using the Gen-Probe Aptima GC/CT Detection System. We used Andersen-Gill proportional hazards modeling to evaluate correlates of C. trachomatis. RESULTS Between August 2006 and December 2010, 865 women contributed 2011 person-years of observation. Sixty-four women experienced 101 episodes of C. trachomatis infection (incidence rate, 5.0/100 person-years). There was a large difference in incidence by age group: those younger than 25 years had an incidence of 27.6 per 100 person-years (95% confidence interval [CI], 16.3-46.5), those 25 to 34 years old had an incidence of 8.4 per 100 person-years (95% CI, 6.4-11.0), and those 35 years and older had an incidence of 2.6 per 100 person-years (95% CI, 1.8-3.6). In multivariate analyses, younger age (&lt;25 and 25-34 years vs. ≥35 years; hazard ratio [HR], 8.5 [95% CI, 4.1-17.7] and 2.9 [95% CI, 1.7-5.0], respectively), depot medroxyprogesterone acetate use (HR, 1.8; 95% CI, 1.1-3.0), and recent Neisseria gonorrhoeae infection (HR, 3.3; 95% CI, 1.5-7.4) were significantly associated with increased risk of acquiring C. trachomatis infection. CONCLUSIONS The high incidence of C. trachomatis among younger high-risk women suggests the need for screening as an important public health intervention for this population.","author":[{"dropping-particle":"","family":"Masese","given":"Linnet","non-dropping-particle":"","parse-names":false,"suffix":""},{"dropping-particle":"","family":"Baeten","given":"Jared M","non-dropping-particle":"","parse-names":false,"suffix":""},{"dropping-particle":"","family":"Richardson","given":"Barbra A","non-dropping-particle":"","parse-names":false,"suffix":""},{"dropping-particle":"","family":"Deya","given":"Ruth","non-dropping-particle":"","parse-names":false,"suffix":""},{"dropping-particle":"","family":"Kabare","given":"Emmanuel","non-dropping-particle":"","parse-names":false,"suffix":""},{"dropping-particle":"","family":"Bukusi","given":"Elizabeth","non-dropping-particle":"","parse-names":false,"suffix":""},{"dropping-particle":"","family":"John-Stewart","given":"Grace","non-dropping-particle":"","parse-names":false,"suffix":""},{"dropping-particle":"","family":"Jaoko","given":"Walter","non-dropping-particle":"","parse-names":false,"suffix":""},{"dropping-particle":"","family":"McClelland","given":"R Scott","non-dropping-particle":"","parse-names":false,"suffix":""}],"container-title":"Sexually Transmitted Diseases","id":"ITEM-1","issue":"3","issued":{"date-parts":[["2013","3"]]},"page":"221-5","title":"Incidence and correlates of Chlamydia trachomatis infection in a high-risk cohort of Kenyan women","type":"article-journal","volume":"40"},"uris":["http://www.mendeley.com/documents/?uuid=725e281a-7bcb-306c-a055-1c0951ab4456"]}],"mendeley":{"formattedCitation":"[51]","plainTextFormattedCitation":"[51]","previouslyFormattedCitation":"[51]"},"properties":{"noteIndex":0},"schema":"https://github.com/citation-style-language/schema/raw/master/csl-citation.json"}</w:instrText>
            </w:r>
            <w:r>
              <w:rPr>
                <w:rFonts w:asciiTheme="minorHAnsi" w:hAnsiTheme="minorHAnsi" w:cstheme="minorHAnsi"/>
                <w:sz w:val="18"/>
                <w:szCs w:val="18"/>
              </w:rPr>
              <w:fldChar w:fldCharType="separate"/>
            </w:r>
            <w:r w:rsidRPr="008E6390">
              <w:rPr>
                <w:rFonts w:asciiTheme="minorHAnsi" w:hAnsiTheme="minorHAnsi" w:cstheme="minorHAnsi"/>
                <w:noProof/>
                <w:sz w:val="18"/>
                <w:szCs w:val="18"/>
              </w:rPr>
              <w:t>[51]</w:t>
            </w:r>
            <w:r>
              <w:rPr>
                <w:rFonts w:asciiTheme="minorHAnsi" w:hAnsiTheme="minorHAnsi" w:cstheme="minorHAnsi"/>
                <w:sz w:val="18"/>
                <w:szCs w:val="18"/>
              </w:rPr>
              <w:fldChar w:fldCharType="end"/>
            </w:r>
          </w:p>
          <w:p w14:paraId="54809A95" w14:textId="77777777" w:rsidR="00764A7F" w:rsidRPr="00010F3C" w:rsidRDefault="00764A7F" w:rsidP="00DB49DC">
            <w:pPr>
              <w:rPr>
                <w:rFonts w:asciiTheme="minorHAnsi" w:hAnsiTheme="minorHAnsi" w:cstheme="minorHAnsi"/>
                <w:sz w:val="18"/>
                <w:szCs w:val="18"/>
              </w:rPr>
            </w:pPr>
          </w:p>
        </w:tc>
        <w:tc>
          <w:tcPr>
            <w:tcW w:w="2160" w:type="dxa"/>
          </w:tcPr>
          <w:p w14:paraId="64B71999"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sz w:val="18"/>
                <w:szCs w:val="18"/>
              </w:rPr>
              <w:t xml:space="preserve">865, HIV positive and HIV-negative women who report engaging in transactional sex, ages 18 to 50 in Mombasa, Kenya; </w:t>
            </w:r>
            <w:r w:rsidRPr="00F77DB6">
              <w:rPr>
                <w:rFonts w:asciiTheme="minorHAnsi" w:hAnsiTheme="minorHAnsi" w:cstheme="minorHAnsi"/>
                <w:i/>
                <w:sz w:val="18"/>
                <w:szCs w:val="18"/>
              </w:rPr>
              <w:t xml:space="preserve">N=101 incident </w:t>
            </w:r>
            <w:proofErr w:type="spellStart"/>
            <w:r w:rsidRPr="00F77DB6">
              <w:rPr>
                <w:rFonts w:asciiTheme="minorHAnsi" w:hAnsiTheme="minorHAnsi" w:cstheme="minorHAnsi"/>
                <w:i/>
                <w:sz w:val="18"/>
                <w:szCs w:val="18"/>
              </w:rPr>
              <w:t>cases</w:t>
            </w:r>
            <w:r w:rsidRPr="00F77DB6">
              <w:rPr>
                <w:rFonts w:asciiTheme="minorHAnsi" w:hAnsiTheme="minorHAnsi" w:cstheme="minorHAnsi"/>
                <w:i/>
                <w:sz w:val="18"/>
                <w:szCs w:val="18"/>
                <w:vertAlign w:val="superscript"/>
              </w:rPr>
              <w:t>b</w:t>
            </w:r>
            <w:proofErr w:type="spellEnd"/>
            <w:r w:rsidRPr="00F77DB6">
              <w:rPr>
                <w:rFonts w:asciiTheme="minorHAnsi" w:hAnsiTheme="minorHAnsi" w:cstheme="minorHAnsi"/>
                <w:i/>
                <w:sz w:val="18"/>
                <w:szCs w:val="18"/>
              </w:rPr>
              <w:t>, incidence rate = 5.0/100 PY</w:t>
            </w:r>
          </w:p>
        </w:tc>
        <w:tc>
          <w:tcPr>
            <w:tcW w:w="1350" w:type="dxa"/>
          </w:tcPr>
          <w:p w14:paraId="5F5DE9C2"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sz w:val="18"/>
                <w:szCs w:val="18"/>
              </w:rPr>
              <w:t>4Y, every 1-3M</w:t>
            </w:r>
          </w:p>
          <w:p w14:paraId="30DD95E3" w14:textId="77777777" w:rsidR="00764A7F" w:rsidRPr="00010F3C" w:rsidRDefault="00764A7F" w:rsidP="00DB49DC">
            <w:pPr>
              <w:rPr>
                <w:rFonts w:asciiTheme="minorHAnsi" w:hAnsiTheme="minorHAnsi" w:cstheme="minorHAnsi"/>
                <w:sz w:val="18"/>
                <w:szCs w:val="18"/>
              </w:rPr>
            </w:pPr>
          </w:p>
          <w:p w14:paraId="3FCBFA36" w14:textId="77777777" w:rsidR="00764A7F" w:rsidRPr="00010F3C" w:rsidRDefault="00764A7F" w:rsidP="00DB49DC">
            <w:pPr>
              <w:rPr>
                <w:rFonts w:asciiTheme="minorHAnsi" w:hAnsiTheme="minorHAnsi" w:cstheme="minorHAnsi"/>
                <w:sz w:val="18"/>
                <w:szCs w:val="18"/>
              </w:rPr>
            </w:pPr>
          </w:p>
        </w:tc>
        <w:tc>
          <w:tcPr>
            <w:tcW w:w="1440" w:type="dxa"/>
          </w:tcPr>
          <w:p w14:paraId="0F4AADCE" w14:textId="77777777" w:rsidR="00764A7F" w:rsidRPr="00010F3C" w:rsidRDefault="00764A7F" w:rsidP="00DB49DC">
            <w:pPr>
              <w:autoSpaceDE w:val="0"/>
              <w:autoSpaceDN w:val="0"/>
              <w:adjustRightInd w:val="0"/>
              <w:rPr>
                <w:rFonts w:asciiTheme="minorHAnsi" w:hAnsiTheme="minorHAnsi" w:cstheme="minorHAnsi"/>
                <w:sz w:val="18"/>
                <w:szCs w:val="18"/>
              </w:rPr>
            </w:pPr>
            <w:r w:rsidRPr="00010F3C">
              <w:rPr>
                <w:rFonts w:asciiTheme="minorHAnsi" w:hAnsiTheme="minorHAnsi" w:cstheme="minorHAnsi"/>
                <w:sz w:val="18"/>
                <w:szCs w:val="18"/>
              </w:rPr>
              <w:t xml:space="preserve">Endocervical swab via </w:t>
            </w:r>
          </w:p>
          <w:p w14:paraId="3EFA768D" w14:textId="77777777" w:rsidR="00764A7F" w:rsidRPr="00010F3C" w:rsidRDefault="00764A7F" w:rsidP="00DB49DC">
            <w:pPr>
              <w:autoSpaceDE w:val="0"/>
              <w:autoSpaceDN w:val="0"/>
              <w:adjustRightInd w:val="0"/>
              <w:rPr>
                <w:rFonts w:asciiTheme="minorHAnsi" w:hAnsiTheme="minorHAnsi" w:cstheme="minorHAnsi"/>
                <w:sz w:val="18"/>
                <w:szCs w:val="18"/>
              </w:rPr>
            </w:pPr>
            <w:r w:rsidRPr="00010F3C">
              <w:rPr>
                <w:rFonts w:asciiTheme="minorHAnsi" w:hAnsiTheme="minorHAnsi" w:cstheme="minorHAnsi"/>
                <w:sz w:val="18"/>
                <w:szCs w:val="18"/>
              </w:rPr>
              <w:t xml:space="preserve">Gen-Probe </w:t>
            </w:r>
            <w:proofErr w:type="spellStart"/>
            <w:r w:rsidRPr="00010F3C">
              <w:rPr>
                <w:rFonts w:asciiTheme="minorHAnsi" w:hAnsiTheme="minorHAnsi" w:cstheme="minorHAnsi"/>
                <w:sz w:val="18"/>
                <w:szCs w:val="18"/>
              </w:rPr>
              <w:t>Aptima</w:t>
            </w:r>
            <w:proofErr w:type="spellEnd"/>
            <w:r w:rsidRPr="00010F3C">
              <w:rPr>
                <w:rFonts w:asciiTheme="minorHAnsi" w:hAnsiTheme="minorHAnsi" w:cstheme="minorHAnsi"/>
                <w:sz w:val="18"/>
                <w:szCs w:val="18"/>
              </w:rPr>
              <w:t xml:space="preserve"> GC/CT Detection System</w:t>
            </w:r>
          </w:p>
        </w:tc>
        <w:tc>
          <w:tcPr>
            <w:tcW w:w="2700" w:type="dxa"/>
          </w:tcPr>
          <w:p w14:paraId="29A2DA56" w14:textId="77777777" w:rsidR="00764A7F" w:rsidRPr="00010F3C" w:rsidRDefault="00764A7F" w:rsidP="00DB49DC">
            <w:pPr>
              <w:autoSpaceDE w:val="0"/>
              <w:autoSpaceDN w:val="0"/>
              <w:adjustRightInd w:val="0"/>
              <w:rPr>
                <w:rFonts w:asciiTheme="minorHAnsi" w:hAnsiTheme="minorHAnsi" w:cstheme="minorHAnsi"/>
                <w:sz w:val="18"/>
                <w:szCs w:val="18"/>
              </w:rPr>
            </w:pPr>
            <w:r w:rsidRPr="00010F3C">
              <w:rPr>
                <w:rFonts w:asciiTheme="minorHAnsi" w:hAnsiTheme="minorHAnsi" w:cstheme="minorHAnsi"/>
                <w:sz w:val="18"/>
                <w:szCs w:val="18"/>
              </w:rPr>
              <w:t xml:space="preserve">Age, vaginal microbiota, place of work (bar vs. nightclub or home based/ other), educational level, marital status, unprotected intercourse in past </w:t>
            </w:r>
            <w:proofErr w:type="spellStart"/>
            <w:r w:rsidRPr="00010F3C">
              <w:rPr>
                <w:rFonts w:asciiTheme="minorHAnsi" w:hAnsiTheme="minorHAnsi" w:cstheme="minorHAnsi"/>
                <w:sz w:val="18"/>
                <w:szCs w:val="18"/>
              </w:rPr>
              <w:t>wk</w:t>
            </w:r>
            <w:proofErr w:type="spellEnd"/>
            <w:r w:rsidRPr="00010F3C">
              <w:rPr>
                <w:rFonts w:asciiTheme="minorHAnsi" w:hAnsiTheme="minorHAnsi" w:cstheme="minorHAnsi"/>
                <w:sz w:val="18"/>
                <w:szCs w:val="18"/>
              </w:rPr>
              <w:t xml:space="preserve">, # of sex partners in past </w:t>
            </w:r>
            <w:proofErr w:type="spellStart"/>
            <w:r w:rsidRPr="00010F3C">
              <w:rPr>
                <w:rFonts w:asciiTheme="minorHAnsi" w:hAnsiTheme="minorHAnsi" w:cstheme="minorHAnsi"/>
                <w:sz w:val="18"/>
                <w:szCs w:val="18"/>
              </w:rPr>
              <w:t>wk</w:t>
            </w:r>
            <w:proofErr w:type="spellEnd"/>
            <w:r w:rsidRPr="00010F3C">
              <w:rPr>
                <w:rFonts w:asciiTheme="minorHAnsi" w:hAnsiTheme="minorHAnsi" w:cstheme="minorHAnsi"/>
                <w:sz w:val="18"/>
                <w:szCs w:val="18"/>
              </w:rPr>
              <w:t>, vaginal washing, presence of other genital tract infections (</w:t>
            </w:r>
            <w:r w:rsidRPr="00D81EF1">
              <w:rPr>
                <w:rFonts w:asciiTheme="minorHAnsi" w:hAnsiTheme="minorHAnsi" w:cstheme="minorHAnsi"/>
                <w:i/>
                <w:sz w:val="18"/>
                <w:szCs w:val="18"/>
              </w:rPr>
              <w:t>T. vaginalis</w:t>
            </w:r>
            <w:r w:rsidRPr="00010F3C">
              <w:rPr>
                <w:rFonts w:asciiTheme="minorHAnsi" w:hAnsiTheme="minorHAnsi" w:cstheme="minorHAnsi"/>
                <w:sz w:val="18"/>
                <w:szCs w:val="18"/>
              </w:rPr>
              <w:t xml:space="preserve">, </w:t>
            </w:r>
            <w:r w:rsidRPr="00D81EF1">
              <w:rPr>
                <w:rFonts w:asciiTheme="minorHAnsi" w:hAnsiTheme="minorHAnsi" w:cstheme="minorHAnsi"/>
                <w:i/>
                <w:sz w:val="18"/>
                <w:szCs w:val="18"/>
              </w:rPr>
              <w:t>C. albicans</w:t>
            </w:r>
            <w:r w:rsidRPr="00010F3C">
              <w:rPr>
                <w:rFonts w:asciiTheme="minorHAnsi" w:hAnsiTheme="minorHAnsi" w:cstheme="minorHAnsi"/>
                <w:sz w:val="18"/>
                <w:szCs w:val="18"/>
              </w:rPr>
              <w:t xml:space="preserve">, </w:t>
            </w:r>
            <w:r w:rsidRPr="00D81EF1">
              <w:rPr>
                <w:rFonts w:asciiTheme="minorHAnsi" w:hAnsiTheme="minorHAnsi" w:cstheme="minorHAnsi"/>
                <w:i/>
                <w:sz w:val="18"/>
                <w:szCs w:val="18"/>
              </w:rPr>
              <w:t xml:space="preserve">N. </w:t>
            </w:r>
            <w:r w:rsidRPr="00F77DB6">
              <w:rPr>
                <w:rFonts w:asciiTheme="minorHAnsi" w:hAnsiTheme="minorHAnsi" w:cstheme="minorHAnsi"/>
                <w:i/>
                <w:sz w:val="18"/>
                <w:szCs w:val="18"/>
              </w:rPr>
              <w:t>gonorrhoeae</w:t>
            </w:r>
            <w:r w:rsidRPr="000E572B">
              <w:rPr>
                <w:rFonts w:asciiTheme="minorHAnsi" w:hAnsiTheme="minorHAnsi" w:cstheme="minorHAnsi"/>
                <w:sz w:val="18"/>
                <w:szCs w:val="18"/>
              </w:rPr>
              <w:t>),</w:t>
            </w:r>
            <w:r w:rsidRPr="00010F3C">
              <w:rPr>
                <w:rFonts w:asciiTheme="minorHAnsi" w:hAnsiTheme="minorHAnsi" w:cstheme="minorHAnsi"/>
                <w:sz w:val="18"/>
                <w:szCs w:val="18"/>
              </w:rPr>
              <w:t xml:space="preserve"> HIV-1 serostatus, and cervical ectopy</w:t>
            </w:r>
          </w:p>
          <w:p w14:paraId="679EEA49" w14:textId="77777777" w:rsidR="00764A7F" w:rsidRPr="00010F3C" w:rsidRDefault="00764A7F" w:rsidP="00DB49DC">
            <w:pPr>
              <w:rPr>
                <w:rFonts w:asciiTheme="minorHAnsi" w:hAnsiTheme="minorHAnsi" w:cstheme="minorHAnsi"/>
                <w:sz w:val="18"/>
                <w:szCs w:val="18"/>
              </w:rPr>
            </w:pPr>
          </w:p>
          <w:p w14:paraId="568ED294"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sz w:val="18"/>
                <w:szCs w:val="18"/>
              </w:rPr>
              <w:t xml:space="preserve">Final model (empirical approach): Age, unprotected sex with &gt;1 sex partner in past week, HIV status, </w:t>
            </w:r>
            <w:r w:rsidRPr="00D81EF1">
              <w:rPr>
                <w:rFonts w:asciiTheme="minorHAnsi" w:hAnsiTheme="minorHAnsi" w:cstheme="minorHAnsi"/>
                <w:i/>
                <w:sz w:val="18"/>
                <w:szCs w:val="18"/>
              </w:rPr>
              <w:t xml:space="preserve">N. </w:t>
            </w:r>
            <w:r w:rsidRPr="00F77DB6">
              <w:rPr>
                <w:rFonts w:asciiTheme="minorHAnsi" w:hAnsiTheme="minorHAnsi" w:cstheme="minorHAnsi"/>
                <w:i/>
                <w:sz w:val="18"/>
                <w:szCs w:val="18"/>
              </w:rPr>
              <w:t>gonorrhoeae</w:t>
            </w:r>
            <w:r w:rsidRPr="000E572B" w:rsidDel="000E572B">
              <w:rPr>
                <w:rFonts w:asciiTheme="minorHAnsi" w:hAnsiTheme="minorHAnsi" w:cstheme="minorHAnsi"/>
                <w:i/>
                <w:sz w:val="18"/>
                <w:szCs w:val="18"/>
              </w:rPr>
              <w:t xml:space="preserve"> </w:t>
            </w:r>
            <w:r w:rsidRPr="005102BC">
              <w:rPr>
                <w:rFonts w:asciiTheme="minorHAnsi" w:hAnsiTheme="minorHAnsi" w:cstheme="minorHAnsi"/>
                <w:sz w:val="18"/>
                <w:szCs w:val="18"/>
              </w:rPr>
              <w:t>infection</w:t>
            </w:r>
          </w:p>
        </w:tc>
        <w:tc>
          <w:tcPr>
            <w:tcW w:w="1350" w:type="dxa"/>
          </w:tcPr>
          <w:p w14:paraId="40314C5C" w14:textId="77777777" w:rsidR="00764A7F" w:rsidRPr="00010F3C" w:rsidRDefault="00764A7F" w:rsidP="00DB49DC">
            <w:pPr>
              <w:rPr>
                <w:rFonts w:asciiTheme="minorHAnsi" w:hAnsiTheme="minorHAnsi" w:cstheme="minorHAnsi"/>
                <w:color w:val="000000"/>
                <w:sz w:val="18"/>
                <w:szCs w:val="18"/>
              </w:rPr>
            </w:pPr>
            <w:r w:rsidRPr="00010F3C">
              <w:rPr>
                <w:rFonts w:asciiTheme="minorHAnsi" w:hAnsiTheme="minorHAnsi" w:cstheme="minorHAnsi"/>
                <w:color w:val="000000"/>
                <w:sz w:val="18"/>
                <w:szCs w:val="18"/>
              </w:rPr>
              <w:t>Non-</w:t>
            </w:r>
            <w:r>
              <w:rPr>
                <w:rFonts w:asciiTheme="minorHAnsi" w:hAnsiTheme="minorHAnsi" w:cstheme="minorHAnsi"/>
                <w:color w:val="000000"/>
                <w:sz w:val="18"/>
                <w:szCs w:val="18"/>
              </w:rPr>
              <w:t>hormonal user</w:t>
            </w:r>
            <w:r w:rsidRPr="00010F3C">
              <w:rPr>
                <w:rFonts w:asciiTheme="minorHAnsi" w:hAnsiTheme="minorHAnsi" w:cstheme="minorHAnsi"/>
                <w:color w:val="000000"/>
                <w:sz w:val="18"/>
                <w:szCs w:val="18"/>
              </w:rPr>
              <w:t xml:space="preserve"> </w:t>
            </w:r>
          </w:p>
        </w:tc>
        <w:tc>
          <w:tcPr>
            <w:tcW w:w="1283" w:type="dxa"/>
          </w:tcPr>
          <w:p w14:paraId="3E4B4209"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color w:val="000000"/>
                <w:sz w:val="18"/>
                <w:szCs w:val="18"/>
              </w:rPr>
              <w:t>OC</w:t>
            </w:r>
            <w:r>
              <w:rPr>
                <w:rFonts w:asciiTheme="minorHAnsi" w:hAnsiTheme="minorHAnsi" w:cstheme="minorHAnsi"/>
                <w:color w:val="000000"/>
                <w:sz w:val="18"/>
                <w:szCs w:val="18"/>
              </w:rPr>
              <w:t>P</w:t>
            </w:r>
            <w:r w:rsidRPr="00010F3C">
              <w:rPr>
                <w:rFonts w:asciiTheme="minorHAnsi" w:hAnsiTheme="minorHAnsi" w:cstheme="minorHAnsi"/>
                <w:color w:val="000000"/>
                <w:sz w:val="18"/>
                <w:szCs w:val="18"/>
              </w:rPr>
              <w:t xml:space="preserve"> </w:t>
            </w:r>
            <w:proofErr w:type="spellStart"/>
            <w:r w:rsidRPr="00010F3C">
              <w:rPr>
                <w:rFonts w:asciiTheme="minorHAnsi" w:hAnsiTheme="minorHAnsi" w:cstheme="minorHAnsi"/>
                <w:color w:val="000000"/>
                <w:sz w:val="18"/>
                <w:szCs w:val="18"/>
              </w:rPr>
              <w:t>aHR</w:t>
            </w:r>
            <w:proofErr w:type="spellEnd"/>
            <w:r w:rsidRPr="00010F3C">
              <w:rPr>
                <w:rFonts w:asciiTheme="minorHAnsi" w:hAnsiTheme="minorHAnsi" w:cstheme="minorHAnsi"/>
                <w:color w:val="000000"/>
                <w:sz w:val="18"/>
                <w:szCs w:val="18"/>
              </w:rPr>
              <w:t>: 0.2 (0.0, 1.7)</w:t>
            </w:r>
          </w:p>
        </w:tc>
        <w:tc>
          <w:tcPr>
            <w:tcW w:w="1350" w:type="dxa"/>
          </w:tcPr>
          <w:p w14:paraId="68311A39" w14:textId="77777777" w:rsidR="00764A7F" w:rsidRPr="00010F3C" w:rsidRDefault="00764A7F" w:rsidP="00DB49DC">
            <w:pPr>
              <w:rPr>
                <w:rFonts w:asciiTheme="minorHAnsi" w:hAnsiTheme="minorHAnsi" w:cstheme="minorHAnsi"/>
                <w:color w:val="000000"/>
                <w:sz w:val="18"/>
                <w:szCs w:val="18"/>
              </w:rPr>
            </w:pPr>
            <w:r w:rsidRPr="00010F3C">
              <w:rPr>
                <w:rFonts w:asciiTheme="minorHAnsi" w:hAnsiTheme="minorHAnsi" w:cstheme="minorHAnsi"/>
                <w:color w:val="000000"/>
                <w:sz w:val="18"/>
                <w:szCs w:val="18"/>
              </w:rPr>
              <w:t xml:space="preserve">DMPA </w:t>
            </w:r>
            <w:proofErr w:type="spellStart"/>
            <w:r w:rsidRPr="00010F3C">
              <w:rPr>
                <w:rFonts w:asciiTheme="minorHAnsi" w:hAnsiTheme="minorHAnsi" w:cstheme="minorHAnsi"/>
                <w:color w:val="000000"/>
                <w:sz w:val="18"/>
                <w:szCs w:val="18"/>
              </w:rPr>
              <w:t>aHR</w:t>
            </w:r>
            <w:proofErr w:type="spellEnd"/>
            <w:r w:rsidRPr="00010F3C">
              <w:rPr>
                <w:rFonts w:asciiTheme="minorHAnsi" w:hAnsiTheme="minorHAnsi" w:cstheme="minorHAnsi"/>
                <w:color w:val="000000"/>
                <w:sz w:val="18"/>
                <w:szCs w:val="18"/>
              </w:rPr>
              <w:t xml:space="preserve">: 1.8 (1.1, </w:t>
            </w:r>
            <w:proofErr w:type="gramStart"/>
            <w:r w:rsidRPr="00010F3C">
              <w:rPr>
                <w:rFonts w:asciiTheme="minorHAnsi" w:hAnsiTheme="minorHAnsi" w:cstheme="minorHAnsi"/>
                <w:color w:val="000000"/>
                <w:sz w:val="18"/>
                <w:szCs w:val="18"/>
              </w:rPr>
              <w:t>3.0)</w:t>
            </w:r>
            <w:r>
              <w:rPr>
                <w:rFonts w:asciiTheme="minorHAnsi" w:hAnsiTheme="minorHAnsi" w:cstheme="minorHAnsi"/>
                <w:color w:val="000000"/>
                <w:sz w:val="18"/>
                <w:szCs w:val="18"/>
              </w:rPr>
              <w:t>*</w:t>
            </w:r>
            <w:proofErr w:type="gramEnd"/>
          </w:p>
          <w:p w14:paraId="3EC7FD6F" w14:textId="77777777" w:rsidR="00764A7F" w:rsidRPr="00010F3C" w:rsidRDefault="00764A7F" w:rsidP="00DB49DC">
            <w:pPr>
              <w:rPr>
                <w:rFonts w:asciiTheme="minorHAnsi" w:hAnsiTheme="minorHAnsi" w:cstheme="minorHAnsi"/>
                <w:color w:val="000000"/>
                <w:sz w:val="18"/>
                <w:szCs w:val="18"/>
              </w:rPr>
            </w:pPr>
          </w:p>
          <w:p w14:paraId="1952676A" w14:textId="77777777" w:rsidR="00764A7F" w:rsidRPr="00010F3C" w:rsidRDefault="00764A7F" w:rsidP="00DB49DC">
            <w:pPr>
              <w:rPr>
                <w:rFonts w:asciiTheme="minorHAnsi" w:hAnsiTheme="minorHAnsi" w:cstheme="minorHAnsi"/>
                <w:sz w:val="18"/>
                <w:szCs w:val="18"/>
              </w:rPr>
            </w:pPr>
          </w:p>
        </w:tc>
        <w:tc>
          <w:tcPr>
            <w:tcW w:w="1440" w:type="dxa"/>
          </w:tcPr>
          <w:p w14:paraId="09560A0E"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sz w:val="18"/>
                <w:szCs w:val="18"/>
              </w:rPr>
              <w:t>NA</w:t>
            </w:r>
          </w:p>
        </w:tc>
      </w:tr>
      <w:tr w:rsidR="00764A7F" w:rsidRPr="00010F3C" w14:paraId="5985B1E3" w14:textId="77777777" w:rsidTr="00DB49DC">
        <w:trPr>
          <w:trHeight w:val="1412"/>
        </w:trPr>
        <w:tc>
          <w:tcPr>
            <w:tcW w:w="985" w:type="dxa"/>
          </w:tcPr>
          <w:p w14:paraId="70616B80" w14:textId="77777777" w:rsidR="00764A7F" w:rsidRPr="00010F3C" w:rsidRDefault="00764A7F" w:rsidP="00DB49DC">
            <w:pPr>
              <w:rPr>
                <w:rFonts w:asciiTheme="minorHAnsi" w:hAnsiTheme="minorHAnsi" w:cstheme="minorHAnsi"/>
                <w:sz w:val="18"/>
                <w:szCs w:val="18"/>
              </w:rPr>
            </w:pPr>
            <w:proofErr w:type="spellStart"/>
            <w:r w:rsidRPr="00010F3C">
              <w:rPr>
                <w:rFonts w:asciiTheme="minorHAnsi" w:hAnsiTheme="minorHAnsi" w:cstheme="minorHAnsi"/>
                <w:sz w:val="18"/>
                <w:szCs w:val="18"/>
              </w:rPr>
              <w:t>Pettifor</w:t>
            </w:r>
            <w:proofErr w:type="spellEnd"/>
            <w:r w:rsidRPr="00010F3C">
              <w:rPr>
                <w:rFonts w:asciiTheme="minorHAnsi" w:hAnsiTheme="minorHAnsi" w:cstheme="minorHAnsi"/>
                <w:sz w:val="18"/>
                <w:szCs w:val="18"/>
              </w:rPr>
              <w:t>, 2009</w:t>
            </w:r>
            <w:r>
              <w:rPr>
                <w:rFonts w:asciiTheme="minorHAnsi" w:hAnsiTheme="minorHAnsi" w:cstheme="minorHAnsi"/>
                <w:sz w:val="18"/>
                <w:szCs w:val="18"/>
              </w:rPr>
              <w:t xml:space="preserve"> </w:t>
            </w:r>
            <w:r>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{"citationItems":[{"id":"ITEM-1","itemData":{"DOI":"10.1016/j.contraception.2009.06.007","ISSN":"1879-0518","PMID":"19913149","abstract":"OBJECTIVE This study was conducted to determine the association between the use of injectable progestin contraception (IPC) and the risk of infection with Neisseria gonorrhoeae (GC), Chlamydia trachomatis (CT), bacterial vaginosis (BV) and Trichomonas vaginalis (TV) among women in South Africa. METHODS From August 1999 through May 2001, 643 HIV-1-negative women were recruited from family planning clinics in Orange Farm, South Africa. IPC [norethisterone enanthate (NET-EN) and depot medroxyprogesterone acetate (DMPA)] users and nonhormonal contraception users were recruited in approximately equal numbers. Eligible participants were seen at enrolment and on four follow-up visits over a 12-month period; 567 returned for at least one follow-up visit. Multivariable Poisson regression models with generalized estimating equations were used to compute the incidence rate ratios (IRRs) for infections with GC, CT, BV and TV by use of NET-EN or DMPA relative to nonuse during follow-up. RESULTS In multivariable models, the use of DMPA slightly increased the risk of infection with CT [IRR=1.24; 95% confidence interval (95% CI)=0.80-1.94] and GC (IRR=1.30; 95% CI=0.58-2.98), although these associations were not statistically significant. In contrast, DMPA appeared to be protective for TV (IRR=0.35; 95% CI=0.12-1.01), although this estimate was very imprecise. The use of both DMPA and NET-EN was associated with a decreased risk of BV. CONCLUSIONS The use of DMPA among women in this study population was associated with an increased - but not statistically significant - risk of cervical infection with chlamydia and gonorrhea, and a decreased risk of TV and BV. Given the inconsistencies and limitations of the data describing an increased risk of CT and GC with IPC use, the potential risk of sexually transmitted infections (STIs) must be balanced against the risk of unintended pregnancy and its health consequences, especially in developing countries. Women opting to use IPC should be counseled to use condoms to protect against STIs and HIV.","author":[{"dropping-particle":"","family":"Pettifor","given":"Audrey","non-dropping-particle":"","parse-names":false,"suffix":""},{"dropping-particle":"","family":"Delany","given":"Sinead","non-dropping-particle":"","parse-names":false,"suffix":""},{"dropping-particle":"","family":"Kleinschmidt","given":"Immo","non-dropping-particle":"","parse-names":false,"suffix":""},{"dropping-particle":"","family":"Miller","given":"William C","non-dropping-particle":"","parse-names":false,"suffix":""},{"dropping-particle":"","family":"Atashili","given":"Julius","non-dropping-particle":"","parse-names":false,"suffix":""},{"dropping-particle":"","family":"Rees","given":"Helen","non-dropping-particle":"","parse-names":false,"suffix":""}],"container-title":"Contraception","id":"ITEM-1","issue":"6","issued":{"date-parts":[["2009","12"]]},"page":"555-60","title":"Use of injectable progestin contraception and risk of STI among South African women.","type":"article-journal","volume":"80"},"uris":["http://www.mendeley.com/documents/?uuid=45e239d2-c5f9-365d-aaa3-264f2f2eabb2"]}],"mendeley":{"formattedCitation":"[48]","plainTextFormattedCitation":"[48]","previouslyFormattedCitation":"[48]"},"properties":{"noteIndex":0},"schema":"https://github.com/citation-style-language/schema/raw/master/csl-citation.json"}</w:instrText>
            </w:r>
            <w:r>
              <w:rPr>
                <w:rFonts w:asciiTheme="minorHAnsi" w:hAnsiTheme="minorHAnsi" w:cstheme="minorHAnsi"/>
                <w:sz w:val="18"/>
                <w:szCs w:val="18"/>
              </w:rPr>
              <w:fldChar w:fldCharType="separate"/>
            </w:r>
            <w:r w:rsidRPr="008E6390">
              <w:rPr>
                <w:rFonts w:asciiTheme="minorHAnsi" w:hAnsiTheme="minorHAnsi" w:cstheme="minorHAnsi"/>
                <w:noProof/>
                <w:sz w:val="18"/>
                <w:szCs w:val="18"/>
              </w:rPr>
              <w:t>[48]</w:t>
            </w:r>
            <w:r>
              <w:rPr>
                <w:rFonts w:asciiTheme="minorHAnsi" w:hAnsiTheme="minorHAnsi" w:cstheme="minorHAnsi"/>
                <w:sz w:val="18"/>
                <w:szCs w:val="18"/>
              </w:rPr>
              <w:fldChar w:fldCharType="end"/>
            </w:r>
          </w:p>
        </w:tc>
        <w:tc>
          <w:tcPr>
            <w:tcW w:w="2160" w:type="dxa"/>
          </w:tcPr>
          <w:p w14:paraId="6466090E" w14:textId="77777777" w:rsidR="00764A7F" w:rsidRPr="00010F3C" w:rsidRDefault="00764A7F" w:rsidP="00DB49DC">
            <w:pPr>
              <w:rPr>
                <w:rFonts w:asciiTheme="minorHAnsi" w:hAnsiTheme="minorHAnsi" w:cstheme="minorHAnsi"/>
                <w:i/>
                <w:sz w:val="18"/>
                <w:szCs w:val="18"/>
              </w:rPr>
            </w:pPr>
            <w:r w:rsidRPr="00010F3C">
              <w:rPr>
                <w:rFonts w:asciiTheme="minorHAnsi" w:hAnsiTheme="minorHAnsi" w:cstheme="minorHAnsi"/>
                <w:sz w:val="18"/>
                <w:szCs w:val="18"/>
              </w:rPr>
              <w:t xml:space="preserve">567, HIV-negative women ages 18 to 40 recruited from family planning clinics in Orange Farm, South Africa; </w:t>
            </w:r>
            <w:r w:rsidRPr="00010F3C">
              <w:rPr>
                <w:rFonts w:asciiTheme="minorHAnsi" w:hAnsiTheme="minorHAnsi" w:cstheme="minorHAnsi"/>
                <w:i/>
                <w:sz w:val="18"/>
                <w:szCs w:val="18"/>
              </w:rPr>
              <w:t>N=119 incident cases</w:t>
            </w:r>
            <w:r w:rsidRPr="00010F3C">
              <w:rPr>
                <w:rFonts w:asciiTheme="minorHAnsi" w:hAnsiTheme="minorHAnsi" w:cstheme="minorHAnsi"/>
                <w:i/>
                <w:sz w:val="18"/>
                <w:szCs w:val="18"/>
                <w:vertAlign w:val="superscript"/>
              </w:rPr>
              <w:t xml:space="preserve"> </w:t>
            </w:r>
            <w:r>
              <w:rPr>
                <w:rFonts w:asciiTheme="minorHAnsi" w:hAnsiTheme="minorHAnsi" w:cstheme="minorHAnsi"/>
                <w:i/>
                <w:sz w:val="18"/>
                <w:szCs w:val="18"/>
                <w:vertAlign w:val="superscript"/>
              </w:rPr>
              <w:t>b</w:t>
            </w:r>
            <w:r w:rsidRPr="00010F3C">
              <w:rPr>
                <w:rFonts w:asciiTheme="minorHAnsi" w:hAnsiTheme="minorHAnsi" w:cstheme="minorHAnsi"/>
                <w:i/>
                <w:sz w:val="18"/>
                <w:szCs w:val="18"/>
              </w:rPr>
              <w:t>, incident rate: 28.2 per 100 PY</w:t>
            </w:r>
          </w:p>
        </w:tc>
        <w:tc>
          <w:tcPr>
            <w:tcW w:w="1350" w:type="dxa"/>
          </w:tcPr>
          <w:p w14:paraId="39764C28"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sz w:val="18"/>
                <w:szCs w:val="18"/>
              </w:rPr>
              <w:t>1Y; every 3M</w:t>
            </w:r>
          </w:p>
          <w:p w14:paraId="0A546DDB" w14:textId="77777777" w:rsidR="00764A7F" w:rsidRPr="00010F3C" w:rsidRDefault="00764A7F" w:rsidP="00DB49DC">
            <w:pPr>
              <w:rPr>
                <w:rFonts w:asciiTheme="minorHAnsi" w:hAnsiTheme="minorHAnsi" w:cstheme="minorHAnsi"/>
                <w:sz w:val="18"/>
                <w:szCs w:val="18"/>
              </w:rPr>
            </w:pPr>
          </w:p>
          <w:p w14:paraId="64071D6F"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sz w:val="18"/>
                <w:szCs w:val="18"/>
              </w:rPr>
              <w:t> </w:t>
            </w:r>
          </w:p>
        </w:tc>
        <w:tc>
          <w:tcPr>
            <w:tcW w:w="1440" w:type="dxa"/>
          </w:tcPr>
          <w:p w14:paraId="000111FB"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sz w:val="18"/>
                <w:szCs w:val="18"/>
              </w:rPr>
              <w:t>Urine sample via</w:t>
            </w:r>
          </w:p>
          <w:p w14:paraId="441B77D1"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sz w:val="18"/>
                <w:szCs w:val="18"/>
              </w:rPr>
              <w:t>ligase chain reaction (</w:t>
            </w:r>
            <w:proofErr w:type="spellStart"/>
            <w:r w:rsidRPr="00010F3C">
              <w:rPr>
                <w:rFonts w:asciiTheme="minorHAnsi" w:hAnsiTheme="minorHAnsi" w:cstheme="minorHAnsi"/>
                <w:sz w:val="18"/>
                <w:szCs w:val="18"/>
              </w:rPr>
              <w:t>LCx</w:t>
            </w:r>
            <w:proofErr w:type="spellEnd"/>
            <w:r w:rsidRPr="00010F3C">
              <w:rPr>
                <w:rFonts w:asciiTheme="minorHAnsi" w:hAnsiTheme="minorHAnsi" w:cstheme="minorHAnsi"/>
                <w:sz w:val="18"/>
                <w:szCs w:val="18"/>
              </w:rPr>
              <w:t>®; Abbot Laboratories)</w:t>
            </w:r>
          </w:p>
          <w:p w14:paraId="6CD05827" w14:textId="77777777" w:rsidR="00764A7F" w:rsidRPr="00010F3C" w:rsidRDefault="00764A7F" w:rsidP="00DB49DC">
            <w:pPr>
              <w:rPr>
                <w:rFonts w:asciiTheme="minorHAnsi" w:hAnsiTheme="minorHAnsi" w:cstheme="minorHAnsi"/>
                <w:sz w:val="18"/>
                <w:szCs w:val="18"/>
              </w:rPr>
            </w:pPr>
          </w:p>
        </w:tc>
        <w:tc>
          <w:tcPr>
            <w:tcW w:w="2700" w:type="dxa"/>
          </w:tcPr>
          <w:p w14:paraId="0FD2C5F5"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sz w:val="18"/>
                <w:szCs w:val="18"/>
              </w:rPr>
              <w:t xml:space="preserve">Age, relationship status, education, frequency of sex in the past 3M, # partners in the past 3M, condom use in the past 3M, vaginal douching past 3M, age of first sex </w:t>
            </w:r>
          </w:p>
          <w:p w14:paraId="24011029" w14:textId="77777777" w:rsidR="00764A7F" w:rsidRPr="00010F3C" w:rsidRDefault="00764A7F" w:rsidP="00DB49DC">
            <w:pPr>
              <w:rPr>
                <w:rFonts w:asciiTheme="minorHAnsi" w:hAnsiTheme="minorHAnsi" w:cstheme="minorHAnsi"/>
                <w:sz w:val="18"/>
                <w:szCs w:val="18"/>
              </w:rPr>
            </w:pPr>
          </w:p>
          <w:p w14:paraId="57D5CBA9"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sz w:val="18"/>
                <w:szCs w:val="18"/>
              </w:rPr>
              <w:t>Final model (empirical and theoretical approach): Age, education, condom use consistency in past 3M</w:t>
            </w:r>
          </w:p>
        </w:tc>
        <w:tc>
          <w:tcPr>
            <w:tcW w:w="1350" w:type="dxa"/>
          </w:tcPr>
          <w:p w14:paraId="3FF2F945"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sz w:val="18"/>
                <w:szCs w:val="18"/>
              </w:rPr>
              <w:t>Non- pregnant, non-</w:t>
            </w:r>
            <w:r>
              <w:rPr>
                <w:rFonts w:asciiTheme="minorHAnsi" w:hAnsiTheme="minorHAnsi" w:cstheme="minorHAnsi"/>
                <w:sz w:val="18"/>
                <w:szCs w:val="18"/>
              </w:rPr>
              <w:t>hormonal user</w:t>
            </w:r>
          </w:p>
        </w:tc>
        <w:tc>
          <w:tcPr>
            <w:tcW w:w="1283" w:type="dxa"/>
          </w:tcPr>
          <w:p w14:paraId="6751B4F7"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sz w:val="18"/>
                <w:szCs w:val="18"/>
              </w:rPr>
              <w:t>NA</w:t>
            </w:r>
          </w:p>
        </w:tc>
        <w:tc>
          <w:tcPr>
            <w:tcW w:w="1350" w:type="dxa"/>
          </w:tcPr>
          <w:p w14:paraId="44984CF5" w14:textId="77777777" w:rsidR="00764A7F" w:rsidRPr="00010F3C" w:rsidRDefault="00764A7F" w:rsidP="00DB49DC">
            <w:pPr>
              <w:rPr>
                <w:rFonts w:asciiTheme="minorHAnsi" w:hAnsiTheme="minorHAnsi" w:cstheme="minorHAnsi"/>
                <w:sz w:val="18"/>
                <w:szCs w:val="18"/>
                <w:lang w:val="nl-NL"/>
              </w:rPr>
            </w:pPr>
            <w:r w:rsidRPr="00010F3C">
              <w:rPr>
                <w:rFonts w:asciiTheme="minorHAnsi" w:hAnsiTheme="minorHAnsi" w:cstheme="minorHAnsi"/>
                <w:sz w:val="18"/>
                <w:szCs w:val="18"/>
                <w:u w:val="single"/>
                <w:lang w:val="nl-NL"/>
              </w:rPr>
              <w:t>DMPA</w:t>
            </w:r>
            <w:r w:rsidRPr="00010F3C">
              <w:rPr>
                <w:rFonts w:asciiTheme="minorHAnsi" w:hAnsiTheme="minorHAnsi" w:cstheme="minorHAnsi"/>
                <w:sz w:val="18"/>
                <w:szCs w:val="18"/>
                <w:lang w:val="nl-NL"/>
              </w:rPr>
              <w:t xml:space="preserve"> aIRR: 1.24 (0.80, 1.94); </w:t>
            </w:r>
            <w:r w:rsidRPr="00010F3C">
              <w:rPr>
                <w:rFonts w:asciiTheme="minorHAnsi" w:hAnsiTheme="minorHAnsi" w:cstheme="minorHAnsi"/>
                <w:sz w:val="18"/>
                <w:szCs w:val="18"/>
                <w:u w:val="single"/>
                <w:lang w:val="nl-NL"/>
              </w:rPr>
              <w:t>NET-EN</w:t>
            </w:r>
            <w:r w:rsidRPr="00010F3C">
              <w:rPr>
                <w:rFonts w:asciiTheme="minorHAnsi" w:hAnsiTheme="minorHAnsi" w:cstheme="minorHAnsi"/>
                <w:sz w:val="18"/>
                <w:szCs w:val="18"/>
                <w:lang w:val="nl-NL"/>
              </w:rPr>
              <w:t xml:space="preserve"> aIRR: 0.91 (0.59, 1.43)</w:t>
            </w:r>
          </w:p>
        </w:tc>
        <w:tc>
          <w:tcPr>
            <w:tcW w:w="1440" w:type="dxa"/>
          </w:tcPr>
          <w:p w14:paraId="21CD3C0E"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sz w:val="18"/>
                <w:szCs w:val="18"/>
              </w:rPr>
              <w:t>NA</w:t>
            </w:r>
          </w:p>
        </w:tc>
      </w:tr>
      <w:tr w:rsidR="00764A7F" w:rsidRPr="00010F3C" w14:paraId="6D3B8618" w14:textId="77777777" w:rsidTr="00DB49DC">
        <w:trPr>
          <w:trHeight w:val="1412"/>
        </w:trPr>
        <w:tc>
          <w:tcPr>
            <w:tcW w:w="985" w:type="dxa"/>
          </w:tcPr>
          <w:p w14:paraId="79063245"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sz w:val="18"/>
                <w:szCs w:val="18"/>
              </w:rPr>
              <w:lastRenderedPageBreak/>
              <w:t>Romer, 2013</w:t>
            </w:r>
            <w:r>
              <w:rPr>
                <w:rFonts w:asciiTheme="minorHAnsi" w:hAnsiTheme="minorHAnsi" w:cstheme="minorHAnsi"/>
                <w:sz w:val="18"/>
                <w:szCs w:val="18"/>
              </w:rPr>
              <w:t xml:space="preserve"> </w:t>
            </w:r>
            <w:r>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{"citationItems":[{"id":"ITEM-1","itemData":{"DOI":"10.1016/j.jadohealth.2012.04.007","PMID":"23260839","abstract":"PURPOSE To determine whether depot medroxyprogesterone acetate (DMPA) use is associated with an increased risk of acquisition of sexually transmitted infections (STIs) in a cohort of healthy adolescents, for whom prospective evidence is sparse. METHODS Adolescent women aged 14-17 years (n = 342) were recruited from clinical sites in the United States between 1999 and 2005. They returned quarterly for interviews and STI testing. During alternating 3-month periods, participants also completed daily diaries of sexual behaviors and performed weekly vaginal self-obtained swabs to test for STIs. Data collected through 2009 (median follow-up length = 42.2 months) were analyzed. Univariable and multivariable tests of association between STI acquisition during the 3-month diary period and covariates were calculated, using nonlinear mixed-effect logistic regression models to control for repeated measurements. RESULTS In multivariable analysis, there were no significant associations between DMPA use in the current or previous 3-month period and incidence of Chlamydia trachomatis, Neisseria gonorrhoeae, or Trichomonas vaginalis. The number of total or unprotected sexual events during the diary period was not associated with the risk of STI. Older age was a protective factor for the development of Chlamydia trachomatis (odds ratio = .85; 95% confidence interval = .76-.96). The only factor significantly associated with an increased risk of contracting all three STIs was a greater number of sexual partners during the diary period (odds ratio, range = 1.91-2.62). CONCLUSIONS In this U.S.-based cohort of adolescent women, we found no evidence that DMPA use was associated with increased STI risk. Efforts to curb STI transmission among adolescents should focus on education about the reduced number of sexual partners.","author":[{"dropping-particle":"","family":"Romer","given":"Amy","non-dropping-particle":"","parse-names":false,"suffix":""},{"dropping-particle":"","family":"Shew","given":"Marcia L.","non-dropping-particle":"","parse-names":false,"suffix":""},{"dropping-particle":"","family":"Ofner","given":"Susan","non-dropping-particle":"","parse-names":false,"suffix":""},{"dropping-particle":"","family":"Gilliam","given":"Melissa L.","non-dropping-particle":"","parse-names":false,"suffix":""},{"dropping-particle":"","family":"Martins","given":"Summer L.","non-dropping-particle":"","parse-names":false,"suffix":""},{"dropping-particle":"","family":"Fortenberry","given":"J. Dennis","non-dropping-particle":"","parse-names":false,"suffix":""}],"container-title":"Journal of Adolescent Health","id":"ITEM-1","issue":"1","issued":{"date-parts":[["2013","1"]]},"page":"83-88","title":"Depot medroxyprogesterone acetate use is not associated with risk of incident sexually transmitted infections among adolescent women","type":"article-journal","volume":"52"},"uris":["http://www.mendeley.com/documents/?uuid=982f0fd0-7e4e-3ca4-8199-e9b5f08b14e2"]}],"mendeley":{"formattedCitation":"[50]","plainTextFormattedCitation":"[50]","previouslyFormattedCitation":"[50]"},"properties":{"noteIndex":0},"schema":"https://github.com/citation-style-language/schema/raw/master/csl-citation.json"}</w:instrText>
            </w:r>
            <w:r>
              <w:rPr>
                <w:rFonts w:asciiTheme="minorHAnsi" w:hAnsiTheme="minorHAnsi" w:cstheme="minorHAnsi"/>
                <w:sz w:val="18"/>
                <w:szCs w:val="18"/>
              </w:rPr>
              <w:fldChar w:fldCharType="separate"/>
            </w:r>
            <w:r w:rsidRPr="008E6390">
              <w:rPr>
                <w:rFonts w:asciiTheme="minorHAnsi" w:hAnsiTheme="minorHAnsi" w:cstheme="minorHAnsi"/>
                <w:noProof/>
                <w:sz w:val="18"/>
                <w:szCs w:val="18"/>
              </w:rPr>
              <w:t>[50]</w:t>
            </w:r>
            <w:r>
              <w:rPr>
                <w:rFonts w:asciiTheme="minorHAnsi" w:hAnsiTheme="minorHAnsi" w:cstheme="minorHAnsi"/>
                <w:sz w:val="18"/>
                <w:szCs w:val="18"/>
              </w:rPr>
              <w:fldChar w:fldCharType="end"/>
            </w:r>
          </w:p>
        </w:tc>
        <w:tc>
          <w:tcPr>
            <w:tcW w:w="2160" w:type="dxa"/>
          </w:tcPr>
          <w:p w14:paraId="7DC374FA" w14:textId="77777777" w:rsidR="00764A7F" w:rsidRPr="00010F3C" w:rsidRDefault="00764A7F" w:rsidP="00DB49DC">
            <w:pPr>
              <w:rPr>
                <w:rFonts w:asciiTheme="minorHAnsi" w:hAnsiTheme="minorHAnsi" w:cstheme="minorHAnsi"/>
                <w:i/>
                <w:sz w:val="18"/>
                <w:szCs w:val="18"/>
              </w:rPr>
            </w:pPr>
            <w:r w:rsidRPr="00010F3C">
              <w:rPr>
                <w:rFonts w:asciiTheme="minorHAnsi" w:hAnsiTheme="minorHAnsi" w:cstheme="minorHAnsi"/>
                <w:sz w:val="18"/>
                <w:szCs w:val="18"/>
              </w:rPr>
              <w:t xml:space="preserve">342, adolescent girls ages 14-17 attending clinics in inner-city areas of Indianapolis, USA; </w:t>
            </w:r>
            <w:r w:rsidRPr="00010F3C">
              <w:rPr>
                <w:rFonts w:asciiTheme="minorHAnsi" w:hAnsiTheme="minorHAnsi" w:cstheme="minorHAnsi"/>
                <w:i/>
                <w:sz w:val="18"/>
                <w:szCs w:val="18"/>
              </w:rPr>
              <w:t>N</w:t>
            </w:r>
            <w:r w:rsidRPr="00F958A6">
              <w:rPr>
                <w:rFonts w:asciiTheme="minorHAnsi" w:hAnsiTheme="minorHAnsi" w:cstheme="minorHAnsi"/>
                <w:i/>
                <w:color w:val="000000" w:themeColor="text1"/>
                <w:sz w:val="18"/>
                <w:szCs w:val="18"/>
              </w:rPr>
              <w:t xml:space="preserve">=165 </w:t>
            </w:r>
            <w:r w:rsidRPr="00010F3C">
              <w:rPr>
                <w:rFonts w:asciiTheme="minorHAnsi" w:hAnsiTheme="minorHAnsi" w:cstheme="minorHAnsi"/>
                <w:i/>
                <w:sz w:val="18"/>
                <w:szCs w:val="18"/>
              </w:rPr>
              <w:t>incident cases</w:t>
            </w:r>
            <w:r w:rsidRPr="00010F3C">
              <w:rPr>
                <w:rFonts w:asciiTheme="minorHAnsi" w:hAnsiTheme="minorHAnsi" w:cstheme="minorHAnsi"/>
                <w:i/>
                <w:sz w:val="18"/>
                <w:szCs w:val="18"/>
                <w:vertAlign w:val="superscript"/>
              </w:rPr>
              <w:t xml:space="preserve"> </w:t>
            </w:r>
            <w:r>
              <w:rPr>
                <w:rFonts w:asciiTheme="minorHAnsi" w:hAnsiTheme="minorHAnsi" w:cstheme="minorHAnsi"/>
                <w:i/>
                <w:sz w:val="18"/>
                <w:szCs w:val="18"/>
                <w:vertAlign w:val="superscript"/>
              </w:rPr>
              <w:t>b</w:t>
            </w:r>
          </w:p>
        </w:tc>
        <w:tc>
          <w:tcPr>
            <w:tcW w:w="1350" w:type="dxa"/>
          </w:tcPr>
          <w:p w14:paraId="4E6B9B06"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sz w:val="18"/>
                <w:szCs w:val="18"/>
              </w:rPr>
              <w:t>Originally 27M, extended to 5Y for some participants; every 3M</w:t>
            </w:r>
          </w:p>
          <w:p w14:paraId="112706EE" w14:textId="77777777" w:rsidR="00764A7F" w:rsidRPr="00010F3C" w:rsidRDefault="00764A7F" w:rsidP="00DB49DC">
            <w:pPr>
              <w:rPr>
                <w:rFonts w:asciiTheme="minorHAnsi" w:hAnsiTheme="minorHAnsi" w:cstheme="minorHAnsi"/>
                <w:sz w:val="18"/>
                <w:szCs w:val="18"/>
              </w:rPr>
            </w:pPr>
          </w:p>
        </w:tc>
        <w:tc>
          <w:tcPr>
            <w:tcW w:w="1440" w:type="dxa"/>
          </w:tcPr>
          <w:p w14:paraId="21419275"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sz w:val="18"/>
                <w:szCs w:val="18"/>
              </w:rPr>
              <w:t xml:space="preserve">Clinician obtained cervical samples or self-obtained vaginal swabs via nucleic acid amplification tests (NAATs) </w:t>
            </w:r>
          </w:p>
          <w:p w14:paraId="6B9C5C9B"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sz w:val="18"/>
                <w:szCs w:val="18"/>
              </w:rPr>
              <w:t>(</w:t>
            </w:r>
            <w:proofErr w:type="spellStart"/>
            <w:r w:rsidRPr="00010F3C">
              <w:rPr>
                <w:rFonts w:asciiTheme="minorHAnsi" w:hAnsiTheme="minorHAnsi" w:cstheme="minorHAnsi"/>
                <w:sz w:val="18"/>
                <w:szCs w:val="18"/>
              </w:rPr>
              <w:t>Amplicor</w:t>
            </w:r>
            <w:proofErr w:type="spellEnd"/>
            <w:r w:rsidRPr="00010F3C">
              <w:rPr>
                <w:rFonts w:asciiTheme="minorHAnsi" w:hAnsiTheme="minorHAnsi" w:cstheme="minorHAnsi"/>
                <w:sz w:val="18"/>
                <w:szCs w:val="18"/>
              </w:rPr>
              <w:t xml:space="preserve"> PCR</w:t>
            </w:r>
            <w:r>
              <w:rPr>
                <w:rFonts w:asciiTheme="minorHAnsi" w:hAnsiTheme="minorHAnsi" w:cstheme="minorHAnsi"/>
                <w:sz w:val="18"/>
                <w:szCs w:val="18"/>
              </w:rPr>
              <w:t>,</w:t>
            </w:r>
            <w:r w:rsidRPr="00010F3C">
              <w:rPr>
                <w:rFonts w:asciiTheme="minorHAnsi" w:hAnsiTheme="minorHAnsi" w:cstheme="minorHAnsi"/>
                <w:sz w:val="18"/>
                <w:szCs w:val="18"/>
              </w:rPr>
              <w:t xml:space="preserve"> Roche Diagnostics)</w:t>
            </w:r>
          </w:p>
          <w:p w14:paraId="689998CC" w14:textId="77777777" w:rsidR="00764A7F" w:rsidRPr="00010F3C" w:rsidRDefault="00764A7F" w:rsidP="00DB49DC">
            <w:pPr>
              <w:rPr>
                <w:rFonts w:asciiTheme="minorHAnsi" w:hAnsiTheme="minorHAnsi" w:cstheme="minorHAnsi"/>
                <w:sz w:val="18"/>
                <w:szCs w:val="18"/>
              </w:rPr>
            </w:pPr>
          </w:p>
        </w:tc>
        <w:tc>
          <w:tcPr>
            <w:tcW w:w="2700" w:type="dxa"/>
          </w:tcPr>
          <w:p w14:paraId="6787B8ED"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sz w:val="18"/>
                <w:szCs w:val="18"/>
              </w:rPr>
              <w:t>Age, positive STI test at start of period, # of partners in past 3M, # of lifetime partners, # of sexual events in last 3M (diary period), # of unprotected sexual events in last 3M (diary period)</w:t>
            </w:r>
          </w:p>
          <w:p w14:paraId="5CCE4EBD" w14:textId="77777777" w:rsidR="00764A7F" w:rsidRPr="00010F3C" w:rsidRDefault="00764A7F" w:rsidP="00DB49DC">
            <w:pPr>
              <w:rPr>
                <w:rFonts w:asciiTheme="minorHAnsi" w:hAnsiTheme="minorHAnsi" w:cstheme="minorHAnsi"/>
                <w:sz w:val="18"/>
                <w:szCs w:val="18"/>
              </w:rPr>
            </w:pPr>
          </w:p>
        </w:tc>
        <w:tc>
          <w:tcPr>
            <w:tcW w:w="1350" w:type="dxa"/>
          </w:tcPr>
          <w:p w14:paraId="71AF7F0D"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sz w:val="18"/>
                <w:szCs w:val="18"/>
              </w:rPr>
              <w:t>Non-</w:t>
            </w:r>
            <w:r>
              <w:rPr>
                <w:rFonts w:asciiTheme="minorHAnsi" w:hAnsiTheme="minorHAnsi" w:cstheme="minorHAnsi"/>
                <w:sz w:val="18"/>
                <w:szCs w:val="18"/>
              </w:rPr>
              <w:t>hormonal user</w:t>
            </w:r>
          </w:p>
        </w:tc>
        <w:tc>
          <w:tcPr>
            <w:tcW w:w="1283" w:type="dxa"/>
          </w:tcPr>
          <w:p w14:paraId="74AA001E"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sz w:val="18"/>
                <w:szCs w:val="18"/>
              </w:rPr>
              <w:t>NA</w:t>
            </w:r>
          </w:p>
        </w:tc>
        <w:tc>
          <w:tcPr>
            <w:tcW w:w="1350" w:type="dxa"/>
          </w:tcPr>
          <w:p w14:paraId="38D37C67" w14:textId="77777777" w:rsidR="00764A7F" w:rsidRPr="00010F3C" w:rsidRDefault="00764A7F" w:rsidP="00DB49DC">
            <w:pPr>
              <w:rPr>
                <w:rFonts w:asciiTheme="minorHAnsi" w:hAnsiTheme="minorHAnsi" w:cstheme="minorHAnsi"/>
                <w:sz w:val="18"/>
                <w:szCs w:val="18"/>
              </w:rPr>
            </w:pPr>
            <w:r>
              <w:rPr>
                <w:rFonts w:asciiTheme="minorHAnsi" w:hAnsiTheme="minorHAnsi" w:cstheme="minorHAnsi"/>
                <w:sz w:val="18"/>
                <w:szCs w:val="18"/>
                <w:u w:val="single"/>
              </w:rPr>
              <w:t xml:space="preserve">DMPA, use in past </w:t>
            </w:r>
            <w:r w:rsidRPr="00010F3C">
              <w:rPr>
                <w:rFonts w:asciiTheme="minorHAnsi" w:hAnsiTheme="minorHAnsi" w:cstheme="minorHAnsi"/>
                <w:sz w:val="18"/>
                <w:szCs w:val="18"/>
                <w:u w:val="single"/>
              </w:rPr>
              <w:t xml:space="preserve">3M </w:t>
            </w:r>
            <w:proofErr w:type="spellStart"/>
            <w:r w:rsidRPr="00010F3C">
              <w:rPr>
                <w:rFonts w:asciiTheme="minorHAnsi" w:hAnsiTheme="minorHAnsi" w:cstheme="minorHAnsi"/>
                <w:sz w:val="18"/>
                <w:szCs w:val="18"/>
              </w:rPr>
              <w:t>aOR</w:t>
            </w:r>
            <w:proofErr w:type="spellEnd"/>
            <w:r w:rsidRPr="00010F3C">
              <w:rPr>
                <w:rFonts w:asciiTheme="minorHAnsi" w:hAnsiTheme="minorHAnsi" w:cstheme="minorHAnsi"/>
                <w:sz w:val="18"/>
                <w:szCs w:val="18"/>
              </w:rPr>
              <w:t xml:space="preserve">: 0.76 (0.45, 1.31); </w:t>
            </w:r>
            <w:r w:rsidRPr="00010F3C">
              <w:rPr>
                <w:rFonts w:asciiTheme="minorHAnsi" w:hAnsiTheme="minorHAnsi" w:cstheme="minorHAnsi"/>
                <w:sz w:val="18"/>
                <w:szCs w:val="18"/>
                <w:u w:val="single"/>
              </w:rPr>
              <w:t>DMPA use</w:t>
            </w:r>
            <w:r>
              <w:rPr>
                <w:rFonts w:asciiTheme="minorHAnsi" w:hAnsiTheme="minorHAnsi" w:cstheme="minorHAnsi"/>
                <w:sz w:val="18"/>
                <w:szCs w:val="18"/>
                <w:u w:val="single"/>
              </w:rPr>
              <w:t>d</w:t>
            </w:r>
            <w:r w:rsidRPr="00010F3C">
              <w:rPr>
                <w:rFonts w:asciiTheme="minorHAnsi" w:hAnsiTheme="minorHAnsi" w:cstheme="minorHAnsi"/>
                <w:sz w:val="18"/>
                <w:szCs w:val="18"/>
                <w:u w:val="single"/>
              </w:rPr>
              <w:t xml:space="preserve"> </w:t>
            </w:r>
            <w:r>
              <w:rPr>
                <w:rFonts w:asciiTheme="minorHAnsi" w:hAnsiTheme="minorHAnsi" w:cstheme="minorHAnsi"/>
                <w:sz w:val="18"/>
                <w:szCs w:val="18"/>
                <w:u w:val="single"/>
              </w:rPr>
              <w:t>3-</w:t>
            </w:r>
            <w:r w:rsidRPr="006C14BE">
              <w:rPr>
                <w:rFonts w:asciiTheme="minorHAnsi" w:hAnsiTheme="minorHAnsi" w:cstheme="minorHAnsi"/>
                <w:sz w:val="18"/>
                <w:szCs w:val="18"/>
                <w:u w:val="single"/>
              </w:rPr>
              <w:t>6M ago</w:t>
            </w:r>
            <w:r>
              <w:rPr>
                <w:rFonts w:asciiTheme="minorHAnsi" w:hAnsiTheme="minorHAnsi" w:cstheme="minorHAnsi"/>
                <w:sz w:val="18"/>
                <w:szCs w:val="18"/>
              </w:rPr>
              <w:t xml:space="preserve"> </w:t>
            </w:r>
            <w:proofErr w:type="spellStart"/>
            <w:r w:rsidRPr="00010F3C">
              <w:rPr>
                <w:rFonts w:asciiTheme="minorHAnsi" w:hAnsiTheme="minorHAnsi" w:cstheme="minorHAnsi"/>
                <w:sz w:val="18"/>
                <w:szCs w:val="18"/>
              </w:rPr>
              <w:t>aOR</w:t>
            </w:r>
            <w:proofErr w:type="spellEnd"/>
            <w:r w:rsidRPr="00010F3C">
              <w:rPr>
                <w:rFonts w:asciiTheme="minorHAnsi" w:hAnsiTheme="minorHAnsi" w:cstheme="minorHAnsi"/>
                <w:sz w:val="18"/>
                <w:szCs w:val="18"/>
              </w:rPr>
              <w:t>: 1.17 (0.69, 1.96)</w:t>
            </w:r>
          </w:p>
        </w:tc>
        <w:tc>
          <w:tcPr>
            <w:tcW w:w="1440" w:type="dxa"/>
          </w:tcPr>
          <w:p w14:paraId="24585EDA"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sz w:val="18"/>
                <w:szCs w:val="18"/>
              </w:rPr>
              <w:t>NA</w:t>
            </w:r>
          </w:p>
        </w:tc>
      </w:tr>
      <w:tr w:rsidR="00764A7F" w:rsidRPr="00010F3C" w14:paraId="29E0D121" w14:textId="77777777" w:rsidTr="00DB49DC">
        <w:trPr>
          <w:trHeight w:val="4940"/>
        </w:trPr>
        <w:tc>
          <w:tcPr>
            <w:tcW w:w="985" w:type="dxa"/>
          </w:tcPr>
          <w:p w14:paraId="1F9429B4"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sz w:val="18"/>
                <w:szCs w:val="18"/>
              </w:rPr>
              <w:t>Russell, 2016</w:t>
            </w:r>
            <w:r>
              <w:rPr>
                <w:rFonts w:asciiTheme="minorHAnsi" w:hAnsiTheme="minorHAnsi" w:cstheme="minorHAnsi"/>
                <w:sz w:val="18"/>
                <w:szCs w:val="18"/>
              </w:rPr>
              <w:t xml:space="preserve"> </w:t>
            </w:r>
            <w:r>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{"citationItems":[{"id":"ITEM-1","itemData":{"DOI":"10.1093/infdis/jiv438","ISSN":"1537-6613","PMID":"26347571","abstract":"BACKGROUND Chlamydia trachomatis genital tract infection is a major cause of female reproductive morbidity. Risk factors for ascending infection are unknown, and the role for antibody in protection is not well established. METHODS We recruited 225 women from urban outpatient clinics and followed them for a median of 12 months. We performed a cross-sectional analysis of serum anti-chlamydial immunoglobulin G (IgG), behavioral factors, and microbiological factors associated with endometrial infection at enrollment, and a longitudinal analysis of factors associated with incident infection. RESULTS Oral contraceptives (adjusted relative risk [RR], 2.02 [95% confidence interval {CI}, 1.38-2.97]) and gonorrhea (adjusted RR, 1.66 [95% CI, 1.07-2.60]) were associated with endometrial infection. Gonorrhea (adjusted hazard ratio [HR], 3.09 [95% CI, 1.41-6.78]), cervical infection at enrollment (adjusted HR, 2.33 [95% CI, 1.07-5.11]), and exposure to uncircumcised partners (adjusted HR, 2.65 [95% CI, 1.21-5.82]) or infected partners (adjusted HR, 4.99 [95% CI, 2.66-9.39]) significantly increased the risk of incident infection. Seropositivity was associated with a reduced cervical burden (P &lt; .05) but no differences in rates of ascending infection (adjusted RR, 1.24 [95% CI, .71-2.19]) or incident infection (adjusted HR, 0.94 [95% CI, .52-1.69]). CONCLUSIONS Serum anti-chlamydial IgG is not associated with a lowered rate of ascending or repeat infection. Identification of factors associated with ascending infection and increased risk of incident infection provide guidance for targeted screening of women at increased risk for sequelae.","author":[{"dropping-particle":"","family":"Russell","given":"Ali N","non-dropping-particle":"","parse-names":false,"suffix":""},{"dropping-particle":"","family":"Zheng","given":"Xiaojing","non-dropping-particle":"","parse-names":false,"suffix":""},{"dropping-particle":"","family":"O'Connell","given":"Catherine M","non-dropping-particle":"","parse-names":false,"suffix":""},{"dropping-particle":"","family":"Taylor","given":"Brandie D","non-dropping-particle":"","parse-names":false,"suffix":""},{"dropping-particle":"","family":"Wiesenfeld","given":"Harold C","non-dropping-particle":"","parse-names":false,"suffix":""},{"dropping-particle":"","family":"Hillier","given":"Sharon L","non-dropping-particle":"","parse-names":false,"suffix":""},{"dropping-particle":"","family":"Zhong","given":"Wujuan","non-dropping-particle":"","parse-names":false,"suffix":""},{"dropping-particle":"","family":"Darville","given":"Toni","non-dropping-particle":"","parse-names":false,"suffix":""}],"container-title":"Journal of Infectious Diseases","id":"ITEM-1","issue":"4","issued":{"date-parts":[["2016","2","15"]]},"page":"523-31","title":"Analysis of factors driving incident and ascending infection and the role of serum antibody in Chlamydia trachomatis genital tract infection","type":"article-journal","volume":"213"},"uris":["http://www.mendeley.com/documents/?uuid=1fca306e-3976-3d90-98bc-13b5f5763fc4"]}],"mendeley":{"formattedCitation":"[52]","plainTextFormattedCitation":"[52]","previouslyFormattedCitation":"[52]"},"properties":{"noteIndex":0},"schema":"https://github.com/citation-style-language/schema/raw/master/csl-citation.json"}</w:instrText>
            </w:r>
            <w:r>
              <w:rPr>
                <w:rFonts w:asciiTheme="minorHAnsi" w:hAnsiTheme="minorHAnsi" w:cstheme="minorHAnsi"/>
                <w:sz w:val="18"/>
                <w:szCs w:val="18"/>
              </w:rPr>
              <w:fldChar w:fldCharType="separate"/>
            </w:r>
            <w:r w:rsidRPr="008E6390">
              <w:rPr>
                <w:rFonts w:asciiTheme="minorHAnsi" w:hAnsiTheme="minorHAnsi" w:cstheme="minorHAnsi"/>
                <w:noProof/>
                <w:sz w:val="18"/>
                <w:szCs w:val="18"/>
              </w:rPr>
              <w:t>[52]</w:t>
            </w:r>
            <w:r>
              <w:rPr>
                <w:rFonts w:asciiTheme="minorHAnsi" w:hAnsiTheme="minorHAnsi" w:cstheme="minorHAnsi"/>
                <w:sz w:val="18"/>
                <w:szCs w:val="18"/>
              </w:rPr>
              <w:fldChar w:fldCharType="end"/>
            </w:r>
          </w:p>
        </w:tc>
        <w:tc>
          <w:tcPr>
            <w:tcW w:w="2160" w:type="dxa"/>
          </w:tcPr>
          <w:p w14:paraId="12108FEC" w14:textId="77777777" w:rsidR="00764A7F" w:rsidRPr="00010F3C" w:rsidRDefault="00764A7F" w:rsidP="00DB49DC">
            <w:pPr>
              <w:rPr>
                <w:rFonts w:asciiTheme="minorHAnsi" w:hAnsiTheme="minorHAnsi" w:cstheme="minorHAnsi"/>
                <w:i/>
                <w:sz w:val="18"/>
                <w:szCs w:val="18"/>
              </w:rPr>
            </w:pPr>
            <w:r w:rsidRPr="00010F3C">
              <w:rPr>
                <w:rFonts w:asciiTheme="minorHAnsi" w:hAnsiTheme="minorHAnsi" w:cstheme="minorHAnsi"/>
                <w:sz w:val="18"/>
                <w:szCs w:val="18"/>
              </w:rPr>
              <w:t xml:space="preserve">225, HIV-negative women recruited from outpatient clinics ages 15-35 who had lower genital tract infection or were biologically at risk of STI infection from Pittsburgh PA, USA; </w:t>
            </w:r>
            <w:r w:rsidRPr="00010F3C">
              <w:rPr>
                <w:rFonts w:asciiTheme="minorHAnsi" w:hAnsiTheme="minorHAnsi" w:cstheme="minorHAnsi"/>
                <w:i/>
                <w:sz w:val="18"/>
                <w:szCs w:val="18"/>
              </w:rPr>
              <w:t xml:space="preserve">Incidence rate: 48 women tested positive, 28 per 100 </w:t>
            </w:r>
            <w:proofErr w:type="spellStart"/>
            <w:r w:rsidRPr="00010F3C">
              <w:rPr>
                <w:rFonts w:asciiTheme="minorHAnsi" w:hAnsiTheme="minorHAnsi" w:cstheme="minorHAnsi"/>
                <w:i/>
                <w:sz w:val="18"/>
                <w:szCs w:val="18"/>
              </w:rPr>
              <w:t>P</w:t>
            </w:r>
            <w:r>
              <w:rPr>
                <w:rFonts w:asciiTheme="minorHAnsi" w:hAnsiTheme="minorHAnsi" w:cstheme="minorHAnsi"/>
                <w:i/>
                <w:sz w:val="18"/>
                <w:szCs w:val="18"/>
              </w:rPr>
              <w:t>Y</w:t>
            </w:r>
            <w:r>
              <w:rPr>
                <w:rFonts w:asciiTheme="minorHAnsi" w:hAnsiTheme="minorHAnsi" w:cstheme="minorHAnsi"/>
                <w:i/>
                <w:sz w:val="18"/>
                <w:szCs w:val="18"/>
                <w:vertAlign w:val="superscript"/>
              </w:rPr>
              <w:t>c</w:t>
            </w:r>
            <w:proofErr w:type="spellEnd"/>
            <w:r w:rsidRPr="00010F3C">
              <w:rPr>
                <w:rFonts w:asciiTheme="minorHAnsi" w:hAnsiTheme="minorHAnsi" w:cstheme="minorHAnsi"/>
                <w:i/>
                <w:sz w:val="18"/>
                <w:szCs w:val="18"/>
                <w:vertAlign w:val="superscript"/>
              </w:rPr>
              <w:t xml:space="preserve"> </w:t>
            </w:r>
            <w:r w:rsidRPr="00010F3C">
              <w:rPr>
                <w:rFonts w:asciiTheme="minorHAnsi" w:hAnsiTheme="minorHAnsi" w:cstheme="minorHAnsi"/>
                <w:i/>
                <w:sz w:val="18"/>
                <w:szCs w:val="18"/>
              </w:rPr>
              <w:t>incident rate</w:t>
            </w:r>
          </w:p>
          <w:p w14:paraId="206E06AF" w14:textId="77777777" w:rsidR="00764A7F" w:rsidRPr="00010F3C" w:rsidRDefault="00764A7F" w:rsidP="00DB49DC">
            <w:pPr>
              <w:rPr>
                <w:rFonts w:asciiTheme="minorHAnsi" w:hAnsiTheme="minorHAnsi" w:cstheme="minorHAnsi"/>
                <w:color w:val="FF0000"/>
                <w:sz w:val="18"/>
                <w:szCs w:val="18"/>
              </w:rPr>
            </w:pPr>
          </w:p>
        </w:tc>
        <w:tc>
          <w:tcPr>
            <w:tcW w:w="1350" w:type="dxa"/>
          </w:tcPr>
          <w:p w14:paraId="38033906"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sz w:val="18"/>
                <w:szCs w:val="18"/>
              </w:rPr>
              <w:t>Median 12M FU; 0M, 1M, 4M, 8M, 12M</w:t>
            </w:r>
          </w:p>
          <w:p w14:paraId="6EAF5FA9" w14:textId="77777777" w:rsidR="00764A7F" w:rsidRPr="00010F3C" w:rsidRDefault="00764A7F" w:rsidP="00DB49DC">
            <w:pPr>
              <w:rPr>
                <w:rFonts w:asciiTheme="minorHAnsi" w:hAnsiTheme="minorHAnsi" w:cstheme="minorHAnsi"/>
                <w:sz w:val="18"/>
                <w:szCs w:val="18"/>
              </w:rPr>
            </w:pPr>
          </w:p>
        </w:tc>
        <w:tc>
          <w:tcPr>
            <w:tcW w:w="1440" w:type="dxa"/>
          </w:tcPr>
          <w:p w14:paraId="58F5D758"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sz w:val="18"/>
                <w:szCs w:val="18"/>
              </w:rPr>
              <w:t>Endocervical swab via</w:t>
            </w:r>
          </w:p>
          <w:p w14:paraId="6A533C09"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sz w:val="19"/>
                <w:szCs w:val="19"/>
              </w:rPr>
              <w:t>nucleic acid amplification tests (NAATs)</w:t>
            </w:r>
          </w:p>
        </w:tc>
        <w:tc>
          <w:tcPr>
            <w:tcW w:w="2700" w:type="dxa"/>
          </w:tcPr>
          <w:p w14:paraId="163302C8"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sz w:val="18"/>
                <w:szCs w:val="18"/>
              </w:rPr>
              <w:t xml:space="preserve">Age, education, site of </w:t>
            </w:r>
            <w:r w:rsidRPr="00E24D15">
              <w:rPr>
                <w:rFonts w:asciiTheme="minorHAnsi" w:hAnsiTheme="minorHAnsi" w:cstheme="minorHAnsi"/>
                <w:i/>
                <w:sz w:val="18"/>
                <w:szCs w:val="18"/>
              </w:rPr>
              <w:t>C. trachomatis</w:t>
            </w:r>
            <w:r w:rsidRPr="00010F3C">
              <w:rPr>
                <w:rFonts w:asciiTheme="minorHAnsi" w:hAnsiTheme="minorHAnsi" w:cstheme="minorHAnsi"/>
                <w:sz w:val="18"/>
                <w:szCs w:val="18"/>
              </w:rPr>
              <w:t xml:space="preserve"> </w:t>
            </w:r>
            <w:r>
              <w:rPr>
                <w:rFonts w:asciiTheme="minorHAnsi" w:hAnsiTheme="minorHAnsi" w:cstheme="minorHAnsi"/>
                <w:sz w:val="18"/>
                <w:szCs w:val="18"/>
              </w:rPr>
              <w:t xml:space="preserve">(CT) </w:t>
            </w:r>
            <w:r w:rsidRPr="00010F3C">
              <w:rPr>
                <w:rFonts w:asciiTheme="minorHAnsi" w:hAnsiTheme="minorHAnsi" w:cstheme="minorHAnsi"/>
                <w:sz w:val="18"/>
                <w:szCs w:val="18"/>
              </w:rPr>
              <w:t>infection at enrollment (cervix vs. cervix/endometrium, or uninfected), GN infection during follow-up, STI diagnosis among partner during follow-up, # of male partners since last visit, new male partners since last visit, sex with uncircumcised male in last 3M, condoms (reported at any visit)</w:t>
            </w:r>
          </w:p>
          <w:p w14:paraId="3DFE8082" w14:textId="77777777" w:rsidR="00764A7F" w:rsidRPr="00010F3C" w:rsidRDefault="00764A7F" w:rsidP="00DB49DC">
            <w:pPr>
              <w:rPr>
                <w:rFonts w:asciiTheme="minorHAnsi" w:hAnsiTheme="minorHAnsi" w:cstheme="minorHAnsi"/>
                <w:sz w:val="18"/>
                <w:szCs w:val="18"/>
              </w:rPr>
            </w:pPr>
          </w:p>
          <w:p w14:paraId="6794CA80"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sz w:val="18"/>
                <w:szCs w:val="18"/>
              </w:rPr>
              <w:t xml:space="preserve">Final model (empirical approach): age, </w:t>
            </w:r>
            <w:r w:rsidRPr="00E24D15">
              <w:rPr>
                <w:rFonts w:asciiTheme="minorHAnsi" w:hAnsiTheme="minorHAnsi" w:cstheme="minorHAnsi"/>
                <w:i/>
                <w:sz w:val="18"/>
                <w:szCs w:val="18"/>
              </w:rPr>
              <w:t xml:space="preserve">N. </w:t>
            </w:r>
            <w:r w:rsidRPr="00F77DB6">
              <w:rPr>
                <w:rFonts w:asciiTheme="minorHAnsi" w:hAnsiTheme="minorHAnsi" w:cstheme="minorHAnsi"/>
                <w:i/>
                <w:sz w:val="18"/>
                <w:szCs w:val="18"/>
              </w:rPr>
              <w:t>gonorrhoeae</w:t>
            </w:r>
            <w:r w:rsidRPr="000E572B" w:rsidDel="000E572B">
              <w:rPr>
                <w:rFonts w:asciiTheme="minorHAnsi" w:hAnsiTheme="minorHAnsi" w:cstheme="minorHAnsi"/>
                <w:i/>
                <w:sz w:val="18"/>
                <w:szCs w:val="18"/>
              </w:rPr>
              <w:t xml:space="preserve"> </w:t>
            </w:r>
            <w:r w:rsidRPr="006606EA">
              <w:rPr>
                <w:rFonts w:asciiTheme="minorHAnsi" w:hAnsiTheme="minorHAnsi" w:cstheme="minorHAnsi"/>
                <w:sz w:val="18"/>
                <w:szCs w:val="18"/>
              </w:rPr>
              <w:t>duri</w:t>
            </w:r>
            <w:r w:rsidRPr="00913BFB">
              <w:rPr>
                <w:rFonts w:asciiTheme="minorHAnsi" w:hAnsiTheme="minorHAnsi" w:cstheme="minorHAnsi"/>
                <w:sz w:val="18"/>
                <w:szCs w:val="18"/>
              </w:rPr>
              <w:t>ng</w:t>
            </w:r>
            <w:r w:rsidRPr="00010F3C">
              <w:rPr>
                <w:rFonts w:asciiTheme="minorHAnsi" w:hAnsiTheme="minorHAnsi" w:cstheme="minorHAnsi"/>
                <w:sz w:val="18"/>
                <w:szCs w:val="18"/>
              </w:rPr>
              <w:t xml:space="preserve"> follow-up, site of CT infection, CT infection by partner during follow-up, new male partner since last visit, sex with uncircumcised male last 3M</w:t>
            </w:r>
          </w:p>
        </w:tc>
        <w:tc>
          <w:tcPr>
            <w:tcW w:w="1350" w:type="dxa"/>
          </w:tcPr>
          <w:p w14:paraId="52297115" w14:textId="77777777" w:rsidR="00764A7F" w:rsidRPr="00010F3C" w:rsidRDefault="00764A7F" w:rsidP="00DB49DC">
            <w:pPr>
              <w:rPr>
                <w:rFonts w:asciiTheme="minorHAnsi" w:hAnsiTheme="minorHAnsi" w:cstheme="minorHAnsi"/>
                <w:color w:val="FF0000"/>
                <w:sz w:val="18"/>
                <w:szCs w:val="18"/>
              </w:rPr>
            </w:pPr>
            <w:r w:rsidRPr="00010F3C">
              <w:rPr>
                <w:rFonts w:asciiTheme="minorHAnsi" w:hAnsiTheme="minorHAnsi" w:cstheme="minorHAnsi"/>
                <w:color w:val="000000" w:themeColor="text1"/>
                <w:sz w:val="18"/>
                <w:szCs w:val="18"/>
              </w:rPr>
              <w:t>Non</w:t>
            </w:r>
            <w:r>
              <w:rPr>
                <w:rFonts w:asciiTheme="minorHAnsi" w:hAnsiTheme="minorHAnsi" w:cstheme="minorHAnsi"/>
                <w:color w:val="000000" w:themeColor="text1"/>
                <w:sz w:val="18"/>
                <w:szCs w:val="18"/>
              </w:rPr>
              <w:t>-</w:t>
            </w:r>
            <w:r w:rsidRPr="00010F3C">
              <w:rPr>
                <w:rFonts w:asciiTheme="minorHAnsi" w:hAnsiTheme="minorHAnsi" w:cstheme="minorHAnsi"/>
                <w:color w:val="000000" w:themeColor="text1"/>
                <w:sz w:val="18"/>
                <w:szCs w:val="18"/>
              </w:rPr>
              <w:t>user of OC</w:t>
            </w:r>
            <w:r>
              <w:rPr>
                <w:rFonts w:asciiTheme="minorHAnsi" w:hAnsiTheme="minorHAnsi" w:cstheme="minorHAnsi"/>
                <w:color w:val="000000" w:themeColor="text1"/>
                <w:sz w:val="18"/>
                <w:szCs w:val="18"/>
              </w:rPr>
              <w:t>P</w:t>
            </w:r>
            <w:r w:rsidRPr="00010F3C">
              <w:rPr>
                <w:rFonts w:asciiTheme="minorHAnsi" w:hAnsiTheme="minorHAnsi" w:cstheme="minorHAnsi"/>
                <w:color w:val="000000" w:themeColor="text1"/>
                <w:sz w:val="18"/>
                <w:szCs w:val="18"/>
              </w:rPr>
              <w:t xml:space="preserve"> or DMPA, respectively</w:t>
            </w:r>
          </w:p>
        </w:tc>
        <w:tc>
          <w:tcPr>
            <w:tcW w:w="1283" w:type="dxa"/>
          </w:tcPr>
          <w:p w14:paraId="1AE411A4"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sz w:val="19"/>
                <w:szCs w:val="19"/>
              </w:rPr>
              <w:t>OC</w:t>
            </w:r>
            <w:r>
              <w:rPr>
                <w:rFonts w:asciiTheme="minorHAnsi" w:hAnsiTheme="minorHAnsi" w:cstheme="minorHAnsi"/>
                <w:sz w:val="19"/>
                <w:szCs w:val="19"/>
              </w:rPr>
              <w:t>P</w:t>
            </w:r>
            <w:r w:rsidRPr="00010F3C">
              <w:rPr>
                <w:rFonts w:asciiTheme="minorHAnsi" w:hAnsiTheme="minorHAnsi" w:cstheme="minorHAnsi"/>
                <w:sz w:val="19"/>
                <w:szCs w:val="19"/>
              </w:rPr>
              <w:t xml:space="preserve"> </w:t>
            </w:r>
            <w:proofErr w:type="spellStart"/>
            <w:r w:rsidRPr="00010F3C">
              <w:rPr>
                <w:rFonts w:asciiTheme="minorHAnsi" w:hAnsiTheme="minorHAnsi" w:cstheme="minorHAnsi"/>
                <w:sz w:val="19"/>
                <w:szCs w:val="19"/>
              </w:rPr>
              <w:t>aHR</w:t>
            </w:r>
            <w:proofErr w:type="spellEnd"/>
            <w:r w:rsidRPr="00010F3C">
              <w:rPr>
                <w:rFonts w:asciiTheme="minorHAnsi" w:hAnsiTheme="minorHAnsi" w:cstheme="minorHAnsi"/>
                <w:sz w:val="19"/>
                <w:szCs w:val="19"/>
              </w:rPr>
              <w:t>: NR (ns)</w:t>
            </w:r>
          </w:p>
        </w:tc>
        <w:tc>
          <w:tcPr>
            <w:tcW w:w="1350" w:type="dxa"/>
          </w:tcPr>
          <w:p w14:paraId="3A858058"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sz w:val="18"/>
                <w:szCs w:val="18"/>
              </w:rPr>
              <w:t xml:space="preserve">DMPA </w:t>
            </w:r>
            <w:proofErr w:type="spellStart"/>
            <w:r w:rsidRPr="00010F3C">
              <w:rPr>
                <w:rFonts w:asciiTheme="minorHAnsi" w:hAnsiTheme="minorHAnsi" w:cstheme="minorHAnsi"/>
                <w:sz w:val="18"/>
                <w:szCs w:val="18"/>
              </w:rPr>
              <w:t>aHR</w:t>
            </w:r>
            <w:proofErr w:type="spellEnd"/>
            <w:r w:rsidRPr="00010F3C">
              <w:rPr>
                <w:rFonts w:asciiTheme="minorHAnsi" w:hAnsiTheme="minorHAnsi" w:cstheme="minorHAnsi"/>
                <w:sz w:val="18"/>
                <w:szCs w:val="18"/>
              </w:rPr>
              <w:t>: 1.03 (0.59, 1.78)</w:t>
            </w:r>
          </w:p>
          <w:p w14:paraId="2E99798D" w14:textId="77777777" w:rsidR="00764A7F" w:rsidRPr="00010F3C" w:rsidRDefault="00764A7F" w:rsidP="00DB49DC">
            <w:pPr>
              <w:rPr>
                <w:rFonts w:asciiTheme="minorHAnsi" w:hAnsiTheme="minorHAnsi" w:cstheme="minorHAnsi"/>
                <w:sz w:val="18"/>
                <w:szCs w:val="18"/>
              </w:rPr>
            </w:pPr>
          </w:p>
        </w:tc>
        <w:tc>
          <w:tcPr>
            <w:tcW w:w="1440" w:type="dxa"/>
          </w:tcPr>
          <w:p w14:paraId="50D8D7EF" w14:textId="77777777" w:rsidR="00764A7F" w:rsidRPr="00010F3C" w:rsidRDefault="00764A7F" w:rsidP="00DB49DC">
            <w:pPr>
              <w:rPr>
                <w:rFonts w:asciiTheme="minorHAnsi" w:hAnsiTheme="minorHAnsi" w:cstheme="minorHAnsi"/>
                <w:sz w:val="18"/>
                <w:szCs w:val="18"/>
              </w:rPr>
            </w:pPr>
            <w:r w:rsidRPr="00010F3C">
              <w:rPr>
                <w:rFonts w:asciiTheme="minorHAnsi" w:hAnsiTheme="minorHAnsi" w:cstheme="minorHAnsi"/>
                <w:sz w:val="18"/>
                <w:szCs w:val="18"/>
              </w:rPr>
              <w:t>NA</w:t>
            </w:r>
          </w:p>
        </w:tc>
      </w:tr>
    </w:tbl>
    <w:p w14:paraId="30C3A8A5" w14:textId="77777777" w:rsidR="00764A7F" w:rsidRDefault="00764A7F" w:rsidP="00764A7F">
      <w:pPr>
        <w:rPr>
          <w:rFonts w:asciiTheme="minorHAnsi" w:hAnsiTheme="minorHAnsi" w:cstheme="minorHAnsi"/>
          <w:sz w:val="18"/>
          <w:szCs w:val="18"/>
        </w:rPr>
      </w:pPr>
      <w:r w:rsidRPr="002811E0">
        <w:rPr>
          <w:rFonts w:asciiTheme="minorHAnsi" w:hAnsiTheme="minorHAnsi" w:cstheme="minorHAnsi"/>
          <w:color w:val="000000" w:themeColor="text1"/>
          <w:sz w:val="18"/>
          <w:szCs w:val="18"/>
        </w:rPr>
        <w:t>Notes:</w:t>
      </w:r>
      <w:r>
        <w:rPr>
          <w:rFonts w:asciiTheme="minorHAnsi" w:hAnsiTheme="minorHAnsi" w:cstheme="minorHAnsi"/>
          <w:color w:val="000000" w:themeColor="text1"/>
          <w:sz w:val="18"/>
          <w:szCs w:val="18"/>
          <w:vertAlign w:val="superscript"/>
        </w:rPr>
        <w:t xml:space="preserve"> </w:t>
      </w:r>
      <w:r w:rsidRPr="00010F3C">
        <w:rPr>
          <w:rFonts w:asciiTheme="minorHAnsi" w:hAnsiTheme="minorHAnsi" w:cstheme="minorHAnsi"/>
          <w:sz w:val="18"/>
          <w:szCs w:val="18"/>
        </w:rPr>
        <w:t>PY: person-years at risk</w:t>
      </w:r>
      <w:r>
        <w:rPr>
          <w:rFonts w:asciiTheme="minorHAnsi" w:hAnsiTheme="minorHAnsi" w:cstheme="minorHAnsi"/>
          <w:sz w:val="18"/>
          <w:szCs w:val="18"/>
        </w:rPr>
        <w:t xml:space="preserve">. </w:t>
      </w:r>
      <w:r w:rsidRPr="00010F3C">
        <w:rPr>
          <w:rFonts w:asciiTheme="minorHAnsi" w:hAnsiTheme="minorHAnsi" w:cstheme="minorHAnsi"/>
          <w:sz w:val="18"/>
          <w:szCs w:val="18"/>
        </w:rPr>
        <w:t>* Statistically significant at p&lt;0.05.</w:t>
      </w:r>
      <w:r>
        <w:rPr>
          <w:rFonts w:asciiTheme="minorHAnsi" w:hAnsiTheme="minorHAnsi" w:cstheme="minorHAnsi"/>
          <w:sz w:val="18"/>
          <w:szCs w:val="18"/>
        </w:rPr>
        <w:t xml:space="preserve"> </w:t>
      </w:r>
      <w:r w:rsidRPr="00F77DB6">
        <w:rPr>
          <w:rFonts w:asciiTheme="minorHAnsi" w:hAnsiTheme="minorHAnsi" w:cstheme="minorHAnsi"/>
          <w:sz w:val="18"/>
          <w:szCs w:val="18"/>
          <w:vertAlign w:val="superscript"/>
        </w:rPr>
        <w:t>#</w:t>
      </w:r>
      <w:r>
        <w:rPr>
          <w:rFonts w:asciiTheme="minorHAnsi" w:hAnsiTheme="minorHAnsi" w:cstheme="minorHAnsi"/>
          <w:sz w:val="18"/>
          <w:szCs w:val="18"/>
        </w:rPr>
        <w:t xml:space="preserve"> p=0.05</w:t>
      </w:r>
    </w:p>
    <w:p w14:paraId="5D298A9F" w14:textId="77777777" w:rsidR="00764A7F" w:rsidRPr="00010F3C" w:rsidRDefault="00764A7F" w:rsidP="00764A7F">
      <w:pPr>
        <w:rPr>
          <w:rFonts w:asciiTheme="minorHAnsi" w:hAnsiTheme="minorHAnsi" w:cstheme="minorHAnsi"/>
          <w:sz w:val="18"/>
          <w:szCs w:val="18"/>
        </w:rPr>
      </w:pPr>
      <w:r>
        <w:rPr>
          <w:rFonts w:asciiTheme="minorHAnsi" w:hAnsiTheme="minorHAnsi" w:cstheme="minorHAnsi"/>
          <w:sz w:val="18"/>
          <w:szCs w:val="18"/>
          <w:vertAlign w:val="superscript"/>
        </w:rPr>
        <w:t>a</w:t>
      </w:r>
      <w:r>
        <w:rPr>
          <w:rFonts w:asciiTheme="minorHAnsi" w:hAnsiTheme="minorHAnsi" w:cstheme="minorHAnsi"/>
          <w:sz w:val="18"/>
          <w:szCs w:val="18"/>
        </w:rPr>
        <w:t xml:space="preserve"> </w:t>
      </w:r>
      <w:r w:rsidRPr="00010F3C">
        <w:rPr>
          <w:rFonts w:asciiTheme="minorHAnsi" w:hAnsiTheme="minorHAnsi" w:cstheme="minorHAnsi"/>
          <w:sz w:val="18"/>
          <w:szCs w:val="18"/>
        </w:rPr>
        <w:t>OC</w:t>
      </w:r>
      <w:r>
        <w:rPr>
          <w:rFonts w:asciiTheme="minorHAnsi" w:hAnsiTheme="minorHAnsi" w:cstheme="minorHAnsi"/>
          <w:sz w:val="18"/>
          <w:szCs w:val="18"/>
        </w:rPr>
        <w:t>P type</w:t>
      </w:r>
      <w:r w:rsidRPr="00010F3C">
        <w:rPr>
          <w:rFonts w:asciiTheme="minorHAnsi" w:hAnsiTheme="minorHAnsi" w:cstheme="minorHAnsi"/>
          <w:sz w:val="18"/>
          <w:szCs w:val="18"/>
        </w:rPr>
        <w:t xml:space="preserve"> was unspecified unless COC (combined oral contraception) </w:t>
      </w:r>
      <w:r>
        <w:rPr>
          <w:rFonts w:asciiTheme="minorHAnsi" w:hAnsiTheme="minorHAnsi" w:cstheme="minorHAnsi"/>
          <w:sz w:val="18"/>
          <w:szCs w:val="18"/>
        </w:rPr>
        <w:t xml:space="preserve">or POP (progestin-only) </w:t>
      </w:r>
      <w:r w:rsidRPr="00010F3C">
        <w:rPr>
          <w:rFonts w:asciiTheme="minorHAnsi" w:hAnsiTheme="minorHAnsi" w:cstheme="minorHAnsi"/>
          <w:sz w:val="18"/>
          <w:szCs w:val="18"/>
        </w:rPr>
        <w:t xml:space="preserve">is noted. </w:t>
      </w:r>
    </w:p>
    <w:p w14:paraId="1DB7D6F2" w14:textId="77777777" w:rsidR="00764A7F" w:rsidRPr="00010F3C" w:rsidRDefault="00764A7F" w:rsidP="00764A7F">
      <w:pPr>
        <w:rPr>
          <w:rFonts w:asciiTheme="minorHAnsi" w:hAnsiTheme="minorHAnsi" w:cstheme="minorHAnsi"/>
          <w:sz w:val="18"/>
          <w:szCs w:val="18"/>
        </w:rPr>
      </w:pPr>
      <w:r>
        <w:rPr>
          <w:rFonts w:asciiTheme="minorHAnsi" w:hAnsiTheme="minorHAnsi" w:cstheme="minorHAnsi"/>
          <w:sz w:val="18"/>
          <w:szCs w:val="18"/>
          <w:vertAlign w:val="superscript"/>
        </w:rPr>
        <w:t>b</w:t>
      </w:r>
      <w:r w:rsidRPr="00010F3C">
        <w:rPr>
          <w:rFonts w:asciiTheme="minorHAnsi" w:hAnsiTheme="minorHAnsi" w:cstheme="minorHAnsi"/>
          <w:i/>
          <w:sz w:val="18"/>
          <w:szCs w:val="18"/>
          <w:vertAlign w:val="superscript"/>
        </w:rPr>
        <w:t xml:space="preserve"> </w:t>
      </w:r>
      <w:r w:rsidRPr="00010F3C">
        <w:rPr>
          <w:rFonts w:asciiTheme="minorHAnsi" w:hAnsiTheme="minorHAnsi" w:cstheme="minorHAnsi"/>
          <w:sz w:val="18"/>
          <w:szCs w:val="18"/>
        </w:rPr>
        <w:t>Multiple incident cases per woman were allowed, i.e., incident cases defined as a positive test following a negative test.</w:t>
      </w:r>
    </w:p>
    <w:p w14:paraId="30BDCBF2" w14:textId="77777777" w:rsidR="00764A7F" w:rsidRPr="00010F3C" w:rsidRDefault="00764A7F" w:rsidP="00764A7F">
      <w:pPr>
        <w:rPr>
          <w:rFonts w:asciiTheme="minorHAnsi" w:hAnsiTheme="minorHAnsi" w:cstheme="minorHAnsi"/>
          <w:color w:val="FF0000"/>
          <w:sz w:val="18"/>
          <w:szCs w:val="18"/>
        </w:rPr>
      </w:pPr>
      <w:r>
        <w:rPr>
          <w:rFonts w:asciiTheme="minorHAnsi" w:hAnsiTheme="minorHAnsi" w:cstheme="minorHAnsi"/>
          <w:sz w:val="18"/>
          <w:szCs w:val="18"/>
          <w:vertAlign w:val="superscript"/>
        </w:rPr>
        <w:lastRenderedPageBreak/>
        <w:t>c</w:t>
      </w:r>
      <w:r w:rsidRPr="00010F3C">
        <w:rPr>
          <w:rFonts w:asciiTheme="minorHAnsi" w:hAnsiTheme="minorHAnsi" w:cstheme="minorHAnsi"/>
          <w:sz w:val="18"/>
          <w:szCs w:val="18"/>
          <w:vertAlign w:val="superscript"/>
        </w:rPr>
        <w:t xml:space="preserve"> </w:t>
      </w:r>
      <w:r w:rsidRPr="00010F3C">
        <w:rPr>
          <w:rFonts w:asciiTheme="minorHAnsi" w:hAnsiTheme="minorHAnsi" w:cstheme="minorHAnsi"/>
          <w:sz w:val="18"/>
          <w:szCs w:val="18"/>
        </w:rPr>
        <w:t>Incident infection defined as any positive test during follow-up.</w:t>
      </w:r>
    </w:p>
    <w:p w14:paraId="7C45C812" w14:textId="77777777" w:rsidR="00764A7F" w:rsidRPr="00010F3C" w:rsidRDefault="00764A7F" w:rsidP="00764A7F">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vertAlign w:val="superscript"/>
        </w:rPr>
        <w:t>d</w:t>
      </w:r>
      <w:r w:rsidRPr="00010F3C">
        <w:rPr>
          <w:rFonts w:asciiTheme="minorHAnsi" w:hAnsiTheme="minorHAnsi" w:cstheme="minorHAnsi"/>
          <w:color w:val="000000" w:themeColor="text1"/>
          <w:sz w:val="18"/>
          <w:szCs w:val="18"/>
          <w:vertAlign w:val="superscript"/>
        </w:rPr>
        <w:t xml:space="preserve"> </w:t>
      </w:r>
      <w:r w:rsidRPr="00010F3C">
        <w:rPr>
          <w:rFonts w:asciiTheme="minorHAnsi" w:hAnsiTheme="minorHAnsi" w:cstheme="minorHAnsi"/>
          <w:color w:val="000000" w:themeColor="text1"/>
          <w:sz w:val="18"/>
          <w:szCs w:val="18"/>
        </w:rPr>
        <w:t>Injectable type not reported but authors note most commonly DMPA in setting with occasional norethisterone enanthate (NE-ENT) use.</w:t>
      </w:r>
    </w:p>
    <w:p w14:paraId="1C194D7B" w14:textId="77777777" w:rsidR="00764A7F" w:rsidRPr="00010F3C" w:rsidRDefault="00764A7F" w:rsidP="00764A7F">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vertAlign w:val="superscript"/>
        </w:rPr>
        <w:t>e</w:t>
      </w:r>
      <w:r w:rsidRPr="00010F3C">
        <w:rPr>
          <w:rFonts w:asciiTheme="minorHAnsi" w:hAnsiTheme="minorHAnsi" w:cstheme="minorHAnsi"/>
          <w:color w:val="000000" w:themeColor="text1"/>
          <w:sz w:val="18"/>
          <w:szCs w:val="18"/>
        </w:rPr>
        <w:t xml:space="preserve"> Excluding cases among pregnant women.</w:t>
      </w:r>
    </w:p>
    <w:p w14:paraId="11BE33BD" w14:textId="77777777" w:rsidR="00764A7F" w:rsidRPr="00010F3C" w:rsidRDefault="00764A7F" w:rsidP="00764A7F">
      <w:pPr>
        <w:pStyle w:val="p1"/>
        <w:rPr>
          <w:rFonts w:asciiTheme="minorHAnsi" w:hAnsiTheme="minorHAnsi" w:cstheme="minorHAnsi"/>
          <w:sz w:val="18"/>
          <w:szCs w:val="18"/>
        </w:rPr>
      </w:pPr>
    </w:p>
    <w:p w14:paraId="48D39B26" w14:textId="77777777" w:rsidR="00764A7F" w:rsidRDefault="00764A7F" w:rsidP="00764A7F"/>
    <w:p w14:paraId="78F3D133" w14:textId="77777777" w:rsidR="001C1BDE" w:rsidRDefault="001C1BDE"/>
    <w:sectPr w:rsidR="001C1BDE" w:rsidSect="00CA2BF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7F"/>
    <w:rsid w:val="001C1BDE"/>
    <w:rsid w:val="003F5C4C"/>
    <w:rsid w:val="00764A7F"/>
    <w:rsid w:val="00894BCC"/>
    <w:rsid w:val="008A7371"/>
    <w:rsid w:val="008D746A"/>
    <w:rsid w:val="009A5171"/>
    <w:rsid w:val="00CA2BF9"/>
    <w:rsid w:val="00D75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31E9"/>
  <w15:chartTrackingRefBased/>
  <w15:docId w15:val="{B7E471F1-DBF4-439F-AFB4-4B772856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A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64A7F"/>
    <w:rPr>
      <w:rFonts w:ascii="Times" w:eastAsiaTheme="minorHAnsi" w:hAnsi="Times"/>
      <w:sz w:val="14"/>
      <w:szCs w:val="14"/>
    </w:rPr>
  </w:style>
  <w:style w:type="table" w:styleId="TableGrid">
    <w:name w:val="Table Grid"/>
    <w:basedOn w:val="TableNormal"/>
    <w:uiPriority w:val="39"/>
    <w:rsid w:val="00764A7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5658</Words>
  <Characters>32252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Detweiler, Rachelle</dc:creator>
  <cp:keywords/>
  <dc:description/>
  <cp:lastModifiedBy>Stevens, Emily</cp:lastModifiedBy>
  <cp:revision>2</cp:revision>
  <dcterms:created xsi:type="dcterms:W3CDTF">2019-03-26T17:39:00Z</dcterms:created>
  <dcterms:modified xsi:type="dcterms:W3CDTF">2019-03-26T17:39:00Z</dcterms:modified>
</cp:coreProperties>
</file>