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01DE" w14:textId="77777777" w:rsidR="000C443A" w:rsidRPr="00F958A6" w:rsidRDefault="000C443A" w:rsidP="000C443A">
      <w:pPr>
        <w:rPr>
          <w:rFonts w:asciiTheme="minorHAnsi" w:hAnsiTheme="minorHAnsi" w:cstheme="minorHAnsi"/>
          <w:b/>
          <w:color w:val="FF0000"/>
          <w:sz w:val="22"/>
          <w:szCs w:val="18"/>
        </w:rPr>
      </w:pPr>
      <w:r>
        <w:rPr>
          <w:rFonts w:asciiTheme="minorHAnsi" w:hAnsiTheme="minorHAnsi" w:cstheme="minorHAnsi"/>
          <w:b/>
          <w:sz w:val="22"/>
          <w:szCs w:val="18"/>
        </w:rPr>
        <w:t>Table 7</w:t>
      </w:r>
      <w:r w:rsidRPr="00010F3C">
        <w:rPr>
          <w:rFonts w:asciiTheme="minorHAnsi" w:hAnsiTheme="minorHAnsi" w:cstheme="minorHAnsi"/>
          <w:b/>
          <w:sz w:val="22"/>
          <w:szCs w:val="18"/>
        </w:rPr>
        <w:t xml:space="preserve">. Prospective associations between hormonal contraceptive use and </w:t>
      </w:r>
      <w:r w:rsidRPr="00A9792D">
        <w:rPr>
          <w:rFonts w:asciiTheme="minorHAnsi" w:hAnsiTheme="minorHAnsi" w:cstheme="minorHAnsi"/>
          <w:b/>
          <w:i/>
          <w:sz w:val="22"/>
          <w:szCs w:val="18"/>
        </w:rPr>
        <w:t>Neisseria gonorrh</w:t>
      </w:r>
      <w:r>
        <w:rPr>
          <w:rFonts w:asciiTheme="minorHAnsi" w:hAnsiTheme="minorHAnsi" w:cstheme="minorHAnsi"/>
          <w:b/>
          <w:i/>
          <w:sz w:val="22"/>
          <w:szCs w:val="18"/>
        </w:rPr>
        <w:t>o</w:t>
      </w:r>
      <w:r w:rsidRPr="00A9792D">
        <w:rPr>
          <w:rFonts w:asciiTheme="minorHAnsi" w:hAnsiTheme="minorHAnsi" w:cstheme="minorHAnsi"/>
          <w:b/>
          <w:i/>
          <w:sz w:val="22"/>
          <w:szCs w:val="18"/>
        </w:rPr>
        <w:t>ea</w:t>
      </w:r>
      <w:r>
        <w:rPr>
          <w:rFonts w:asciiTheme="minorHAnsi" w:hAnsiTheme="minorHAnsi" w:cstheme="minorHAnsi"/>
          <w:b/>
          <w:i/>
          <w:sz w:val="22"/>
          <w:szCs w:val="18"/>
        </w:rPr>
        <w:t>e</w:t>
      </w:r>
      <w:r w:rsidRPr="00010F3C">
        <w:rPr>
          <w:rFonts w:asciiTheme="minorHAnsi" w:hAnsiTheme="minorHAnsi" w:cstheme="minorHAnsi"/>
          <w:b/>
          <w:sz w:val="22"/>
          <w:szCs w:val="18"/>
        </w:rPr>
        <w:t xml:space="preserve"> (NG) (N=</w:t>
      </w:r>
      <w:r>
        <w:rPr>
          <w:rFonts w:asciiTheme="minorHAnsi" w:hAnsiTheme="minorHAnsi" w:cstheme="minorHAnsi"/>
          <w:b/>
          <w:sz w:val="22"/>
          <w:szCs w:val="18"/>
        </w:rPr>
        <w:t>7</w:t>
      </w:r>
      <w:r w:rsidRPr="00010F3C">
        <w:rPr>
          <w:rFonts w:asciiTheme="minorHAnsi" w:hAnsiTheme="minorHAnsi" w:cstheme="minorHAnsi"/>
          <w:b/>
          <w:sz w:val="22"/>
          <w:szCs w:val="18"/>
        </w:rPr>
        <w:t xml:space="preserve">). </w:t>
      </w:r>
    </w:p>
    <w:tbl>
      <w:tblPr>
        <w:tblStyle w:val="TableGrid"/>
        <w:tblW w:w="13176" w:type="dxa"/>
        <w:tblLayout w:type="fixed"/>
        <w:tblLook w:val="04A0" w:firstRow="1" w:lastRow="0" w:firstColumn="1" w:lastColumn="0" w:noHBand="0" w:noVBand="1"/>
      </w:tblPr>
      <w:tblGrid>
        <w:gridCol w:w="979"/>
        <w:gridCol w:w="1626"/>
        <w:gridCol w:w="1095"/>
        <w:gridCol w:w="1197"/>
        <w:gridCol w:w="2658"/>
        <w:gridCol w:w="1466"/>
        <w:gridCol w:w="1385"/>
        <w:gridCol w:w="1385"/>
        <w:gridCol w:w="1385"/>
      </w:tblGrid>
      <w:tr w:rsidR="000C443A" w:rsidRPr="00010F3C" w14:paraId="71986184" w14:textId="77777777" w:rsidTr="00DB49DC">
        <w:trPr>
          <w:tblHeader/>
        </w:trPr>
        <w:tc>
          <w:tcPr>
            <w:tcW w:w="979" w:type="dxa"/>
          </w:tcPr>
          <w:p w14:paraId="70938FA4" w14:textId="77777777" w:rsidR="000C443A" w:rsidRPr="00010F3C" w:rsidRDefault="000C443A" w:rsidP="00DB49DC">
            <w:pPr>
              <w:rPr>
                <w:rFonts w:asciiTheme="minorHAnsi" w:hAnsiTheme="minorHAnsi" w:cstheme="minorHAnsi"/>
                <w:b/>
                <w:sz w:val="20"/>
                <w:szCs w:val="18"/>
              </w:rPr>
            </w:pPr>
            <w:r w:rsidRPr="00010F3C">
              <w:rPr>
                <w:rFonts w:asciiTheme="minorHAnsi" w:hAnsiTheme="minorHAnsi" w:cstheme="minorHAnsi"/>
                <w:b/>
                <w:sz w:val="20"/>
                <w:szCs w:val="18"/>
              </w:rPr>
              <w:t>Study</w:t>
            </w:r>
          </w:p>
        </w:tc>
        <w:tc>
          <w:tcPr>
            <w:tcW w:w="1626" w:type="dxa"/>
          </w:tcPr>
          <w:p w14:paraId="67FA794B" w14:textId="77777777" w:rsidR="000C443A" w:rsidRPr="00010F3C" w:rsidRDefault="000C443A" w:rsidP="00DB49DC">
            <w:pPr>
              <w:rPr>
                <w:rFonts w:asciiTheme="minorHAnsi" w:hAnsiTheme="minorHAnsi" w:cstheme="minorHAnsi"/>
                <w:b/>
                <w:sz w:val="20"/>
                <w:szCs w:val="18"/>
              </w:rPr>
            </w:pPr>
            <w:r w:rsidRPr="00010F3C">
              <w:rPr>
                <w:rFonts w:asciiTheme="minorHAnsi" w:hAnsiTheme="minorHAnsi" w:cstheme="minorHAnsi"/>
                <w:b/>
                <w:sz w:val="20"/>
                <w:szCs w:val="18"/>
              </w:rPr>
              <w:t>N, study sample</w:t>
            </w:r>
          </w:p>
        </w:tc>
        <w:tc>
          <w:tcPr>
            <w:tcW w:w="1095" w:type="dxa"/>
          </w:tcPr>
          <w:p w14:paraId="0F0C0FAF" w14:textId="77777777" w:rsidR="000C443A" w:rsidRPr="00010F3C" w:rsidRDefault="000C443A" w:rsidP="00DB49DC">
            <w:pPr>
              <w:rPr>
                <w:rFonts w:asciiTheme="minorHAnsi" w:hAnsiTheme="minorHAnsi" w:cstheme="minorHAnsi"/>
                <w:b/>
                <w:sz w:val="20"/>
                <w:szCs w:val="18"/>
              </w:rPr>
            </w:pPr>
            <w:r w:rsidRPr="00010F3C">
              <w:rPr>
                <w:rFonts w:asciiTheme="minorHAnsi" w:hAnsiTheme="minorHAnsi" w:cstheme="minorHAnsi"/>
                <w:b/>
                <w:sz w:val="20"/>
                <w:szCs w:val="18"/>
              </w:rPr>
              <w:t>Length of follow-up; frequency STI assessment</w:t>
            </w:r>
          </w:p>
        </w:tc>
        <w:tc>
          <w:tcPr>
            <w:tcW w:w="1197" w:type="dxa"/>
          </w:tcPr>
          <w:p w14:paraId="5CC27374" w14:textId="77777777" w:rsidR="000C443A" w:rsidRPr="00010F3C" w:rsidRDefault="000C443A" w:rsidP="00DB49DC">
            <w:pPr>
              <w:rPr>
                <w:rFonts w:asciiTheme="minorHAnsi" w:hAnsiTheme="minorHAnsi" w:cstheme="minorHAnsi"/>
                <w:b/>
                <w:sz w:val="20"/>
                <w:szCs w:val="18"/>
              </w:rPr>
            </w:pPr>
            <w:r w:rsidRPr="00010F3C">
              <w:rPr>
                <w:rFonts w:asciiTheme="minorHAnsi" w:hAnsiTheme="minorHAnsi" w:cstheme="minorHAnsi"/>
                <w:b/>
                <w:sz w:val="20"/>
                <w:szCs w:val="18"/>
              </w:rPr>
              <w:t>STI diagnostic test</w:t>
            </w:r>
          </w:p>
        </w:tc>
        <w:tc>
          <w:tcPr>
            <w:tcW w:w="2658" w:type="dxa"/>
          </w:tcPr>
          <w:p w14:paraId="2AD422E7" w14:textId="77777777" w:rsidR="000C443A" w:rsidRPr="00010F3C" w:rsidRDefault="000C443A" w:rsidP="00DB49DC">
            <w:pPr>
              <w:rPr>
                <w:rFonts w:asciiTheme="minorHAnsi" w:hAnsiTheme="minorHAnsi" w:cstheme="minorHAnsi"/>
                <w:b/>
                <w:sz w:val="20"/>
                <w:szCs w:val="18"/>
              </w:rPr>
            </w:pPr>
            <w:r w:rsidRPr="00010F3C">
              <w:rPr>
                <w:rFonts w:asciiTheme="minorHAnsi" w:hAnsiTheme="minorHAnsi" w:cstheme="minorHAnsi"/>
                <w:b/>
                <w:sz w:val="20"/>
                <w:szCs w:val="18"/>
              </w:rPr>
              <w:t>Covariates</w:t>
            </w:r>
          </w:p>
        </w:tc>
        <w:tc>
          <w:tcPr>
            <w:tcW w:w="1466" w:type="dxa"/>
          </w:tcPr>
          <w:p w14:paraId="274BB1C4" w14:textId="77777777" w:rsidR="000C443A" w:rsidRPr="00010F3C" w:rsidRDefault="000C443A" w:rsidP="00DB49DC">
            <w:pPr>
              <w:rPr>
                <w:rFonts w:asciiTheme="minorHAnsi" w:hAnsiTheme="minorHAnsi" w:cstheme="minorHAnsi"/>
                <w:b/>
                <w:sz w:val="20"/>
                <w:szCs w:val="18"/>
              </w:rPr>
            </w:pPr>
            <w:r w:rsidRPr="00010F3C">
              <w:rPr>
                <w:rFonts w:asciiTheme="minorHAnsi" w:hAnsiTheme="minorHAnsi" w:cstheme="minorHAnsi"/>
                <w:b/>
                <w:sz w:val="20"/>
                <w:szCs w:val="18"/>
              </w:rPr>
              <w:t>Reference group</w:t>
            </w:r>
          </w:p>
        </w:tc>
        <w:tc>
          <w:tcPr>
            <w:tcW w:w="1385" w:type="dxa"/>
          </w:tcPr>
          <w:p w14:paraId="1DEF685F" w14:textId="77777777" w:rsidR="000C443A" w:rsidRPr="00010F3C" w:rsidRDefault="000C443A" w:rsidP="00DB49DC">
            <w:pPr>
              <w:rPr>
                <w:rFonts w:asciiTheme="minorHAnsi" w:hAnsiTheme="minorHAnsi" w:cstheme="minorHAnsi"/>
                <w:b/>
                <w:sz w:val="20"/>
                <w:szCs w:val="18"/>
              </w:rPr>
            </w:pPr>
            <w:proofErr w:type="spellStart"/>
            <w:r w:rsidRPr="00010F3C">
              <w:rPr>
                <w:rFonts w:asciiTheme="minorHAnsi" w:hAnsiTheme="minorHAnsi" w:cstheme="minorHAnsi"/>
                <w:b/>
                <w:sz w:val="20"/>
                <w:szCs w:val="18"/>
              </w:rPr>
              <w:t>OC</w:t>
            </w:r>
            <w:r>
              <w:rPr>
                <w:rFonts w:asciiTheme="minorHAnsi" w:hAnsiTheme="minorHAnsi" w:cstheme="minorHAnsi"/>
                <w:b/>
                <w:sz w:val="20"/>
                <w:szCs w:val="18"/>
              </w:rPr>
              <w:t>P</w:t>
            </w:r>
            <w:r w:rsidRPr="00F77DB6">
              <w:rPr>
                <w:rFonts w:asciiTheme="minorHAnsi" w:hAnsiTheme="minorHAnsi" w:cstheme="minorHAnsi"/>
                <w:sz w:val="20"/>
                <w:szCs w:val="18"/>
                <w:vertAlign w:val="superscript"/>
              </w:rPr>
              <w:t>a</w:t>
            </w:r>
            <w:proofErr w:type="spellEnd"/>
          </w:p>
        </w:tc>
        <w:tc>
          <w:tcPr>
            <w:tcW w:w="1385" w:type="dxa"/>
          </w:tcPr>
          <w:p w14:paraId="0483D8E3" w14:textId="77777777" w:rsidR="000C443A" w:rsidRPr="00010F3C" w:rsidRDefault="000C443A" w:rsidP="00DB49DC">
            <w:pPr>
              <w:rPr>
                <w:rFonts w:asciiTheme="minorHAnsi" w:hAnsiTheme="minorHAnsi" w:cstheme="minorHAnsi"/>
                <w:b/>
                <w:sz w:val="20"/>
                <w:szCs w:val="18"/>
              </w:rPr>
            </w:pPr>
            <w:r w:rsidRPr="00010F3C">
              <w:rPr>
                <w:rFonts w:asciiTheme="minorHAnsi" w:hAnsiTheme="minorHAnsi" w:cstheme="minorHAnsi"/>
                <w:b/>
                <w:sz w:val="20"/>
                <w:szCs w:val="18"/>
              </w:rPr>
              <w:t>Injectable</w:t>
            </w:r>
          </w:p>
        </w:tc>
        <w:tc>
          <w:tcPr>
            <w:tcW w:w="1385" w:type="dxa"/>
          </w:tcPr>
          <w:p w14:paraId="51241DCF" w14:textId="77777777" w:rsidR="000C443A" w:rsidRPr="00010F3C" w:rsidRDefault="000C443A" w:rsidP="00DB49DC">
            <w:pPr>
              <w:rPr>
                <w:rFonts w:asciiTheme="minorHAnsi" w:hAnsiTheme="minorHAnsi" w:cstheme="minorHAnsi"/>
                <w:b/>
                <w:sz w:val="20"/>
                <w:szCs w:val="18"/>
              </w:rPr>
            </w:pPr>
            <w:r w:rsidRPr="00010F3C">
              <w:rPr>
                <w:rFonts w:asciiTheme="minorHAnsi" w:hAnsiTheme="minorHAnsi" w:cstheme="minorHAnsi"/>
                <w:b/>
                <w:sz w:val="20"/>
                <w:szCs w:val="18"/>
              </w:rPr>
              <w:t>Implant</w:t>
            </w:r>
          </w:p>
        </w:tc>
      </w:tr>
      <w:tr w:rsidR="000C443A" w:rsidRPr="00010F3C" w14:paraId="5FB6C717" w14:textId="77777777" w:rsidTr="00DB49DC">
        <w:tc>
          <w:tcPr>
            <w:tcW w:w="979" w:type="dxa"/>
          </w:tcPr>
          <w:p w14:paraId="7DE2048D" w14:textId="77777777" w:rsidR="000C443A" w:rsidRPr="00010F3C" w:rsidRDefault="000C443A"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Borgdorff</w:t>
            </w:r>
            <w:proofErr w:type="spellEnd"/>
            <w:r w:rsidRPr="00010F3C">
              <w:rPr>
                <w:rFonts w:asciiTheme="minorHAnsi" w:hAnsiTheme="minorHAnsi" w:cstheme="minorHAnsi"/>
                <w:sz w:val="18"/>
                <w:szCs w:val="18"/>
              </w:rPr>
              <w:t>, 2015</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{"citationItems":[{"id":"ITEM-1","itemData":{"DOI":"10.1097/OLQ.0000000000000245","ISSN":"0148-5717","PMID":"25668647","abstract":"BACKGROUND The observed association between Depo-Provera injectable use and increased HIV acquisition may be caused by hormone-induced increased susceptibility to other sexually transmitted infections (STIs) or changes in the cervicovaginal microbiota (VMB), accompanied by genital immune activation and/or mucosal remodeling. METHODS Rwandan female sex workers (n = 800) were interviewed about contraceptive use and sexual behavior and were tested for STIs, bacterial vaginosis by Nugent score and pregnancy, at baseline. A subset of 397 HIV-negative, nonpregnant women were interviewed and tested again at regular intervals for 2 years. The VMB of a subset of 174 women was characterized by phylogenetic microarray. Outcomes of STI and VMB were compared between women with hormonal exposures (reporting oral contraceptive or injectable use, or testing positive for pregnancy) and controls (not reporting hormonal contraception and not pregnant). RESULTS Oral contraceptive use was associated with increased human papillomavirus prevalence (adjusted odds ratio [aOR], 3.10; 1.21-7.94) and Chlamydia trachomatis incidence (aOR, 6.13; 1.58-23.80), injectable use with increased herpes simplex virus-2 prevalence (aOR, 2.13; 1.26-3.59) and pregnancy with lower HIV prevalence (aOR, 0.45; 0.22-0.92) but higher candidiasis incidence (aOR, 2.14; 1.12-4.09). Hormonal status was not associated with Nugent score category or phylogenetic VMB clustering, but oral contraceptive users had lower semiquantitative vaginal abundance of Prevotella, Sneathia/Leptotrichia amnionii, and Mycoplasma species. CONCLUSIONS Oral contraceptive and injectable use were associated with several STIs but not with VMB composition. The increased herpes simplex virus-2 prevalence among injectable users might explain the potentially higher HIV risk in these women, but more research is needed to confirm these results and elucidate biological mechanisms.","author":[{"dropping-particle":"","family":"Borgdorff","given":"Hanneke","non-dropping-particle":"","parse-names":false,"suffix":""},{"dropping-particle":"","family":"Verwijs","given":"Marijn C.","non-dropping-particle":"","parse-names":false,"suffix":""},{"dropping-particle":"","family":"Wit","given":"Ferdinand W.N.M.","non-dropping-particle":"","parse-names":false,"suffix":""},{"dropping-particle":"","family":"Tsivtsivadze","given":"Evgeni","non-dropping-particle":"","parse-names":false,"suffix":""},{"dropping-particle":"","family":"Ndayisaba","given":"Gilles F.","non-dropping-particle":"","parse-names":false,"suffix":""},{"dropping-particle":"","family":"Verhelst","given":"Rita","non-dropping-particle":"","parse-names":false,"suffix":""},{"dropping-particle":"","family":"Schuren","given":"Frank H.","non-dropping-particle":"","parse-names":false,"suffix":""},{"dropping-particle":"","family":"Wijgert","given":"Janneke H.H.M.","non-dropping-particle":"van de","parse-names":false,"suffix":""}],"container-title":"Sexually Transmitted Diseases","id":"ITEM-1","issue":"3","issued":{"date-parts":[["2015","3"]]},"page":"143-152","title":"The impact of hormonal contraception and pregnancy on sexually transmitted infections and on cervicovaginal microbiota in African sex workers","type":"article-journal","volume":"42"},"uris":["http://www.mendeley.com/documents/?uuid=7085ed09-1392-3a2e-8bf7-46c4f1b4e68f"]}],"mendeley":{"formattedCitation":"[37]","plainTextFormattedCitation":"[37]","previouslyFormattedCitation":"[37]"},"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[37]</w:t>
            </w:r>
            <w:r>
              <w:rPr>
                <w:rFonts w:asciiTheme="minorHAnsi" w:hAnsiTheme="minorHAnsi" w:cstheme="minorHAnsi"/>
                <w:sz w:val="18"/>
                <w:szCs w:val="18"/>
              </w:rPr>
              <w:fldChar w:fldCharType="end"/>
            </w:r>
          </w:p>
        </w:tc>
        <w:tc>
          <w:tcPr>
            <w:tcW w:w="1626" w:type="dxa"/>
          </w:tcPr>
          <w:p w14:paraId="62D5A250"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 xml:space="preserve">381, HIV-negative sex workers in Kigali, Rwanda ages 18 to 49, </w:t>
            </w:r>
            <w:r w:rsidRPr="00010F3C">
              <w:rPr>
                <w:rFonts w:asciiTheme="minorHAnsi" w:hAnsiTheme="minorHAnsi" w:cstheme="minorHAnsi"/>
                <w:i/>
                <w:sz w:val="18"/>
                <w:szCs w:val="18"/>
              </w:rPr>
              <w:t>N=</w:t>
            </w:r>
            <w:proofErr w:type="gramStart"/>
            <w:r w:rsidRPr="00010F3C">
              <w:rPr>
                <w:rFonts w:asciiTheme="minorHAnsi" w:hAnsiTheme="minorHAnsi" w:cstheme="minorHAnsi"/>
                <w:i/>
                <w:sz w:val="18"/>
                <w:szCs w:val="18"/>
              </w:rPr>
              <w:t>42  incident</w:t>
            </w:r>
            <w:proofErr w:type="gramEnd"/>
            <w:r w:rsidRPr="00010F3C">
              <w:rPr>
                <w:rFonts w:asciiTheme="minorHAnsi" w:hAnsiTheme="minorHAnsi" w:cstheme="minorHAnsi"/>
                <w:i/>
                <w:sz w:val="18"/>
                <w:szCs w:val="18"/>
              </w:rPr>
              <w:t xml:space="preserve"> cases </w:t>
            </w:r>
            <w:proofErr w:type="spellStart"/>
            <w:r>
              <w:rPr>
                <w:rFonts w:asciiTheme="minorHAnsi" w:hAnsiTheme="minorHAnsi" w:cstheme="minorHAnsi"/>
                <w:i/>
                <w:sz w:val="18"/>
                <w:szCs w:val="18"/>
                <w:vertAlign w:val="superscript"/>
              </w:rPr>
              <w:t>b,d</w:t>
            </w:r>
            <w:proofErr w:type="spellEnd"/>
          </w:p>
        </w:tc>
        <w:tc>
          <w:tcPr>
            <w:tcW w:w="1095" w:type="dxa"/>
          </w:tcPr>
          <w:p w14:paraId="38C0B21A"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12M; 0M, 6M, 12M</w:t>
            </w:r>
          </w:p>
          <w:p w14:paraId="537D5D85" w14:textId="77777777" w:rsidR="000C443A" w:rsidRPr="00010F3C" w:rsidRDefault="000C443A" w:rsidP="00DB49DC">
            <w:pPr>
              <w:rPr>
                <w:rFonts w:asciiTheme="minorHAnsi" w:hAnsiTheme="minorHAnsi" w:cstheme="minorHAnsi"/>
                <w:sz w:val="18"/>
                <w:szCs w:val="18"/>
              </w:rPr>
            </w:pPr>
          </w:p>
          <w:p w14:paraId="0B799B80" w14:textId="77777777" w:rsidR="000C443A" w:rsidRPr="00010F3C" w:rsidRDefault="000C443A" w:rsidP="00DB49DC">
            <w:pPr>
              <w:pStyle w:val="p1"/>
              <w:rPr>
                <w:rFonts w:asciiTheme="minorHAnsi" w:hAnsiTheme="minorHAnsi" w:cstheme="minorHAnsi"/>
                <w:sz w:val="18"/>
                <w:szCs w:val="18"/>
              </w:rPr>
            </w:pPr>
          </w:p>
        </w:tc>
        <w:tc>
          <w:tcPr>
            <w:tcW w:w="1197" w:type="dxa"/>
          </w:tcPr>
          <w:p w14:paraId="534F2B5B" w14:textId="77777777" w:rsidR="000C443A" w:rsidRPr="00010F3C" w:rsidRDefault="000C443A" w:rsidP="00DB49DC">
            <w:pPr>
              <w:pStyle w:val="p1"/>
              <w:rPr>
                <w:rFonts w:asciiTheme="minorHAnsi" w:hAnsiTheme="minorHAnsi" w:cstheme="minorHAnsi"/>
                <w:sz w:val="18"/>
                <w:szCs w:val="18"/>
              </w:rPr>
            </w:pPr>
            <w:r w:rsidRPr="00010F3C">
              <w:rPr>
                <w:rFonts w:asciiTheme="minorHAnsi" w:hAnsiTheme="minorHAnsi" w:cstheme="minorHAnsi"/>
                <w:sz w:val="18"/>
                <w:szCs w:val="18"/>
              </w:rPr>
              <w:t xml:space="preserve">Endocervical swab via </w:t>
            </w:r>
            <w:proofErr w:type="spellStart"/>
            <w:r w:rsidRPr="00010F3C">
              <w:rPr>
                <w:rFonts w:asciiTheme="minorHAnsi" w:hAnsiTheme="minorHAnsi" w:cstheme="minorHAnsi"/>
                <w:sz w:val="18"/>
                <w:szCs w:val="18"/>
              </w:rPr>
              <w:t>Amplicor</w:t>
            </w:r>
            <w:proofErr w:type="spellEnd"/>
            <w:r w:rsidRPr="00010F3C">
              <w:rPr>
                <w:rFonts w:asciiTheme="minorHAnsi" w:hAnsiTheme="minorHAnsi" w:cstheme="minorHAnsi"/>
                <w:sz w:val="18"/>
                <w:szCs w:val="18"/>
              </w:rPr>
              <w:t xml:space="preserve"> CT/NG PCR test (Roche Diagnostics)</w:t>
            </w:r>
          </w:p>
        </w:tc>
        <w:tc>
          <w:tcPr>
            <w:tcW w:w="2658" w:type="dxa"/>
          </w:tcPr>
          <w:p w14:paraId="1F3F2232"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Age, education, years worked as sex worker, breast-feeding,</w:t>
            </w:r>
          </w:p>
          <w:p w14:paraId="540F8D5D"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consistent condom use, antibiotic use past 14 d, ever used antibiotics, time duration between assessments</w:t>
            </w:r>
          </w:p>
        </w:tc>
        <w:tc>
          <w:tcPr>
            <w:tcW w:w="1466" w:type="dxa"/>
          </w:tcPr>
          <w:p w14:paraId="73AF0146" w14:textId="77777777" w:rsidR="000C443A"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 xml:space="preserve">Non-pregnant </w:t>
            </w:r>
          </w:p>
          <w:p w14:paraId="1BD0C821" w14:textId="77777777" w:rsidR="000C443A" w:rsidRPr="00010F3C" w:rsidRDefault="000C443A" w:rsidP="00DB49DC">
            <w:pPr>
              <w:rPr>
                <w:rFonts w:asciiTheme="minorHAnsi" w:hAnsiTheme="minorHAnsi" w:cstheme="minorHAnsi"/>
                <w:color w:val="000000"/>
                <w:sz w:val="18"/>
                <w:szCs w:val="18"/>
              </w:rPr>
            </w:pPr>
            <w:r w:rsidRPr="00010F3C">
              <w:rPr>
                <w:rFonts w:asciiTheme="minorHAnsi" w:hAnsiTheme="minorHAnsi" w:cstheme="minorHAnsi"/>
                <w:sz w:val="18"/>
                <w:szCs w:val="18"/>
              </w:rPr>
              <w:t>non-</w:t>
            </w:r>
            <w:r>
              <w:rPr>
                <w:rFonts w:asciiTheme="minorHAnsi" w:hAnsiTheme="minorHAnsi" w:cstheme="minorHAnsi"/>
                <w:sz w:val="18"/>
                <w:szCs w:val="18"/>
              </w:rPr>
              <w:t>hormonal user</w:t>
            </w:r>
          </w:p>
        </w:tc>
        <w:tc>
          <w:tcPr>
            <w:tcW w:w="1385" w:type="dxa"/>
          </w:tcPr>
          <w:p w14:paraId="339A4A78"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color w:val="000000"/>
                <w:sz w:val="18"/>
                <w:szCs w:val="18"/>
              </w:rPr>
              <w:t>OC</w:t>
            </w:r>
            <w:r>
              <w:rPr>
                <w:rFonts w:asciiTheme="minorHAnsi" w:hAnsiTheme="minorHAnsi" w:cstheme="minorHAnsi"/>
                <w:color w:val="000000"/>
                <w:sz w:val="18"/>
                <w:szCs w:val="18"/>
              </w:rPr>
              <w:t>P</w:t>
            </w:r>
            <w:r w:rsidRPr="00010F3C">
              <w:rPr>
                <w:rFonts w:asciiTheme="minorHAnsi" w:hAnsiTheme="minorHAnsi" w:cstheme="minorHAnsi"/>
                <w:color w:val="000000"/>
                <w:sz w:val="18"/>
                <w:szCs w:val="18"/>
              </w:rPr>
              <w:t xml:space="preserve">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2.57 (0.78, 8.45)</w:t>
            </w:r>
          </w:p>
        </w:tc>
        <w:tc>
          <w:tcPr>
            <w:tcW w:w="1385" w:type="dxa"/>
          </w:tcPr>
          <w:p w14:paraId="4127A513" w14:textId="77777777" w:rsidR="000C443A" w:rsidRPr="00010F3C" w:rsidRDefault="000C443A" w:rsidP="00DB49DC">
            <w:pPr>
              <w:rPr>
                <w:rFonts w:asciiTheme="minorHAnsi" w:hAnsiTheme="minorHAnsi" w:cstheme="minorHAnsi"/>
                <w:color w:val="000000"/>
                <w:sz w:val="18"/>
                <w:szCs w:val="18"/>
              </w:rPr>
            </w:pPr>
            <w:r w:rsidRPr="00010F3C">
              <w:rPr>
                <w:rFonts w:asciiTheme="minorHAnsi" w:hAnsiTheme="minorHAnsi" w:cstheme="minorHAnsi"/>
                <w:sz w:val="18"/>
                <w:szCs w:val="18"/>
              </w:rPr>
              <w:t xml:space="preserve">Injectable (type not </w:t>
            </w:r>
            <w:proofErr w:type="spellStart"/>
            <w:r w:rsidRPr="00010F3C">
              <w:rPr>
                <w:rFonts w:asciiTheme="minorHAnsi" w:hAnsiTheme="minorHAnsi" w:cstheme="minorHAnsi"/>
                <w:sz w:val="18"/>
                <w:szCs w:val="18"/>
              </w:rPr>
              <w:t>specified</w:t>
            </w:r>
            <w:r>
              <w:rPr>
                <w:rFonts w:asciiTheme="minorHAnsi" w:hAnsiTheme="minorHAnsi" w:cstheme="minorHAnsi"/>
                <w:sz w:val="18"/>
                <w:szCs w:val="18"/>
                <w:vertAlign w:val="superscript"/>
              </w:rPr>
              <w:t>c</w:t>
            </w:r>
            <w:proofErr w:type="spellEnd"/>
            <w:r w:rsidRPr="00010F3C">
              <w:rPr>
                <w:rFonts w:asciiTheme="minorHAnsi" w:hAnsiTheme="minorHAnsi" w:cstheme="minorHAnsi"/>
                <w:sz w:val="18"/>
                <w:szCs w:val="18"/>
              </w:rPr>
              <w:t xml:space="preserve">)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0.80 (0.28, 2.31)</w:t>
            </w:r>
          </w:p>
          <w:p w14:paraId="28F4AEAF" w14:textId="77777777" w:rsidR="000C443A" w:rsidRPr="00010F3C" w:rsidRDefault="000C443A" w:rsidP="00DB49DC">
            <w:pPr>
              <w:rPr>
                <w:rFonts w:asciiTheme="minorHAnsi" w:hAnsiTheme="minorHAnsi" w:cstheme="minorHAnsi"/>
                <w:sz w:val="18"/>
                <w:szCs w:val="18"/>
              </w:rPr>
            </w:pPr>
          </w:p>
        </w:tc>
        <w:tc>
          <w:tcPr>
            <w:tcW w:w="1385" w:type="dxa"/>
          </w:tcPr>
          <w:p w14:paraId="4DDE2ED0"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NA</w:t>
            </w:r>
          </w:p>
        </w:tc>
      </w:tr>
      <w:tr w:rsidR="000C443A" w:rsidRPr="00010F3C" w14:paraId="70E5397B" w14:textId="77777777" w:rsidTr="00DB49DC">
        <w:tc>
          <w:tcPr>
            <w:tcW w:w="979" w:type="dxa"/>
          </w:tcPr>
          <w:p w14:paraId="02009BEB" w14:textId="77777777" w:rsidR="000C443A" w:rsidRPr="00010F3C" w:rsidRDefault="000C443A" w:rsidP="00DB49DC">
            <w:pPr>
              <w:rPr>
                <w:rFonts w:asciiTheme="minorHAnsi" w:hAnsiTheme="minorHAnsi" w:cstheme="minorHAnsi"/>
                <w:sz w:val="18"/>
                <w:szCs w:val="18"/>
              </w:rPr>
            </w:pPr>
            <w:proofErr w:type="spellStart"/>
            <w:r w:rsidRPr="00E94DEF">
              <w:rPr>
                <w:rFonts w:asciiTheme="minorHAnsi" w:hAnsiTheme="minorHAnsi" w:cstheme="minorHAnsi"/>
                <w:sz w:val="18"/>
                <w:szCs w:val="18"/>
              </w:rPr>
              <w:t>Baeten</w:t>
            </w:r>
            <w:proofErr w:type="spellEnd"/>
            <w:r w:rsidRPr="00E94DEF">
              <w:rPr>
                <w:rFonts w:asciiTheme="minorHAnsi" w:hAnsiTheme="minorHAnsi" w:cstheme="minorHAnsi"/>
                <w:sz w:val="18"/>
                <w:szCs w:val="18"/>
              </w:rPr>
              <w:t xml:space="preserve">, 2001 </w:t>
            </w:r>
            <w:r w:rsidRPr="00E94DEF">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{"citationItems":[{"id":"ITEM-1","itemData":{"DOI":"10.1067/mob.2001.115862","ISSN":"00029378","PMID":"11518896","abstract":"OBJECTIVES To examine the relationship between use of oral contraceptive pills or depot medroxyprogesterone acetate and sexually transmitted disease acquisition. STUDY DESIGN Prospective cohort included 948 Kenyan prostitutes. Multivariate Andersen-Gill proportional hazards models were constructed, adjusting for sexual behavioral and demographic variables. RESULTS When compared with women who were using no contraception, users of oral contraceptive pills were at increased risk for acquisition of chlamydia (hazard ratio, 1.8; 95% confidence interval, 1.1-2.9) and vaginal candidiasis (hazard ratio, 1.5; 95% confidence interval, 1.2-1.9) and at decreased risk for bacterial vaginosis (hazard ratio, 0.8; 95% confidence interval, 0.7-1.0). Women using depot medroxyprogesterone acetate had significantly increased risk of chlamydia infection (hazard ratio, 1.6; 95% confidence interval, 1.1-2.4) and significantly decreased risk of bacterial vaginosis (hazard ratio, 0.7; 95% confidence interval, 0.5-0.8), trichomoniasis (hazard ratio, 0.6; 95% confidence interval, 0.4-1.0), and pelvic inflammatory disease (hazard ratio, 0.4; 95% confidence interval, 0.2-0.7). Consistent condom use was associated with significantly decreased risk of gonorrhea, chlamydia, genital ulcer disease, bacterial vaginosis, and pelvic inflammatory disease. CONCLUSIONS The use of oral or injectable hormonal contraception altered susceptibility to sexually transmitted diseases, which may in turn influence transmission of human immunodeficiency virus type 1. Consistent condom use was protective with regards to sexually transmitted disease and should be encouraged for the prevention of sexually transmitted disease and human immunodeficiency virus type 1 among women who use hormonal contraception.","author":[{"dropping-particle":"","family":"Baeten","given":"Jared M.","non-dropping-particle":"","parse-names":false,"suffix":""},{"dropping-particle":"","family":"Nyange","given":"Patrick M.","non-dropping-particle":"","parse-names":false,"suffix":""},{"dropping-particle":"","family":"Richardson","given":"Barbra A.","non-dropping-particle":"","parse-names":false,"suffix":""},{"dropping-particle":"","family":"Lavreys","given":"Ludo","non-dropping-particle":"","parse-names":false,"suffix":""},{"dropping-particle":"","family":"Chohan","given":"Bhavna","non-dropping-particle":"","parse-names":false,"suffix":""},{"dropping-particle":"","family":"Martin","given":"Harold L.","non-dropping-particle":"","parse-names":false,"suffix":""},{"dropping-particle":"","family":"Mandaliya","given":"Kishorchandra","non-dropping-particle":"","parse-names":false,"suffix":""},{"dropping-particle":"","family":"Ndinya-Achola","given":"Jeckoniah O.","non-dropping-particle":"","parse-names":false,"suffix":""},{"dropping-particle":"","family":"Bwayo","given":"Job J.","non-dropping-particle":"","parse-names":false,"suffix":""},{"dropping-particle":"","family":"Kreiss","given":"Joan K.","non-dropping-particle":"","parse-names":false,"suffix":""}],"container-title":"American Journal of Obstetrics and Gynecology","id":"ITEM-1","issue":"2","issued":{"date-parts":[["2001","8"]]},"page":"380-385","title":"Hormonal contraception and risk of sexually transmitted disease acquisition: Results from a prospective study","type":"article-journal","volume":"185"},"uris":["http://www.mendeley.com/documents/?uuid=9c9675ce-9729-368a-b116-fc5af34e832f"]}],"mendeley":{"formattedCitation":"[21]","plainTextFormattedCitation":"[21]","previouslyFormattedCitation":"[21]"},"properties":{"noteIndex":0},"schema":"https://github.com/citation-style-language/schema/raw/master/csl-citation.json"}</w:instrText>
            </w:r>
            <w:r w:rsidRPr="00E94DEF">
              <w:rPr>
                <w:rFonts w:asciiTheme="minorHAnsi" w:hAnsiTheme="minorHAnsi" w:cstheme="minorHAnsi"/>
                <w:sz w:val="18"/>
                <w:szCs w:val="18"/>
              </w:rPr>
              <w:fldChar w:fldCharType="separate"/>
            </w:r>
            <w:r w:rsidRPr="00E115DE">
              <w:rPr>
                <w:rFonts w:asciiTheme="minorHAnsi" w:hAnsiTheme="minorHAnsi" w:cstheme="minorHAnsi"/>
                <w:noProof/>
                <w:sz w:val="18"/>
                <w:szCs w:val="18"/>
              </w:rPr>
              <w:t>[21]</w:t>
            </w:r>
            <w:r w:rsidRPr="00E94DEF">
              <w:rPr>
                <w:rFonts w:asciiTheme="minorHAnsi" w:hAnsiTheme="minorHAnsi" w:cstheme="minorHAnsi"/>
                <w:sz w:val="18"/>
                <w:szCs w:val="18"/>
              </w:rPr>
              <w:fldChar w:fldCharType="end"/>
            </w:r>
          </w:p>
        </w:tc>
        <w:tc>
          <w:tcPr>
            <w:tcW w:w="1626" w:type="dxa"/>
          </w:tcPr>
          <w:p w14:paraId="6C6A42B0" w14:textId="77777777" w:rsidR="000C443A" w:rsidRPr="00010F3C" w:rsidRDefault="000C443A" w:rsidP="00DB49DC">
            <w:pPr>
              <w:rPr>
                <w:rFonts w:asciiTheme="minorHAnsi" w:hAnsiTheme="minorHAnsi" w:cstheme="minorHAnsi"/>
                <w:sz w:val="18"/>
                <w:szCs w:val="18"/>
              </w:rPr>
            </w:pPr>
            <w:r w:rsidRPr="00E94DEF">
              <w:rPr>
                <w:rFonts w:asciiTheme="minorHAnsi" w:hAnsiTheme="minorHAnsi" w:cstheme="minorHAnsi"/>
                <w:sz w:val="18"/>
                <w:szCs w:val="18"/>
              </w:rPr>
              <w:t>948, HIV-1 negative sex workers in Mombasa, Kenya ages 16-48</w:t>
            </w:r>
            <w:r>
              <w:rPr>
                <w:rFonts w:asciiTheme="minorHAnsi" w:hAnsiTheme="minorHAnsi" w:cstheme="minorHAnsi"/>
                <w:sz w:val="18"/>
                <w:szCs w:val="18"/>
              </w:rPr>
              <w:t>; N=272 incident cases (16.5/100 PY)</w:t>
            </w:r>
          </w:p>
        </w:tc>
        <w:tc>
          <w:tcPr>
            <w:tcW w:w="1095" w:type="dxa"/>
          </w:tcPr>
          <w:p w14:paraId="438D3C3F" w14:textId="77777777" w:rsidR="000C443A" w:rsidRPr="00010F3C" w:rsidRDefault="000C443A" w:rsidP="00DB49DC">
            <w:pPr>
              <w:rPr>
                <w:rFonts w:asciiTheme="minorHAnsi" w:hAnsiTheme="minorHAnsi" w:cstheme="minorHAnsi"/>
                <w:sz w:val="18"/>
                <w:szCs w:val="18"/>
              </w:rPr>
            </w:pPr>
            <w:r w:rsidRPr="00897A42">
              <w:rPr>
                <w:rFonts w:asciiTheme="minorHAnsi" w:hAnsiTheme="minorHAnsi" w:cstheme="minorHAnsi"/>
                <w:sz w:val="18"/>
                <w:szCs w:val="18"/>
              </w:rPr>
              <w:t>Range 15 to 2366</w:t>
            </w:r>
            <w:r>
              <w:rPr>
                <w:rFonts w:asciiTheme="minorHAnsi" w:hAnsiTheme="minorHAnsi" w:cstheme="minorHAnsi"/>
                <w:sz w:val="18"/>
                <w:szCs w:val="18"/>
              </w:rPr>
              <w:t xml:space="preserve"> days</w:t>
            </w:r>
            <w:r w:rsidRPr="00897A42">
              <w:rPr>
                <w:rFonts w:asciiTheme="minorHAnsi" w:hAnsiTheme="minorHAnsi" w:cstheme="minorHAnsi"/>
                <w:sz w:val="18"/>
                <w:szCs w:val="18"/>
              </w:rPr>
              <w:t xml:space="preserve"> (median: 42</w:t>
            </w:r>
            <w:r>
              <w:rPr>
                <w:rFonts w:asciiTheme="minorHAnsi" w:hAnsiTheme="minorHAnsi" w:cstheme="minorHAnsi"/>
                <w:sz w:val="18"/>
                <w:szCs w:val="18"/>
              </w:rPr>
              <w:t>1 days); median time b/w visits: 35 days</w:t>
            </w:r>
          </w:p>
        </w:tc>
        <w:tc>
          <w:tcPr>
            <w:tcW w:w="1197" w:type="dxa"/>
          </w:tcPr>
          <w:p w14:paraId="1C4D136E" w14:textId="77777777" w:rsidR="000C443A" w:rsidRPr="00010F3C" w:rsidRDefault="000C443A" w:rsidP="00DB49DC">
            <w:pPr>
              <w:pStyle w:val="p1"/>
              <w:rPr>
                <w:rFonts w:asciiTheme="minorHAnsi" w:hAnsiTheme="minorHAnsi" w:cstheme="minorHAnsi"/>
                <w:sz w:val="18"/>
                <w:szCs w:val="18"/>
              </w:rPr>
            </w:pPr>
            <w:r>
              <w:rPr>
                <w:rFonts w:asciiTheme="minorHAnsi" w:hAnsiTheme="minorHAnsi" w:cstheme="minorHAnsi"/>
                <w:sz w:val="18"/>
                <w:szCs w:val="18"/>
              </w:rPr>
              <w:t>C</w:t>
            </w:r>
            <w:r w:rsidRPr="00787453">
              <w:rPr>
                <w:rFonts w:asciiTheme="minorHAnsi" w:hAnsiTheme="minorHAnsi" w:cstheme="minorHAnsi"/>
                <w:sz w:val="18"/>
                <w:szCs w:val="18"/>
              </w:rPr>
              <w:t>ulture on Thayer-Martin media</w:t>
            </w:r>
          </w:p>
        </w:tc>
        <w:tc>
          <w:tcPr>
            <w:tcW w:w="2658" w:type="dxa"/>
          </w:tcPr>
          <w:p w14:paraId="53EF34EE" w14:textId="77777777" w:rsidR="000C443A" w:rsidRPr="00010F3C" w:rsidRDefault="000C443A" w:rsidP="00DB49DC">
            <w:pPr>
              <w:rPr>
                <w:rFonts w:asciiTheme="minorHAnsi" w:hAnsiTheme="minorHAnsi" w:cstheme="minorHAnsi"/>
                <w:sz w:val="18"/>
                <w:szCs w:val="18"/>
              </w:rPr>
            </w:pPr>
            <w:r w:rsidRPr="00E94DEF">
              <w:rPr>
                <w:rFonts w:asciiTheme="minorHAnsi" w:hAnsiTheme="minorHAnsi" w:cstheme="minorHAnsi"/>
                <w:sz w:val="18"/>
                <w:szCs w:val="18"/>
              </w:rPr>
              <w:t>Age, years of education, years of prostitution, parity, number of sexual partners, place of work (</w:t>
            </w:r>
            <w:proofErr w:type="spellStart"/>
            <w:r w:rsidRPr="00E94DEF">
              <w:rPr>
                <w:rFonts w:asciiTheme="minorHAnsi" w:hAnsiTheme="minorHAnsi" w:cstheme="minorHAnsi"/>
                <w:sz w:val="18"/>
                <w:szCs w:val="18"/>
              </w:rPr>
              <w:t>ie</w:t>
            </w:r>
            <w:proofErr w:type="spellEnd"/>
            <w:r w:rsidRPr="00E94DEF">
              <w:rPr>
                <w:rFonts w:asciiTheme="minorHAnsi" w:hAnsiTheme="minorHAnsi" w:cstheme="minorHAnsi"/>
                <w:sz w:val="18"/>
                <w:szCs w:val="18"/>
              </w:rPr>
              <w:t>, bar vs. nightclub), number of sexual contacts</w:t>
            </w:r>
            <w:r>
              <w:rPr>
                <w:rFonts w:asciiTheme="minorHAnsi" w:hAnsiTheme="minorHAnsi" w:cstheme="minorHAnsi"/>
                <w:sz w:val="18"/>
                <w:szCs w:val="18"/>
              </w:rPr>
              <w:t xml:space="preserve"> per week</w:t>
            </w:r>
            <w:r w:rsidRPr="00E94DEF">
              <w:rPr>
                <w:rFonts w:asciiTheme="minorHAnsi" w:hAnsiTheme="minorHAnsi" w:cstheme="minorHAnsi"/>
                <w:sz w:val="18"/>
                <w:szCs w:val="18"/>
              </w:rPr>
              <w:t>, and condom usage</w:t>
            </w:r>
          </w:p>
        </w:tc>
        <w:tc>
          <w:tcPr>
            <w:tcW w:w="1466" w:type="dxa"/>
          </w:tcPr>
          <w:p w14:paraId="1ACE83BA" w14:textId="77777777" w:rsidR="000C443A" w:rsidRPr="00010F3C" w:rsidRDefault="000C443A" w:rsidP="00DB49DC">
            <w:pPr>
              <w:rPr>
                <w:rFonts w:asciiTheme="minorHAnsi" w:hAnsiTheme="minorHAnsi" w:cstheme="minorHAnsi"/>
                <w:sz w:val="18"/>
                <w:szCs w:val="18"/>
              </w:rPr>
            </w:pPr>
            <w:r w:rsidRPr="00E752DB">
              <w:rPr>
                <w:rFonts w:asciiTheme="minorHAnsi" w:hAnsiTheme="minorHAnsi" w:cstheme="minorHAnsi"/>
                <w:sz w:val="18"/>
                <w:szCs w:val="18"/>
              </w:rPr>
              <w:t xml:space="preserve">No </w:t>
            </w:r>
            <w:r>
              <w:rPr>
                <w:rFonts w:asciiTheme="minorHAnsi" w:hAnsiTheme="minorHAnsi" w:cstheme="minorHAnsi"/>
                <w:sz w:val="18"/>
                <w:szCs w:val="18"/>
              </w:rPr>
              <w:t xml:space="preserve">contraception </w:t>
            </w:r>
            <w:r w:rsidRPr="00E752DB">
              <w:rPr>
                <w:rFonts w:asciiTheme="minorHAnsi" w:hAnsiTheme="minorHAnsi" w:cstheme="minorHAnsi"/>
                <w:sz w:val="18"/>
                <w:szCs w:val="18"/>
              </w:rPr>
              <w:t>or tubal ligation</w:t>
            </w:r>
          </w:p>
        </w:tc>
        <w:tc>
          <w:tcPr>
            <w:tcW w:w="1385" w:type="dxa"/>
          </w:tcPr>
          <w:p w14:paraId="7FA0344F" w14:textId="77777777" w:rsidR="000C443A" w:rsidRPr="00010F3C" w:rsidRDefault="000C443A" w:rsidP="00DB49DC">
            <w:pPr>
              <w:rPr>
                <w:rFonts w:asciiTheme="minorHAnsi" w:hAnsiTheme="minorHAnsi" w:cstheme="minorHAnsi"/>
                <w:color w:val="000000"/>
                <w:sz w:val="18"/>
                <w:szCs w:val="18"/>
              </w:rPr>
            </w:pPr>
            <w:r>
              <w:rPr>
                <w:rFonts w:asciiTheme="minorHAnsi" w:hAnsiTheme="minorHAnsi" w:cstheme="minorHAnsi"/>
                <w:sz w:val="18"/>
                <w:szCs w:val="18"/>
              </w:rPr>
              <w:t xml:space="preserve">OCP </w:t>
            </w:r>
            <w:proofErr w:type="spellStart"/>
            <w:r>
              <w:rPr>
                <w:rFonts w:asciiTheme="minorHAnsi" w:hAnsiTheme="minorHAnsi" w:cstheme="minorHAnsi"/>
                <w:sz w:val="18"/>
                <w:szCs w:val="18"/>
              </w:rPr>
              <w:t>aHR</w:t>
            </w:r>
            <w:proofErr w:type="spellEnd"/>
            <w:r>
              <w:rPr>
                <w:rFonts w:asciiTheme="minorHAnsi" w:hAnsiTheme="minorHAnsi" w:cstheme="minorHAnsi"/>
                <w:sz w:val="18"/>
                <w:szCs w:val="18"/>
              </w:rPr>
              <w:t>: 1.4 (0.9, 2.1)</w:t>
            </w:r>
          </w:p>
        </w:tc>
        <w:tc>
          <w:tcPr>
            <w:tcW w:w="1385" w:type="dxa"/>
          </w:tcPr>
          <w:p w14:paraId="4003AE50" w14:textId="77777777" w:rsidR="000C443A" w:rsidRPr="00010F3C" w:rsidRDefault="000C443A" w:rsidP="00DB49DC">
            <w:pPr>
              <w:rPr>
                <w:rFonts w:asciiTheme="minorHAnsi" w:hAnsiTheme="minorHAnsi" w:cstheme="minorHAnsi"/>
                <w:sz w:val="18"/>
                <w:szCs w:val="18"/>
              </w:rPr>
            </w:pPr>
            <w:r>
              <w:rPr>
                <w:rFonts w:asciiTheme="minorHAnsi" w:hAnsiTheme="minorHAnsi" w:cstheme="minorHAnsi"/>
                <w:sz w:val="18"/>
                <w:szCs w:val="18"/>
              </w:rPr>
              <w:t xml:space="preserve">DMPA </w:t>
            </w:r>
            <w:proofErr w:type="spellStart"/>
            <w:r>
              <w:rPr>
                <w:rFonts w:asciiTheme="minorHAnsi" w:hAnsiTheme="minorHAnsi" w:cstheme="minorHAnsi"/>
                <w:sz w:val="18"/>
                <w:szCs w:val="18"/>
              </w:rPr>
              <w:t>aHR</w:t>
            </w:r>
            <w:proofErr w:type="spellEnd"/>
            <w:r>
              <w:rPr>
                <w:rFonts w:asciiTheme="minorHAnsi" w:hAnsiTheme="minorHAnsi" w:cstheme="minorHAnsi"/>
                <w:sz w:val="18"/>
                <w:szCs w:val="18"/>
              </w:rPr>
              <w:t>: 1.1 (0.8, 1.6)</w:t>
            </w:r>
          </w:p>
        </w:tc>
        <w:tc>
          <w:tcPr>
            <w:tcW w:w="1385" w:type="dxa"/>
          </w:tcPr>
          <w:p w14:paraId="68431764" w14:textId="77777777" w:rsidR="000C443A" w:rsidRPr="00010F3C" w:rsidRDefault="000C443A" w:rsidP="00DB49DC">
            <w:pPr>
              <w:rPr>
                <w:rFonts w:asciiTheme="minorHAnsi" w:hAnsiTheme="minorHAnsi" w:cstheme="minorHAnsi"/>
                <w:sz w:val="18"/>
                <w:szCs w:val="18"/>
              </w:rPr>
            </w:pPr>
            <w:r w:rsidRPr="00897A42">
              <w:rPr>
                <w:rFonts w:asciiTheme="minorHAnsi" w:hAnsiTheme="minorHAnsi" w:cstheme="minorHAnsi"/>
                <w:sz w:val="18"/>
                <w:szCs w:val="18"/>
              </w:rPr>
              <w:t>NA</w:t>
            </w:r>
          </w:p>
        </w:tc>
      </w:tr>
      <w:tr w:rsidR="000C443A" w:rsidRPr="00010F3C" w14:paraId="41C51428" w14:textId="77777777" w:rsidTr="00DB49DC">
        <w:tc>
          <w:tcPr>
            <w:tcW w:w="979" w:type="dxa"/>
          </w:tcPr>
          <w:p w14:paraId="24DB21F1" w14:textId="77777777" w:rsidR="000C443A" w:rsidRPr="00E94DEF" w:rsidRDefault="000C443A" w:rsidP="00DB49DC">
            <w:pPr>
              <w:rPr>
                <w:rFonts w:asciiTheme="minorHAnsi" w:hAnsiTheme="minorHAnsi" w:cstheme="minorHAnsi"/>
                <w:sz w:val="18"/>
                <w:szCs w:val="18"/>
              </w:rPr>
            </w:pPr>
            <w:proofErr w:type="spellStart"/>
            <w:r>
              <w:rPr>
                <w:rFonts w:asciiTheme="minorHAnsi" w:hAnsiTheme="minorHAnsi" w:cstheme="minorHAnsi"/>
                <w:sz w:val="18"/>
                <w:szCs w:val="18"/>
              </w:rPr>
              <w:t>Louv</w:t>
            </w:r>
            <w:proofErr w:type="spellEnd"/>
            <w:r>
              <w:rPr>
                <w:rFonts w:asciiTheme="minorHAnsi" w:hAnsiTheme="minorHAnsi" w:cstheme="minorHAnsi"/>
                <w:sz w:val="18"/>
                <w:szCs w:val="18"/>
              </w:rPr>
              <w:t xml:space="preserve"> 1989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{"citationItems":[{"id":"ITEM-1","itemData":{"PMID":"2916625","abstract":"Oral contraceptive users were compared with nonusers with respect to the rate of cervical infections by Chlamydia trachomatis and Neisseria gonorrhoeae. The comparison was adjusted for differences in demographic and behavioral characteristics between the two groups. The rates of infection among oral contraceptive users were increased by approximately 70% (statistically significant) for both pathogens. Cervical ectopy was implicated in the increased rate of chlamydia but not gonorrhea. Rates of gonorrheal infection differed significantly among oral contraceptive formulations; rates were higher for formulations containing more androgenic progestins. The rate of cervical infections by Chlamydia trachomatis and Neisseria gonorrhoeae was compared in 617 oral contraceptive (OC) users and 101 controls who were either IUD users or were sterilized. Study subjects were drawn from an Alabama sexually transmitted diseases clinic; 89% were black and the average age was 23 years. OC use was associated with a 73% increase in chlamydial risk and a 70% increase in the risk of gonococcal infection. The number of sexual partners was positively correlated with the rates of both infections, while age was negatively related. 46% of the OC users compared with 19% of nonusers had cervical ectopy. However, the difference of the effect of ectopy on chlamydia and gonorrhea was not statistically significant between OC users and nonusers. The amount of estrogen in the OC was not associated with ectopy, chlamydia, or gonorrhea. In contrast, gonorrhea rates were higher for women taking OCs that contained norethindrone and norgestrel. Formulations containing the less androgenic progestin, norethindrone acetate, were not associated with increased gonococcal risk. These findings suggest that women using OCs, especially OCs that contain norgestrel, should be screened more aggressively than nonusers of OCs for both gonorrhea and chlamydia.","author":[{"dropping-particle":"","family":"Louv","given":"W C","non-dropping-particle":"","parse-names":false,"suffix":""},{"dropping-particle":"","family":"Austin","given":"H","non-dropping-particle":"","parse-names":false,"suffix":""},{"dropping-particle":"","family":"Perlman","given":"J","non-dropping-particle":"","parse-names":false,"suffix":""},{"dropping-particle":"","family":"Alexander","given":"W J","non-dropping-particle":"","parse-names":false,"suffix":""}],"container-title":"American Journal of Obstetrics and Gynecology","id":"ITEM-1","issue":"2","issued":{"date-parts":[["1989","2"]]},"page":"396-402","title":"Oral contraceptive use and the risk of chlamydial and gonococcal infections","type":"article-journal","volume":"160"},"uris":["http://www.mendeley.com/documents/?uuid=e5a0e5a4-8fa9-3b78-8d74-f4284acec539"]}],"mendeley":{"formattedCitation":"[23]","plainTextFormattedCitation":"[23]","previouslyFormattedCitation":"[23]"},"properties":{"noteIndex":0},"schema":"https://github.com/citation-style-language/schema/raw/master/csl-citation.json"}</w:instrText>
            </w:r>
            <w:r>
              <w:rPr>
                <w:rFonts w:asciiTheme="minorHAnsi" w:hAnsiTheme="minorHAnsi" w:cstheme="minorHAnsi"/>
                <w:sz w:val="18"/>
                <w:szCs w:val="18"/>
              </w:rPr>
              <w:fldChar w:fldCharType="separate"/>
            </w:r>
            <w:r w:rsidRPr="00E115DE">
              <w:rPr>
                <w:rFonts w:asciiTheme="minorHAnsi" w:hAnsiTheme="minorHAnsi" w:cstheme="minorHAnsi"/>
                <w:noProof/>
                <w:sz w:val="18"/>
                <w:szCs w:val="18"/>
              </w:rPr>
              <w:t>[23]</w:t>
            </w:r>
            <w:r>
              <w:rPr>
                <w:rFonts w:asciiTheme="minorHAnsi" w:hAnsiTheme="minorHAnsi" w:cstheme="minorHAnsi"/>
                <w:sz w:val="18"/>
                <w:szCs w:val="18"/>
              </w:rPr>
              <w:fldChar w:fldCharType="end"/>
            </w:r>
          </w:p>
        </w:tc>
        <w:tc>
          <w:tcPr>
            <w:tcW w:w="1626" w:type="dxa"/>
          </w:tcPr>
          <w:p w14:paraId="05B1D094" w14:textId="77777777" w:rsidR="000C443A" w:rsidRPr="00E94DEF" w:rsidRDefault="000C443A" w:rsidP="00DB49DC">
            <w:pPr>
              <w:rPr>
                <w:rFonts w:asciiTheme="minorHAnsi" w:hAnsiTheme="minorHAnsi" w:cstheme="minorHAnsi"/>
                <w:sz w:val="18"/>
                <w:szCs w:val="18"/>
              </w:rPr>
            </w:pPr>
            <w:r>
              <w:rPr>
                <w:rFonts w:asciiTheme="minorHAnsi" w:hAnsiTheme="minorHAnsi" w:cstheme="minorHAnsi"/>
                <w:sz w:val="18"/>
                <w:szCs w:val="18"/>
              </w:rPr>
              <w:t xml:space="preserve">818, U.S. women ages 19 to 29 attending a STI clinic in Birmingham Alabama; </w:t>
            </w:r>
            <w:r>
              <w:rPr>
                <w:rFonts w:asciiTheme="minorHAnsi" w:hAnsiTheme="minorHAnsi" w:cstheme="minorHAnsi"/>
                <w:i/>
                <w:sz w:val="18"/>
                <w:szCs w:val="18"/>
              </w:rPr>
              <w:t>N=155 incident cases</w:t>
            </w:r>
            <w:r>
              <w:rPr>
                <w:rFonts w:asciiTheme="minorHAnsi" w:hAnsiTheme="minorHAnsi" w:cstheme="minorHAnsi"/>
                <w:sz w:val="18"/>
                <w:szCs w:val="18"/>
                <w:vertAlign w:val="superscript"/>
              </w:rPr>
              <w:t xml:space="preserve"> b</w:t>
            </w:r>
          </w:p>
        </w:tc>
        <w:tc>
          <w:tcPr>
            <w:tcW w:w="1095" w:type="dxa"/>
          </w:tcPr>
          <w:p w14:paraId="119B6FD2" w14:textId="77777777" w:rsidR="000C443A" w:rsidRPr="00897A42" w:rsidRDefault="000C443A" w:rsidP="00DB49DC">
            <w:pPr>
              <w:rPr>
                <w:rFonts w:asciiTheme="minorHAnsi" w:hAnsiTheme="minorHAnsi" w:cstheme="minorHAnsi"/>
                <w:sz w:val="18"/>
                <w:szCs w:val="18"/>
              </w:rPr>
            </w:pPr>
            <w:r>
              <w:rPr>
                <w:rFonts w:asciiTheme="minorHAnsi" w:hAnsiTheme="minorHAnsi" w:cstheme="minorHAnsi"/>
                <w:sz w:val="18"/>
                <w:szCs w:val="18"/>
              </w:rPr>
              <w:t>6M; Monthly</w:t>
            </w:r>
          </w:p>
        </w:tc>
        <w:tc>
          <w:tcPr>
            <w:tcW w:w="1197" w:type="dxa"/>
          </w:tcPr>
          <w:p w14:paraId="131D8BA8" w14:textId="77777777" w:rsidR="000C443A" w:rsidRDefault="000C443A" w:rsidP="00DB49DC">
            <w:pPr>
              <w:pStyle w:val="p1"/>
              <w:rPr>
                <w:rFonts w:asciiTheme="minorHAnsi" w:hAnsiTheme="minorHAnsi" w:cstheme="minorHAnsi"/>
                <w:sz w:val="18"/>
                <w:szCs w:val="18"/>
              </w:rPr>
            </w:pPr>
            <w:r>
              <w:rPr>
                <w:rFonts w:asciiTheme="minorHAnsi" w:hAnsiTheme="minorHAnsi" w:cstheme="minorHAnsi"/>
                <w:sz w:val="18"/>
                <w:szCs w:val="18"/>
              </w:rPr>
              <w:t>G</w:t>
            </w:r>
            <w:r w:rsidRPr="00BF155C">
              <w:rPr>
                <w:rFonts w:asciiTheme="minorHAnsi" w:hAnsiTheme="minorHAnsi" w:cstheme="minorHAnsi"/>
                <w:sz w:val="18"/>
                <w:szCs w:val="18"/>
              </w:rPr>
              <w:t>ram stain or oxidase reagent (Marion Scientific), confirmation by Rapid NH system (Innovative Diagnostic Systems</w:t>
            </w:r>
            <w:r>
              <w:rPr>
                <w:rFonts w:asciiTheme="minorHAnsi" w:hAnsiTheme="minorHAnsi" w:cstheme="minorHAnsi"/>
                <w:sz w:val="18"/>
                <w:szCs w:val="18"/>
              </w:rPr>
              <w:t>)</w:t>
            </w:r>
          </w:p>
        </w:tc>
        <w:tc>
          <w:tcPr>
            <w:tcW w:w="2658" w:type="dxa"/>
          </w:tcPr>
          <w:p w14:paraId="6F8360A1" w14:textId="77777777" w:rsidR="000C443A" w:rsidRPr="00E94DEF" w:rsidRDefault="000C443A" w:rsidP="00DB49DC">
            <w:pPr>
              <w:rPr>
                <w:rFonts w:asciiTheme="minorHAnsi" w:hAnsiTheme="minorHAnsi" w:cstheme="minorHAnsi"/>
                <w:sz w:val="18"/>
                <w:szCs w:val="18"/>
              </w:rPr>
            </w:pPr>
            <w:r w:rsidRPr="001C18C9">
              <w:rPr>
                <w:rFonts w:asciiTheme="minorHAnsi" w:hAnsiTheme="minorHAnsi" w:cstheme="minorHAnsi"/>
                <w:sz w:val="18"/>
                <w:szCs w:val="18"/>
              </w:rPr>
              <w:t>Age, mean number of sex acts per month, mean number of partners during follow-up period, parity, gravidity</w:t>
            </w:r>
          </w:p>
        </w:tc>
        <w:tc>
          <w:tcPr>
            <w:tcW w:w="1466" w:type="dxa"/>
          </w:tcPr>
          <w:p w14:paraId="1E1EEDF6" w14:textId="77777777" w:rsidR="000C443A" w:rsidRPr="00E752DB" w:rsidRDefault="000C443A" w:rsidP="00DB49DC">
            <w:pPr>
              <w:rPr>
                <w:rFonts w:asciiTheme="minorHAnsi" w:hAnsiTheme="minorHAnsi" w:cstheme="minorHAnsi"/>
                <w:sz w:val="18"/>
                <w:szCs w:val="18"/>
              </w:rPr>
            </w:pPr>
            <w:r>
              <w:rPr>
                <w:rFonts w:asciiTheme="minorHAnsi" w:hAnsiTheme="minorHAnsi" w:cstheme="minorHAnsi"/>
                <w:sz w:val="18"/>
                <w:szCs w:val="18"/>
              </w:rPr>
              <w:t>Tubal ligation or IUD user</w:t>
            </w:r>
          </w:p>
        </w:tc>
        <w:tc>
          <w:tcPr>
            <w:tcW w:w="1385" w:type="dxa"/>
          </w:tcPr>
          <w:p w14:paraId="239BB862" w14:textId="77777777" w:rsidR="000C443A" w:rsidRPr="00404F46" w:rsidRDefault="000C443A" w:rsidP="00DB49DC">
            <w:pPr>
              <w:rPr>
                <w:rFonts w:asciiTheme="minorHAnsi" w:hAnsiTheme="minorHAnsi" w:cstheme="minorHAnsi"/>
                <w:sz w:val="18"/>
                <w:szCs w:val="18"/>
              </w:rPr>
            </w:pPr>
            <w:r w:rsidRPr="00404F46">
              <w:rPr>
                <w:rFonts w:asciiTheme="minorHAnsi" w:hAnsiTheme="minorHAnsi" w:cstheme="minorHAnsi"/>
                <w:sz w:val="18"/>
                <w:szCs w:val="18"/>
              </w:rPr>
              <w:t xml:space="preserve">COC:  </w:t>
            </w:r>
            <w:proofErr w:type="spellStart"/>
            <w:r w:rsidRPr="00404F46">
              <w:rPr>
                <w:rFonts w:asciiTheme="minorHAnsi" w:hAnsiTheme="minorHAnsi" w:cstheme="minorHAnsi"/>
                <w:sz w:val="18"/>
                <w:szCs w:val="18"/>
              </w:rPr>
              <w:t>aHR</w:t>
            </w:r>
            <w:proofErr w:type="spellEnd"/>
            <w:r w:rsidRPr="00404F46">
              <w:rPr>
                <w:rFonts w:asciiTheme="minorHAnsi" w:hAnsiTheme="minorHAnsi" w:cstheme="minorHAnsi"/>
                <w:sz w:val="18"/>
                <w:szCs w:val="18"/>
              </w:rPr>
              <w:t>: 1.70 (1.05,</w:t>
            </w:r>
            <w:bookmarkStart w:id="0" w:name="_GoBack"/>
            <w:bookmarkEnd w:id="0"/>
            <w:r w:rsidRPr="00404F46">
              <w:rPr>
                <w:rFonts w:asciiTheme="minorHAnsi" w:hAnsiTheme="minorHAnsi" w:cstheme="minorHAnsi"/>
                <w:sz w:val="18"/>
                <w:szCs w:val="18"/>
              </w:rPr>
              <w:t xml:space="preserve"> </w:t>
            </w:r>
            <w:proofErr w:type="gramStart"/>
            <w:r w:rsidRPr="00404F46">
              <w:rPr>
                <w:rFonts w:asciiTheme="minorHAnsi" w:hAnsiTheme="minorHAnsi" w:cstheme="minorHAnsi"/>
                <w:sz w:val="18"/>
                <w:szCs w:val="18"/>
              </w:rPr>
              <w:t>2.76)*</w:t>
            </w:r>
            <w:proofErr w:type="gramEnd"/>
          </w:p>
        </w:tc>
        <w:tc>
          <w:tcPr>
            <w:tcW w:w="1385" w:type="dxa"/>
          </w:tcPr>
          <w:p w14:paraId="27FD3C0E" w14:textId="77777777" w:rsidR="000C443A" w:rsidRDefault="000C443A" w:rsidP="00DB49DC">
            <w:pPr>
              <w:rPr>
                <w:rFonts w:asciiTheme="minorHAnsi" w:hAnsiTheme="minorHAnsi" w:cstheme="minorHAnsi"/>
                <w:sz w:val="18"/>
                <w:szCs w:val="18"/>
              </w:rPr>
            </w:pPr>
            <w:r>
              <w:rPr>
                <w:rFonts w:asciiTheme="minorHAnsi" w:hAnsiTheme="minorHAnsi" w:cstheme="minorHAnsi"/>
                <w:sz w:val="18"/>
                <w:szCs w:val="18"/>
              </w:rPr>
              <w:t>NA</w:t>
            </w:r>
          </w:p>
        </w:tc>
        <w:tc>
          <w:tcPr>
            <w:tcW w:w="1385" w:type="dxa"/>
          </w:tcPr>
          <w:p w14:paraId="38F59E42" w14:textId="77777777" w:rsidR="000C443A" w:rsidRPr="00897A42" w:rsidRDefault="000C443A" w:rsidP="00DB49DC">
            <w:pPr>
              <w:rPr>
                <w:rFonts w:asciiTheme="minorHAnsi" w:hAnsiTheme="minorHAnsi" w:cstheme="minorHAnsi"/>
                <w:sz w:val="18"/>
                <w:szCs w:val="18"/>
              </w:rPr>
            </w:pPr>
            <w:r>
              <w:rPr>
                <w:rFonts w:asciiTheme="minorHAnsi" w:hAnsiTheme="minorHAnsi" w:cstheme="minorHAnsi"/>
                <w:sz w:val="18"/>
                <w:szCs w:val="18"/>
              </w:rPr>
              <w:t>NA</w:t>
            </w:r>
          </w:p>
        </w:tc>
      </w:tr>
      <w:tr w:rsidR="000C443A" w:rsidRPr="00010F3C" w14:paraId="0FF11E2C" w14:textId="77777777" w:rsidTr="00DB49DC">
        <w:tc>
          <w:tcPr>
            <w:tcW w:w="979" w:type="dxa"/>
          </w:tcPr>
          <w:p w14:paraId="40A315A1" w14:textId="77777777" w:rsidR="000C443A" w:rsidRDefault="000C443A" w:rsidP="00DB49DC">
            <w:pPr>
              <w:rPr>
                <w:rFonts w:asciiTheme="minorHAnsi" w:hAnsiTheme="minorHAnsi" w:cstheme="minorHAnsi"/>
                <w:sz w:val="18"/>
                <w:szCs w:val="18"/>
              </w:rPr>
            </w:pPr>
            <w:proofErr w:type="spellStart"/>
            <w:r w:rsidRPr="003205B7">
              <w:rPr>
                <w:rFonts w:asciiTheme="minorHAnsi" w:hAnsiTheme="minorHAnsi" w:cstheme="minorHAnsi"/>
                <w:sz w:val="18"/>
                <w:szCs w:val="18"/>
              </w:rPr>
              <w:t>Lavreys</w:t>
            </w:r>
            <w:proofErr w:type="spellEnd"/>
            <w:r w:rsidRPr="003205B7">
              <w:rPr>
                <w:rFonts w:asciiTheme="minorHAnsi" w:hAnsiTheme="minorHAnsi" w:cstheme="minorHAnsi"/>
                <w:sz w:val="18"/>
                <w:szCs w:val="18"/>
              </w:rPr>
              <w:t xml:space="preserve"> 2004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{"citationItems":[{"id":"ITEM-1","itemData":{"PMID":"15577651","abstract":"OBJECTIVE To evaluate the relationship between hormonal contraceptive use and the acquisition of cervical sexually transmitted infections (STI) among HIV-1-infected women. DESIGN A prospective cohort study of 242 commercial sex workers in Mombasa, Kenya, followed from the time of HIV-1 infection. METHODS At monthly follow-up visits, sexual behavior and contraceptive use were recorded, and laboratory screening for STI was performed. Multivariate Andersen-Gill proportional hazards models were constructed to examine the association between the use of hormonal contraception and the occurrence of cervical STI. RESULTS The median duration of follow-up after HIV-1 acquisition was 35 months, and 799 person-years of follow-up were accrued. After adjustment for demographic factors and sexual behavior, women using the injectable contraceptive depot medroxyprogesterone acetate were at increased risk of Chlamydia trachomatis infection [hazard ratio (HR) 3.1, 95% confidence interval (CI) 1.0-9.4, P = 0.05] and cervicitis (HR 1.6, 95% CI 1.0-2.3, P = 0.03) compared with women using no contraception. The use of oral contraceptive pills was associated with an increased risk of cervicitis (HR 2.3, 95% CI 1.4-3.8, P = 0.001). Hormonal contraception was not associated with an increased risk of infection with Neisseria gonorrhoeae. CONCLUSION The use of hormonal contraception by HIV-1-infected women was associated with an increased risk of cervicitis and cervical chlamydia infection. HIV-1-seropositive women using hormonal contraception should be counseled about the importance of consistent condom use to prevent both STI and HIV-1 transmission.","author":[{"dropping-particle":"","family":"Lavreys","given":"Ludo","non-dropping-particle":"","parse-names":false,"suffix":""},{"dropping-particle":"","family":"Chohan","given":"Varsha","non-dropping-particle":"","parse-names":false,"suffix":""},{"dropping-particle":"","family":"Overbaugh","given":"Julie","non-dropping-particle":"","parse-names":false,"suffix":""},{"dropping-particle":"","family":"Hassan","given":"Wisal","non-dropping-particle":"","parse-names":false,"suffix":""},{"dropping-particle":"","family":"McClelland","given":"R Scott","non-dropping-particle":"","parse-names":false,"suffix":""},{"dropping-particle":"","family":"Kreiss","given":"Joan","non-dropping-particle":"","parse-names":false,"suffix":""},{"dropping-particle":"","family":"Mandaliya","given":"Kishorchandra","non-dropping-particle":"","parse-names":false,"suffix":""},{"dropping-particle":"","family":"Ndinya-Achola","given":"Jeckoniah","non-dropping-particle":"","parse-names":false,"suffix":""},{"dropping-particle":"","family":"Baeten","given":"Jared M","non-dropping-particle":"","parse-names":false,"suffix":""}],"container-title":"AIDS","id":"ITEM-1","issue":"16","issued":{"date-parts":[["2004","11","5"]]},"page":"2179-84","title":"Hormonal contraception and risk of cervical infections among HIV-1-seropositive Kenyan women.","type":"article-journal","volume":"18"},"uris":["http://www.mendeley.com/documents/?uuid=1293a26e-ffa5-3334-9218-5711b0ffcca4"]}],"mendeley":{"formattedCitation":"[22]","plainTextFormattedCitation":"[22]","previouslyFormattedCitation":"[22]"},"properties":{"noteIndex":0},"schema":"https://github.com/citation-style-language/schema/raw/master/csl-citation.json"}</w:instrText>
            </w:r>
            <w:r>
              <w:rPr>
                <w:rFonts w:asciiTheme="minorHAnsi" w:hAnsiTheme="minorHAnsi" w:cstheme="minorHAnsi"/>
                <w:sz w:val="18"/>
                <w:szCs w:val="18"/>
              </w:rPr>
              <w:fldChar w:fldCharType="separate"/>
            </w:r>
            <w:r w:rsidRPr="00E115DE">
              <w:rPr>
                <w:rFonts w:asciiTheme="minorHAnsi" w:hAnsiTheme="minorHAnsi" w:cstheme="minorHAnsi"/>
                <w:noProof/>
                <w:sz w:val="18"/>
                <w:szCs w:val="18"/>
              </w:rPr>
              <w:t>[22]</w:t>
            </w:r>
            <w:r>
              <w:rPr>
                <w:rFonts w:asciiTheme="minorHAnsi" w:hAnsiTheme="minorHAnsi" w:cstheme="minorHAnsi"/>
                <w:sz w:val="18"/>
                <w:szCs w:val="18"/>
              </w:rPr>
              <w:fldChar w:fldCharType="end"/>
            </w:r>
          </w:p>
        </w:tc>
        <w:tc>
          <w:tcPr>
            <w:tcW w:w="1626" w:type="dxa"/>
          </w:tcPr>
          <w:p w14:paraId="4B8185D3" w14:textId="77777777" w:rsidR="000C443A" w:rsidRPr="00E94DEF" w:rsidRDefault="000C443A" w:rsidP="00DB49DC">
            <w:pPr>
              <w:rPr>
                <w:rFonts w:asciiTheme="minorHAnsi" w:hAnsiTheme="minorHAnsi" w:cstheme="minorHAnsi"/>
                <w:sz w:val="18"/>
                <w:szCs w:val="18"/>
              </w:rPr>
            </w:pPr>
            <w:r w:rsidRPr="00CC3755">
              <w:rPr>
                <w:rFonts w:asciiTheme="minorHAnsi" w:hAnsiTheme="minorHAnsi" w:cstheme="minorHAnsi"/>
                <w:sz w:val="18"/>
                <w:szCs w:val="18"/>
              </w:rPr>
              <w:t xml:space="preserve">242, HIV-1 positive commercial sex workers attending STI </w:t>
            </w:r>
            <w:proofErr w:type="gramStart"/>
            <w:r w:rsidRPr="00CC3755">
              <w:rPr>
                <w:rFonts w:asciiTheme="minorHAnsi" w:hAnsiTheme="minorHAnsi" w:cstheme="minorHAnsi"/>
                <w:sz w:val="18"/>
                <w:szCs w:val="18"/>
              </w:rPr>
              <w:t>clinic  in</w:t>
            </w:r>
            <w:proofErr w:type="gramEnd"/>
            <w:r w:rsidRPr="00CC3755">
              <w:rPr>
                <w:rFonts w:asciiTheme="minorHAnsi" w:hAnsiTheme="minorHAnsi" w:cstheme="minorHAnsi"/>
                <w:sz w:val="18"/>
                <w:szCs w:val="18"/>
              </w:rPr>
              <w:t xml:space="preserve"> Mombasa, Kenya; </w:t>
            </w:r>
            <w:r w:rsidRPr="00CC3755">
              <w:rPr>
                <w:rFonts w:asciiTheme="minorHAnsi" w:hAnsiTheme="minorHAnsi" w:cstheme="minorHAnsi"/>
                <w:i/>
                <w:sz w:val="18"/>
                <w:szCs w:val="18"/>
              </w:rPr>
              <w:t>N=</w:t>
            </w:r>
            <w:r>
              <w:rPr>
                <w:rFonts w:asciiTheme="minorHAnsi" w:hAnsiTheme="minorHAnsi" w:cstheme="minorHAnsi"/>
                <w:i/>
                <w:sz w:val="18"/>
                <w:szCs w:val="18"/>
              </w:rPr>
              <w:t>119</w:t>
            </w:r>
            <w:r w:rsidRPr="00CC3755">
              <w:rPr>
                <w:rFonts w:asciiTheme="minorHAnsi" w:hAnsiTheme="minorHAnsi" w:cstheme="minorHAnsi"/>
                <w:i/>
                <w:sz w:val="18"/>
                <w:szCs w:val="18"/>
              </w:rPr>
              <w:t xml:space="preserve"> incident cases</w:t>
            </w:r>
            <w:r w:rsidRPr="003205B7">
              <w:rPr>
                <w:rFonts w:asciiTheme="minorHAnsi" w:hAnsiTheme="minorHAnsi" w:cstheme="minorHAnsi"/>
                <w:i/>
                <w:sz w:val="18"/>
                <w:szCs w:val="18"/>
              </w:rPr>
              <w:t xml:space="preserve">, incidence rate: </w:t>
            </w:r>
            <w:r>
              <w:rPr>
                <w:rFonts w:asciiTheme="minorHAnsi" w:hAnsiTheme="minorHAnsi" w:cstheme="minorHAnsi"/>
                <w:i/>
                <w:sz w:val="18"/>
                <w:szCs w:val="18"/>
              </w:rPr>
              <w:t>14.9</w:t>
            </w:r>
            <w:r w:rsidRPr="003205B7">
              <w:rPr>
                <w:rFonts w:asciiTheme="minorHAnsi" w:hAnsiTheme="minorHAnsi" w:cstheme="minorHAnsi"/>
                <w:i/>
                <w:sz w:val="18"/>
                <w:szCs w:val="18"/>
              </w:rPr>
              <w:t>/100 PY</w:t>
            </w:r>
          </w:p>
        </w:tc>
        <w:tc>
          <w:tcPr>
            <w:tcW w:w="1095" w:type="dxa"/>
          </w:tcPr>
          <w:p w14:paraId="42F7BC4E" w14:textId="77777777" w:rsidR="000C443A" w:rsidRPr="00897A42" w:rsidRDefault="000C443A" w:rsidP="00DB49DC">
            <w:pPr>
              <w:rPr>
                <w:rFonts w:asciiTheme="minorHAnsi" w:hAnsiTheme="minorHAnsi" w:cstheme="minorHAnsi"/>
                <w:sz w:val="18"/>
                <w:szCs w:val="18"/>
              </w:rPr>
            </w:pPr>
            <w:r w:rsidRPr="00CC3755">
              <w:rPr>
                <w:rFonts w:asciiTheme="minorHAnsi" w:hAnsiTheme="minorHAnsi" w:cstheme="minorHAnsi"/>
                <w:sz w:val="18"/>
                <w:szCs w:val="18"/>
              </w:rPr>
              <w:t>Median follow-up 35M (IQR: 11-62M); Every 1M</w:t>
            </w:r>
          </w:p>
        </w:tc>
        <w:tc>
          <w:tcPr>
            <w:tcW w:w="1197" w:type="dxa"/>
          </w:tcPr>
          <w:p w14:paraId="34FFCF35" w14:textId="77777777" w:rsidR="000C443A" w:rsidRDefault="000C443A" w:rsidP="00DB49DC">
            <w:pPr>
              <w:pStyle w:val="p1"/>
              <w:rPr>
                <w:rFonts w:asciiTheme="minorHAnsi" w:hAnsiTheme="minorHAnsi" w:cstheme="minorHAnsi"/>
                <w:sz w:val="18"/>
                <w:szCs w:val="18"/>
              </w:rPr>
            </w:pPr>
            <w:r w:rsidRPr="00CC3755">
              <w:rPr>
                <w:rFonts w:asciiTheme="minorHAnsi" w:hAnsiTheme="minorHAnsi" w:cstheme="minorHAnsi"/>
                <w:sz w:val="18"/>
                <w:szCs w:val="18"/>
                <w:u w:val="single"/>
              </w:rPr>
              <w:t>Antigen test by ELISA (</w:t>
            </w:r>
            <w:proofErr w:type="spellStart"/>
            <w:r w:rsidRPr="00CC3755">
              <w:rPr>
                <w:rFonts w:asciiTheme="minorHAnsi" w:hAnsiTheme="minorHAnsi" w:cstheme="minorHAnsi"/>
                <w:sz w:val="18"/>
                <w:szCs w:val="18"/>
                <w:u w:val="single"/>
              </w:rPr>
              <w:t>Microtrak</w:t>
            </w:r>
            <w:proofErr w:type="spellEnd"/>
            <w:r w:rsidRPr="00CC3755">
              <w:rPr>
                <w:rFonts w:asciiTheme="minorHAnsi" w:hAnsiTheme="minorHAnsi" w:cstheme="minorHAnsi"/>
                <w:sz w:val="18"/>
                <w:szCs w:val="18"/>
                <w:u w:val="single"/>
              </w:rPr>
              <w:t xml:space="preserve">, </w:t>
            </w:r>
            <w:proofErr w:type="spellStart"/>
            <w:r w:rsidRPr="00CC3755">
              <w:rPr>
                <w:rFonts w:asciiTheme="minorHAnsi" w:hAnsiTheme="minorHAnsi" w:cstheme="minorHAnsi"/>
                <w:sz w:val="18"/>
                <w:szCs w:val="18"/>
                <w:u w:val="single"/>
              </w:rPr>
              <w:t>Syva</w:t>
            </w:r>
            <w:proofErr w:type="spellEnd"/>
            <w:r w:rsidRPr="00CC3755">
              <w:rPr>
                <w:rFonts w:asciiTheme="minorHAnsi" w:hAnsiTheme="minorHAnsi" w:cstheme="minorHAnsi"/>
                <w:sz w:val="18"/>
                <w:szCs w:val="18"/>
                <w:u w:val="single"/>
              </w:rPr>
              <w:t>)</w:t>
            </w:r>
          </w:p>
        </w:tc>
        <w:tc>
          <w:tcPr>
            <w:tcW w:w="2658" w:type="dxa"/>
          </w:tcPr>
          <w:p w14:paraId="54BCFA0C" w14:textId="77777777" w:rsidR="000C443A" w:rsidRPr="00E94DEF" w:rsidRDefault="000C443A" w:rsidP="00DB49DC">
            <w:pPr>
              <w:rPr>
                <w:rFonts w:asciiTheme="minorHAnsi" w:hAnsiTheme="minorHAnsi" w:cstheme="minorHAnsi"/>
                <w:sz w:val="18"/>
                <w:szCs w:val="18"/>
              </w:rPr>
            </w:pPr>
            <w:r w:rsidRPr="00CC3755">
              <w:rPr>
                <w:rFonts w:asciiTheme="minorHAnsi" w:hAnsiTheme="minorHAnsi" w:cstheme="minorHAnsi"/>
                <w:sz w:val="18"/>
                <w:szCs w:val="18"/>
              </w:rPr>
              <w:t>Age, years of education, years of sex work, parity, workplace, number of sexual partners per week, condom use</w:t>
            </w:r>
          </w:p>
        </w:tc>
        <w:tc>
          <w:tcPr>
            <w:tcW w:w="1466" w:type="dxa"/>
          </w:tcPr>
          <w:p w14:paraId="70D1775F" w14:textId="77777777" w:rsidR="000C443A" w:rsidRPr="00E752DB" w:rsidRDefault="000C443A" w:rsidP="00DB49DC">
            <w:pPr>
              <w:rPr>
                <w:rFonts w:asciiTheme="minorHAnsi" w:hAnsiTheme="minorHAnsi" w:cstheme="minorHAnsi"/>
                <w:sz w:val="18"/>
                <w:szCs w:val="18"/>
              </w:rPr>
            </w:pPr>
            <w:r w:rsidRPr="00CC3755">
              <w:rPr>
                <w:rFonts w:asciiTheme="minorHAnsi" w:hAnsiTheme="minorHAnsi" w:cstheme="minorHAnsi"/>
                <w:sz w:val="18"/>
                <w:szCs w:val="18"/>
              </w:rPr>
              <w:t>No contraception or tubal ligation</w:t>
            </w:r>
          </w:p>
        </w:tc>
        <w:tc>
          <w:tcPr>
            <w:tcW w:w="1385" w:type="dxa"/>
          </w:tcPr>
          <w:p w14:paraId="2EDD6FA0" w14:textId="77777777" w:rsidR="000C443A" w:rsidRPr="001F45AB" w:rsidRDefault="000C443A" w:rsidP="00DB49DC">
            <w:pPr>
              <w:rPr>
                <w:rFonts w:asciiTheme="minorHAnsi" w:hAnsiTheme="minorHAnsi" w:cstheme="minorHAnsi"/>
                <w:sz w:val="18"/>
                <w:szCs w:val="18"/>
              </w:rPr>
            </w:pPr>
            <w:r w:rsidRPr="00F77DB6">
              <w:rPr>
                <w:rFonts w:asciiTheme="minorHAnsi" w:eastAsiaTheme="minorHAnsi" w:hAnsiTheme="minorHAnsi" w:cstheme="minorHAnsi"/>
                <w:sz w:val="18"/>
                <w:szCs w:val="18"/>
              </w:rPr>
              <w:t xml:space="preserve">OCP: </w:t>
            </w:r>
            <w:proofErr w:type="spellStart"/>
            <w:r w:rsidRPr="00F77DB6">
              <w:rPr>
                <w:rFonts w:asciiTheme="minorHAnsi" w:eastAsiaTheme="minorHAnsi" w:hAnsiTheme="minorHAnsi" w:cstheme="minorHAnsi"/>
                <w:sz w:val="18"/>
                <w:szCs w:val="18"/>
              </w:rPr>
              <w:t>aHR</w:t>
            </w:r>
            <w:proofErr w:type="spellEnd"/>
            <w:r w:rsidRPr="00F77DB6">
              <w:rPr>
                <w:rFonts w:asciiTheme="minorHAnsi" w:eastAsiaTheme="minorHAnsi" w:hAnsiTheme="minorHAnsi" w:cstheme="minorHAnsi"/>
                <w:sz w:val="18"/>
                <w:szCs w:val="18"/>
              </w:rPr>
              <w:t xml:space="preserve"> 0.6 (0.3, 1.3)</w:t>
            </w:r>
          </w:p>
        </w:tc>
        <w:tc>
          <w:tcPr>
            <w:tcW w:w="1385" w:type="dxa"/>
          </w:tcPr>
          <w:p w14:paraId="00100733" w14:textId="77777777" w:rsidR="000C443A" w:rsidRPr="001F45AB" w:rsidRDefault="000C443A" w:rsidP="00DB49DC">
            <w:pPr>
              <w:rPr>
                <w:rFonts w:asciiTheme="minorHAnsi" w:hAnsiTheme="minorHAnsi" w:cstheme="minorHAnsi"/>
                <w:sz w:val="18"/>
                <w:szCs w:val="18"/>
              </w:rPr>
            </w:pPr>
            <w:r w:rsidRPr="006E314D">
              <w:rPr>
                <w:rFonts w:asciiTheme="minorHAnsi" w:hAnsiTheme="minorHAnsi" w:cstheme="minorHAnsi"/>
                <w:sz w:val="18"/>
                <w:szCs w:val="18"/>
              </w:rPr>
              <w:t xml:space="preserve">DMPA: </w:t>
            </w:r>
            <w:r w:rsidRPr="00F77DB6">
              <w:rPr>
                <w:rFonts w:asciiTheme="minorHAnsi" w:eastAsiaTheme="minorHAnsi" w:hAnsiTheme="minorHAnsi" w:cstheme="minorHAnsi"/>
                <w:sz w:val="18"/>
                <w:szCs w:val="18"/>
              </w:rPr>
              <w:t>1.0 (0.6, 1.7)</w:t>
            </w:r>
          </w:p>
        </w:tc>
        <w:tc>
          <w:tcPr>
            <w:tcW w:w="1385" w:type="dxa"/>
          </w:tcPr>
          <w:p w14:paraId="01F0DA3E" w14:textId="77777777" w:rsidR="000C443A" w:rsidRPr="00897A42" w:rsidRDefault="000C443A" w:rsidP="00DB49DC">
            <w:pPr>
              <w:rPr>
                <w:rFonts w:asciiTheme="minorHAnsi" w:hAnsiTheme="minorHAnsi" w:cstheme="minorHAnsi"/>
                <w:sz w:val="18"/>
                <w:szCs w:val="18"/>
              </w:rPr>
            </w:pPr>
            <w:r>
              <w:rPr>
                <w:rFonts w:asciiTheme="minorHAnsi" w:hAnsiTheme="minorHAnsi" w:cstheme="minorHAnsi"/>
                <w:sz w:val="18"/>
                <w:szCs w:val="18"/>
              </w:rPr>
              <w:t>NA</w:t>
            </w:r>
          </w:p>
        </w:tc>
      </w:tr>
      <w:tr w:rsidR="000C443A" w:rsidRPr="00010F3C" w14:paraId="26FD5CC7" w14:textId="77777777" w:rsidTr="00DB49DC">
        <w:trPr>
          <w:trHeight w:val="2834"/>
        </w:trPr>
        <w:tc>
          <w:tcPr>
            <w:tcW w:w="979" w:type="dxa"/>
          </w:tcPr>
          <w:p w14:paraId="301F2E1C" w14:textId="77777777" w:rsidR="000C443A" w:rsidRPr="00010F3C" w:rsidRDefault="000C443A"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lastRenderedPageBreak/>
              <w:t>Kapiga</w:t>
            </w:r>
            <w:proofErr w:type="spellEnd"/>
            <w:r w:rsidRPr="00010F3C">
              <w:rPr>
                <w:rFonts w:asciiTheme="minorHAnsi" w:hAnsiTheme="minorHAnsi" w:cstheme="minorHAnsi"/>
                <w:sz w:val="18"/>
                <w:szCs w:val="18"/>
              </w:rPr>
              <w:t>, 2009</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{"citationItems":[{"id":"ITEM-1","itemData":{"DOI":"10.1097/OLQ.0b013e318191ba01","PMID":"19265734","abstract":"OBJECTIVE To determine risk factors for sexually transmitted infections (STIs) among women in Durban and Hlabisa (South Africa), Moshi (Tanzania), and Lusaka (Zambia). STUDY DESIGN Between 2003 and 2004, 958 women at risk of STIs were enrolled in a 1-year prospective study. They were interviewed at each monthly visit, and samples for STI testing were collected during quarterly and other visits when clinically indicated. RESULTS The incidence of infections as measured in person-years at risk (PYAR) was as follows: overall trichomoniasis, 31.9/100 PYAR; chlamydial infection in South Africa, 19.5/100 PYAR; chlamydial infection in Tanzania and Zambia, 4.9/100 PYAR; gonorrhea in South Africa, 16.5/100 PYAR; gonorrhea in Tanzania and Zambia, 5.3/100 PYAR; overall syphilis, 7.5/100 PYAR; and overall HIV, 3.8/100 PYAR. The incidence of most STIs was highest among the South African sites, where chlamydial infection and gonorrhea were detected by using a more sensitive assay. Independent risk factors included age, hormonal contraceptive methods, and measures of sexual behavior, including number of sex partners and occurrence of anal sex in the past 3 months. Women with incident HIV infection were at increased risk of chlamydial infection [odds ratio (OR) = 5.5, 95% confidence interval (CI): 2.0-15.2]and gonorrhea (OR = 5.7, 95% CI: 1.9-17.0) in South African sites. Despite ongoing counseling during the study, high-risk sexual behaviors were common, and consistent condom use remained low. CONCLUSIONS The incidence of STIs, including HIV, was high among women in this study. These findings highlight the urgent need for effective HIV/STI prevention programs in this population.","author":[{"dropping-particle":"","family":"Kapiga","given":"Saidi","non-dropping-particle":"","parse-names":false,"suffix":""},{"dropping-particle":"","family":"Kelly","given":"Cliff","non-dropping-particle":"","parse-names":false,"suffix":""},{"dropping-particle":"","family":"Weiss","given":"Stephen","non-dropping-particle":"","parse-names":false,"suffix":""},{"dropping-particle":"","family":"Daley","given":"Tara","non-dropping-particle":"","parse-names":false,"suffix":""},{"dropping-particle":"","family":"Peterson","given":"Leigh","non-dropping-particle":"","parse-names":false,"suffix":""},{"dropping-particle":"","family":"Leburg","given":"Corey","non-dropping-particle":"","parse-names":false,"suffix":""},{"dropping-particle":"","family":"Ramjee","given":"Gita","non-dropping-particle":"","parse-names":false,"suffix":""}],"container-title":"Sexually Transmitted Diseases","id":"ITEM-1","issue":"4","issued":{"date-parts":[["2009","4"]]},"page":"199-206","title":"Risk factors for incidence of sexually transmitted infections among women in South Africa, Tanzania, and Zambia: Results from HPTN 055 study","type":"article-journal","volume":"36"},"uris":["http://www.mendeley.com/documents/?uuid=9796a310-66c3-3ac3-ac3f-20e1f341bfc4"]}],"mendeley":{"formattedCitation":"[47]","plainTextFormattedCitation":"[47]","previouslyFormattedCitation":"[47]"},"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[47]</w:t>
            </w:r>
            <w:r>
              <w:rPr>
                <w:rFonts w:asciiTheme="minorHAnsi" w:hAnsiTheme="minorHAnsi" w:cstheme="minorHAnsi"/>
                <w:sz w:val="18"/>
                <w:szCs w:val="18"/>
              </w:rPr>
              <w:fldChar w:fldCharType="end"/>
            </w:r>
          </w:p>
        </w:tc>
        <w:tc>
          <w:tcPr>
            <w:tcW w:w="1626" w:type="dxa"/>
          </w:tcPr>
          <w:p w14:paraId="3738AB54" w14:textId="77777777" w:rsidR="000C443A" w:rsidRPr="00010F3C" w:rsidRDefault="000C443A" w:rsidP="00DB49DC">
            <w:pPr>
              <w:pStyle w:val="p1"/>
              <w:rPr>
                <w:rFonts w:asciiTheme="minorHAnsi" w:hAnsiTheme="minorHAnsi" w:cstheme="minorHAnsi"/>
                <w:i/>
                <w:sz w:val="18"/>
                <w:szCs w:val="18"/>
              </w:rPr>
            </w:pPr>
            <w:r w:rsidRPr="00010F3C">
              <w:rPr>
                <w:rFonts w:asciiTheme="minorHAnsi" w:hAnsiTheme="minorHAnsi" w:cstheme="minorHAnsi"/>
                <w:sz w:val="18"/>
                <w:szCs w:val="18"/>
              </w:rPr>
              <w:t xml:space="preserve">958, HIV negative women ages 16 to 62 in Lusaka, Zambia (ZA), Moshi Tanzania (TZ) and Durban/Hlabisa, South Africa (SA), </w:t>
            </w:r>
            <w:r w:rsidRPr="00010F3C">
              <w:rPr>
                <w:rFonts w:asciiTheme="minorHAnsi" w:hAnsiTheme="minorHAnsi" w:cstheme="minorHAnsi"/>
                <w:i/>
                <w:sz w:val="18"/>
                <w:szCs w:val="18"/>
              </w:rPr>
              <w:t xml:space="preserve">Incidence </w:t>
            </w:r>
            <w:proofErr w:type="spellStart"/>
            <w:r w:rsidRPr="00010F3C">
              <w:rPr>
                <w:rFonts w:asciiTheme="minorHAnsi" w:hAnsiTheme="minorHAnsi" w:cstheme="minorHAnsi"/>
                <w:i/>
                <w:sz w:val="18"/>
                <w:szCs w:val="18"/>
              </w:rPr>
              <w:t>rate</w:t>
            </w:r>
            <w:r w:rsidRPr="00010F3C">
              <w:rPr>
                <w:rFonts w:asciiTheme="minorHAnsi" w:hAnsiTheme="minorHAnsi" w:cstheme="minorHAnsi"/>
                <w:i/>
                <w:sz w:val="18"/>
                <w:szCs w:val="18"/>
                <w:vertAlign w:val="superscript"/>
              </w:rPr>
              <w:t>a</w:t>
            </w:r>
            <w:proofErr w:type="spellEnd"/>
            <w:r w:rsidRPr="00010F3C">
              <w:rPr>
                <w:rFonts w:asciiTheme="minorHAnsi" w:hAnsiTheme="minorHAnsi" w:cstheme="minorHAnsi"/>
                <w:i/>
                <w:sz w:val="18"/>
                <w:szCs w:val="18"/>
              </w:rPr>
              <w:t>: 16.5/100 PYAR (SA); 5.3/100 PYAR (TZ, ZA)</w:t>
            </w:r>
          </w:p>
          <w:p w14:paraId="14117DE6" w14:textId="77777777" w:rsidR="000C443A" w:rsidRPr="00010F3C" w:rsidRDefault="000C443A" w:rsidP="00DB49DC">
            <w:pPr>
              <w:pStyle w:val="p1"/>
              <w:rPr>
                <w:rFonts w:asciiTheme="minorHAnsi" w:hAnsiTheme="minorHAnsi" w:cstheme="minorHAnsi"/>
                <w:sz w:val="18"/>
                <w:szCs w:val="18"/>
              </w:rPr>
            </w:pPr>
          </w:p>
        </w:tc>
        <w:tc>
          <w:tcPr>
            <w:tcW w:w="1095" w:type="dxa"/>
          </w:tcPr>
          <w:p w14:paraId="7E17A5DC"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12M; every 3M</w:t>
            </w:r>
          </w:p>
          <w:p w14:paraId="6C42E9CC" w14:textId="77777777" w:rsidR="000C443A" w:rsidRPr="00010F3C" w:rsidRDefault="000C443A" w:rsidP="00DB49DC">
            <w:pPr>
              <w:rPr>
                <w:rFonts w:asciiTheme="minorHAnsi" w:hAnsiTheme="minorHAnsi" w:cstheme="minorHAnsi"/>
                <w:sz w:val="18"/>
                <w:szCs w:val="18"/>
              </w:rPr>
            </w:pPr>
          </w:p>
          <w:p w14:paraId="5E102122" w14:textId="77777777" w:rsidR="000C443A" w:rsidRPr="00010F3C" w:rsidRDefault="000C443A" w:rsidP="00DB49DC">
            <w:pPr>
              <w:pStyle w:val="p1"/>
              <w:rPr>
                <w:rFonts w:asciiTheme="minorHAnsi" w:hAnsiTheme="minorHAnsi" w:cstheme="minorHAnsi"/>
                <w:sz w:val="18"/>
                <w:szCs w:val="18"/>
              </w:rPr>
            </w:pPr>
          </w:p>
        </w:tc>
        <w:tc>
          <w:tcPr>
            <w:tcW w:w="1197" w:type="dxa"/>
          </w:tcPr>
          <w:p w14:paraId="2BD3F017" w14:textId="77777777" w:rsidR="000C443A" w:rsidRPr="00010F3C" w:rsidRDefault="000C443A" w:rsidP="00DB49DC">
            <w:pPr>
              <w:pStyle w:val="p1"/>
              <w:rPr>
                <w:rFonts w:asciiTheme="minorHAnsi" w:hAnsiTheme="minorHAnsi" w:cstheme="minorHAnsi"/>
                <w:sz w:val="18"/>
                <w:szCs w:val="18"/>
              </w:rPr>
            </w:pPr>
            <w:r w:rsidRPr="00010F3C">
              <w:rPr>
                <w:rFonts w:asciiTheme="minorHAnsi" w:hAnsiTheme="minorHAnsi" w:cstheme="minorHAnsi"/>
                <w:sz w:val="18"/>
                <w:szCs w:val="18"/>
                <w:u w:val="single"/>
              </w:rPr>
              <w:t>TZ and ZA</w:t>
            </w:r>
            <w:r w:rsidRPr="00010F3C">
              <w:rPr>
                <w:rFonts w:asciiTheme="minorHAnsi" w:hAnsiTheme="minorHAnsi" w:cstheme="minorHAnsi"/>
                <w:sz w:val="18"/>
                <w:szCs w:val="18"/>
              </w:rPr>
              <w:t xml:space="preserve">: culture methods used. </w:t>
            </w:r>
            <w:r w:rsidRPr="00010F3C">
              <w:rPr>
                <w:rFonts w:asciiTheme="minorHAnsi" w:hAnsiTheme="minorHAnsi" w:cstheme="minorHAnsi"/>
                <w:sz w:val="18"/>
                <w:szCs w:val="18"/>
                <w:u w:val="single"/>
              </w:rPr>
              <w:t>SA</w:t>
            </w:r>
            <w:r w:rsidRPr="00010F3C">
              <w:rPr>
                <w:rFonts w:asciiTheme="minorHAnsi" w:hAnsiTheme="minorHAnsi" w:cstheme="minorHAnsi"/>
                <w:sz w:val="18"/>
                <w:szCs w:val="18"/>
              </w:rPr>
              <w:t>: urine sample via BD Probe Tec ET assay</w:t>
            </w:r>
          </w:p>
        </w:tc>
        <w:tc>
          <w:tcPr>
            <w:tcW w:w="2658" w:type="dxa"/>
          </w:tcPr>
          <w:p w14:paraId="7CAE7AEB"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Age, site, partner earns income, # sex partners, frequency vaginal sex past 1W, anal sex past 3M, other STIs, BV, candida, abnormal vaginal discharge on exam, abnormal cervical discharge on exam, incident HIV</w:t>
            </w:r>
          </w:p>
          <w:p w14:paraId="4CAE7E09" w14:textId="77777777" w:rsidR="000C443A" w:rsidRPr="00010F3C" w:rsidRDefault="000C443A" w:rsidP="00DB49DC">
            <w:pPr>
              <w:rPr>
                <w:rFonts w:asciiTheme="minorHAnsi" w:hAnsiTheme="minorHAnsi" w:cstheme="minorHAnsi"/>
                <w:sz w:val="18"/>
                <w:szCs w:val="18"/>
              </w:rPr>
            </w:pPr>
          </w:p>
          <w:p w14:paraId="5D25F210"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Final model (empirical approach):  site and incident HIV infection (SA model); age (TZ/ZA model)</w:t>
            </w:r>
          </w:p>
        </w:tc>
        <w:tc>
          <w:tcPr>
            <w:tcW w:w="1466" w:type="dxa"/>
          </w:tcPr>
          <w:p w14:paraId="13C44501" w14:textId="77777777" w:rsidR="000C443A" w:rsidRPr="00010F3C" w:rsidRDefault="000C443A" w:rsidP="00DB49DC">
            <w:pPr>
              <w:rPr>
                <w:rFonts w:asciiTheme="minorHAnsi" w:hAnsiTheme="minorHAnsi" w:cstheme="minorHAnsi"/>
                <w:color w:val="000000"/>
                <w:sz w:val="18"/>
                <w:szCs w:val="18"/>
              </w:rPr>
            </w:pPr>
            <w:r w:rsidRPr="00010F3C">
              <w:rPr>
                <w:rFonts w:asciiTheme="minorHAnsi" w:hAnsiTheme="minorHAnsi" w:cstheme="minorHAnsi"/>
                <w:color w:val="000000"/>
                <w:sz w:val="18"/>
                <w:szCs w:val="18"/>
              </w:rPr>
              <w:t>Not specified</w:t>
            </w:r>
          </w:p>
        </w:tc>
        <w:tc>
          <w:tcPr>
            <w:tcW w:w="1385" w:type="dxa"/>
          </w:tcPr>
          <w:p w14:paraId="6B97EE22" w14:textId="77777777" w:rsidR="000C443A" w:rsidRPr="00010F3C" w:rsidRDefault="000C443A" w:rsidP="00DB49DC">
            <w:pPr>
              <w:rPr>
                <w:rFonts w:asciiTheme="minorHAnsi" w:hAnsiTheme="minorHAnsi" w:cstheme="minorHAnsi"/>
                <w:sz w:val="18"/>
                <w:szCs w:val="18"/>
              </w:rPr>
            </w:pPr>
            <w:r w:rsidRPr="00CC052F">
              <w:rPr>
                <w:rFonts w:asciiTheme="minorHAnsi" w:hAnsiTheme="minorHAnsi" w:cstheme="minorHAnsi"/>
                <w:color w:val="000000"/>
                <w:sz w:val="18"/>
                <w:szCs w:val="18"/>
                <w:u w:val="single"/>
              </w:rPr>
              <w:t>OCP SA</w:t>
            </w:r>
            <w:r w:rsidRPr="00010F3C">
              <w:rPr>
                <w:rFonts w:asciiTheme="minorHAnsi" w:hAnsiTheme="minorHAnsi" w:cstheme="minorHAnsi"/>
                <w:color w:val="000000"/>
                <w:sz w:val="18"/>
                <w:szCs w:val="18"/>
                <w:u w:val="single"/>
              </w:rPr>
              <w:t xml:space="preserve"> site</w:t>
            </w:r>
            <w:r w:rsidRPr="00010F3C">
              <w:rPr>
                <w:rFonts w:asciiTheme="minorHAnsi" w:hAnsiTheme="minorHAnsi" w:cstheme="minorHAnsi"/>
                <w:color w:val="000000"/>
                <w:sz w:val="18"/>
                <w:szCs w:val="18"/>
              </w:rPr>
              <w:t xml:space="preserve">: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xml:space="preserve">: NR (ns); </w:t>
            </w:r>
            <w:r w:rsidRPr="00010F3C">
              <w:rPr>
                <w:rFonts w:asciiTheme="minorHAnsi" w:hAnsiTheme="minorHAnsi" w:cstheme="minorHAnsi"/>
                <w:sz w:val="18"/>
                <w:szCs w:val="18"/>
                <w:u w:val="single"/>
              </w:rPr>
              <w:t xml:space="preserve">TZ ZA site </w:t>
            </w:r>
            <w:proofErr w:type="spellStart"/>
            <w:r w:rsidRPr="00010F3C">
              <w:rPr>
                <w:rFonts w:asciiTheme="minorHAnsi" w:hAnsiTheme="minorHAnsi" w:cstheme="minorHAnsi"/>
                <w:sz w:val="18"/>
                <w:szCs w:val="18"/>
                <w:u w:val="single"/>
              </w:rPr>
              <w:t>aOR</w:t>
            </w:r>
            <w:proofErr w:type="spellEnd"/>
            <w:r w:rsidRPr="00010F3C">
              <w:rPr>
                <w:rFonts w:asciiTheme="minorHAnsi" w:hAnsiTheme="minorHAnsi" w:cstheme="minorHAnsi"/>
                <w:color w:val="000000"/>
                <w:sz w:val="18"/>
                <w:szCs w:val="18"/>
              </w:rPr>
              <w:t>: NR (ns)</w:t>
            </w:r>
          </w:p>
        </w:tc>
        <w:tc>
          <w:tcPr>
            <w:tcW w:w="1385" w:type="dxa"/>
          </w:tcPr>
          <w:p w14:paraId="3E978616" w14:textId="77777777" w:rsidR="000C443A" w:rsidRPr="00010F3C" w:rsidRDefault="000C443A" w:rsidP="00DB49DC">
            <w:pPr>
              <w:rPr>
                <w:rFonts w:asciiTheme="minorHAnsi" w:hAnsiTheme="minorHAnsi" w:cstheme="minorHAnsi"/>
                <w:color w:val="000000"/>
                <w:sz w:val="18"/>
                <w:szCs w:val="18"/>
              </w:rPr>
            </w:pPr>
            <w:r w:rsidRPr="00010F3C">
              <w:rPr>
                <w:rFonts w:asciiTheme="minorHAnsi" w:hAnsiTheme="minorHAnsi" w:cstheme="minorHAnsi"/>
                <w:color w:val="000000"/>
                <w:sz w:val="18"/>
                <w:szCs w:val="18"/>
                <w:u w:val="single"/>
              </w:rPr>
              <w:t>DMPA SA site</w:t>
            </w:r>
            <w:r w:rsidRPr="00010F3C">
              <w:rPr>
                <w:rFonts w:asciiTheme="minorHAnsi" w:hAnsiTheme="minorHAnsi" w:cstheme="minorHAnsi"/>
                <w:color w:val="000000"/>
                <w:sz w:val="18"/>
                <w:szCs w:val="18"/>
              </w:rPr>
              <w:t xml:space="preserve">: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xml:space="preserve">: NR (ns); </w:t>
            </w:r>
            <w:r w:rsidRPr="00010F3C">
              <w:rPr>
                <w:rFonts w:asciiTheme="minorHAnsi" w:hAnsiTheme="minorHAnsi" w:cstheme="minorHAnsi"/>
                <w:sz w:val="18"/>
                <w:szCs w:val="18"/>
                <w:u w:val="single"/>
              </w:rPr>
              <w:t xml:space="preserve">Moshi TZ/ ZA site </w:t>
            </w:r>
            <w:proofErr w:type="spellStart"/>
            <w:r w:rsidRPr="00010F3C">
              <w:rPr>
                <w:rFonts w:asciiTheme="minorHAnsi" w:hAnsiTheme="minorHAnsi" w:cstheme="minorHAnsi"/>
                <w:sz w:val="18"/>
                <w:szCs w:val="18"/>
                <w:u w:val="single"/>
              </w:rPr>
              <w:t>aOR</w:t>
            </w:r>
            <w:proofErr w:type="spellEnd"/>
            <w:r w:rsidRPr="00010F3C">
              <w:rPr>
                <w:rFonts w:asciiTheme="minorHAnsi" w:hAnsiTheme="minorHAnsi" w:cstheme="minorHAnsi"/>
                <w:color w:val="000000"/>
                <w:sz w:val="18"/>
                <w:szCs w:val="18"/>
              </w:rPr>
              <w:t>: NR (ns)</w:t>
            </w:r>
          </w:p>
          <w:p w14:paraId="55FFDE05" w14:textId="77777777" w:rsidR="000C443A" w:rsidRPr="00010F3C" w:rsidRDefault="000C443A" w:rsidP="00DB49DC">
            <w:pPr>
              <w:rPr>
                <w:rFonts w:asciiTheme="minorHAnsi" w:hAnsiTheme="minorHAnsi" w:cstheme="minorHAnsi"/>
                <w:color w:val="000000"/>
                <w:sz w:val="18"/>
                <w:szCs w:val="18"/>
              </w:rPr>
            </w:pPr>
          </w:p>
          <w:p w14:paraId="53F55276" w14:textId="77777777" w:rsidR="000C443A" w:rsidRPr="00010F3C" w:rsidRDefault="000C443A" w:rsidP="00DB49DC">
            <w:pPr>
              <w:rPr>
                <w:rFonts w:asciiTheme="minorHAnsi" w:hAnsiTheme="minorHAnsi" w:cstheme="minorHAnsi"/>
                <w:sz w:val="18"/>
                <w:szCs w:val="18"/>
              </w:rPr>
            </w:pPr>
          </w:p>
        </w:tc>
        <w:tc>
          <w:tcPr>
            <w:tcW w:w="1385" w:type="dxa"/>
          </w:tcPr>
          <w:p w14:paraId="0569613F" w14:textId="77777777" w:rsidR="000C443A" w:rsidRPr="00010F3C" w:rsidRDefault="000C443A" w:rsidP="00DB49DC">
            <w:pPr>
              <w:rPr>
                <w:rFonts w:asciiTheme="minorHAnsi" w:hAnsiTheme="minorHAnsi" w:cstheme="minorHAnsi"/>
                <w:color w:val="000000"/>
                <w:sz w:val="18"/>
                <w:szCs w:val="18"/>
              </w:rPr>
            </w:pPr>
            <w:r w:rsidRPr="00010F3C">
              <w:rPr>
                <w:rFonts w:asciiTheme="minorHAnsi" w:hAnsiTheme="minorHAnsi" w:cstheme="minorHAnsi"/>
                <w:color w:val="000000"/>
                <w:sz w:val="18"/>
                <w:szCs w:val="18"/>
                <w:u w:val="single"/>
              </w:rPr>
              <w:t>Norplant SA site</w:t>
            </w:r>
            <w:r w:rsidRPr="00010F3C">
              <w:rPr>
                <w:rFonts w:asciiTheme="minorHAnsi" w:hAnsiTheme="minorHAnsi" w:cstheme="minorHAnsi"/>
                <w:color w:val="000000"/>
                <w:sz w:val="18"/>
                <w:szCs w:val="18"/>
              </w:rPr>
              <w:t xml:space="preserve">: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xml:space="preserve">: NR (ns); </w:t>
            </w:r>
            <w:r w:rsidRPr="00010F3C">
              <w:rPr>
                <w:rFonts w:asciiTheme="minorHAnsi" w:hAnsiTheme="minorHAnsi" w:cstheme="minorHAnsi"/>
                <w:sz w:val="18"/>
                <w:szCs w:val="18"/>
                <w:u w:val="single"/>
              </w:rPr>
              <w:t xml:space="preserve">TZ/ ZA site </w:t>
            </w:r>
            <w:proofErr w:type="spellStart"/>
            <w:r w:rsidRPr="00010F3C">
              <w:rPr>
                <w:rFonts w:asciiTheme="minorHAnsi" w:hAnsiTheme="minorHAnsi" w:cstheme="minorHAnsi"/>
                <w:sz w:val="18"/>
                <w:szCs w:val="18"/>
                <w:u w:val="single"/>
              </w:rPr>
              <w:t>aOR</w:t>
            </w:r>
            <w:proofErr w:type="spellEnd"/>
            <w:r w:rsidRPr="00010F3C">
              <w:rPr>
                <w:rFonts w:asciiTheme="minorHAnsi" w:hAnsiTheme="minorHAnsi" w:cstheme="minorHAnsi"/>
                <w:color w:val="000000"/>
                <w:sz w:val="18"/>
                <w:szCs w:val="18"/>
              </w:rPr>
              <w:t xml:space="preserve">: 4.7 (1.3, </w:t>
            </w:r>
            <w:proofErr w:type="gramStart"/>
            <w:r w:rsidRPr="00010F3C">
              <w:rPr>
                <w:rFonts w:asciiTheme="minorHAnsi" w:hAnsiTheme="minorHAnsi" w:cstheme="minorHAnsi"/>
                <w:color w:val="000000"/>
                <w:sz w:val="18"/>
                <w:szCs w:val="18"/>
              </w:rPr>
              <w:t>16.5</w:t>
            </w:r>
            <w:r>
              <w:rPr>
                <w:rFonts w:asciiTheme="minorHAnsi" w:hAnsiTheme="minorHAnsi" w:cstheme="minorHAnsi"/>
                <w:color w:val="000000"/>
                <w:sz w:val="18"/>
                <w:szCs w:val="18"/>
              </w:rPr>
              <w:t>)*</w:t>
            </w:r>
            <w:proofErr w:type="gramEnd"/>
          </w:p>
          <w:p w14:paraId="36C46256" w14:textId="77777777" w:rsidR="000C443A" w:rsidRPr="00010F3C" w:rsidRDefault="000C443A" w:rsidP="00DB49DC">
            <w:pPr>
              <w:rPr>
                <w:rFonts w:asciiTheme="minorHAnsi" w:hAnsiTheme="minorHAnsi" w:cstheme="minorHAnsi"/>
                <w:sz w:val="18"/>
                <w:szCs w:val="18"/>
              </w:rPr>
            </w:pPr>
          </w:p>
        </w:tc>
      </w:tr>
      <w:tr w:rsidR="000C443A" w:rsidRPr="00010F3C" w14:paraId="184D4B63" w14:textId="77777777" w:rsidTr="00DB49DC">
        <w:trPr>
          <w:trHeight w:val="1412"/>
        </w:trPr>
        <w:tc>
          <w:tcPr>
            <w:tcW w:w="979" w:type="dxa"/>
          </w:tcPr>
          <w:p w14:paraId="60DD0878" w14:textId="77777777" w:rsidR="000C443A" w:rsidRPr="00010F3C" w:rsidRDefault="000C443A"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Pettifor</w:t>
            </w:r>
            <w:proofErr w:type="spellEnd"/>
            <w:r w:rsidRPr="00010F3C">
              <w:rPr>
                <w:rFonts w:asciiTheme="minorHAnsi" w:hAnsiTheme="minorHAnsi" w:cstheme="minorHAnsi"/>
                <w:sz w:val="18"/>
                <w:szCs w:val="18"/>
              </w:rPr>
              <w:t>, 2009</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{"citationItems":[{"id":"ITEM-1","itemData":{"DOI":"10.1016/j.contraception.2009.06.007","ISSN":"1879-0518","PMID":"19913149","abstract":"OBJECTIVE This study was conducted to determine the association between the use of injectable progestin contraception (IPC) and the risk of infection with Neisseria gonorrhoeae (GC), Chlamydia trachomatis (CT), bacterial vaginosis (BV) and Trichomonas vaginalis (TV) among women in South Africa. METHODS From August 1999 through May 2001, 643 HIV-1-negative women were recruited from family planning clinics in Orange Farm, South Africa. IPC [norethisterone enanthate (NET-EN) and depot medroxyprogesterone acetate (DMPA)] users and nonhormonal contraception users were recruited in approximately equal numbers. Eligible participants were seen at enrolment and on four follow-up visits over a 12-month period; 567 returned for at least one follow-up visit. Multivariable Poisson regression models with generalized estimating equations were used to compute the incidence rate ratios (IRRs) for infections with GC, CT, BV and TV by use of NET-EN or DMPA relative to nonuse during follow-up. RESULTS In multivariable models, the use of DMPA slightly increased the risk of infection with CT [IRR=1.24; 95% confidence interval (95% CI)=0.80-1.94] and GC (IRR=1.30; 95% CI=0.58-2.98), although these associations were not statistically significant. In contrast, DMPA appeared to be protective for TV (IRR=0.35; 95% CI=0.12-1.01), although this estimate was very imprecise. The use of both DMPA and NET-EN was associated with a decreased risk of BV. CONCLUSIONS The use of DMPA among women in this study population was associated with an increased - but not statistically significant - risk of cervical infection with chlamydia and gonorrhea, and a decreased risk of TV and BV. Given the inconsistencies and limitations of the data describing an increased risk of CT and GC with IPC use, the potential risk of sexually transmitted infections (STIs) must be balanced against the risk of unintended pregnancy and its health consequences, especially in developing countries. Women opting to use IPC should be counseled to use condoms to protect against STIs and HIV.","author":[{"dropping-particle":"","family":"Pettifor","given":"Audrey","non-dropping-particle":"","parse-names":false,"suffix":""},{"dropping-particle":"","family":"Delany","given":"Sinead","non-dropping-particle":"","parse-names":false,"suffix":""},{"dropping-particle":"","family":"Kleinschmidt","given":"Immo","non-dropping-particle":"","parse-names":false,"suffix":""},{"dropping-particle":"","family":"Miller","given":"William C","non-dropping-particle":"","parse-names":false,"suffix":""},{"dropping-particle":"","family":"Atashili","given":"Julius","non-dropping-particle":"","parse-names":false,"suffix":""},{"dropping-particle":"","family":"Rees","given":"Helen","non-dropping-particle":"","parse-names":false,"suffix":""}],"container-title":"Contraception","id":"ITEM-1","issue":"6","issued":{"date-parts":[["2009","12"]]},"page":"555-60","title":"Use of injectable progestin contraception and risk of STI among South African women.","type":"article-journal","volume":"80"},"uris":["http://www.mendeley.com/documents/?uuid=45e239d2-c5f9-365d-aaa3-264f2f2eabb2"]}],"mendeley":{"formattedCitation":"[48]","plainTextFormattedCitation":"[48]","previouslyFormattedCitation":"[48]"},"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[48]</w:t>
            </w:r>
            <w:r>
              <w:rPr>
                <w:rFonts w:asciiTheme="minorHAnsi" w:hAnsiTheme="minorHAnsi" w:cstheme="minorHAnsi"/>
                <w:sz w:val="18"/>
                <w:szCs w:val="18"/>
              </w:rPr>
              <w:fldChar w:fldCharType="end"/>
            </w:r>
          </w:p>
        </w:tc>
        <w:tc>
          <w:tcPr>
            <w:tcW w:w="1626" w:type="dxa"/>
          </w:tcPr>
          <w:p w14:paraId="1A9ADD0E" w14:textId="77777777" w:rsidR="000C443A" w:rsidRPr="00010F3C" w:rsidRDefault="000C443A" w:rsidP="00DB49DC">
            <w:pPr>
              <w:rPr>
                <w:rFonts w:asciiTheme="minorHAnsi" w:hAnsiTheme="minorHAnsi" w:cstheme="minorHAnsi"/>
                <w:i/>
                <w:sz w:val="18"/>
                <w:szCs w:val="18"/>
              </w:rPr>
            </w:pPr>
            <w:r w:rsidRPr="00010F3C">
              <w:rPr>
                <w:rFonts w:asciiTheme="minorHAnsi" w:hAnsiTheme="minorHAnsi" w:cstheme="minorHAnsi"/>
                <w:sz w:val="18"/>
                <w:szCs w:val="18"/>
              </w:rPr>
              <w:t xml:space="preserve">567, HIV-negative women ages 18 to 40 recruited from family planning clinics in Orange Farm, South Africa; </w:t>
            </w:r>
            <w:r w:rsidRPr="00010F3C">
              <w:rPr>
                <w:rFonts w:asciiTheme="minorHAnsi" w:hAnsiTheme="minorHAnsi" w:cstheme="minorHAnsi"/>
                <w:i/>
                <w:sz w:val="18"/>
                <w:szCs w:val="18"/>
              </w:rPr>
              <w:t xml:space="preserve">N=45 incident cases </w:t>
            </w:r>
            <w:r>
              <w:rPr>
                <w:rFonts w:asciiTheme="minorHAnsi" w:hAnsiTheme="minorHAnsi" w:cstheme="minorHAnsi"/>
                <w:i/>
                <w:sz w:val="18"/>
                <w:szCs w:val="18"/>
                <w:vertAlign w:val="superscript"/>
              </w:rPr>
              <w:t>b</w:t>
            </w:r>
            <w:r w:rsidRPr="00010F3C">
              <w:rPr>
                <w:rFonts w:asciiTheme="minorHAnsi" w:hAnsiTheme="minorHAnsi" w:cstheme="minorHAnsi"/>
                <w:i/>
                <w:sz w:val="18"/>
                <w:szCs w:val="18"/>
              </w:rPr>
              <w:t xml:space="preserve"> incident rate: 9.9 per 100 PY</w:t>
            </w:r>
          </w:p>
        </w:tc>
        <w:tc>
          <w:tcPr>
            <w:tcW w:w="1095" w:type="dxa"/>
          </w:tcPr>
          <w:p w14:paraId="421F266C"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1Y; 0M, 2M, 6M, 8M and 12M (NET-EN users) or 0M, 3M, 6M, 9M and</w:t>
            </w:r>
          </w:p>
          <w:p w14:paraId="4011C9E3"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12M (DMPA users and controls)</w:t>
            </w:r>
          </w:p>
          <w:p w14:paraId="057ADC57" w14:textId="77777777" w:rsidR="000C443A" w:rsidRPr="00010F3C" w:rsidRDefault="000C443A" w:rsidP="00DB49DC">
            <w:pPr>
              <w:rPr>
                <w:rFonts w:asciiTheme="minorHAnsi" w:hAnsiTheme="minorHAnsi" w:cstheme="minorHAnsi"/>
                <w:sz w:val="18"/>
                <w:szCs w:val="18"/>
              </w:rPr>
            </w:pPr>
          </w:p>
          <w:p w14:paraId="5563A509"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 </w:t>
            </w:r>
          </w:p>
          <w:p w14:paraId="6ABF2348" w14:textId="77777777" w:rsidR="000C443A" w:rsidRPr="00010F3C" w:rsidRDefault="000C443A" w:rsidP="00DB49DC">
            <w:pPr>
              <w:rPr>
                <w:rFonts w:asciiTheme="minorHAnsi" w:hAnsiTheme="minorHAnsi" w:cstheme="minorHAnsi"/>
                <w:sz w:val="18"/>
                <w:szCs w:val="18"/>
              </w:rPr>
            </w:pPr>
          </w:p>
        </w:tc>
        <w:tc>
          <w:tcPr>
            <w:tcW w:w="1197" w:type="dxa"/>
          </w:tcPr>
          <w:p w14:paraId="41B97944"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Urine sample via</w:t>
            </w:r>
          </w:p>
          <w:p w14:paraId="036E0611"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ligase chain reaction (</w:t>
            </w:r>
            <w:proofErr w:type="spellStart"/>
            <w:r w:rsidRPr="00010F3C">
              <w:rPr>
                <w:rFonts w:asciiTheme="minorHAnsi" w:hAnsiTheme="minorHAnsi" w:cstheme="minorHAnsi"/>
                <w:sz w:val="18"/>
                <w:szCs w:val="18"/>
              </w:rPr>
              <w:t>LCx</w:t>
            </w:r>
            <w:proofErr w:type="spellEnd"/>
            <w:r w:rsidRPr="00010F3C">
              <w:rPr>
                <w:rFonts w:asciiTheme="minorHAnsi" w:hAnsiTheme="minorHAnsi" w:cstheme="minorHAnsi"/>
                <w:sz w:val="18"/>
                <w:szCs w:val="18"/>
              </w:rPr>
              <w:t>®; Abbot Laboratories)</w:t>
            </w:r>
          </w:p>
          <w:p w14:paraId="2EEB5DEB" w14:textId="77777777" w:rsidR="000C443A" w:rsidRPr="00010F3C" w:rsidRDefault="000C443A" w:rsidP="00DB49DC">
            <w:pPr>
              <w:rPr>
                <w:rFonts w:asciiTheme="minorHAnsi" w:hAnsiTheme="minorHAnsi" w:cstheme="minorHAnsi"/>
                <w:sz w:val="18"/>
                <w:szCs w:val="18"/>
              </w:rPr>
            </w:pPr>
          </w:p>
        </w:tc>
        <w:tc>
          <w:tcPr>
            <w:tcW w:w="2658" w:type="dxa"/>
          </w:tcPr>
          <w:p w14:paraId="167ECC80"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 xml:space="preserve">Age, relationship status, education, frequency of sex past 3M, # sex partners past 3M, condom use past 3M, vagina douching past 3M, age of first sex </w:t>
            </w:r>
          </w:p>
          <w:p w14:paraId="197812F5" w14:textId="77777777" w:rsidR="000C443A" w:rsidRPr="00010F3C" w:rsidRDefault="000C443A" w:rsidP="00DB49DC">
            <w:pPr>
              <w:rPr>
                <w:rFonts w:asciiTheme="minorHAnsi" w:hAnsiTheme="minorHAnsi" w:cstheme="minorHAnsi"/>
                <w:sz w:val="18"/>
                <w:szCs w:val="18"/>
              </w:rPr>
            </w:pPr>
          </w:p>
          <w:p w14:paraId="2E7C0D48"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Final model (empirical and theoretical approach): Age, education and condom use consistency in past 3M</w:t>
            </w:r>
          </w:p>
        </w:tc>
        <w:tc>
          <w:tcPr>
            <w:tcW w:w="1466" w:type="dxa"/>
          </w:tcPr>
          <w:p w14:paraId="6816598C" w14:textId="77777777" w:rsidR="000C443A"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 xml:space="preserve">Non-pregnant </w:t>
            </w:r>
          </w:p>
          <w:p w14:paraId="3C763A42"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non-</w:t>
            </w:r>
            <w:r>
              <w:rPr>
                <w:rFonts w:asciiTheme="minorHAnsi" w:hAnsiTheme="minorHAnsi" w:cstheme="minorHAnsi"/>
                <w:sz w:val="18"/>
                <w:szCs w:val="18"/>
              </w:rPr>
              <w:t>hormonal user</w:t>
            </w:r>
          </w:p>
        </w:tc>
        <w:tc>
          <w:tcPr>
            <w:tcW w:w="1385" w:type="dxa"/>
          </w:tcPr>
          <w:p w14:paraId="1EA5CD1F"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NA</w:t>
            </w:r>
          </w:p>
        </w:tc>
        <w:tc>
          <w:tcPr>
            <w:tcW w:w="1385" w:type="dxa"/>
          </w:tcPr>
          <w:p w14:paraId="59BADB41" w14:textId="77777777" w:rsidR="000C443A" w:rsidRPr="00010F3C" w:rsidRDefault="000C443A" w:rsidP="00DB49DC">
            <w:pPr>
              <w:rPr>
                <w:rFonts w:asciiTheme="minorHAnsi" w:hAnsiTheme="minorHAnsi" w:cstheme="minorHAnsi"/>
                <w:sz w:val="18"/>
                <w:szCs w:val="18"/>
                <w:lang w:val="nl-NL"/>
              </w:rPr>
            </w:pPr>
            <w:r w:rsidRPr="00010F3C">
              <w:rPr>
                <w:rFonts w:asciiTheme="minorHAnsi" w:hAnsiTheme="minorHAnsi" w:cstheme="minorHAnsi"/>
                <w:color w:val="000000"/>
                <w:sz w:val="18"/>
                <w:szCs w:val="18"/>
                <w:u w:val="single"/>
                <w:lang w:val="nl-NL"/>
              </w:rPr>
              <w:t xml:space="preserve">DMPA </w:t>
            </w:r>
            <w:r w:rsidRPr="00010F3C">
              <w:rPr>
                <w:rFonts w:asciiTheme="minorHAnsi" w:hAnsiTheme="minorHAnsi" w:cstheme="minorHAnsi"/>
                <w:color w:val="000000"/>
                <w:sz w:val="18"/>
                <w:szCs w:val="18"/>
                <w:lang w:val="nl-NL"/>
              </w:rPr>
              <w:t xml:space="preserve">aIRR: 1.30 (0.58, 2.98); </w:t>
            </w:r>
            <w:r w:rsidRPr="00010F3C">
              <w:rPr>
                <w:rFonts w:asciiTheme="minorHAnsi" w:hAnsiTheme="minorHAnsi" w:cstheme="minorHAnsi"/>
                <w:color w:val="000000"/>
                <w:sz w:val="18"/>
                <w:szCs w:val="18"/>
                <w:u w:val="single"/>
                <w:lang w:val="nl-NL"/>
              </w:rPr>
              <w:t>NET-EN aIRR</w:t>
            </w:r>
            <w:r w:rsidRPr="00010F3C">
              <w:rPr>
                <w:rFonts w:asciiTheme="minorHAnsi" w:hAnsiTheme="minorHAnsi" w:cstheme="minorHAnsi"/>
                <w:color w:val="000000"/>
                <w:sz w:val="18"/>
                <w:szCs w:val="18"/>
                <w:lang w:val="nl-NL"/>
              </w:rPr>
              <w:t>: 1.11 (0.55, 2.25)</w:t>
            </w:r>
          </w:p>
        </w:tc>
        <w:tc>
          <w:tcPr>
            <w:tcW w:w="1385" w:type="dxa"/>
          </w:tcPr>
          <w:p w14:paraId="707A20E8"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NA</w:t>
            </w:r>
          </w:p>
        </w:tc>
      </w:tr>
      <w:tr w:rsidR="000C443A" w:rsidRPr="00010F3C" w14:paraId="287371D3" w14:textId="77777777" w:rsidTr="00DB49DC">
        <w:trPr>
          <w:trHeight w:val="1412"/>
        </w:trPr>
        <w:tc>
          <w:tcPr>
            <w:tcW w:w="979" w:type="dxa"/>
          </w:tcPr>
          <w:p w14:paraId="6851C60A"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Romer, 2013</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{"citationItems":[{"id":"ITEM-1","itemData":{"DOI":"10.1016/j.jadohealth.2012.04.007","PMID":"23260839","abstract":"PURPOSE To determine whether depot medroxyprogesterone acetate (DMPA) use is associated with an increased risk of acquisition of sexually transmitted infections (STIs) in a cohort of healthy adolescents, for whom prospective evidence is sparse. METHODS Adolescent women aged 14-17 years (n = 342) were recruited from clinical sites in the United States between 1999 and 2005. They returned quarterly for interviews and STI testing. During alternating 3-month periods, participants also completed daily diaries of sexual behaviors and performed weekly vaginal self-obtained swabs to test for STIs. Data collected through 2009 (median follow-up length = 42.2 months) were analyzed. Univariable and multivariable tests of association between STI acquisition during the 3-month diary period and covariates were calculated, using nonlinear mixed-effect logistic regression models to control for repeated measurements. RESULTS In multivariable analysis, there were no significant associations between DMPA use in the current or previous 3-month period and incidence of Chlamydia trachomatis, Neisseria gonorrhoeae, or Trichomonas vaginalis. The number of total or unprotected sexual events during the diary period was not associated with the risk of STI. Older age was a protective factor for the development of Chlamydia trachomatis (odds ratio = .85; 95% confidence interval = .76-.96). The only factor significantly associated with an increased risk of contracting all three STIs was a greater number of sexual partners during the diary period (odds ratio, range = 1.91-2.62). CONCLUSIONS In this U.S.-based cohort of adolescent women, we found no evidence that DMPA use was associated with increased STI risk. Efforts to curb STI transmission among adolescents should focus on education about the reduced number of sexual partners.","author":[{"dropping-particle":"","family":"Romer","given":"Amy","non-dropping-particle":"","parse-names":false,"suffix":""},{"dropping-particle":"","family":"Shew","given":"Marcia L.","non-dropping-particle":"","parse-names":false,"suffix":""},{"dropping-particle":"","family":"Ofner","given":"Susan","non-dropping-particle":"","parse-names":false,"suffix":""},{"dropping-particle":"","family":"Gilliam","given":"Melissa L.","non-dropping-particle":"","parse-names":false,"suffix":""},{"dropping-particle":"","family":"Martins","given":"Summer L.","non-dropping-particle":"","parse-names":false,"suffix":""},{"dropping-particle":"","family":"Fortenberry","given":"J. Dennis","non-dropping-particle":"","parse-names":false,"suffix":""}],"container-title":"Journal of Adolescent Health","id":"ITEM-1","issue":"1","issued":{"date-parts":[["2013","1"]]},"page":"83-88","title":"Depot medroxyprogesterone acetate use is not associated with risk of incident sexually transmitted infections among adolescent women","type":"article-journal","volume":"52"},"uris":["http://www.mendeley.com/documents/?uuid=982f0fd0-7e4e-3ca4-8199-e9b5f08b14e2"]}],"mendeley":{"formattedCitation":"[50]","plainTextFormattedCitation":"[50]","previouslyFormattedCitation":"[50]"},"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[50]</w:t>
            </w:r>
            <w:r>
              <w:rPr>
                <w:rFonts w:asciiTheme="minorHAnsi" w:hAnsiTheme="minorHAnsi" w:cstheme="minorHAnsi"/>
                <w:sz w:val="18"/>
                <w:szCs w:val="18"/>
              </w:rPr>
              <w:fldChar w:fldCharType="end"/>
            </w:r>
          </w:p>
        </w:tc>
        <w:tc>
          <w:tcPr>
            <w:tcW w:w="1626" w:type="dxa"/>
          </w:tcPr>
          <w:p w14:paraId="24276CDD" w14:textId="77777777" w:rsidR="000C443A" w:rsidRPr="00010F3C" w:rsidRDefault="000C443A" w:rsidP="00DB49DC">
            <w:pPr>
              <w:rPr>
                <w:rFonts w:asciiTheme="minorHAnsi" w:hAnsiTheme="minorHAnsi" w:cstheme="minorHAnsi"/>
                <w:i/>
                <w:sz w:val="18"/>
                <w:szCs w:val="18"/>
              </w:rPr>
            </w:pPr>
            <w:r w:rsidRPr="00010F3C">
              <w:rPr>
                <w:rFonts w:asciiTheme="minorHAnsi" w:hAnsiTheme="minorHAnsi" w:cstheme="minorHAnsi"/>
                <w:sz w:val="18"/>
                <w:szCs w:val="18"/>
              </w:rPr>
              <w:t xml:space="preserve">342, adolescent girls ages 14-17 attending clinics in inner-city </w:t>
            </w:r>
            <w:r w:rsidRPr="00010F3C">
              <w:rPr>
                <w:rFonts w:asciiTheme="minorHAnsi" w:hAnsiTheme="minorHAnsi" w:cstheme="minorHAnsi"/>
                <w:color w:val="000000" w:themeColor="text1"/>
                <w:sz w:val="18"/>
                <w:szCs w:val="18"/>
              </w:rPr>
              <w:t xml:space="preserve">areas of Indianapolis, USA; </w:t>
            </w:r>
            <w:r w:rsidRPr="00010F3C">
              <w:rPr>
                <w:rFonts w:asciiTheme="minorHAnsi" w:hAnsiTheme="minorHAnsi" w:cstheme="minorHAnsi"/>
                <w:i/>
                <w:color w:val="000000" w:themeColor="text1"/>
                <w:sz w:val="18"/>
                <w:szCs w:val="18"/>
              </w:rPr>
              <w:t xml:space="preserve">N=65 incident cases </w:t>
            </w:r>
            <w:r>
              <w:rPr>
                <w:rFonts w:asciiTheme="minorHAnsi" w:hAnsiTheme="minorHAnsi" w:cstheme="minorHAnsi"/>
                <w:i/>
                <w:sz w:val="18"/>
                <w:szCs w:val="18"/>
                <w:vertAlign w:val="superscript"/>
              </w:rPr>
              <w:t>b</w:t>
            </w:r>
          </w:p>
        </w:tc>
        <w:tc>
          <w:tcPr>
            <w:tcW w:w="1095" w:type="dxa"/>
          </w:tcPr>
          <w:p w14:paraId="17881E19"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Originally 27M, extended to 5Y for some participants; every 3M</w:t>
            </w:r>
          </w:p>
          <w:p w14:paraId="5BF76751" w14:textId="77777777" w:rsidR="000C443A" w:rsidRPr="00010F3C" w:rsidRDefault="000C443A" w:rsidP="00DB49DC">
            <w:pPr>
              <w:rPr>
                <w:rFonts w:asciiTheme="minorHAnsi" w:hAnsiTheme="minorHAnsi" w:cstheme="minorHAnsi"/>
                <w:sz w:val="18"/>
                <w:szCs w:val="18"/>
              </w:rPr>
            </w:pPr>
          </w:p>
          <w:p w14:paraId="3D437E25" w14:textId="77777777" w:rsidR="000C443A" w:rsidRPr="00010F3C" w:rsidRDefault="000C443A" w:rsidP="00DB49DC">
            <w:pPr>
              <w:rPr>
                <w:rFonts w:asciiTheme="minorHAnsi" w:hAnsiTheme="minorHAnsi" w:cstheme="minorHAnsi"/>
                <w:sz w:val="18"/>
                <w:szCs w:val="18"/>
              </w:rPr>
            </w:pPr>
          </w:p>
        </w:tc>
        <w:tc>
          <w:tcPr>
            <w:tcW w:w="1197" w:type="dxa"/>
          </w:tcPr>
          <w:p w14:paraId="614B249C"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lastRenderedPageBreak/>
              <w:t xml:space="preserve">Nucleic acid amplification tests </w:t>
            </w:r>
          </w:p>
          <w:p w14:paraId="1AC86657"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w:t>
            </w:r>
            <w:proofErr w:type="spellStart"/>
            <w:r w:rsidRPr="00010F3C">
              <w:rPr>
                <w:rFonts w:asciiTheme="minorHAnsi" w:hAnsiTheme="minorHAnsi" w:cstheme="minorHAnsi"/>
                <w:sz w:val="18"/>
                <w:szCs w:val="18"/>
              </w:rPr>
              <w:t>Amplicor</w:t>
            </w:r>
            <w:proofErr w:type="spellEnd"/>
            <w:r w:rsidRPr="00010F3C">
              <w:rPr>
                <w:rFonts w:asciiTheme="minorHAnsi" w:hAnsiTheme="minorHAnsi" w:cstheme="minorHAnsi"/>
                <w:sz w:val="18"/>
                <w:szCs w:val="18"/>
              </w:rPr>
              <w:t xml:space="preserve"> CT/NG PCR; Roche Diagnostics). </w:t>
            </w:r>
            <w:r w:rsidRPr="00010F3C">
              <w:rPr>
                <w:rFonts w:asciiTheme="minorHAnsi" w:hAnsiTheme="minorHAnsi" w:cstheme="minorHAnsi"/>
                <w:sz w:val="18"/>
                <w:szCs w:val="18"/>
              </w:rPr>
              <w:lastRenderedPageBreak/>
              <w:t>Positive results confirmed by Gen-Probe</w:t>
            </w:r>
          </w:p>
          <w:p w14:paraId="150AE024" w14:textId="77777777" w:rsidR="000C443A" w:rsidRPr="00010F3C" w:rsidRDefault="000C443A" w:rsidP="00DB49DC">
            <w:pPr>
              <w:rPr>
                <w:rFonts w:asciiTheme="minorHAnsi" w:hAnsiTheme="minorHAnsi" w:cstheme="minorHAnsi"/>
                <w:color w:val="FF0000"/>
                <w:sz w:val="18"/>
                <w:szCs w:val="18"/>
              </w:rPr>
            </w:pPr>
          </w:p>
          <w:p w14:paraId="5D4571F5" w14:textId="77777777" w:rsidR="000C443A" w:rsidRPr="00010F3C" w:rsidRDefault="000C443A" w:rsidP="00DB49DC">
            <w:pPr>
              <w:rPr>
                <w:rFonts w:asciiTheme="minorHAnsi" w:hAnsiTheme="minorHAnsi" w:cstheme="minorHAnsi"/>
                <w:sz w:val="18"/>
                <w:szCs w:val="18"/>
              </w:rPr>
            </w:pPr>
          </w:p>
        </w:tc>
        <w:tc>
          <w:tcPr>
            <w:tcW w:w="2658" w:type="dxa"/>
          </w:tcPr>
          <w:p w14:paraId="4C31BCA3"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lastRenderedPageBreak/>
              <w:t>Age, positive STI test at start of period, # of sexual partners in past 3M, # of lifetime sexual partners, # of sexual events in last 3M (diary period), # of unprotected sexual events in last 3M (diary period)</w:t>
            </w:r>
          </w:p>
          <w:p w14:paraId="2B1EA3FD" w14:textId="77777777" w:rsidR="000C443A" w:rsidRPr="00010F3C" w:rsidRDefault="000C443A" w:rsidP="00DB49DC">
            <w:pPr>
              <w:rPr>
                <w:rFonts w:asciiTheme="minorHAnsi" w:hAnsiTheme="minorHAnsi" w:cstheme="minorHAnsi"/>
                <w:sz w:val="18"/>
                <w:szCs w:val="18"/>
              </w:rPr>
            </w:pPr>
          </w:p>
        </w:tc>
        <w:tc>
          <w:tcPr>
            <w:tcW w:w="1466" w:type="dxa"/>
          </w:tcPr>
          <w:p w14:paraId="5185F488"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lastRenderedPageBreak/>
              <w:t>Non-</w:t>
            </w:r>
            <w:r>
              <w:rPr>
                <w:rFonts w:asciiTheme="minorHAnsi" w:hAnsiTheme="minorHAnsi" w:cstheme="minorHAnsi"/>
                <w:sz w:val="18"/>
                <w:szCs w:val="18"/>
              </w:rPr>
              <w:t xml:space="preserve">hormonal </w:t>
            </w:r>
            <w:r w:rsidRPr="00010F3C">
              <w:rPr>
                <w:rFonts w:asciiTheme="minorHAnsi" w:hAnsiTheme="minorHAnsi" w:cstheme="minorHAnsi"/>
                <w:sz w:val="18"/>
                <w:szCs w:val="18"/>
              </w:rPr>
              <w:t xml:space="preserve">user </w:t>
            </w:r>
          </w:p>
        </w:tc>
        <w:tc>
          <w:tcPr>
            <w:tcW w:w="1385" w:type="dxa"/>
          </w:tcPr>
          <w:p w14:paraId="1B02D429"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t>NA</w:t>
            </w:r>
          </w:p>
        </w:tc>
        <w:tc>
          <w:tcPr>
            <w:tcW w:w="1385" w:type="dxa"/>
          </w:tcPr>
          <w:p w14:paraId="5691D8B3" w14:textId="77777777" w:rsidR="000C443A" w:rsidRPr="00010F3C" w:rsidRDefault="000C443A" w:rsidP="00DB49DC">
            <w:pPr>
              <w:rPr>
                <w:rFonts w:asciiTheme="minorHAnsi" w:hAnsiTheme="minorHAnsi" w:cstheme="minorHAnsi"/>
                <w:color w:val="FF0000"/>
                <w:sz w:val="18"/>
                <w:szCs w:val="18"/>
              </w:rPr>
            </w:pPr>
            <w:r w:rsidRPr="00010F3C">
              <w:rPr>
                <w:rFonts w:asciiTheme="minorHAnsi" w:hAnsiTheme="minorHAnsi" w:cstheme="minorHAnsi"/>
                <w:color w:val="000000"/>
                <w:sz w:val="18"/>
                <w:szCs w:val="18"/>
                <w:u w:val="single"/>
              </w:rPr>
              <w:t xml:space="preserve">DMPA use in current 3M period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xml:space="preserve">: 1.19 (0.57, 2.48); </w:t>
            </w:r>
            <w:r w:rsidRPr="00010F3C">
              <w:rPr>
                <w:rFonts w:asciiTheme="minorHAnsi" w:hAnsiTheme="minorHAnsi" w:cstheme="minorHAnsi"/>
                <w:color w:val="000000"/>
                <w:sz w:val="18"/>
                <w:szCs w:val="18"/>
                <w:u w:val="single"/>
              </w:rPr>
              <w:t xml:space="preserve">DMPA use in prior 3M </w:t>
            </w:r>
            <w:proofErr w:type="spellStart"/>
            <w:r w:rsidRPr="00010F3C">
              <w:rPr>
                <w:rFonts w:asciiTheme="minorHAnsi" w:hAnsiTheme="minorHAnsi" w:cstheme="minorHAnsi"/>
                <w:color w:val="000000"/>
                <w:sz w:val="18"/>
                <w:szCs w:val="18"/>
              </w:rPr>
              <w:lastRenderedPageBreak/>
              <w:t>aOR</w:t>
            </w:r>
            <w:proofErr w:type="spellEnd"/>
            <w:r w:rsidRPr="00010F3C">
              <w:rPr>
                <w:rFonts w:asciiTheme="minorHAnsi" w:hAnsiTheme="minorHAnsi" w:cstheme="minorHAnsi"/>
                <w:color w:val="000000"/>
                <w:sz w:val="18"/>
                <w:szCs w:val="18"/>
              </w:rPr>
              <w:t>: 1.12 (0.54, 2.32)</w:t>
            </w:r>
          </w:p>
        </w:tc>
        <w:tc>
          <w:tcPr>
            <w:tcW w:w="1385" w:type="dxa"/>
          </w:tcPr>
          <w:p w14:paraId="34332086" w14:textId="77777777" w:rsidR="000C443A" w:rsidRPr="00010F3C" w:rsidRDefault="000C443A" w:rsidP="00DB49DC">
            <w:pPr>
              <w:rPr>
                <w:rFonts w:asciiTheme="minorHAnsi" w:hAnsiTheme="minorHAnsi" w:cstheme="minorHAnsi"/>
                <w:sz w:val="18"/>
                <w:szCs w:val="18"/>
              </w:rPr>
            </w:pPr>
            <w:r w:rsidRPr="00010F3C">
              <w:rPr>
                <w:rFonts w:asciiTheme="minorHAnsi" w:hAnsiTheme="minorHAnsi" w:cstheme="minorHAnsi"/>
                <w:sz w:val="18"/>
                <w:szCs w:val="18"/>
              </w:rPr>
              <w:lastRenderedPageBreak/>
              <w:t>NA</w:t>
            </w:r>
          </w:p>
        </w:tc>
      </w:tr>
    </w:tbl>
    <w:p w14:paraId="6FE26784" w14:textId="77777777" w:rsidR="000C443A" w:rsidRDefault="000C443A" w:rsidP="000C443A">
      <w:pPr>
        <w:rPr>
          <w:rFonts w:asciiTheme="minorHAnsi" w:hAnsiTheme="minorHAnsi" w:cstheme="minorHAnsi"/>
          <w:sz w:val="18"/>
          <w:szCs w:val="18"/>
        </w:rPr>
      </w:pPr>
      <w:r>
        <w:rPr>
          <w:rFonts w:asciiTheme="minorHAnsi" w:hAnsiTheme="minorHAnsi" w:cstheme="minorHAnsi"/>
          <w:sz w:val="18"/>
          <w:szCs w:val="18"/>
        </w:rPr>
        <w:t xml:space="preserve">Notes: PY: person-years at risk. </w:t>
      </w:r>
      <w:r w:rsidRPr="00010F3C">
        <w:rPr>
          <w:rFonts w:asciiTheme="minorHAnsi" w:hAnsiTheme="minorHAnsi" w:cstheme="minorHAnsi"/>
          <w:sz w:val="18"/>
          <w:szCs w:val="18"/>
        </w:rPr>
        <w:t>* Statistically significant at p&lt;0.05.</w:t>
      </w:r>
      <w:r>
        <w:rPr>
          <w:rFonts w:asciiTheme="minorHAnsi" w:hAnsiTheme="minorHAnsi" w:cstheme="minorHAnsi"/>
          <w:sz w:val="18"/>
          <w:szCs w:val="18"/>
        </w:rPr>
        <w:t xml:space="preserve"> </w:t>
      </w:r>
    </w:p>
    <w:p w14:paraId="5BAA382D" w14:textId="77777777" w:rsidR="000C443A" w:rsidRPr="00010F3C" w:rsidRDefault="000C443A" w:rsidP="000C443A">
      <w:pPr>
        <w:rPr>
          <w:rFonts w:asciiTheme="minorHAnsi" w:hAnsiTheme="minorHAnsi" w:cstheme="minorHAnsi"/>
          <w:i/>
          <w:sz w:val="18"/>
          <w:szCs w:val="18"/>
          <w:vertAlign w:val="superscript"/>
        </w:rPr>
      </w:pPr>
      <w:r w:rsidRPr="00F77DB6">
        <w:rPr>
          <w:rFonts w:asciiTheme="minorHAnsi" w:hAnsiTheme="minorHAnsi" w:cstheme="minorHAnsi"/>
          <w:sz w:val="18"/>
          <w:szCs w:val="18"/>
          <w:vertAlign w:val="superscript"/>
        </w:rPr>
        <w:t>a</w:t>
      </w:r>
      <w:r>
        <w:rPr>
          <w:rFonts w:asciiTheme="minorHAnsi" w:hAnsiTheme="minorHAnsi" w:cstheme="minorHAnsi"/>
          <w:sz w:val="18"/>
          <w:szCs w:val="18"/>
        </w:rPr>
        <w:t xml:space="preserve"> </w:t>
      </w:r>
      <w:r w:rsidRPr="00010F3C">
        <w:rPr>
          <w:rFonts w:asciiTheme="minorHAnsi" w:hAnsiTheme="minorHAnsi" w:cstheme="minorHAnsi"/>
          <w:sz w:val="18"/>
          <w:szCs w:val="18"/>
        </w:rPr>
        <w:t>OC</w:t>
      </w:r>
      <w:r>
        <w:rPr>
          <w:rFonts w:asciiTheme="minorHAnsi" w:hAnsiTheme="minorHAnsi" w:cstheme="minorHAnsi"/>
          <w:sz w:val="18"/>
          <w:szCs w:val="18"/>
        </w:rPr>
        <w:t>P</w:t>
      </w:r>
      <w:r w:rsidRPr="00010F3C">
        <w:rPr>
          <w:rFonts w:asciiTheme="minorHAnsi" w:hAnsiTheme="minorHAnsi" w:cstheme="minorHAnsi"/>
          <w:sz w:val="18"/>
          <w:szCs w:val="18"/>
        </w:rPr>
        <w:t xml:space="preserve"> </w:t>
      </w:r>
      <w:r>
        <w:rPr>
          <w:rFonts w:asciiTheme="minorHAnsi" w:hAnsiTheme="minorHAnsi" w:cstheme="minorHAnsi"/>
          <w:sz w:val="18"/>
          <w:szCs w:val="18"/>
        </w:rPr>
        <w:t xml:space="preserve">type </w:t>
      </w:r>
      <w:r w:rsidRPr="00010F3C">
        <w:rPr>
          <w:rFonts w:asciiTheme="minorHAnsi" w:hAnsiTheme="minorHAnsi" w:cstheme="minorHAnsi"/>
          <w:sz w:val="18"/>
          <w:szCs w:val="18"/>
        </w:rPr>
        <w:t xml:space="preserve">was unspecified unless COC (combined oral contraception) </w:t>
      </w:r>
      <w:r>
        <w:rPr>
          <w:rFonts w:asciiTheme="minorHAnsi" w:hAnsiTheme="minorHAnsi" w:cstheme="minorHAnsi"/>
          <w:sz w:val="18"/>
          <w:szCs w:val="18"/>
        </w:rPr>
        <w:t>or POP (progestin-only pill</w:t>
      </w:r>
      <w:r w:rsidRPr="00010F3C">
        <w:rPr>
          <w:rFonts w:asciiTheme="minorHAnsi" w:hAnsiTheme="minorHAnsi" w:cstheme="minorHAnsi"/>
          <w:sz w:val="18"/>
          <w:szCs w:val="18"/>
        </w:rPr>
        <w:t>)</w:t>
      </w:r>
      <w:r>
        <w:rPr>
          <w:rFonts w:asciiTheme="minorHAnsi" w:hAnsiTheme="minorHAnsi" w:cstheme="minorHAnsi"/>
          <w:sz w:val="18"/>
          <w:szCs w:val="18"/>
        </w:rPr>
        <w:t xml:space="preserve"> </w:t>
      </w:r>
      <w:r w:rsidRPr="00010F3C">
        <w:rPr>
          <w:rFonts w:asciiTheme="minorHAnsi" w:hAnsiTheme="minorHAnsi" w:cstheme="minorHAnsi"/>
          <w:sz w:val="18"/>
          <w:szCs w:val="18"/>
        </w:rPr>
        <w:t xml:space="preserve">is noted. </w:t>
      </w:r>
    </w:p>
    <w:p w14:paraId="2C39EEB1" w14:textId="77777777" w:rsidR="000C443A" w:rsidRPr="00010F3C" w:rsidRDefault="000C443A" w:rsidP="000C443A">
      <w:pPr>
        <w:rPr>
          <w:rFonts w:asciiTheme="minorHAnsi" w:hAnsiTheme="minorHAnsi" w:cstheme="minorHAnsi"/>
          <w:sz w:val="18"/>
          <w:szCs w:val="18"/>
        </w:rPr>
      </w:pPr>
      <w:r>
        <w:rPr>
          <w:rFonts w:asciiTheme="minorHAnsi" w:hAnsiTheme="minorHAnsi" w:cstheme="minorHAnsi"/>
          <w:sz w:val="18"/>
          <w:szCs w:val="18"/>
          <w:vertAlign w:val="superscript"/>
        </w:rPr>
        <w:t>b</w:t>
      </w:r>
      <w:r w:rsidRPr="00010F3C">
        <w:rPr>
          <w:rFonts w:asciiTheme="minorHAnsi" w:hAnsiTheme="minorHAnsi" w:cstheme="minorHAnsi"/>
          <w:i/>
          <w:sz w:val="18"/>
          <w:szCs w:val="18"/>
          <w:vertAlign w:val="superscript"/>
        </w:rPr>
        <w:t xml:space="preserve"> </w:t>
      </w:r>
      <w:r w:rsidRPr="00010F3C">
        <w:rPr>
          <w:rFonts w:asciiTheme="minorHAnsi" w:hAnsiTheme="minorHAnsi" w:cstheme="minorHAnsi"/>
          <w:sz w:val="18"/>
          <w:szCs w:val="18"/>
        </w:rPr>
        <w:t>Multiple incident cases per woman were allowed, i.e., incident cases defined as a positive test following a negative test.</w:t>
      </w:r>
    </w:p>
    <w:p w14:paraId="4586B5B2" w14:textId="77777777" w:rsidR="000C443A" w:rsidRPr="00010F3C" w:rsidRDefault="000C443A" w:rsidP="000C443A">
      <w:pPr>
        <w:rPr>
          <w:rFonts w:asciiTheme="minorHAnsi" w:hAnsiTheme="minorHAnsi" w:cstheme="minorHAnsi"/>
          <w:sz w:val="18"/>
          <w:szCs w:val="18"/>
        </w:rPr>
      </w:pPr>
      <w:r>
        <w:rPr>
          <w:rFonts w:asciiTheme="minorHAnsi" w:hAnsiTheme="minorHAnsi" w:cstheme="minorHAnsi"/>
          <w:color w:val="000000" w:themeColor="text1"/>
          <w:sz w:val="18"/>
          <w:szCs w:val="18"/>
          <w:vertAlign w:val="superscript"/>
        </w:rPr>
        <w:t>c</w:t>
      </w:r>
      <w:r w:rsidRPr="00010F3C">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color w:val="000000" w:themeColor="text1"/>
          <w:sz w:val="18"/>
          <w:szCs w:val="18"/>
        </w:rPr>
        <w:t>Injectable type not reported but authors note most commonly DMPA in setting with occasional norethisterone enanthate use.</w:t>
      </w:r>
    </w:p>
    <w:p w14:paraId="5BF54CBF" w14:textId="77777777" w:rsidR="000C443A" w:rsidRPr="00010F3C" w:rsidRDefault="000C443A" w:rsidP="000C443A">
      <w:pPr>
        <w:pStyle w:val="p1"/>
        <w:rPr>
          <w:rFonts w:asciiTheme="minorHAnsi" w:hAnsiTheme="minorHAnsi" w:cstheme="minorHAnsi"/>
          <w:sz w:val="18"/>
          <w:szCs w:val="18"/>
        </w:rPr>
      </w:pPr>
      <w:r>
        <w:rPr>
          <w:rFonts w:asciiTheme="minorHAnsi" w:hAnsiTheme="minorHAnsi" w:cstheme="minorHAnsi"/>
          <w:sz w:val="18"/>
          <w:szCs w:val="18"/>
          <w:vertAlign w:val="superscript"/>
        </w:rPr>
        <w:t>d</w:t>
      </w:r>
      <w:r w:rsidRPr="00010F3C">
        <w:rPr>
          <w:rFonts w:asciiTheme="minorHAnsi" w:hAnsiTheme="minorHAnsi" w:cstheme="minorHAnsi"/>
          <w:sz w:val="18"/>
          <w:szCs w:val="18"/>
          <w:vertAlign w:val="superscript"/>
        </w:rPr>
        <w:t xml:space="preserve"> </w:t>
      </w:r>
      <w:r w:rsidRPr="00010F3C">
        <w:rPr>
          <w:rFonts w:asciiTheme="minorHAnsi" w:hAnsiTheme="minorHAnsi" w:cstheme="minorHAnsi"/>
          <w:sz w:val="18"/>
          <w:szCs w:val="18"/>
        </w:rPr>
        <w:t>Excludes cases among pregnant women.</w:t>
      </w:r>
    </w:p>
    <w:p w14:paraId="6C8E287B" w14:textId="77777777" w:rsidR="000C443A" w:rsidRPr="00010F3C" w:rsidRDefault="000C443A" w:rsidP="000C443A">
      <w:pPr>
        <w:pStyle w:val="p1"/>
        <w:rPr>
          <w:rFonts w:asciiTheme="minorHAnsi" w:hAnsiTheme="minorHAnsi" w:cstheme="minorHAnsi"/>
          <w:sz w:val="18"/>
          <w:szCs w:val="18"/>
        </w:rPr>
      </w:pPr>
    </w:p>
    <w:p w14:paraId="24B3E282" w14:textId="77777777" w:rsidR="000C443A" w:rsidRDefault="000C443A" w:rsidP="000C443A">
      <w:pPr>
        <w:pStyle w:val="p1"/>
        <w:rPr>
          <w:rFonts w:asciiTheme="minorHAnsi" w:hAnsiTheme="minorHAnsi" w:cstheme="minorHAnsi"/>
          <w:sz w:val="18"/>
          <w:szCs w:val="18"/>
        </w:rPr>
      </w:pPr>
    </w:p>
    <w:p w14:paraId="24055764" w14:textId="77777777" w:rsidR="001C1BDE" w:rsidRDefault="001C1BDE"/>
    <w:sectPr w:rsidR="001C1BDE" w:rsidSect="007F6C0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3A"/>
    <w:rsid w:val="00027CAF"/>
    <w:rsid w:val="000C443A"/>
    <w:rsid w:val="001C1BDE"/>
    <w:rsid w:val="003F5C4C"/>
    <w:rsid w:val="00404F46"/>
    <w:rsid w:val="007F6C00"/>
    <w:rsid w:val="00894BCC"/>
    <w:rsid w:val="008D746A"/>
    <w:rsid w:val="00D7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D9D9"/>
  <w15:chartTrackingRefBased/>
  <w15:docId w15:val="{9AA419CB-3081-46FE-B06B-6FB1E954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4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C443A"/>
    <w:rPr>
      <w:rFonts w:ascii="Times" w:eastAsiaTheme="minorHAnsi" w:hAnsi="Times"/>
      <w:sz w:val="14"/>
      <w:szCs w:val="14"/>
    </w:rPr>
  </w:style>
  <w:style w:type="table" w:styleId="TableGrid">
    <w:name w:val="Table Grid"/>
    <w:basedOn w:val="TableNormal"/>
    <w:uiPriority w:val="39"/>
    <w:rsid w:val="000C44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4316</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Detweiler, Rachelle</dc:creator>
  <cp:keywords/>
  <dc:description/>
  <cp:lastModifiedBy>Stevens, Emily</cp:lastModifiedBy>
  <cp:revision>2</cp:revision>
  <dcterms:created xsi:type="dcterms:W3CDTF">2019-03-26T17:51:00Z</dcterms:created>
  <dcterms:modified xsi:type="dcterms:W3CDTF">2019-03-26T17:51:00Z</dcterms:modified>
</cp:coreProperties>
</file>