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4B7E5" w14:textId="77777777" w:rsidR="005628F5" w:rsidRPr="00F958A6" w:rsidRDefault="005628F5" w:rsidP="005628F5">
      <w:pPr>
        <w:outlineLvl w:val="0"/>
        <w:rPr>
          <w:rFonts w:asciiTheme="minorHAnsi" w:hAnsiTheme="minorHAnsi" w:cstheme="minorHAnsi"/>
          <w:b/>
          <w:sz w:val="22"/>
          <w:szCs w:val="18"/>
        </w:rPr>
      </w:pPr>
      <w:r w:rsidRPr="00010F3C">
        <w:rPr>
          <w:rFonts w:asciiTheme="minorHAnsi" w:hAnsiTheme="minorHAnsi" w:cstheme="minorHAnsi"/>
          <w:b/>
          <w:sz w:val="22"/>
          <w:szCs w:val="18"/>
        </w:rPr>
        <w:t xml:space="preserve">Table </w:t>
      </w:r>
      <w:r>
        <w:rPr>
          <w:rFonts w:asciiTheme="minorHAnsi" w:hAnsiTheme="minorHAnsi" w:cstheme="minorHAnsi"/>
          <w:b/>
          <w:sz w:val="22"/>
          <w:szCs w:val="18"/>
        </w:rPr>
        <w:t>9</w:t>
      </w:r>
      <w:r w:rsidRPr="00010F3C">
        <w:rPr>
          <w:rFonts w:asciiTheme="minorHAnsi" w:hAnsiTheme="minorHAnsi" w:cstheme="minorHAnsi"/>
          <w:b/>
          <w:sz w:val="22"/>
          <w:szCs w:val="18"/>
        </w:rPr>
        <w:t xml:space="preserve">. Prospective associations between hormonal contraceptive use and </w:t>
      </w:r>
      <w:r>
        <w:rPr>
          <w:rFonts w:asciiTheme="minorHAnsi" w:hAnsiTheme="minorHAnsi" w:cstheme="minorHAnsi"/>
          <w:b/>
          <w:i/>
          <w:sz w:val="22"/>
          <w:szCs w:val="18"/>
        </w:rPr>
        <w:t xml:space="preserve">Treponema pallidum </w:t>
      </w:r>
      <w:r>
        <w:rPr>
          <w:rFonts w:asciiTheme="minorHAnsi" w:hAnsiTheme="minorHAnsi" w:cstheme="minorHAnsi"/>
          <w:b/>
          <w:sz w:val="22"/>
          <w:szCs w:val="18"/>
        </w:rPr>
        <w:t>(</w:t>
      </w:r>
      <w:r w:rsidRPr="00010F3C">
        <w:rPr>
          <w:rFonts w:asciiTheme="minorHAnsi" w:hAnsiTheme="minorHAnsi" w:cstheme="minorHAnsi"/>
          <w:b/>
          <w:sz w:val="22"/>
          <w:szCs w:val="18"/>
        </w:rPr>
        <w:t>syphilis</w:t>
      </w:r>
      <w:r>
        <w:rPr>
          <w:rFonts w:asciiTheme="minorHAnsi" w:hAnsiTheme="minorHAnsi" w:cstheme="minorHAnsi"/>
          <w:b/>
          <w:sz w:val="22"/>
          <w:szCs w:val="18"/>
        </w:rPr>
        <w:t>)</w:t>
      </w:r>
      <w:r w:rsidRPr="00010F3C">
        <w:rPr>
          <w:rFonts w:asciiTheme="minorHAnsi" w:hAnsiTheme="minorHAnsi" w:cstheme="minorHAnsi"/>
          <w:b/>
          <w:sz w:val="22"/>
          <w:szCs w:val="18"/>
        </w:rPr>
        <w:t xml:space="preserve"> (N=</w:t>
      </w:r>
      <w:r>
        <w:rPr>
          <w:rFonts w:asciiTheme="minorHAnsi" w:hAnsiTheme="minorHAnsi" w:cstheme="minorHAnsi"/>
          <w:b/>
          <w:sz w:val="22"/>
          <w:szCs w:val="18"/>
        </w:rPr>
        <w:t>3</w:t>
      </w:r>
      <w:r w:rsidRPr="00010F3C">
        <w:rPr>
          <w:rFonts w:asciiTheme="minorHAnsi" w:hAnsiTheme="minorHAnsi" w:cstheme="minorHAnsi"/>
          <w:b/>
          <w:sz w:val="22"/>
          <w:szCs w:val="18"/>
        </w:rPr>
        <w:t xml:space="preserve">). </w:t>
      </w:r>
    </w:p>
    <w:tbl>
      <w:tblPr>
        <w:tblStyle w:val="TableGrid"/>
        <w:tblW w:w="13225" w:type="dxa"/>
        <w:tblLook w:val="04A0" w:firstRow="1" w:lastRow="0" w:firstColumn="1" w:lastColumn="0" w:noHBand="0" w:noVBand="1"/>
      </w:tblPr>
      <w:tblGrid>
        <w:gridCol w:w="972"/>
        <w:gridCol w:w="1586"/>
        <w:gridCol w:w="1257"/>
        <w:gridCol w:w="2015"/>
        <w:gridCol w:w="2715"/>
        <w:gridCol w:w="1482"/>
        <w:gridCol w:w="1010"/>
        <w:gridCol w:w="1096"/>
        <w:gridCol w:w="1092"/>
      </w:tblGrid>
      <w:tr w:rsidR="005628F5" w:rsidRPr="00010F3C" w14:paraId="315CF8AB" w14:textId="77777777" w:rsidTr="00DB49DC">
        <w:trPr>
          <w:trHeight w:val="1106"/>
          <w:tblHeader/>
        </w:trPr>
        <w:tc>
          <w:tcPr>
            <w:tcW w:w="972" w:type="dxa"/>
          </w:tcPr>
          <w:p w14:paraId="635F9193" w14:textId="77777777" w:rsidR="005628F5" w:rsidRPr="00010F3C" w:rsidRDefault="005628F5" w:rsidP="00DB49DC">
            <w:pPr>
              <w:rPr>
                <w:rFonts w:asciiTheme="minorHAnsi" w:hAnsiTheme="minorHAnsi" w:cstheme="minorHAnsi"/>
                <w:b/>
                <w:sz w:val="20"/>
                <w:szCs w:val="18"/>
              </w:rPr>
            </w:pPr>
            <w:r w:rsidRPr="00010F3C">
              <w:rPr>
                <w:rFonts w:asciiTheme="minorHAnsi" w:hAnsiTheme="minorHAnsi" w:cstheme="minorHAnsi"/>
                <w:b/>
                <w:sz w:val="20"/>
                <w:szCs w:val="18"/>
              </w:rPr>
              <w:t>Study</w:t>
            </w:r>
          </w:p>
        </w:tc>
        <w:tc>
          <w:tcPr>
            <w:tcW w:w="1586" w:type="dxa"/>
          </w:tcPr>
          <w:p w14:paraId="646095E2" w14:textId="77777777" w:rsidR="005628F5" w:rsidRPr="00010F3C" w:rsidRDefault="005628F5" w:rsidP="00DB49DC">
            <w:pPr>
              <w:rPr>
                <w:rFonts w:asciiTheme="minorHAnsi" w:hAnsiTheme="minorHAnsi" w:cstheme="minorHAnsi"/>
                <w:b/>
                <w:sz w:val="20"/>
                <w:szCs w:val="18"/>
              </w:rPr>
            </w:pPr>
            <w:r w:rsidRPr="00010F3C">
              <w:rPr>
                <w:rFonts w:asciiTheme="minorHAnsi" w:hAnsiTheme="minorHAnsi" w:cstheme="minorHAnsi"/>
                <w:b/>
                <w:sz w:val="20"/>
                <w:szCs w:val="18"/>
              </w:rPr>
              <w:t>(N), study sample</w:t>
            </w:r>
          </w:p>
        </w:tc>
        <w:tc>
          <w:tcPr>
            <w:tcW w:w="1257" w:type="dxa"/>
          </w:tcPr>
          <w:p w14:paraId="6862E500" w14:textId="77777777" w:rsidR="005628F5" w:rsidRPr="00010F3C" w:rsidRDefault="005628F5" w:rsidP="00DB49DC">
            <w:pPr>
              <w:rPr>
                <w:rFonts w:asciiTheme="minorHAnsi" w:hAnsiTheme="minorHAnsi" w:cstheme="minorHAnsi"/>
                <w:b/>
                <w:sz w:val="20"/>
                <w:szCs w:val="18"/>
              </w:rPr>
            </w:pPr>
            <w:r w:rsidRPr="00010F3C">
              <w:rPr>
                <w:rFonts w:asciiTheme="minorHAnsi" w:hAnsiTheme="minorHAnsi" w:cstheme="minorHAnsi"/>
                <w:b/>
                <w:sz w:val="20"/>
                <w:szCs w:val="18"/>
              </w:rPr>
              <w:t>Length of follow-up; frequency STI assessment</w:t>
            </w:r>
          </w:p>
        </w:tc>
        <w:tc>
          <w:tcPr>
            <w:tcW w:w="2015" w:type="dxa"/>
          </w:tcPr>
          <w:p w14:paraId="34F83267" w14:textId="77777777" w:rsidR="005628F5" w:rsidRPr="00010F3C" w:rsidRDefault="005628F5" w:rsidP="00DB49DC">
            <w:pPr>
              <w:rPr>
                <w:rFonts w:asciiTheme="minorHAnsi" w:hAnsiTheme="minorHAnsi" w:cstheme="minorHAnsi"/>
                <w:b/>
                <w:sz w:val="20"/>
                <w:szCs w:val="18"/>
              </w:rPr>
            </w:pPr>
            <w:r w:rsidRPr="00010F3C">
              <w:rPr>
                <w:rFonts w:asciiTheme="minorHAnsi" w:hAnsiTheme="minorHAnsi" w:cstheme="minorHAnsi"/>
                <w:b/>
                <w:sz w:val="20"/>
                <w:szCs w:val="18"/>
              </w:rPr>
              <w:t>STI diagnostic test</w:t>
            </w:r>
          </w:p>
        </w:tc>
        <w:tc>
          <w:tcPr>
            <w:tcW w:w="2715" w:type="dxa"/>
          </w:tcPr>
          <w:p w14:paraId="30B2677F" w14:textId="77777777" w:rsidR="005628F5" w:rsidRPr="00010F3C" w:rsidRDefault="005628F5" w:rsidP="00DB49DC">
            <w:pPr>
              <w:rPr>
                <w:rFonts w:asciiTheme="minorHAnsi" w:hAnsiTheme="minorHAnsi" w:cstheme="minorHAnsi"/>
                <w:b/>
                <w:sz w:val="20"/>
                <w:szCs w:val="18"/>
              </w:rPr>
            </w:pPr>
            <w:r w:rsidRPr="00010F3C">
              <w:rPr>
                <w:rFonts w:asciiTheme="minorHAnsi" w:hAnsiTheme="minorHAnsi" w:cstheme="minorHAnsi"/>
                <w:b/>
                <w:sz w:val="20"/>
                <w:szCs w:val="18"/>
              </w:rPr>
              <w:t>Covariates</w:t>
            </w:r>
          </w:p>
        </w:tc>
        <w:tc>
          <w:tcPr>
            <w:tcW w:w="1482" w:type="dxa"/>
          </w:tcPr>
          <w:p w14:paraId="473930F4" w14:textId="77777777" w:rsidR="005628F5" w:rsidRPr="00010F3C" w:rsidRDefault="005628F5" w:rsidP="00DB49DC">
            <w:pPr>
              <w:rPr>
                <w:rFonts w:asciiTheme="minorHAnsi" w:hAnsiTheme="minorHAnsi" w:cstheme="minorHAnsi"/>
                <w:b/>
                <w:sz w:val="20"/>
                <w:szCs w:val="18"/>
              </w:rPr>
            </w:pPr>
            <w:r w:rsidRPr="00010F3C">
              <w:rPr>
                <w:rFonts w:asciiTheme="minorHAnsi" w:hAnsiTheme="minorHAnsi" w:cstheme="minorHAnsi"/>
                <w:b/>
                <w:sz w:val="20"/>
                <w:szCs w:val="18"/>
              </w:rPr>
              <w:t>Reference group</w:t>
            </w:r>
          </w:p>
        </w:tc>
        <w:tc>
          <w:tcPr>
            <w:tcW w:w="1010" w:type="dxa"/>
          </w:tcPr>
          <w:p w14:paraId="7817D4DB" w14:textId="77777777" w:rsidR="005628F5" w:rsidRPr="00010F3C" w:rsidRDefault="005628F5" w:rsidP="00DB49DC">
            <w:pPr>
              <w:rPr>
                <w:rFonts w:asciiTheme="minorHAnsi" w:hAnsiTheme="minorHAnsi" w:cstheme="minorHAnsi"/>
                <w:b/>
                <w:sz w:val="20"/>
                <w:szCs w:val="18"/>
              </w:rPr>
            </w:pPr>
            <w:proofErr w:type="spellStart"/>
            <w:r w:rsidRPr="00010F3C">
              <w:rPr>
                <w:rFonts w:asciiTheme="minorHAnsi" w:hAnsiTheme="minorHAnsi" w:cstheme="minorHAnsi"/>
                <w:b/>
                <w:sz w:val="20"/>
                <w:szCs w:val="18"/>
              </w:rPr>
              <w:t>OC</w:t>
            </w:r>
            <w:r>
              <w:rPr>
                <w:rFonts w:asciiTheme="minorHAnsi" w:hAnsiTheme="minorHAnsi" w:cstheme="minorHAnsi"/>
                <w:b/>
                <w:sz w:val="20"/>
                <w:szCs w:val="18"/>
              </w:rPr>
              <w:t>P</w:t>
            </w:r>
            <w:r w:rsidRPr="00F77DB6">
              <w:rPr>
                <w:rFonts w:asciiTheme="minorHAnsi" w:hAnsiTheme="minorHAnsi" w:cstheme="minorHAnsi"/>
                <w:sz w:val="20"/>
                <w:szCs w:val="18"/>
                <w:vertAlign w:val="superscript"/>
              </w:rPr>
              <w:t>a</w:t>
            </w:r>
            <w:proofErr w:type="spellEnd"/>
          </w:p>
        </w:tc>
        <w:tc>
          <w:tcPr>
            <w:tcW w:w="1096" w:type="dxa"/>
          </w:tcPr>
          <w:p w14:paraId="454DDC0E" w14:textId="77777777" w:rsidR="005628F5" w:rsidRPr="00010F3C" w:rsidRDefault="005628F5" w:rsidP="00DB49DC">
            <w:pPr>
              <w:rPr>
                <w:rFonts w:asciiTheme="minorHAnsi" w:hAnsiTheme="minorHAnsi" w:cstheme="minorHAnsi"/>
                <w:b/>
                <w:sz w:val="20"/>
                <w:szCs w:val="18"/>
              </w:rPr>
            </w:pPr>
            <w:r w:rsidRPr="00010F3C">
              <w:rPr>
                <w:rFonts w:asciiTheme="minorHAnsi" w:hAnsiTheme="minorHAnsi" w:cstheme="minorHAnsi"/>
                <w:b/>
                <w:sz w:val="20"/>
                <w:szCs w:val="18"/>
              </w:rPr>
              <w:t>Injectable</w:t>
            </w:r>
          </w:p>
        </w:tc>
        <w:tc>
          <w:tcPr>
            <w:tcW w:w="1092" w:type="dxa"/>
          </w:tcPr>
          <w:p w14:paraId="56FFE0B9" w14:textId="77777777" w:rsidR="005628F5" w:rsidRPr="00010F3C" w:rsidRDefault="005628F5" w:rsidP="00DB49DC">
            <w:pPr>
              <w:rPr>
                <w:rFonts w:asciiTheme="minorHAnsi" w:hAnsiTheme="minorHAnsi" w:cstheme="minorHAnsi"/>
                <w:b/>
                <w:sz w:val="20"/>
                <w:szCs w:val="18"/>
              </w:rPr>
            </w:pPr>
            <w:r w:rsidRPr="00010F3C">
              <w:rPr>
                <w:rFonts w:asciiTheme="minorHAnsi" w:hAnsiTheme="minorHAnsi" w:cstheme="minorHAnsi"/>
                <w:b/>
                <w:sz w:val="20"/>
                <w:szCs w:val="18"/>
              </w:rPr>
              <w:t>Implant</w:t>
            </w:r>
          </w:p>
        </w:tc>
      </w:tr>
      <w:tr w:rsidR="005628F5" w:rsidRPr="00010F3C" w14:paraId="34311243" w14:textId="77777777" w:rsidTr="00DB49DC">
        <w:tc>
          <w:tcPr>
            <w:tcW w:w="972" w:type="dxa"/>
          </w:tcPr>
          <w:p w14:paraId="56BC7B55" w14:textId="77777777" w:rsidR="005628F5" w:rsidRPr="00010F3C" w:rsidRDefault="005628F5" w:rsidP="00DB49DC">
            <w:pPr>
              <w:rPr>
                <w:rFonts w:asciiTheme="minorHAnsi" w:hAnsiTheme="minorHAnsi" w:cstheme="minorHAnsi"/>
                <w:sz w:val="18"/>
                <w:szCs w:val="18"/>
              </w:rPr>
            </w:pPr>
            <w:proofErr w:type="spellStart"/>
            <w:r w:rsidRPr="00010F3C">
              <w:rPr>
                <w:rFonts w:asciiTheme="minorHAnsi" w:hAnsiTheme="minorHAnsi" w:cstheme="minorHAnsi"/>
                <w:sz w:val="18"/>
                <w:szCs w:val="18"/>
              </w:rPr>
              <w:t>Borgdorff</w:t>
            </w:r>
            <w:proofErr w:type="spellEnd"/>
            <w:r w:rsidRPr="00010F3C">
              <w:rPr>
                <w:rFonts w:asciiTheme="minorHAnsi" w:hAnsiTheme="minorHAnsi" w:cstheme="minorHAnsi"/>
                <w:sz w:val="18"/>
                <w:szCs w:val="18"/>
              </w:rPr>
              <w:t>, 2015</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{"citationItems":[{"id":"ITEM-1","itemData":{"DOI":"10.1097/OLQ.0000000000000245","ISSN":"0148-5717","PMID":"25668647","abstract":"BACKGROUND The observed association between Depo-Provera injectable use and increased HIV acquisition may be caused by hormone-induced increased susceptibility to other sexually transmitted infections (STIs) or changes in the cervicovaginal microbiota (VMB), accompanied by genital immune activation and/or mucosal remodeling. METHODS Rwandan female sex workers (n = 800) were interviewed about contraceptive use and sexual behavior and were tested for STIs, bacterial vaginosis by Nugent score and pregnancy, at baseline. A subset of 397 HIV-negative, nonpregnant women were interviewed and tested again at regular intervals for 2 years. The VMB of a subset of 174 women was characterized by phylogenetic microarray. Outcomes of STI and VMB were compared between women with hormonal exposures (reporting oral contraceptive or injectable use, or testing positive for pregnancy) and controls (not reporting hormonal contraception and not pregnant). RESULTS Oral contraceptive use was associated with increased human papillomavirus prevalence (adjusted odds ratio [aOR], 3.10; 1.21-7.94) and Chlamydia trachomatis incidence (aOR, 6.13; 1.58-23.80), injectable use with increased herpes simplex virus-2 prevalence (aOR, 2.13; 1.26-3.59) and pregnancy with lower HIV prevalence (aOR, 0.45; 0.22-0.92) but higher candidiasis incidence (aOR, 2.14; 1.12-4.09). Hormonal status was not associated with Nugent score category or phylogenetic VMB clustering, but oral contraceptive users had lower semiquantitative vaginal abundance of Prevotella, Sneathia/Leptotrichia amnionii, and Mycoplasma species. CONCLUSIONS Oral contraceptive and injectable use were associated with several STIs but not with VMB composition. The increased herpes simplex virus-2 prevalence among injectable users might explain the potentially higher HIV risk in these women, but more research is needed to confirm these results and elucidate biological mechanisms.","author":[{"dropping-particle":"","family":"Borgdorff","given":"Hanneke","non-dropping-particle":"","parse-names":false,"suffix":""},{"dropping-particle":"","family":"Verwijs","given":"Marijn C.","non-dropping-particle":"","parse-names":false,"suffix":""},{"dropping-particle":"","family":"Wit","given":"Ferdinand W.N.M.","non-dropping-particle":"","parse-names":false,"suffix":""},{"dropping-particle":"","family":"Tsivtsivadze","given":"Evgeni","non-dropping-particle":"","parse-names":false,"suffix":""},{"dropping-particle":"","family":"Ndayisaba","given":"Gilles F.","non-dropping-particle":"","parse-names":false,"suffix":""},{"dropping-particle":"","family":"Verhelst","given":"Rita","non-dropping-particle":"","parse-names":false,"suffix":""},{"dropping-particle":"","family":"Schuren","given":"Frank H.","non-dropping-particle":"","parse-names":false,"suffix":""},{"dropping-particle":"","family":"Wijgert","given":"Janneke H.H.M.","non-dropping-particle":"van de","parse-names":false,"suffix":""}],"container-title":"Sexually Transmitted Diseases","id":"ITEM-1","issue":"3","issued":{"date-parts":[["2015","3"]]},"page":"143-152","title":"The impact of hormonal contraception and pregnancy on sexually transmitted infections and on cervicovaginal microbiota in African sex workers","type":"article-journal","volume":"42"},"uris":["http://www.mendeley.com/documents/?uuid=7085ed09-1392-3a2e-8bf7-46c4f1b4e68f"]}],"mendeley":{"formattedCitation":"[37]","plainTextFormattedCitation":"[37]","previouslyFormattedCitation":"[37]"},"properties":{"noteIndex":0},"schema":"https://github.com/citation-style-language/schema/raw/master/csl-citation.json"}</w:instrText>
            </w:r>
            <w:r>
              <w:rPr>
                <w:rFonts w:asciiTheme="minorHAnsi" w:hAnsiTheme="minorHAnsi" w:cstheme="minorHAnsi"/>
                <w:sz w:val="18"/>
                <w:szCs w:val="18"/>
              </w:rPr>
              <w:fldChar w:fldCharType="separate"/>
            </w:r>
            <w:r w:rsidRPr="008031AE">
              <w:rPr>
                <w:rFonts w:asciiTheme="minorHAnsi" w:hAnsiTheme="minorHAnsi" w:cstheme="minorHAnsi"/>
                <w:noProof/>
                <w:sz w:val="18"/>
                <w:szCs w:val="18"/>
              </w:rPr>
              <w:t>[37]</w:t>
            </w:r>
            <w:r>
              <w:rPr>
                <w:rFonts w:asciiTheme="minorHAnsi" w:hAnsiTheme="minorHAnsi" w:cstheme="minorHAnsi"/>
                <w:sz w:val="18"/>
                <w:szCs w:val="18"/>
              </w:rPr>
              <w:fldChar w:fldCharType="end"/>
            </w:r>
          </w:p>
        </w:tc>
        <w:tc>
          <w:tcPr>
            <w:tcW w:w="1586" w:type="dxa"/>
          </w:tcPr>
          <w:p w14:paraId="17D44319" w14:textId="77777777" w:rsidR="005628F5" w:rsidRPr="00010F3C" w:rsidRDefault="005628F5" w:rsidP="00DB49DC">
            <w:pPr>
              <w:pStyle w:val="p1"/>
              <w:rPr>
                <w:rFonts w:asciiTheme="minorHAnsi" w:hAnsiTheme="minorHAnsi" w:cstheme="minorHAnsi"/>
                <w:sz w:val="18"/>
                <w:szCs w:val="18"/>
              </w:rPr>
            </w:pPr>
            <w:r w:rsidRPr="00010F3C">
              <w:rPr>
                <w:rFonts w:asciiTheme="minorHAnsi" w:hAnsiTheme="minorHAnsi" w:cstheme="minorHAnsi"/>
                <w:sz w:val="18"/>
                <w:szCs w:val="18"/>
              </w:rPr>
              <w:t xml:space="preserve">354, HIV-negative sex workers in Kigali, Rwanda ages 18 to 49, </w:t>
            </w:r>
            <w:r w:rsidRPr="00010F3C">
              <w:rPr>
                <w:rFonts w:asciiTheme="minorHAnsi" w:hAnsiTheme="minorHAnsi" w:cstheme="minorHAnsi"/>
                <w:i/>
                <w:sz w:val="18"/>
                <w:szCs w:val="18"/>
              </w:rPr>
              <w:t>N=</w:t>
            </w:r>
            <w:proofErr w:type="gramStart"/>
            <w:r w:rsidRPr="00010F3C">
              <w:rPr>
                <w:rFonts w:asciiTheme="minorHAnsi" w:hAnsiTheme="minorHAnsi" w:cstheme="minorHAnsi"/>
                <w:i/>
                <w:sz w:val="18"/>
                <w:szCs w:val="18"/>
              </w:rPr>
              <w:t>4  incident</w:t>
            </w:r>
            <w:proofErr w:type="gramEnd"/>
            <w:r w:rsidRPr="00010F3C">
              <w:rPr>
                <w:rFonts w:asciiTheme="minorHAnsi" w:hAnsiTheme="minorHAnsi" w:cstheme="minorHAnsi"/>
                <w:i/>
                <w:sz w:val="18"/>
                <w:szCs w:val="18"/>
              </w:rPr>
              <w:t xml:space="preserve"> cases </w:t>
            </w:r>
            <w:r>
              <w:rPr>
                <w:rFonts w:asciiTheme="minorHAnsi" w:hAnsiTheme="minorHAnsi" w:cstheme="minorHAnsi"/>
                <w:i/>
                <w:sz w:val="18"/>
                <w:szCs w:val="18"/>
                <w:vertAlign w:val="superscript"/>
              </w:rPr>
              <w:t>b</w:t>
            </w:r>
          </w:p>
        </w:tc>
        <w:tc>
          <w:tcPr>
            <w:tcW w:w="1257" w:type="dxa"/>
          </w:tcPr>
          <w:p w14:paraId="451EDA0B" w14:textId="77777777" w:rsidR="005628F5" w:rsidRPr="00010F3C" w:rsidRDefault="005628F5" w:rsidP="00DB49DC">
            <w:pPr>
              <w:rPr>
                <w:rFonts w:asciiTheme="minorHAnsi" w:hAnsiTheme="minorHAnsi" w:cstheme="minorHAnsi"/>
                <w:sz w:val="18"/>
                <w:szCs w:val="18"/>
              </w:rPr>
            </w:pPr>
            <w:r w:rsidRPr="00010F3C">
              <w:rPr>
                <w:rFonts w:asciiTheme="minorHAnsi" w:hAnsiTheme="minorHAnsi" w:cstheme="minorHAnsi"/>
                <w:sz w:val="18"/>
                <w:szCs w:val="18"/>
              </w:rPr>
              <w:t>12M; 0M, 6M, 12M</w:t>
            </w:r>
          </w:p>
          <w:p w14:paraId="4B9FA82B" w14:textId="77777777" w:rsidR="005628F5" w:rsidRPr="00010F3C" w:rsidRDefault="005628F5" w:rsidP="00DB49DC">
            <w:pPr>
              <w:rPr>
                <w:rFonts w:asciiTheme="minorHAnsi" w:hAnsiTheme="minorHAnsi" w:cstheme="minorHAnsi"/>
                <w:sz w:val="18"/>
                <w:szCs w:val="18"/>
              </w:rPr>
            </w:pPr>
          </w:p>
          <w:p w14:paraId="47036119" w14:textId="77777777" w:rsidR="005628F5" w:rsidRPr="00010F3C" w:rsidRDefault="005628F5" w:rsidP="00DB49DC">
            <w:pPr>
              <w:pStyle w:val="p1"/>
              <w:rPr>
                <w:rFonts w:asciiTheme="minorHAnsi" w:hAnsiTheme="minorHAnsi" w:cstheme="minorHAnsi"/>
                <w:sz w:val="18"/>
                <w:szCs w:val="18"/>
              </w:rPr>
            </w:pPr>
          </w:p>
          <w:p w14:paraId="67B0D000" w14:textId="77777777" w:rsidR="005628F5" w:rsidRPr="00010F3C" w:rsidRDefault="005628F5" w:rsidP="00DB49DC">
            <w:pPr>
              <w:pStyle w:val="p1"/>
              <w:rPr>
                <w:rFonts w:asciiTheme="minorHAnsi" w:hAnsiTheme="minorHAnsi" w:cstheme="minorHAnsi"/>
                <w:sz w:val="18"/>
                <w:szCs w:val="18"/>
              </w:rPr>
            </w:pPr>
          </w:p>
        </w:tc>
        <w:tc>
          <w:tcPr>
            <w:tcW w:w="2015" w:type="dxa"/>
          </w:tcPr>
          <w:p w14:paraId="05287AA0" w14:textId="77777777" w:rsidR="005628F5" w:rsidRPr="00010F3C" w:rsidRDefault="005628F5" w:rsidP="00DB49DC">
            <w:pPr>
              <w:rPr>
                <w:rFonts w:asciiTheme="minorHAnsi" w:hAnsiTheme="minorHAnsi" w:cstheme="minorHAnsi"/>
                <w:sz w:val="18"/>
                <w:szCs w:val="18"/>
              </w:rPr>
            </w:pPr>
            <w:proofErr w:type="spellStart"/>
            <w:r w:rsidRPr="00010F3C">
              <w:rPr>
                <w:rFonts w:asciiTheme="minorHAnsi" w:hAnsiTheme="minorHAnsi" w:cstheme="minorHAnsi"/>
                <w:sz w:val="18"/>
                <w:szCs w:val="18"/>
              </w:rPr>
              <w:t>Spinreact</w:t>
            </w:r>
            <w:proofErr w:type="spellEnd"/>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Raplid</w:t>
            </w:r>
            <w:proofErr w:type="spellEnd"/>
            <w:r w:rsidRPr="00010F3C">
              <w:rPr>
                <w:rFonts w:asciiTheme="minorHAnsi" w:hAnsiTheme="minorHAnsi" w:cstheme="minorHAnsi"/>
                <w:sz w:val="18"/>
                <w:szCs w:val="18"/>
              </w:rPr>
              <w:t xml:space="preserve"> Plasma </w:t>
            </w:r>
            <w:proofErr w:type="spellStart"/>
            <w:r w:rsidRPr="00010F3C">
              <w:rPr>
                <w:rFonts w:asciiTheme="minorHAnsi" w:hAnsiTheme="minorHAnsi" w:cstheme="minorHAnsi"/>
                <w:sz w:val="18"/>
                <w:szCs w:val="18"/>
              </w:rPr>
              <w:t>Reagin</w:t>
            </w:r>
            <w:proofErr w:type="spellEnd"/>
            <w:r w:rsidRPr="00010F3C">
              <w:rPr>
                <w:rFonts w:asciiTheme="minorHAnsi" w:hAnsiTheme="minorHAnsi" w:cstheme="minorHAnsi"/>
                <w:sz w:val="18"/>
                <w:szCs w:val="18"/>
              </w:rPr>
              <w:t xml:space="preserve"> test, confirmation by </w:t>
            </w:r>
            <w:proofErr w:type="spellStart"/>
            <w:r w:rsidRPr="00010F3C">
              <w:rPr>
                <w:rFonts w:asciiTheme="minorHAnsi" w:hAnsiTheme="minorHAnsi" w:cstheme="minorHAnsi"/>
                <w:sz w:val="18"/>
                <w:szCs w:val="18"/>
              </w:rPr>
              <w:t>Spinreact</w:t>
            </w:r>
            <w:proofErr w:type="spellEnd"/>
            <w:r w:rsidRPr="00010F3C">
              <w:rPr>
                <w:rFonts w:asciiTheme="minorHAnsi" w:hAnsiTheme="minorHAnsi" w:cstheme="minorHAnsi"/>
                <w:sz w:val="18"/>
                <w:szCs w:val="18"/>
              </w:rPr>
              <w:t xml:space="preserve"> T. pallidum </w:t>
            </w:r>
            <w:proofErr w:type="spellStart"/>
            <w:r w:rsidRPr="00010F3C">
              <w:rPr>
                <w:rFonts w:asciiTheme="minorHAnsi" w:hAnsiTheme="minorHAnsi" w:cstheme="minorHAnsi"/>
                <w:sz w:val="18"/>
                <w:szCs w:val="18"/>
              </w:rPr>
              <w:t>Haemagglutination</w:t>
            </w:r>
            <w:proofErr w:type="spellEnd"/>
            <w:r w:rsidRPr="00010F3C">
              <w:rPr>
                <w:rFonts w:asciiTheme="minorHAnsi" w:hAnsiTheme="minorHAnsi" w:cstheme="minorHAnsi"/>
                <w:sz w:val="18"/>
                <w:szCs w:val="18"/>
              </w:rPr>
              <w:t xml:space="preserve"> test </w:t>
            </w:r>
          </w:p>
        </w:tc>
        <w:tc>
          <w:tcPr>
            <w:tcW w:w="2715" w:type="dxa"/>
          </w:tcPr>
          <w:p w14:paraId="7CF511CE" w14:textId="77777777" w:rsidR="005628F5" w:rsidRPr="00010F3C" w:rsidRDefault="005628F5" w:rsidP="00DB49DC">
            <w:pPr>
              <w:rPr>
                <w:rFonts w:asciiTheme="minorHAnsi" w:hAnsiTheme="minorHAnsi" w:cstheme="minorHAnsi"/>
                <w:sz w:val="18"/>
                <w:szCs w:val="18"/>
              </w:rPr>
            </w:pPr>
            <w:r w:rsidRPr="00010F3C">
              <w:rPr>
                <w:rFonts w:asciiTheme="minorHAnsi" w:hAnsiTheme="minorHAnsi" w:cstheme="minorHAnsi"/>
                <w:sz w:val="18"/>
                <w:szCs w:val="18"/>
              </w:rPr>
              <w:t>Age, education, years worked as sex worker, breast-feeding,</w:t>
            </w:r>
          </w:p>
          <w:p w14:paraId="60B90930" w14:textId="77777777" w:rsidR="005628F5" w:rsidRPr="00010F3C" w:rsidRDefault="005628F5" w:rsidP="00DB49DC">
            <w:pPr>
              <w:rPr>
                <w:rFonts w:asciiTheme="minorHAnsi" w:hAnsiTheme="minorHAnsi" w:cstheme="minorHAnsi"/>
                <w:sz w:val="18"/>
                <w:szCs w:val="18"/>
              </w:rPr>
            </w:pPr>
            <w:r w:rsidRPr="00010F3C">
              <w:rPr>
                <w:rFonts w:asciiTheme="minorHAnsi" w:hAnsiTheme="minorHAnsi" w:cstheme="minorHAnsi"/>
                <w:sz w:val="18"/>
                <w:szCs w:val="18"/>
              </w:rPr>
              <w:t>consistent condom use, antibiotic use past 14 d, ever used antibiotics, time duration between assessments</w:t>
            </w:r>
          </w:p>
        </w:tc>
        <w:tc>
          <w:tcPr>
            <w:tcW w:w="1482" w:type="dxa"/>
          </w:tcPr>
          <w:p w14:paraId="35A2724B" w14:textId="77777777" w:rsidR="005628F5" w:rsidRPr="00010F3C" w:rsidRDefault="005628F5" w:rsidP="00DB49DC">
            <w:pPr>
              <w:rPr>
                <w:rFonts w:asciiTheme="minorHAnsi" w:hAnsiTheme="minorHAnsi" w:cstheme="minorHAnsi"/>
                <w:sz w:val="18"/>
                <w:szCs w:val="18"/>
              </w:rPr>
            </w:pPr>
            <w:r w:rsidRPr="00010F3C">
              <w:rPr>
                <w:rFonts w:asciiTheme="minorHAnsi" w:hAnsiTheme="minorHAnsi" w:cstheme="minorHAnsi"/>
                <w:sz w:val="18"/>
                <w:szCs w:val="18"/>
              </w:rPr>
              <w:t xml:space="preserve">Non-pregnant non-hormonal </w:t>
            </w:r>
            <w:r>
              <w:rPr>
                <w:rFonts w:asciiTheme="minorHAnsi" w:hAnsiTheme="minorHAnsi" w:cstheme="minorHAnsi"/>
                <w:sz w:val="18"/>
                <w:szCs w:val="18"/>
              </w:rPr>
              <w:t>user</w:t>
            </w:r>
          </w:p>
        </w:tc>
        <w:tc>
          <w:tcPr>
            <w:tcW w:w="1010" w:type="dxa"/>
          </w:tcPr>
          <w:p w14:paraId="34078AC0" w14:textId="77777777" w:rsidR="005628F5" w:rsidRPr="00010F3C" w:rsidRDefault="005628F5" w:rsidP="00DB49DC">
            <w:pPr>
              <w:rPr>
                <w:rFonts w:asciiTheme="minorHAnsi" w:hAnsiTheme="minorHAnsi" w:cstheme="minorHAnsi"/>
                <w:sz w:val="18"/>
                <w:szCs w:val="18"/>
              </w:rPr>
            </w:pPr>
            <w:r w:rsidRPr="00010F3C">
              <w:rPr>
                <w:rFonts w:asciiTheme="minorHAnsi" w:hAnsiTheme="minorHAnsi" w:cstheme="minorHAnsi"/>
                <w:color w:val="000000"/>
                <w:sz w:val="18"/>
                <w:szCs w:val="18"/>
              </w:rPr>
              <w:t>NA</w:t>
            </w:r>
          </w:p>
        </w:tc>
        <w:tc>
          <w:tcPr>
            <w:tcW w:w="1096" w:type="dxa"/>
          </w:tcPr>
          <w:p w14:paraId="2062C9FC" w14:textId="77777777" w:rsidR="005628F5" w:rsidRPr="00010F3C" w:rsidRDefault="005628F5" w:rsidP="00DB49DC">
            <w:pPr>
              <w:rPr>
                <w:rFonts w:asciiTheme="minorHAnsi" w:hAnsiTheme="minorHAnsi" w:cstheme="minorHAnsi"/>
                <w:color w:val="000000"/>
                <w:sz w:val="18"/>
                <w:szCs w:val="18"/>
              </w:rPr>
            </w:pPr>
            <w:r w:rsidRPr="00010F3C">
              <w:rPr>
                <w:rFonts w:asciiTheme="minorHAnsi" w:hAnsiTheme="minorHAnsi" w:cstheme="minorHAnsi"/>
                <w:sz w:val="18"/>
                <w:szCs w:val="18"/>
              </w:rPr>
              <w:t xml:space="preserve">Injectable (type not </w:t>
            </w:r>
            <w:proofErr w:type="spellStart"/>
            <w:r w:rsidRPr="00010F3C">
              <w:rPr>
                <w:rFonts w:asciiTheme="minorHAnsi" w:hAnsiTheme="minorHAnsi" w:cstheme="minorHAnsi"/>
                <w:sz w:val="18"/>
                <w:szCs w:val="18"/>
              </w:rPr>
              <w:t>specified</w:t>
            </w:r>
            <w:r w:rsidRPr="00010F3C">
              <w:rPr>
                <w:rFonts w:asciiTheme="minorHAnsi" w:hAnsiTheme="minorHAnsi" w:cstheme="minorHAnsi"/>
                <w:sz w:val="18"/>
                <w:szCs w:val="18"/>
                <w:vertAlign w:val="superscript"/>
              </w:rPr>
              <w:t>b</w:t>
            </w:r>
            <w:proofErr w:type="spellEnd"/>
            <w:r w:rsidRPr="00010F3C">
              <w:rPr>
                <w:rFonts w:asciiTheme="minorHAnsi" w:hAnsiTheme="minorHAnsi" w:cstheme="minorHAnsi"/>
                <w:sz w:val="18"/>
                <w:szCs w:val="18"/>
              </w:rPr>
              <w:t xml:space="preserve">) </w:t>
            </w:r>
            <w:proofErr w:type="spellStart"/>
            <w:r w:rsidRPr="00010F3C">
              <w:rPr>
                <w:rFonts w:asciiTheme="minorHAnsi" w:hAnsiTheme="minorHAnsi" w:cstheme="minorHAnsi"/>
                <w:color w:val="000000"/>
                <w:sz w:val="18"/>
                <w:szCs w:val="18"/>
              </w:rPr>
              <w:t>aOR</w:t>
            </w:r>
            <w:proofErr w:type="spellEnd"/>
            <w:r w:rsidRPr="00010F3C">
              <w:rPr>
                <w:rFonts w:asciiTheme="minorHAnsi" w:hAnsiTheme="minorHAnsi" w:cstheme="minorHAnsi"/>
                <w:color w:val="000000"/>
                <w:sz w:val="18"/>
                <w:szCs w:val="18"/>
              </w:rPr>
              <w:t>: 1.43 (0.11, 19.1)</w:t>
            </w:r>
          </w:p>
          <w:p w14:paraId="08EB810C" w14:textId="77777777" w:rsidR="005628F5" w:rsidRPr="00010F3C" w:rsidRDefault="005628F5" w:rsidP="00DB49DC">
            <w:pPr>
              <w:rPr>
                <w:rFonts w:asciiTheme="minorHAnsi" w:hAnsiTheme="minorHAnsi" w:cstheme="minorHAnsi"/>
                <w:color w:val="FF0000"/>
                <w:sz w:val="18"/>
                <w:szCs w:val="18"/>
              </w:rPr>
            </w:pPr>
          </w:p>
        </w:tc>
        <w:tc>
          <w:tcPr>
            <w:tcW w:w="1092" w:type="dxa"/>
          </w:tcPr>
          <w:p w14:paraId="4DC25B30" w14:textId="77777777" w:rsidR="005628F5" w:rsidRPr="00010F3C" w:rsidRDefault="005628F5" w:rsidP="00DB49DC">
            <w:pPr>
              <w:rPr>
                <w:rFonts w:asciiTheme="minorHAnsi" w:hAnsiTheme="minorHAnsi" w:cstheme="minorHAnsi"/>
                <w:sz w:val="18"/>
                <w:szCs w:val="18"/>
              </w:rPr>
            </w:pPr>
            <w:r w:rsidRPr="00010F3C">
              <w:rPr>
                <w:rFonts w:asciiTheme="minorHAnsi" w:hAnsiTheme="minorHAnsi" w:cstheme="minorHAnsi"/>
                <w:sz w:val="18"/>
                <w:szCs w:val="18"/>
              </w:rPr>
              <w:t>NA</w:t>
            </w:r>
          </w:p>
        </w:tc>
      </w:tr>
      <w:tr w:rsidR="005628F5" w:rsidRPr="00010F3C" w14:paraId="5481E353" w14:textId="77777777" w:rsidTr="00DB49DC">
        <w:tc>
          <w:tcPr>
            <w:tcW w:w="972" w:type="dxa"/>
          </w:tcPr>
          <w:p w14:paraId="5996554D" w14:textId="77777777" w:rsidR="005628F5" w:rsidRPr="00010F3C" w:rsidRDefault="005628F5" w:rsidP="00DB49DC">
            <w:pPr>
              <w:rPr>
                <w:rFonts w:asciiTheme="minorHAnsi" w:hAnsiTheme="minorHAnsi" w:cstheme="minorHAnsi"/>
                <w:sz w:val="18"/>
                <w:szCs w:val="18"/>
              </w:rPr>
            </w:pPr>
            <w:proofErr w:type="spellStart"/>
            <w:r w:rsidRPr="00E94DEF">
              <w:rPr>
                <w:rFonts w:asciiTheme="minorHAnsi" w:hAnsiTheme="minorHAnsi" w:cstheme="minorHAnsi"/>
                <w:sz w:val="18"/>
                <w:szCs w:val="18"/>
              </w:rPr>
              <w:t>Baeten</w:t>
            </w:r>
            <w:proofErr w:type="spellEnd"/>
            <w:r w:rsidRPr="00E94DEF">
              <w:rPr>
                <w:rFonts w:asciiTheme="minorHAnsi" w:hAnsiTheme="minorHAnsi" w:cstheme="minorHAnsi"/>
                <w:sz w:val="18"/>
                <w:szCs w:val="18"/>
              </w:rPr>
              <w:t xml:space="preserve">, 2001 </w:t>
            </w:r>
            <w:r w:rsidRPr="00E94DEF">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{"citationItems":[{"id":"ITEM-1","itemData":{"DOI":"10.1067/mob.2001.115862","ISSN":"00029378","PMID":"11518896","abstract":"OBJECTIVES To examine the relationship between use of oral contraceptive pills or depot medroxyprogesterone acetate and sexually transmitted disease acquisition. STUDY DESIGN Prospective cohort included 948 Kenyan prostitutes. Multivariate Andersen-Gill proportional hazards models were constructed, adjusting for sexual behavioral and demographic variables. RESULTS When compared with women who were using no contraception, users of oral contraceptive pills were at increased risk for acquisition of chlamydia (hazard ratio, 1.8; 95% confidence interval, 1.1-2.9) and vaginal candidiasis (hazard ratio, 1.5; 95% confidence interval, 1.2-1.9) and at decreased risk for bacterial vaginosis (hazard ratio, 0.8; 95% confidence interval, 0.7-1.0). Women using depot medroxyprogesterone acetate had significantly increased risk of chlamydia infection (hazard ratio, 1.6; 95% confidence interval, 1.1-2.4) and significantly decreased risk of bacterial vaginosis (hazard ratio, 0.7; 95% confidence interval, 0.5-0.8), trichomoniasis (hazard ratio, 0.6; 95% confidence interval, 0.4-1.0), and pelvic inflammatory disease (hazard ratio, 0.4; 95% confidence interval, 0.2-0.7). Consistent condom use was associated with significantly decreased risk of gonorrhea, chlamydia, genital ulcer disease, bacterial vaginosis, and pelvic inflammatory disease. CONCLUSIONS The use of oral or injectable hormonal contraception altered susceptibility to sexually transmitted diseases, which may in turn influence transmission of human immunodeficiency virus type 1. Consistent condom use was protective with regards to sexually transmitted disease and should be encouraged for the prevention of sexually transmitted disease and human immunodeficiency virus type 1 among women who use hormonal contraception.","author":[{"dropping-particle":"","family":"Baeten","given":"Jared M.","non-dropping-particle":"","parse-names":false,"suffix":""},{"dropping-particle":"","family":"Nyange","given":"Patrick M.","non-dropping-particle":"","parse-names":false,"suffix":""},{"dropping-particle":"","family":"Richardson","given":"Barbra A.","non-dropping-particle":"","parse-names":false,"suffix":""},{"dropping-particle":"","family":"Lavreys","given":"Ludo","non-dropping-particle":"","parse-names":false,"suffix":""},{"dropping-particle":"","family":"Chohan","given":"Bhavna","non-dropping-particle":"","parse-names":false,"suffix":""},{"dropping-particle":"","family":"Martin","given":"Harold L.","non-dropping-particle":"","parse-names":false,"suffix":""},{"dropping-particle":"","family":"Mandaliya","given":"Kishorchandra","non-dropping-particle":"","parse-names":false,"suffix":""},{"dropping-particle":"","family":"Ndinya-Achola","given":"Jeckoniah O.","non-dropping-particle":"","parse-names":false,"suffix":""},{"dropping-particle":"","family":"Bwayo","given":"Job J.","non-dropping-particle":"","parse-names":false,"suffix":""},{"dropping-particle":"","family":"Kreiss","given":"Joan K.","non-dropping-particle":"","parse-names":false,"suffix":""}],"container-title":"American Journal of Obstetrics and Gynecology","id":"ITEM-1","issue":"2","issued":{"date-parts":[["2001","8"]]},"page":"380-385","title":"Hormonal contraception and risk of sexually transmitted disease acquisition: Results from a prospective study","type":"article-journal","volume":"185"},"uris":["http://www.mendeley.com/documents/?uuid=9c9675ce-9729-368a-b116-fc5af34e832f"]}],"mendeley":{"formattedCitation":"[21]","plainTextFormattedCitation":"[21]","previouslyFormattedCitation":"[21]"},"properties":{"noteIndex":0},"schema":"https://github.com/citation-style-language/schema/raw/master/csl-citation.json"}</w:instrText>
            </w:r>
            <w:r w:rsidRPr="00E94DEF">
              <w:rPr>
                <w:rFonts w:asciiTheme="minorHAnsi" w:hAnsiTheme="minorHAnsi" w:cstheme="minorHAnsi"/>
                <w:sz w:val="18"/>
                <w:szCs w:val="18"/>
              </w:rPr>
              <w:fldChar w:fldCharType="separate"/>
            </w:r>
            <w:r w:rsidRPr="00E115DE">
              <w:rPr>
                <w:rFonts w:asciiTheme="minorHAnsi" w:hAnsiTheme="minorHAnsi" w:cstheme="minorHAnsi"/>
                <w:noProof/>
                <w:sz w:val="18"/>
                <w:szCs w:val="18"/>
              </w:rPr>
              <w:t>[21]</w:t>
            </w:r>
            <w:r w:rsidRPr="00E94DEF">
              <w:rPr>
                <w:rFonts w:asciiTheme="minorHAnsi" w:hAnsiTheme="minorHAnsi" w:cstheme="minorHAnsi"/>
                <w:sz w:val="18"/>
                <w:szCs w:val="18"/>
              </w:rPr>
              <w:fldChar w:fldCharType="end"/>
            </w:r>
          </w:p>
        </w:tc>
        <w:tc>
          <w:tcPr>
            <w:tcW w:w="1586" w:type="dxa"/>
          </w:tcPr>
          <w:p w14:paraId="77535751" w14:textId="77777777" w:rsidR="005628F5" w:rsidRPr="00010F3C" w:rsidRDefault="005628F5" w:rsidP="00DB49DC">
            <w:pPr>
              <w:pStyle w:val="p1"/>
              <w:rPr>
                <w:rFonts w:asciiTheme="minorHAnsi" w:hAnsiTheme="minorHAnsi" w:cstheme="minorHAnsi"/>
                <w:sz w:val="18"/>
                <w:szCs w:val="18"/>
              </w:rPr>
            </w:pPr>
            <w:r w:rsidRPr="00E94DEF">
              <w:rPr>
                <w:rFonts w:asciiTheme="minorHAnsi" w:hAnsiTheme="minorHAnsi" w:cstheme="minorHAnsi"/>
                <w:sz w:val="18"/>
                <w:szCs w:val="18"/>
              </w:rPr>
              <w:t>948, HIV-1 negative sex workers in Mombasa, Kenya ages 16-48</w:t>
            </w:r>
            <w:r>
              <w:rPr>
                <w:rFonts w:asciiTheme="minorHAnsi" w:hAnsiTheme="minorHAnsi" w:cstheme="minorHAnsi"/>
                <w:sz w:val="18"/>
                <w:szCs w:val="18"/>
              </w:rPr>
              <w:t>; N=48 incident cases (2.9/100 PY)</w:t>
            </w:r>
          </w:p>
        </w:tc>
        <w:tc>
          <w:tcPr>
            <w:tcW w:w="1257" w:type="dxa"/>
          </w:tcPr>
          <w:p w14:paraId="5349B14A" w14:textId="77777777" w:rsidR="005628F5" w:rsidRPr="00010F3C" w:rsidRDefault="005628F5" w:rsidP="00DB49DC">
            <w:pPr>
              <w:rPr>
                <w:rFonts w:asciiTheme="minorHAnsi" w:hAnsiTheme="minorHAnsi" w:cstheme="minorHAnsi"/>
                <w:sz w:val="18"/>
                <w:szCs w:val="18"/>
              </w:rPr>
            </w:pPr>
            <w:r w:rsidRPr="00897A42">
              <w:rPr>
                <w:rFonts w:asciiTheme="minorHAnsi" w:hAnsiTheme="minorHAnsi" w:cstheme="minorHAnsi"/>
                <w:sz w:val="18"/>
                <w:szCs w:val="18"/>
              </w:rPr>
              <w:t>Range 15 to 2366</w:t>
            </w:r>
            <w:r>
              <w:rPr>
                <w:rFonts w:asciiTheme="minorHAnsi" w:hAnsiTheme="minorHAnsi" w:cstheme="minorHAnsi"/>
                <w:sz w:val="18"/>
                <w:szCs w:val="18"/>
              </w:rPr>
              <w:t xml:space="preserve"> days</w:t>
            </w:r>
            <w:r w:rsidRPr="00897A42">
              <w:rPr>
                <w:rFonts w:asciiTheme="minorHAnsi" w:hAnsiTheme="minorHAnsi" w:cstheme="minorHAnsi"/>
                <w:sz w:val="18"/>
                <w:szCs w:val="18"/>
              </w:rPr>
              <w:t xml:space="preserve"> (median: 42</w:t>
            </w:r>
            <w:r>
              <w:rPr>
                <w:rFonts w:asciiTheme="minorHAnsi" w:hAnsiTheme="minorHAnsi" w:cstheme="minorHAnsi"/>
                <w:sz w:val="18"/>
                <w:szCs w:val="18"/>
              </w:rPr>
              <w:t>1 days); median time b/w visits: 35 days</w:t>
            </w:r>
          </w:p>
        </w:tc>
        <w:tc>
          <w:tcPr>
            <w:tcW w:w="2015" w:type="dxa"/>
          </w:tcPr>
          <w:p w14:paraId="4D234F41" w14:textId="77777777" w:rsidR="005628F5" w:rsidRPr="00010F3C" w:rsidRDefault="005628F5" w:rsidP="00DB49DC">
            <w:pPr>
              <w:rPr>
                <w:rFonts w:asciiTheme="minorHAnsi" w:hAnsiTheme="minorHAnsi" w:cstheme="minorHAnsi"/>
                <w:sz w:val="18"/>
                <w:szCs w:val="18"/>
              </w:rPr>
            </w:pPr>
            <w:r>
              <w:rPr>
                <w:rFonts w:asciiTheme="minorHAnsi" w:hAnsiTheme="minorHAnsi" w:cstheme="minorHAnsi"/>
                <w:sz w:val="18"/>
                <w:szCs w:val="18"/>
              </w:rPr>
              <w:t>H</w:t>
            </w:r>
            <w:r w:rsidRPr="00E9134F">
              <w:rPr>
                <w:rFonts w:asciiTheme="minorHAnsi" w:hAnsiTheme="minorHAnsi" w:cstheme="minorHAnsi"/>
                <w:sz w:val="18"/>
                <w:szCs w:val="18"/>
              </w:rPr>
              <w:t>emagglutination assay (Biotech Laboratories)</w:t>
            </w:r>
          </w:p>
        </w:tc>
        <w:tc>
          <w:tcPr>
            <w:tcW w:w="2715" w:type="dxa"/>
          </w:tcPr>
          <w:p w14:paraId="5EA4559D" w14:textId="77777777" w:rsidR="005628F5" w:rsidRPr="00010F3C" w:rsidRDefault="005628F5" w:rsidP="00DB49DC">
            <w:pPr>
              <w:rPr>
                <w:rFonts w:asciiTheme="minorHAnsi" w:hAnsiTheme="minorHAnsi" w:cstheme="minorHAnsi"/>
                <w:sz w:val="18"/>
                <w:szCs w:val="18"/>
              </w:rPr>
            </w:pPr>
            <w:r w:rsidRPr="00E94DEF">
              <w:rPr>
                <w:rFonts w:asciiTheme="minorHAnsi" w:hAnsiTheme="minorHAnsi" w:cstheme="minorHAnsi"/>
                <w:sz w:val="18"/>
                <w:szCs w:val="18"/>
              </w:rPr>
              <w:t>Age, years of education, years of prostitution, parity, number of sexual partners, place of work (</w:t>
            </w:r>
            <w:proofErr w:type="spellStart"/>
            <w:r w:rsidRPr="00E94DEF">
              <w:rPr>
                <w:rFonts w:asciiTheme="minorHAnsi" w:hAnsiTheme="minorHAnsi" w:cstheme="minorHAnsi"/>
                <w:sz w:val="18"/>
                <w:szCs w:val="18"/>
              </w:rPr>
              <w:t>ie</w:t>
            </w:r>
            <w:proofErr w:type="spellEnd"/>
            <w:r w:rsidRPr="00E94DEF">
              <w:rPr>
                <w:rFonts w:asciiTheme="minorHAnsi" w:hAnsiTheme="minorHAnsi" w:cstheme="minorHAnsi"/>
                <w:sz w:val="18"/>
                <w:szCs w:val="18"/>
              </w:rPr>
              <w:t>, bar vs. nightclub), number of sexual contacts</w:t>
            </w:r>
            <w:r>
              <w:rPr>
                <w:rFonts w:asciiTheme="minorHAnsi" w:hAnsiTheme="minorHAnsi" w:cstheme="minorHAnsi"/>
                <w:sz w:val="18"/>
                <w:szCs w:val="18"/>
              </w:rPr>
              <w:t xml:space="preserve"> per week</w:t>
            </w:r>
            <w:r w:rsidRPr="00E94DEF">
              <w:rPr>
                <w:rFonts w:asciiTheme="minorHAnsi" w:hAnsiTheme="minorHAnsi" w:cstheme="minorHAnsi"/>
                <w:sz w:val="18"/>
                <w:szCs w:val="18"/>
              </w:rPr>
              <w:t>, and condom usage</w:t>
            </w:r>
          </w:p>
        </w:tc>
        <w:tc>
          <w:tcPr>
            <w:tcW w:w="1482" w:type="dxa"/>
          </w:tcPr>
          <w:p w14:paraId="6175628B" w14:textId="77777777" w:rsidR="005628F5" w:rsidRPr="00010F3C" w:rsidRDefault="005628F5" w:rsidP="00DB49DC">
            <w:pPr>
              <w:rPr>
                <w:rFonts w:asciiTheme="minorHAnsi" w:hAnsiTheme="minorHAnsi" w:cstheme="minorHAnsi"/>
                <w:sz w:val="18"/>
                <w:szCs w:val="18"/>
              </w:rPr>
            </w:pPr>
            <w:r w:rsidRPr="00E752DB">
              <w:rPr>
                <w:rFonts w:asciiTheme="minorHAnsi" w:hAnsiTheme="minorHAnsi" w:cstheme="minorHAnsi"/>
                <w:sz w:val="18"/>
                <w:szCs w:val="18"/>
              </w:rPr>
              <w:t>No</w:t>
            </w:r>
            <w:r>
              <w:rPr>
                <w:rFonts w:asciiTheme="minorHAnsi" w:hAnsiTheme="minorHAnsi" w:cstheme="minorHAnsi"/>
                <w:sz w:val="18"/>
                <w:szCs w:val="18"/>
              </w:rPr>
              <w:t xml:space="preserve">n-hormonal user </w:t>
            </w:r>
            <w:r w:rsidRPr="00E752DB">
              <w:rPr>
                <w:rFonts w:asciiTheme="minorHAnsi" w:hAnsiTheme="minorHAnsi" w:cstheme="minorHAnsi"/>
                <w:sz w:val="18"/>
                <w:szCs w:val="18"/>
              </w:rPr>
              <w:t>or tubal ligation</w:t>
            </w:r>
          </w:p>
        </w:tc>
        <w:tc>
          <w:tcPr>
            <w:tcW w:w="1010" w:type="dxa"/>
          </w:tcPr>
          <w:p w14:paraId="6F5247A8" w14:textId="77777777" w:rsidR="005628F5" w:rsidRPr="00010F3C" w:rsidRDefault="005628F5" w:rsidP="00DB49DC">
            <w:pPr>
              <w:rPr>
                <w:rFonts w:asciiTheme="minorHAnsi" w:hAnsiTheme="minorHAnsi" w:cstheme="minorHAnsi"/>
                <w:color w:val="000000"/>
                <w:sz w:val="18"/>
                <w:szCs w:val="18"/>
              </w:rPr>
            </w:pPr>
            <w:r>
              <w:rPr>
                <w:rFonts w:asciiTheme="minorHAnsi" w:hAnsiTheme="minorHAnsi" w:cstheme="minorHAnsi"/>
                <w:sz w:val="18"/>
                <w:szCs w:val="18"/>
              </w:rPr>
              <w:t xml:space="preserve">OCP </w:t>
            </w:r>
            <w:proofErr w:type="spellStart"/>
            <w:r>
              <w:rPr>
                <w:rFonts w:asciiTheme="minorHAnsi" w:hAnsiTheme="minorHAnsi" w:cstheme="minorHAnsi"/>
                <w:sz w:val="18"/>
                <w:szCs w:val="18"/>
              </w:rPr>
              <w:t>aHR</w:t>
            </w:r>
            <w:proofErr w:type="spellEnd"/>
            <w:r>
              <w:rPr>
                <w:rFonts w:asciiTheme="minorHAnsi" w:hAnsiTheme="minorHAnsi" w:cstheme="minorHAnsi"/>
                <w:sz w:val="18"/>
                <w:szCs w:val="18"/>
              </w:rPr>
              <w:t>: 0.40 (0.10, 1.50)</w:t>
            </w:r>
          </w:p>
        </w:tc>
        <w:tc>
          <w:tcPr>
            <w:tcW w:w="1096" w:type="dxa"/>
          </w:tcPr>
          <w:p w14:paraId="4293FE14" w14:textId="77777777" w:rsidR="005628F5" w:rsidRPr="00010F3C" w:rsidRDefault="005628F5" w:rsidP="00DB49DC">
            <w:pPr>
              <w:rPr>
                <w:rFonts w:asciiTheme="minorHAnsi" w:hAnsiTheme="minorHAnsi" w:cstheme="minorHAnsi"/>
                <w:sz w:val="18"/>
                <w:szCs w:val="18"/>
              </w:rPr>
            </w:pPr>
            <w:r>
              <w:rPr>
                <w:rFonts w:asciiTheme="minorHAnsi" w:hAnsiTheme="minorHAnsi" w:cstheme="minorHAnsi"/>
                <w:sz w:val="18"/>
                <w:szCs w:val="18"/>
              </w:rPr>
              <w:t xml:space="preserve">DMPA </w:t>
            </w:r>
            <w:proofErr w:type="spellStart"/>
            <w:r>
              <w:rPr>
                <w:rFonts w:asciiTheme="minorHAnsi" w:hAnsiTheme="minorHAnsi" w:cstheme="minorHAnsi"/>
                <w:sz w:val="18"/>
                <w:szCs w:val="18"/>
              </w:rPr>
              <w:t>aHR</w:t>
            </w:r>
            <w:proofErr w:type="spellEnd"/>
            <w:r>
              <w:rPr>
                <w:rFonts w:asciiTheme="minorHAnsi" w:hAnsiTheme="minorHAnsi" w:cstheme="minorHAnsi"/>
                <w:sz w:val="18"/>
                <w:szCs w:val="18"/>
              </w:rPr>
              <w:t>: 0.50 (0.20 1.4)</w:t>
            </w:r>
          </w:p>
        </w:tc>
        <w:tc>
          <w:tcPr>
            <w:tcW w:w="1092" w:type="dxa"/>
          </w:tcPr>
          <w:p w14:paraId="42871D75" w14:textId="77777777" w:rsidR="005628F5" w:rsidRPr="00010F3C" w:rsidRDefault="005628F5" w:rsidP="00DB49DC">
            <w:pPr>
              <w:rPr>
                <w:rFonts w:asciiTheme="minorHAnsi" w:hAnsiTheme="minorHAnsi" w:cstheme="minorHAnsi"/>
                <w:sz w:val="18"/>
                <w:szCs w:val="18"/>
              </w:rPr>
            </w:pPr>
            <w:r w:rsidRPr="00897A42">
              <w:rPr>
                <w:rFonts w:asciiTheme="minorHAnsi" w:hAnsiTheme="minorHAnsi" w:cstheme="minorHAnsi"/>
                <w:sz w:val="18"/>
                <w:szCs w:val="18"/>
              </w:rPr>
              <w:t>NA</w:t>
            </w:r>
          </w:p>
        </w:tc>
      </w:tr>
      <w:tr w:rsidR="005628F5" w:rsidRPr="00010F3C" w14:paraId="49582946" w14:textId="77777777" w:rsidTr="00DB49DC">
        <w:tc>
          <w:tcPr>
            <w:tcW w:w="972" w:type="dxa"/>
          </w:tcPr>
          <w:p w14:paraId="15FACE7B" w14:textId="77777777" w:rsidR="005628F5" w:rsidRPr="00010F3C" w:rsidRDefault="005628F5" w:rsidP="00DB49DC">
            <w:pPr>
              <w:rPr>
                <w:rFonts w:asciiTheme="minorHAnsi" w:hAnsiTheme="minorHAnsi" w:cstheme="minorHAnsi"/>
                <w:sz w:val="18"/>
                <w:szCs w:val="18"/>
              </w:rPr>
            </w:pPr>
            <w:proofErr w:type="spellStart"/>
            <w:r w:rsidRPr="00010F3C">
              <w:rPr>
                <w:rFonts w:asciiTheme="minorHAnsi" w:hAnsiTheme="minorHAnsi" w:cstheme="minorHAnsi"/>
                <w:sz w:val="18"/>
                <w:szCs w:val="18"/>
              </w:rPr>
              <w:t>Kapiga</w:t>
            </w:r>
            <w:proofErr w:type="spellEnd"/>
            <w:r w:rsidRPr="00010F3C">
              <w:rPr>
                <w:rFonts w:asciiTheme="minorHAnsi" w:hAnsiTheme="minorHAnsi" w:cstheme="minorHAnsi"/>
                <w:sz w:val="18"/>
                <w:szCs w:val="18"/>
              </w:rPr>
              <w:t>, 2009</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{"citationItems":[{"id":"ITEM-1","itemData":{"DOI":"10.1097/OLQ.0b013e318191ba01","PMID":"19265734","abstract":"OBJECTIVE To determine risk factors for sexually transmitted infections (STIs) among women in Durban and Hlabisa (South Africa), Moshi (Tanzania), and Lusaka (Zambia). STUDY DESIGN Between 2003 and 2004, 958 women at risk of STIs were enrolled in a 1-year prospective study. They were interviewed at each monthly visit, and samples for STI testing were collected during quarterly and other visits when clinically indicated. RESULTS The incidence of infections as measured in person-years at risk (PYAR) was as follows: overall trichomoniasis, 31.9/100 PYAR; chlamydial infection in South Africa, 19.5/100 PYAR; chlamydial infection in Tanzania and Zambia, 4.9/100 PYAR; gonorrhea in South Africa, 16.5/100 PYAR; gonorrhea in Tanzania and Zambia, 5.3/100 PYAR; overall syphilis, 7.5/100 PYAR; and overall HIV, 3.8/100 PYAR. The incidence of most STIs was highest among the South African sites, where chlamydial infection and gonorrhea were detected by using a more sensitive assay. Independent risk factors included age, hormonal contraceptive methods, and measures of sexual behavior, including number of sex partners and occurrence of anal sex in the past 3 months. Women with incident HIV infection were at increased risk of chlamydial infection [odds ratio (OR) = 5.5, 95% confidence interval (CI): 2.0-15.2]and gonorrhea (OR = 5.7, 95% CI: 1.9-17.0) in South African sites. Despite ongoing counseling during the study, high-risk sexual behaviors were common, and consistent condom use remained low. CONCLUSIONS The incidence of STIs, including HIV, was high among women in this study. These findings highlight the urgent need for effective HIV/STI prevention programs in this population.","author":[{"dropping-particle":"","family":"Kapiga","given":"Saidi","non-dropping-particle":"","parse-names":false,"suffix":""},{"dropping-particle":"","family":"Kelly","given":"Cliff","non-dropping-particle":"","parse-names":false,"suffix":""},{"dropping-particle":"","family":"Weiss","given":"Stephen","non-dropping-particle":"","parse-names":false,"suffix":""},{"dropping-particle":"","family":"Daley","given":"Tara","non-dropping-particle":"","parse-names":false,"suffix":""},{"dropping-particle":"","family":"Peterson","given":"Leigh","non-dropping-particle":"","parse-names":false,"suffix":""},{"dropping-particle":"","family":"Leburg","given":"Corey","non-dropping-particle":"","parse-names":false,"suffix":""},{"dropping-particle":"","family":"Ramjee","given":"Gita","non-dropping-particle":"","parse-names":false,"suffix":""}],"container-title":"Sexually Transmitted Diseases","id":"ITEM-1","issue":"4","issued":{"date-parts":[["2009","4"]]},"page":"199-206","title":"Risk factors for incidence of sexually transmitted infections among women in South Africa, Tanzania, and Zambia: Results from HPTN 055 study","type":"article-journal","volume":"36"},"uris":["http://www.mendeley.com/documents/?uuid=9796a310-66c3-3ac3-ac3f-20e1f341bfc4"]}],"mendeley":{"formattedCitation":"[47]","plainTextFormattedCitation":"[47]","previouslyFormattedCitation":"[47]"},"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[47]</w:t>
            </w:r>
            <w:r>
              <w:rPr>
                <w:rFonts w:asciiTheme="minorHAnsi" w:hAnsiTheme="minorHAnsi" w:cstheme="minorHAnsi"/>
                <w:sz w:val="18"/>
                <w:szCs w:val="18"/>
              </w:rPr>
              <w:fldChar w:fldCharType="end"/>
            </w:r>
          </w:p>
        </w:tc>
        <w:tc>
          <w:tcPr>
            <w:tcW w:w="1586" w:type="dxa"/>
          </w:tcPr>
          <w:p w14:paraId="51D00AAA" w14:textId="77777777" w:rsidR="005628F5" w:rsidRPr="00010F3C" w:rsidRDefault="005628F5" w:rsidP="00DB49DC">
            <w:pPr>
              <w:pStyle w:val="p1"/>
              <w:rPr>
                <w:rFonts w:asciiTheme="minorHAnsi" w:hAnsiTheme="minorHAnsi" w:cstheme="minorHAnsi"/>
                <w:sz w:val="18"/>
                <w:szCs w:val="18"/>
              </w:rPr>
            </w:pPr>
            <w:r w:rsidRPr="00010F3C">
              <w:rPr>
                <w:rFonts w:asciiTheme="minorHAnsi" w:hAnsiTheme="minorHAnsi" w:cstheme="minorHAnsi"/>
                <w:sz w:val="18"/>
                <w:szCs w:val="18"/>
              </w:rPr>
              <w:t>958, HIV negative women from general population ages 16 to 62 in Lusaka, Zambia (ZA), Moshi Tanzania (TZ) and Durban/Hlabisa, South Africa (SA), Incidence rate</w:t>
            </w:r>
            <w:r w:rsidRPr="00010F3C">
              <w:rPr>
                <w:rFonts w:asciiTheme="minorHAnsi" w:hAnsiTheme="minorHAnsi" w:cstheme="minorHAnsi"/>
                <w:i/>
                <w:sz w:val="18"/>
                <w:szCs w:val="18"/>
                <w:vertAlign w:val="superscript"/>
              </w:rPr>
              <w:t xml:space="preserve"> </w:t>
            </w:r>
            <w:r>
              <w:rPr>
                <w:rFonts w:asciiTheme="minorHAnsi" w:hAnsiTheme="minorHAnsi" w:cstheme="minorHAnsi"/>
                <w:i/>
                <w:sz w:val="18"/>
                <w:szCs w:val="18"/>
                <w:vertAlign w:val="superscript"/>
              </w:rPr>
              <w:t>b</w:t>
            </w:r>
            <w:r w:rsidRPr="00010F3C">
              <w:rPr>
                <w:rFonts w:asciiTheme="minorHAnsi" w:hAnsiTheme="minorHAnsi" w:cstheme="minorHAnsi"/>
                <w:sz w:val="18"/>
                <w:szCs w:val="18"/>
              </w:rPr>
              <w:t>: 7.5/100 PY (all sites)</w:t>
            </w:r>
          </w:p>
          <w:p w14:paraId="35360EA0" w14:textId="77777777" w:rsidR="005628F5" w:rsidRPr="00010F3C" w:rsidRDefault="005628F5" w:rsidP="00DB49DC">
            <w:pPr>
              <w:pStyle w:val="p1"/>
              <w:rPr>
                <w:rFonts w:asciiTheme="minorHAnsi" w:hAnsiTheme="minorHAnsi" w:cstheme="minorHAnsi"/>
                <w:sz w:val="18"/>
                <w:szCs w:val="18"/>
              </w:rPr>
            </w:pPr>
          </w:p>
          <w:p w14:paraId="75DBD50E" w14:textId="77777777" w:rsidR="005628F5" w:rsidRPr="00010F3C" w:rsidRDefault="005628F5" w:rsidP="00DB49DC">
            <w:pPr>
              <w:pStyle w:val="p1"/>
              <w:rPr>
                <w:rFonts w:asciiTheme="minorHAnsi" w:hAnsiTheme="minorHAnsi" w:cstheme="minorHAnsi"/>
                <w:sz w:val="18"/>
                <w:szCs w:val="18"/>
              </w:rPr>
            </w:pPr>
          </w:p>
        </w:tc>
        <w:tc>
          <w:tcPr>
            <w:tcW w:w="1257" w:type="dxa"/>
          </w:tcPr>
          <w:p w14:paraId="0D897E7D" w14:textId="77777777" w:rsidR="005628F5" w:rsidRPr="00010F3C" w:rsidRDefault="005628F5" w:rsidP="00DB49DC">
            <w:pPr>
              <w:rPr>
                <w:rFonts w:asciiTheme="minorHAnsi" w:hAnsiTheme="minorHAnsi" w:cstheme="minorHAnsi"/>
                <w:sz w:val="18"/>
                <w:szCs w:val="18"/>
              </w:rPr>
            </w:pPr>
            <w:r w:rsidRPr="00010F3C">
              <w:rPr>
                <w:rFonts w:asciiTheme="minorHAnsi" w:hAnsiTheme="minorHAnsi" w:cstheme="minorHAnsi"/>
                <w:sz w:val="18"/>
                <w:szCs w:val="18"/>
              </w:rPr>
              <w:t>12M; every 3M</w:t>
            </w:r>
          </w:p>
          <w:p w14:paraId="6EC63363" w14:textId="77777777" w:rsidR="005628F5" w:rsidRPr="00010F3C" w:rsidRDefault="005628F5" w:rsidP="00DB49DC">
            <w:pPr>
              <w:rPr>
                <w:rFonts w:asciiTheme="minorHAnsi" w:hAnsiTheme="minorHAnsi" w:cstheme="minorHAnsi"/>
                <w:sz w:val="18"/>
                <w:szCs w:val="18"/>
              </w:rPr>
            </w:pPr>
          </w:p>
          <w:p w14:paraId="44AE3CB9" w14:textId="77777777" w:rsidR="005628F5" w:rsidRPr="00010F3C" w:rsidRDefault="005628F5" w:rsidP="00DB49DC">
            <w:pPr>
              <w:rPr>
                <w:rFonts w:asciiTheme="minorHAnsi" w:hAnsiTheme="minorHAnsi" w:cstheme="minorHAnsi"/>
                <w:sz w:val="18"/>
                <w:szCs w:val="18"/>
              </w:rPr>
            </w:pPr>
          </w:p>
        </w:tc>
        <w:tc>
          <w:tcPr>
            <w:tcW w:w="2015" w:type="dxa"/>
          </w:tcPr>
          <w:p w14:paraId="6B5C6470" w14:textId="77777777" w:rsidR="005628F5" w:rsidRPr="00010F3C" w:rsidRDefault="005628F5" w:rsidP="00DB49DC">
            <w:pPr>
              <w:pStyle w:val="p1"/>
              <w:rPr>
                <w:rFonts w:asciiTheme="minorHAnsi" w:hAnsiTheme="minorHAnsi" w:cstheme="minorHAnsi"/>
                <w:sz w:val="18"/>
                <w:szCs w:val="18"/>
              </w:rPr>
            </w:pPr>
            <w:r w:rsidRPr="00010F3C">
              <w:rPr>
                <w:rFonts w:asciiTheme="minorHAnsi" w:hAnsiTheme="minorHAnsi" w:cstheme="minorHAnsi"/>
                <w:sz w:val="18"/>
                <w:szCs w:val="18"/>
              </w:rPr>
              <w:t>Positive serum reaction after both a rapid</w:t>
            </w:r>
          </w:p>
          <w:p w14:paraId="528617B8" w14:textId="77777777" w:rsidR="005628F5" w:rsidRPr="00010F3C" w:rsidRDefault="005628F5" w:rsidP="00DB49DC">
            <w:pPr>
              <w:pStyle w:val="p1"/>
              <w:rPr>
                <w:rFonts w:asciiTheme="minorHAnsi" w:hAnsiTheme="minorHAnsi" w:cstheme="minorHAnsi"/>
                <w:sz w:val="18"/>
                <w:szCs w:val="18"/>
              </w:rPr>
            </w:pPr>
            <w:r w:rsidRPr="00010F3C">
              <w:rPr>
                <w:rFonts w:asciiTheme="minorHAnsi" w:hAnsiTheme="minorHAnsi" w:cstheme="minorHAnsi"/>
                <w:sz w:val="18"/>
                <w:szCs w:val="18"/>
              </w:rPr>
              <w:t xml:space="preserve">plasma </w:t>
            </w:r>
            <w:proofErr w:type="spellStart"/>
            <w:r w:rsidRPr="00010F3C">
              <w:rPr>
                <w:rFonts w:asciiTheme="minorHAnsi" w:hAnsiTheme="minorHAnsi" w:cstheme="minorHAnsi"/>
                <w:sz w:val="18"/>
                <w:szCs w:val="18"/>
              </w:rPr>
              <w:t>reagin</w:t>
            </w:r>
            <w:proofErr w:type="spellEnd"/>
            <w:r w:rsidRPr="00010F3C">
              <w:rPr>
                <w:rFonts w:asciiTheme="minorHAnsi" w:hAnsiTheme="minorHAnsi" w:cstheme="minorHAnsi"/>
                <w:sz w:val="18"/>
                <w:szCs w:val="18"/>
              </w:rPr>
              <w:t xml:space="preserve"> card test and treponema pallidum </w:t>
            </w:r>
            <w:proofErr w:type="spellStart"/>
            <w:r w:rsidRPr="00010F3C">
              <w:rPr>
                <w:rFonts w:asciiTheme="minorHAnsi" w:hAnsiTheme="minorHAnsi" w:cstheme="minorHAnsi"/>
                <w:sz w:val="18"/>
                <w:szCs w:val="18"/>
              </w:rPr>
              <w:t>haemagglutination</w:t>
            </w:r>
            <w:proofErr w:type="spellEnd"/>
            <w:r w:rsidRPr="00010F3C">
              <w:rPr>
                <w:rFonts w:asciiTheme="minorHAnsi" w:hAnsiTheme="minorHAnsi" w:cstheme="minorHAnsi"/>
                <w:sz w:val="18"/>
                <w:szCs w:val="18"/>
              </w:rPr>
              <w:t xml:space="preserve"> assay (TPHA) or </w:t>
            </w:r>
            <w:proofErr w:type="spellStart"/>
            <w:r w:rsidRPr="00010F3C">
              <w:rPr>
                <w:rFonts w:asciiTheme="minorHAnsi" w:hAnsiTheme="minorHAnsi" w:cstheme="minorHAnsi"/>
                <w:sz w:val="18"/>
                <w:szCs w:val="18"/>
              </w:rPr>
              <w:t>microhaemagglutination</w:t>
            </w:r>
            <w:proofErr w:type="spellEnd"/>
          </w:p>
          <w:p w14:paraId="7D48D192" w14:textId="77777777" w:rsidR="005628F5" w:rsidRPr="00010F3C" w:rsidRDefault="005628F5" w:rsidP="00DB49DC">
            <w:pPr>
              <w:pStyle w:val="p1"/>
              <w:rPr>
                <w:rFonts w:asciiTheme="minorHAnsi" w:hAnsiTheme="minorHAnsi" w:cstheme="minorHAnsi"/>
                <w:sz w:val="18"/>
                <w:szCs w:val="18"/>
              </w:rPr>
            </w:pPr>
            <w:r w:rsidRPr="00010F3C">
              <w:rPr>
                <w:rFonts w:asciiTheme="minorHAnsi" w:hAnsiTheme="minorHAnsi" w:cstheme="minorHAnsi"/>
                <w:sz w:val="18"/>
                <w:szCs w:val="18"/>
              </w:rPr>
              <w:t>assay-treponema pallidum (MHA-TP)</w:t>
            </w:r>
          </w:p>
          <w:p w14:paraId="6D9CC52C" w14:textId="77777777" w:rsidR="005628F5" w:rsidRPr="00010F3C" w:rsidRDefault="005628F5" w:rsidP="00DB49DC">
            <w:pPr>
              <w:pStyle w:val="p1"/>
              <w:rPr>
                <w:rFonts w:asciiTheme="minorHAnsi" w:hAnsiTheme="minorHAnsi" w:cstheme="minorHAnsi"/>
                <w:sz w:val="18"/>
                <w:szCs w:val="18"/>
              </w:rPr>
            </w:pPr>
          </w:p>
        </w:tc>
        <w:tc>
          <w:tcPr>
            <w:tcW w:w="2715" w:type="dxa"/>
          </w:tcPr>
          <w:p w14:paraId="324521FF" w14:textId="77777777" w:rsidR="005628F5" w:rsidRPr="00010F3C" w:rsidRDefault="005628F5" w:rsidP="00DB49DC">
            <w:pPr>
              <w:rPr>
                <w:rFonts w:asciiTheme="minorHAnsi" w:hAnsiTheme="minorHAnsi" w:cstheme="minorHAnsi"/>
                <w:sz w:val="18"/>
                <w:szCs w:val="18"/>
              </w:rPr>
            </w:pPr>
            <w:r w:rsidRPr="00010F3C">
              <w:rPr>
                <w:rFonts w:asciiTheme="minorHAnsi" w:hAnsiTheme="minorHAnsi" w:cstheme="minorHAnsi"/>
                <w:sz w:val="18"/>
                <w:szCs w:val="18"/>
              </w:rPr>
              <w:t xml:space="preserve">Age, site, partner earns income, # sex partners, frequency vaginal sex in past </w:t>
            </w:r>
            <w:proofErr w:type="spellStart"/>
            <w:r w:rsidRPr="00010F3C">
              <w:rPr>
                <w:rFonts w:asciiTheme="minorHAnsi" w:hAnsiTheme="minorHAnsi" w:cstheme="minorHAnsi"/>
                <w:sz w:val="18"/>
                <w:szCs w:val="18"/>
              </w:rPr>
              <w:t>wk</w:t>
            </w:r>
            <w:proofErr w:type="spellEnd"/>
            <w:r w:rsidRPr="00010F3C">
              <w:rPr>
                <w:rFonts w:asciiTheme="minorHAnsi" w:hAnsiTheme="minorHAnsi" w:cstheme="minorHAnsi"/>
                <w:sz w:val="18"/>
                <w:szCs w:val="18"/>
              </w:rPr>
              <w:t>, anal sex in past 3M, other STIs, bacterial vaginosis, candida, abnormal vaginal discharge on exam, abnormal cervical discharge on exam, incident HIV infection</w:t>
            </w:r>
          </w:p>
          <w:p w14:paraId="2135F49A" w14:textId="77777777" w:rsidR="005628F5" w:rsidRPr="00010F3C" w:rsidRDefault="005628F5" w:rsidP="00DB49DC">
            <w:pPr>
              <w:rPr>
                <w:rFonts w:asciiTheme="minorHAnsi" w:hAnsiTheme="minorHAnsi" w:cstheme="minorHAnsi"/>
                <w:sz w:val="18"/>
                <w:szCs w:val="18"/>
              </w:rPr>
            </w:pPr>
          </w:p>
          <w:p w14:paraId="2DF57DEE" w14:textId="77777777" w:rsidR="005628F5" w:rsidRPr="00010F3C" w:rsidRDefault="005628F5" w:rsidP="00DB49DC">
            <w:pPr>
              <w:rPr>
                <w:rFonts w:asciiTheme="minorHAnsi" w:hAnsiTheme="minorHAnsi" w:cstheme="minorHAnsi"/>
                <w:sz w:val="18"/>
                <w:szCs w:val="18"/>
              </w:rPr>
            </w:pPr>
            <w:r w:rsidRPr="00010F3C">
              <w:rPr>
                <w:rFonts w:asciiTheme="minorHAnsi" w:hAnsiTheme="minorHAnsi" w:cstheme="minorHAnsi"/>
                <w:sz w:val="18"/>
                <w:szCs w:val="18"/>
              </w:rPr>
              <w:t xml:space="preserve">Final model (empirical selection): site, age, husband/partner earns income, frequency of vaginal sex past </w:t>
            </w:r>
            <w:proofErr w:type="spellStart"/>
            <w:r w:rsidRPr="00010F3C">
              <w:rPr>
                <w:rFonts w:asciiTheme="minorHAnsi" w:hAnsiTheme="minorHAnsi" w:cstheme="minorHAnsi"/>
                <w:sz w:val="18"/>
                <w:szCs w:val="18"/>
              </w:rPr>
              <w:t>wk</w:t>
            </w:r>
            <w:proofErr w:type="spellEnd"/>
            <w:r w:rsidRPr="00010F3C">
              <w:rPr>
                <w:rFonts w:asciiTheme="minorHAnsi" w:hAnsiTheme="minorHAnsi" w:cstheme="minorHAnsi"/>
                <w:sz w:val="18"/>
                <w:szCs w:val="18"/>
              </w:rPr>
              <w:t>, T. vaginalis</w:t>
            </w:r>
          </w:p>
        </w:tc>
        <w:tc>
          <w:tcPr>
            <w:tcW w:w="1482" w:type="dxa"/>
          </w:tcPr>
          <w:p w14:paraId="3DECDFF7" w14:textId="77777777" w:rsidR="005628F5" w:rsidRPr="00010F3C" w:rsidRDefault="005628F5" w:rsidP="00DB49DC">
            <w:pPr>
              <w:rPr>
                <w:rFonts w:asciiTheme="minorHAnsi" w:hAnsiTheme="minorHAnsi" w:cstheme="minorHAnsi"/>
                <w:color w:val="000000"/>
                <w:sz w:val="18"/>
                <w:szCs w:val="18"/>
              </w:rPr>
            </w:pPr>
            <w:r w:rsidRPr="00010F3C">
              <w:rPr>
                <w:rFonts w:asciiTheme="minorHAnsi" w:hAnsiTheme="minorHAnsi" w:cstheme="minorHAnsi"/>
                <w:color w:val="000000"/>
                <w:sz w:val="18"/>
                <w:szCs w:val="18"/>
              </w:rPr>
              <w:t>Not specified</w:t>
            </w:r>
          </w:p>
        </w:tc>
        <w:tc>
          <w:tcPr>
            <w:tcW w:w="1010" w:type="dxa"/>
          </w:tcPr>
          <w:p w14:paraId="4358CBAA" w14:textId="77777777" w:rsidR="005628F5" w:rsidRPr="00F02A28" w:rsidRDefault="005628F5" w:rsidP="00DB49DC">
            <w:pPr>
              <w:rPr>
                <w:rFonts w:asciiTheme="minorHAnsi" w:hAnsiTheme="minorHAnsi" w:cstheme="minorHAnsi"/>
                <w:sz w:val="18"/>
                <w:szCs w:val="18"/>
              </w:rPr>
            </w:pPr>
            <w:r w:rsidRPr="00F02A28">
              <w:rPr>
                <w:rFonts w:asciiTheme="minorHAnsi" w:hAnsiTheme="minorHAnsi" w:cstheme="minorHAnsi"/>
                <w:sz w:val="18"/>
                <w:szCs w:val="18"/>
              </w:rPr>
              <w:t xml:space="preserve">OCP All sites </w:t>
            </w:r>
            <w:proofErr w:type="spellStart"/>
            <w:r w:rsidRPr="00F02A28">
              <w:rPr>
                <w:rFonts w:asciiTheme="minorHAnsi" w:hAnsiTheme="minorHAnsi" w:cstheme="minorHAnsi"/>
                <w:sz w:val="18"/>
                <w:szCs w:val="18"/>
              </w:rPr>
              <w:t>aOR</w:t>
            </w:r>
            <w:proofErr w:type="spellEnd"/>
            <w:r w:rsidRPr="00F02A28">
              <w:rPr>
                <w:rFonts w:asciiTheme="minorHAnsi" w:hAnsiTheme="minorHAnsi" w:cstheme="minorHAnsi"/>
                <w:sz w:val="18"/>
                <w:szCs w:val="18"/>
              </w:rPr>
              <w:t>: NR (ns)</w:t>
            </w:r>
          </w:p>
        </w:tc>
        <w:tc>
          <w:tcPr>
            <w:tcW w:w="1096" w:type="dxa"/>
          </w:tcPr>
          <w:p w14:paraId="408A16CB" w14:textId="77777777" w:rsidR="005628F5" w:rsidRPr="00F02A28" w:rsidRDefault="005628F5" w:rsidP="00DB49DC">
            <w:pPr>
              <w:rPr>
                <w:rFonts w:asciiTheme="minorHAnsi" w:hAnsiTheme="minorHAnsi" w:cstheme="minorHAnsi"/>
                <w:color w:val="000000" w:themeColor="text1"/>
                <w:sz w:val="18"/>
                <w:szCs w:val="18"/>
              </w:rPr>
            </w:pPr>
            <w:r w:rsidRPr="00F02A28">
              <w:rPr>
                <w:rFonts w:asciiTheme="minorHAnsi" w:hAnsiTheme="minorHAnsi" w:cstheme="minorHAnsi"/>
                <w:sz w:val="18"/>
                <w:szCs w:val="18"/>
              </w:rPr>
              <w:t xml:space="preserve">All sites, DMPA: </w:t>
            </w:r>
            <w:proofErr w:type="spellStart"/>
            <w:r w:rsidRPr="00F02A28">
              <w:rPr>
                <w:rFonts w:asciiTheme="minorHAnsi" w:hAnsiTheme="minorHAnsi" w:cstheme="minorHAnsi"/>
                <w:sz w:val="18"/>
                <w:szCs w:val="18"/>
              </w:rPr>
              <w:t>aOR</w:t>
            </w:r>
            <w:proofErr w:type="spellEnd"/>
            <w:r w:rsidRPr="00F02A28">
              <w:rPr>
                <w:rFonts w:asciiTheme="minorHAnsi" w:hAnsiTheme="minorHAnsi" w:cstheme="minorHAnsi"/>
                <w:sz w:val="18"/>
                <w:szCs w:val="18"/>
              </w:rPr>
              <w:t>: NR (ns)</w:t>
            </w:r>
          </w:p>
          <w:p w14:paraId="0C994204" w14:textId="77777777" w:rsidR="005628F5" w:rsidRPr="00F02A28" w:rsidRDefault="005628F5" w:rsidP="00DB49DC">
            <w:pPr>
              <w:rPr>
                <w:rFonts w:asciiTheme="minorHAnsi" w:hAnsiTheme="minorHAnsi" w:cstheme="minorHAnsi"/>
                <w:sz w:val="18"/>
                <w:szCs w:val="18"/>
              </w:rPr>
            </w:pPr>
          </w:p>
        </w:tc>
        <w:tc>
          <w:tcPr>
            <w:tcW w:w="1092" w:type="dxa"/>
          </w:tcPr>
          <w:p w14:paraId="6E8645E1" w14:textId="77777777" w:rsidR="005628F5" w:rsidRPr="00F02A28" w:rsidRDefault="005628F5" w:rsidP="00DB49DC">
            <w:pPr>
              <w:rPr>
                <w:rFonts w:asciiTheme="minorHAnsi" w:hAnsiTheme="minorHAnsi" w:cstheme="minorHAnsi"/>
                <w:color w:val="000000" w:themeColor="text1"/>
                <w:sz w:val="18"/>
                <w:szCs w:val="18"/>
              </w:rPr>
            </w:pPr>
            <w:r w:rsidRPr="00F02A28">
              <w:rPr>
                <w:rFonts w:asciiTheme="minorHAnsi" w:hAnsiTheme="minorHAnsi" w:cstheme="minorHAnsi"/>
                <w:color w:val="000000" w:themeColor="text1"/>
                <w:sz w:val="18"/>
                <w:szCs w:val="18"/>
              </w:rPr>
              <w:t xml:space="preserve">All sites, Norplant </w:t>
            </w:r>
            <w:proofErr w:type="spellStart"/>
            <w:r w:rsidRPr="00F02A28">
              <w:rPr>
                <w:rFonts w:asciiTheme="minorHAnsi" w:hAnsiTheme="minorHAnsi" w:cstheme="minorHAnsi"/>
                <w:color w:val="000000" w:themeColor="text1"/>
                <w:sz w:val="18"/>
                <w:szCs w:val="18"/>
              </w:rPr>
              <w:t>aOR</w:t>
            </w:r>
            <w:proofErr w:type="spellEnd"/>
            <w:r w:rsidRPr="00F02A28">
              <w:rPr>
                <w:rFonts w:asciiTheme="minorHAnsi" w:hAnsiTheme="minorHAnsi" w:cstheme="minorHAnsi"/>
                <w:color w:val="000000" w:themeColor="text1"/>
                <w:sz w:val="18"/>
                <w:szCs w:val="18"/>
              </w:rPr>
              <w:t>: NR (ns)</w:t>
            </w:r>
          </w:p>
          <w:p w14:paraId="3033ABF2" w14:textId="77777777" w:rsidR="005628F5" w:rsidRPr="00F02A28" w:rsidRDefault="005628F5" w:rsidP="00DB49DC">
            <w:pPr>
              <w:rPr>
                <w:rFonts w:asciiTheme="minorHAnsi" w:hAnsiTheme="minorHAnsi" w:cstheme="minorHAnsi"/>
                <w:color w:val="000000" w:themeColor="text1"/>
                <w:sz w:val="18"/>
                <w:szCs w:val="18"/>
              </w:rPr>
            </w:pPr>
          </w:p>
        </w:tc>
      </w:tr>
    </w:tbl>
    <w:p w14:paraId="56342B69" w14:textId="77777777" w:rsidR="005628F5" w:rsidRDefault="005628F5" w:rsidP="005628F5">
      <w:pPr>
        <w:rPr>
          <w:rFonts w:asciiTheme="minorHAnsi" w:hAnsiTheme="minorHAnsi" w:cstheme="minorHAnsi"/>
          <w:sz w:val="18"/>
          <w:szCs w:val="18"/>
        </w:rPr>
      </w:pPr>
      <w:r w:rsidRPr="002811E0">
        <w:rPr>
          <w:rFonts w:asciiTheme="minorHAnsi" w:hAnsiTheme="minorHAnsi" w:cstheme="minorHAnsi"/>
          <w:color w:val="000000" w:themeColor="text1"/>
          <w:sz w:val="18"/>
          <w:szCs w:val="18"/>
        </w:rPr>
        <w:t>Notes:</w:t>
      </w:r>
      <w:r>
        <w:rPr>
          <w:rFonts w:asciiTheme="minorHAnsi" w:hAnsiTheme="minorHAnsi" w:cstheme="minorHAnsi"/>
          <w:color w:val="000000" w:themeColor="text1"/>
          <w:sz w:val="18"/>
          <w:szCs w:val="18"/>
          <w:vertAlign w:val="superscript"/>
        </w:rPr>
        <w:t xml:space="preserve"> </w:t>
      </w:r>
      <w:r w:rsidRPr="00010F3C">
        <w:rPr>
          <w:rFonts w:asciiTheme="minorHAnsi" w:hAnsiTheme="minorHAnsi" w:cstheme="minorHAnsi"/>
          <w:sz w:val="18"/>
          <w:szCs w:val="18"/>
        </w:rPr>
        <w:t>PY: person-years at risk</w:t>
      </w:r>
      <w:r>
        <w:rPr>
          <w:rFonts w:asciiTheme="minorHAnsi" w:hAnsiTheme="minorHAnsi" w:cstheme="minorHAnsi"/>
          <w:sz w:val="18"/>
          <w:szCs w:val="18"/>
        </w:rPr>
        <w:t>.</w:t>
      </w:r>
      <w:r w:rsidRPr="00010F3C">
        <w:rPr>
          <w:rFonts w:asciiTheme="minorHAnsi" w:hAnsiTheme="minorHAnsi" w:cstheme="minorHAnsi"/>
          <w:color w:val="000000" w:themeColor="text1"/>
          <w:sz w:val="18"/>
          <w:szCs w:val="18"/>
          <w:vertAlign w:val="superscript"/>
        </w:rPr>
        <w:t xml:space="preserve"> </w:t>
      </w:r>
      <w:r w:rsidRPr="00010F3C">
        <w:rPr>
          <w:rFonts w:asciiTheme="minorHAnsi" w:hAnsiTheme="minorHAnsi" w:cstheme="minorHAnsi"/>
          <w:sz w:val="18"/>
          <w:szCs w:val="18"/>
        </w:rPr>
        <w:t>* Statistically significant at p&lt;0.05.</w:t>
      </w:r>
      <w:r>
        <w:rPr>
          <w:rFonts w:asciiTheme="minorHAnsi" w:hAnsiTheme="minorHAnsi" w:cstheme="minorHAnsi"/>
          <w:sz w:val="18"/>
          <w:szCs w:val="18"/>
        </w:rPr>
        <w:t xml:space="preserve"> </w:t>
      </w:r>
    </w:p>
    <w:p w14:paraId="2A7231D7" w14:textId="77777777" w:rsidR="005628F5" w:rsidRPr="00010F3C" w:rsidRDefault="005628F5" w:rsidP="005628F5">
      <w:pPr>
        <w:rPr>
          <w:rFonts w:asciiTheme="minorHAnsi" w:hAnsiTheme="minorHAnsi" w:cstheme="minorHAnsi"/>
          <w:color w:val="000000" w:themeColor="text1"/>
          <w:sz w:val="18"/>
          <w:szCs w:val="18"/>
          <w:vertAlign w:val="superscript"/>
        </w:rPr>
      </w:pPr>
      <w:r w:rsidRPr="00010F3C">
        <w:rPr>
          <w:rFonts w:asciiTheme="minorHAnsi" w:hAnsiTheme="minorHAnsi" w:cstheme="minorHAnsi"/>
          <w:color w:val="000000" w:themeColor="text1"/>
          <w:sz w:val="18"/>
          <w:szCs w:val="18"/>
          <w:vertAlign w:val="superscript"/>
        </w:rPr>
        <w:t xml:space="preserve">a </w:t>
      </w:r>
      <w:r w:rsidRPr="00010F3C">
        <w:rPr>
          <w:rFonts w:asciiTheme="minorHAnsi" w:hAnsiTheme="minorHAnsi" w:cstheme="minorHAnsi"/>
          <w:sz w:val="18"/>
          <w:szCs w:val="18"/>
        </w:rPr>
        <w:t>OC</w:t>
      </w:r>
      <w:r>
        <w:rPr>
          <w:rFonts w:asciiTheme="minorHAnsi" w:hAnsiTheme="minorHAnsi" w:cstheme="minorHAnsi"/>
          <w:sz w:val="18"/>
          <w:szCs w:val="18"/>
        </w:rPr>
        <w:t>P</w:t>
      </w:r>
      <w:r w:rsidRPr="00010F3C">
        <w:rPr>
          <w:rFonts w:asciiTheme="minorHAnsi" w:hAnsiTheme="minorHAnsi" w:cstheme="minorHAnsi"/>
          <w:sz w:val="18"/>
          <w:szCs w:val="18"/>
        </w:rPr>
        <w:t xml:space="preserve"> </w:t>
      </w:r>
      <w:r>
        <w:rPr>
          <w:rFonts w:asciiTheme="minorHAnsi" w:hAnsiTheme="minorHAnsi" w:cstheme="minorHAnsi"/>
          <w:sz w:val="18"/>
          <w:szCs w:val="18"/>
        </w:rPr>
        <w:t xml:space="preserve">type </w:t>
      </w:r>
      <w:r w:rsidRPr="00010F3C">
        <w:rPr>
          <w:rFonts w:asciiTheme="minorHAnsi" w:hAnsiTheme="minorHAnsi" w:cstheme="minorHAnsi"/>
          <w:sz w:val="18"/>
          <w:szCs w:val="18"/>
        </w:rPr>
        <w:t xml:space="preserve">was unspecified unless COC </w:t>
      </w:r>
      <w:r>
        <w:rPr>
          <w:rFonts w:asciiTheme="minorHAnsi" w:hAnsiTheme="minorHAnsi" w:cstheme="minorHAnsi"/>
          <w:sz w:val="18"/>
          <w:szCs w:val="18"/>
        </w:rPr>
        <w:t>(</w:t>
      </w:r>
      <w:r w:rsidRPr="00010F3C">
        <w:rPr>
          <w:rFonts w:asciiTheme="minorHAnsi" w:hAnsiTheme="minorHAnsi" w:cstheme="minorHAnsi"/>
          <w:sz w:val="18"/>
          <w:szCs w:val="18"/>
        </w:rPr>
        <w:t>combined oral contraception</w:t>
      </w:r>
      <w:r>
        <w:rPr>
          <w:rFonts w:asciiTheme="minorHAnsi" w:hAnsiTheme="minorHAnsi" w:cstheme="minorHAnsi"/>
          <w:sz w:val="18"/>
          <w:szCs w:val="18"/>
        </w:rPr>
        <w:t>) or POP (progestin-only pill</w:t>
      </w:r>
      <w:r w:rsidRPr="00010F3C">
        <w:rPr>
          <w:rFonts w:asciiTheme="minorHAnsi" w:hAnsiTheme="minorHAnsi" w:cstheme="minorHAnsi"/>
          <w:sz w:val="18"/>
          <w:szCs w:val="18"/>
        </w:rPr>
        <w:t xml:space="preserve">) is noted. </w:t>
      </w:r>
    </w:p>
    <w:p w14:paraId="79EEBEA6" w14:textId="77777777" w:rsidR="005628F5" w:rsidRPr="00010F3C" w:rsidRDefault="005628F5" w:rsidP="005628F5">
      <w:pPr>
        <w:rPr>
          <w:rFonts w:asciiTheme="minorHAnsi" w:hAnsiTheme="minorHAnsi" w:cstheme="minorHAnsi"/>
          <w:b/>
          <w:sz w:val="18"/>
          <w:szCs w:val="18"/>
        </w:rPr>
      </w:pPr>
      <w:r w:rsidRPr="00F77DB6">
        <w:rPr>
          <w:rFonts w:asciiTheme="minorHAnsi" w:hAnsiTheme="minorHAnsi" w:cstheme="minorHAnsi"/>
          <w:sz w:val="18"/>
          <w:szCs w:val="18"/>
          <w:vertAlign w:val="superscript"/>
        </w:rPr>
        <w:t>b</w:t>
      </w:r>
      <w:r w:rsidRPr="00010F3C">
        <w:rPr>
          <w:rFonts w:asciiTheme="minorHAnsi" w:hAnsiTheme="minorHAnsi" w:cstheme="minorHAnsi"/>
          <w:i/>
          <w:sz w:val="18"/>
          <w:szCs w:val="18"/>
          <w:vertAlign w:val="superscript"/>
        </w:rPr>
        <w:t xml:space="preserve"> </w:t>
      </w:r>
      <w:r w:rsidRPr="00010F3C">
        <w:rPr>
          <w:rFonts w:asciiTheme="minorHAnsi" w:hAnsiTheme="minorHAnsi" w:cstheme="minorHAnsi"/>
          <w:sz w:val="18"/>
          <w:szCs w:val="18"/>
        </w:rPr>
        <w:t>Multiple incident cases per woman were allowed; included positive serology results from baseline, incident cases defined as a positive test following a negative test.</w:t>
      </w:r>
    </w:p>
    <w:p w14:paraId="5714D353" w14:textId="77777777" w:rsidR="005628F5" w:rsidRPr="00010F3C" w:rsidRDefault="005628F5" w:rsidP="005628F5">
      <w:pPr>
        <w:rPr>
          <w:rFonts w:asciiTheme="minorHAnsi" w:hAnsiTheme="minorHAnsi" w:cstheme="minorHAnsi"/>
          <w:sz w:val="20"/>
          <w:szCs w:val="18"/>
        </w:rPr>
      </w:pPr>
      <w:bookmarkStart w:id="0" w:name="_GoBack"/>
      <w:bookmarkEnd w:id="0"/>
    </w:p>
    <w:sectPr w:rsidR="005628F5" w:rsidRPr="00010F3C" w:rsidSect="005628F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F5"/>
    <w:rsid w:val="00137E50"/>
    <w:rsid w:val="001C1BDE"/>
    <w:rsid w:val="002A1D9C"/>
    <w:rsid w:val="003F5C4C"/>
    <w:rsid w:val="005628F5"/>
    <w:rsid w:val="00894BCC"/>
    <w:rsid w:val="008D746A"/>
    <w:rsid w:val="00932AA5"/>
    <w:rsid w:val="00D750DE"/>
    <w:rsid w:val="00E327DB"/>
    <w:rsid w:val="00F0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4CDD"/>
  <w15:chartTrackingRefBased/>
  <w15:docId w15:val="{4166EC44-04DB-4D84-B5A4-0CFCFB5F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8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628F5"/>
    <w:rPr>
      <w:rFonts w:ascii="Times" w:eastAsiaTheme="minorHAnsi" w:hAnsi="Times"/>
      <w:sz w:val="14"/>
      <w:szCs w:val="14"/>
    </w:rPr>
  </w:style>
  <w:style w:type="table" w:styleId="TableGrid">
    <w:name w:val="Table Grid"/>
    <w:basedOn w:val="TableNormal"/>
    <w:uiPriority w:val="39"/>
    <w:rsid w:val="005628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Detweiler, Rachelle</dc:creator>
  <cp:keywords/>
  <dc:description/>
  <cp:lastModifiedBy>Stevens, Emily</cp:lastModifiedBy>
  <cp:revision>2</cp:revision>
  <dcterms:created xsi:type="dcterms:W3CDTF">2019-03-26T18:01:00Z</dcterms:created>
  <dcterms:modified xsi:type="dcterms:W3CDTF">2019-03-26T18:01:00Z</dcterms:modified>
</cp:coreProperties>
</file>