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42AD4" w14:textId="77777777" w:rsidR="00D0180F" w:rsidRPr="0024409C" w:rsidRDefault="00D0180F" w:rsidP="00D0180F">
      <w:pPr>
        <w:pBdr>
          <w:top w:val="single" w:sz="4" w:space="1" w:color="auto"/>
        </w:pBdr>
        <w:spacing w:line="276" w:lineRule="auto"/>
        <w:rPr>
          <w:rFonts w:ascii="Helvetica Neue" w:hAnsi="Helvetica Neue"/>
          <w:b/>
          <w:sz w:val="28"/>
          <w:szCs w:val="21"/>
        </w:rPr>
      </w:pPr>
    </w:p>
    <w:p w14:paraId="5DED7778" w14:textId="0538A2EC" w:rsidR="00C761A4" w:rsidRPr="00C761A4" w:rsidRDefault="00571622" w:rsidP="00C761A4">
      <w:pPr>
        <w:pStyle w:val="p1"/>
        <w:rPr>
          <w:rFonts w:ascii="Helvetica Neue" w:hAnsi="Helvetica Neue" w:cs="Arial"/>
          <w:b/>
          <w:color w:val="auto"/>
          <w:sz w:val="36"/>
          <w:szCs w:val="36"/>
        </w:rPr>
      </w:pPr>
      <w:r>
        <w:rPr>
          <w:rFonts w:ascii="Helvetica Neue" w:hAnsi="Helvetica Neue" w:cs="Arial"/>
          <w:b/>
          <w:color w:val="auto"/>
          <w:sz w:val="36"/>
          <w:szCs w:val="36"/>
        </w:rPr>
        <w:t xml:space="preserve">Epidemiological Impact of Expedited Partner Therapy for Men Who Have Sex </w:t>
      </w:r>
      <w:proofErr w:type="gramStart"/>
      <w:r>
        <w:rPr>
          <w:rFonts w:ascii="Helvetica Neue" w:hAnsi="Helvetica Neue" w:cs="Arial"/>
          <w:b/>
          <w:color w:val="auto"/>
          <w:sz w:val="36"/>
          <w:szCs w:val="36"/>
        </w:rPr>
        <w:t>With</w:t>
      </w:r>
      <w:proofErr w:type="gramEnd"/>
      <w:r>
        <w:rPr>
          <w:rFonts w:ascii="Helvetica Neue" w:hAnsi="Helvetica Neue" w:cs="Arial"/>
          <w:b/>
          <w:color w:val="auto"/>
          <w:sz w:val="36"/>
          <w:szCs w:val="36"/>
        </w:rPr>
        <w:t xml:space="preserve"> Men: A Modeling Study</w:t>
      </w:r>
    </w:p>
    <w:p w14:paraId="67FD5ED7" w14:textId="77777777" w:rsidR="009B3BB0" w:rsidRPr="00FB4DEC" w:rsidRDefault="009B3BB0" w:rsidP="00D0180F">
      <w:pPr>
        <w:spacing w:line="276" w:lineRule="auto"/>
        <w:rPr>
          <w:rFonts w:ascii="Helvetica Neue" w:hAnsi="Helvetica Neue" w:cs="Helvetica"/>
          <w:b/>
          <w:sz w:val="28"/>
          <w:szCs w:val="21"/>
        </w:rPr>
      </w:pPr>
    </w:p>
    <w:p w14:paraId="1D356BD0" w14:textId="77777777"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Kevin M. Weiss, MPH </w:t>
      </w:r>
      <w:r w:rsidRPr="00F70D6E">
        <w:rPr>
          <w:rFonts w:ascii="Helvetica Neue" w:hAnsi="Helvetica Neue" w:cs="Times New Roman"/>
          <w:sz w:val="20"/>
          <w:szCs w:val="20"/>
          <w:vertAlign w:val="superscript"/>
        </w:rPr>
        <w:t>1</w:t>
      </w:r>
    </w:p>
    <w:p w14:paraId="2575DCC3" w14:textId="77777777"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Jeb S. Jones, PhD </w:t>
      </w:r>
      <w:r w:rsidRPr="00F70D6E">
        <w:rPr>
          <w:rFonts w:ascii="Helvetica Neue" w:hAnsi="Helvetica Neue" w:cs="Times New Roman"/>
          <w:sz w:val="20"/>
          <w:szCs w:val="20"/>
          <w:vertAlign w:val="superscript"/>
        </w:rPr>
        <w:t>1</w:t>
      </w:r>
    </w:p>
    <w:p w14:paraId="35A2E248" w14:textId="77777777"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David A. Katz, PhD </w:t>
      </w:r>
      <w:r w:rsidRPr="00F70D6E">
        <w:rPr>
          <w:rFonts w:ascii="Helvetica Neue" w:hAnsi="Helvetica Neue" w:cs="Times New Roman"/>
          <w:sz w:val="20"/>
          <w:szCs w:val="20"/>
          <w:vertAlign w:val="superscript"/>
        </w:rPr>
        <w:t>2</w:t>
      </w:r>
      <w:proofErr w:type="gramStart"/>
      <w:r w:rsidRPr="00F70D6E">
        <w:rPr>
          <w:rFonts w:ascii="Helvetica Neue" w:hAnsi="Helvetica Neue" w:cs="Times New Roman"/>
          <w:sz w:val="20"/>
          <w:szCs w:val="20"/>
          <w:vertAlign w:val="superscript"/>
        </w:rPr>
        <w:t>,3</w:t>
      </w:r>
      <w:proofErr w:type="gramEnd"/>
    </w:p>
    <w:p w14:paraId="44CFBBE6" w14:textId="77777777" w:rsidR="00F70D6E" w:rsidRPr="00F70D6E" w:rsidRDefault="00F70D6E" w:rsidP="00F70D6E">
      <w:pPr>
        <w:pStyle w:val="BodyA"/>
        <w:rPr>
          <w:rFonts w:ascii="Helvetica Neue" w:hAnsi="Helvetica Neue" w:cs="Times New Roman"/>
          <w:sz w:val="20"/>
          <w:szCs w:val="20"/>
        </w:rPr>
      </w:pPr>
      <w:r w:rsidRPr="00F70D6E">
        <w:rPr>
          <w:rFonts w:ascii="Helvetica Neue" w:hAnsi="Helvetica Neue" w:cs="Times New Roman"/>
          <w:sz w:val="20"/>
          <w:szCs w:val="20"/>
        </w:rPr>
        <w:t xml:space="preserve">Thomas L. Gift, PhD </w:t>
      </w:r>
      <w:r w:rsidRPr="00F70D6E">
        <w:rPr>
          <w:rFonts w:ascii="Helvetica Neue" w:hAnsi="Helvetica Neue" w:cs="Times New Roman"/>
          <w:sz w:val="20"/>
          <w:szCs w:val="20"/>
          <w:vertAlign w:val="superscript"/>
        </w:rPr>
        <w:t>4</w:t>
      </w:r>
    </w:p>
    <w:p w14:paraId="706834ED" w14:textId="77777777" w:rsidR="00F70D6E" w:rsidRPr="00F70D6E" w:rsidRDefault="00F70D6E" w:rsidP="00F70D6E">
      <w:pPr>
        <w:pStyle w:val="BodyA"/>
        <w:rPr>
          <w:rFonts w:ascii="Helvetica Neue" w:hAnsi="Helvetica Neue" w:cs="Times New Roman"/>
          <w:sz w:val="20"/>
          <w:szCs w:val="20"/>
        </w:rPr>
      </w:pPr>
      <w:r w:rsidRPr="00F70D6E">
        <w:rPr>
          <w:rFonts w:ascii="Helvetica Neue" w:hAnsi="Helvetica Neue" w:cs="Times New Roman"/>
          <w:sz w:val="20"/>
          <w:szCs w:val="20"/>
        </w:rPr>
        <w:t xml:space="preserve">Kyle Bernstein, PhD </w:t>
      </w:r>
      <w:r w:rsidRPr="00F70D6E">
        <w:rPr>
          <w:rFonts w:ascii="Helvetica Neue" w:hAnsi="Helvetica Neue" w:cs="Times New Roman"/>
          <w:sz w:val="20"/>
          <w:szCs w:val="20"/>
          <w:vertAlign w:val="superscript"/>
        </w:rPr>
        <w:t>4</w:t>
      </w:r>
      <w:r w:rsidRPr="00F70D6E">
        <w:rPr>
          <w:rFonts w:ascii="Helvetica Neue" w:hAnsi="Helvetica Neue" w:cs="Times New Roman"/>
          <w:sz w:val="20"/>
          <w:szCs w:val="20"/>
        </w:rPr>
        <w:t xml:space="preserve"> </w:t>
      </w:r>
    </w:p>
    <w:p w14:paraId="68C36826" w14:textId="77777777"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Kimberly </w:t>
      </w:r>
      <w:proofErr w:type="spellStart"/>
      <w:r w:rsidRPr="00F70D6E">
        <w:rPr>
          <w:rFonts w:ascii="Helvetica Neue" w:hAnsi="Helvetica Neue" w:cs="Times New Roman"/>
          <w:sz w:val="20"/>
          <w:szCs w:val="20"/>
        </w:rPr>
        <w:t>Workowski</w:t>
      </w:r>
      <w:proofErr w:type="spellEnd"/>
      <w:r w:rsidRPr="00F70D6E">
        <w:rPr>
          <w:rFonts w:ascii="Helvetica Neue" w:hAnsi="Helvetica Neue" w:cs="Times New Roman"/>
          <w:sz w:val="20"/>
          <w:szCs w:val="20"/>
        </w:rPr>
        <w:t xml:space="preserve">, MD </w:t>
      </w:r>
      <w:r w:rsidRPr="00F70D6E">
        <w:rPr>
          <w:rFonts w:ascii="Helvetica Neue" w:hAnsi="Helvetica Neue" w:cs="Times New Roman"/>
          <w:sz w:val="20"/>
          <w:szCs w:val="20"/>
          <w:vertAlign w:val="superscript"/>
        </w:rPr>
        <w:t>4</w:t>
      </w:r>
      <w:proofErr w:type="gramStart"/>
      <w:r w:rsidRPr="00F70D6E">
        <w:rPr>
          <w:rFonts w:ascii="Helvetica Neue" w:hAnsi="Helvetica Neue" w:cs="Times New Roman"/>
          <w:sz w:val="20"/>
          <w:szCs w:val="20"/>
          <w:vertAlign w:val="superscript"/>
        </w:rPr>
        <w:t>,5</w:t>
      </w:r>
      <w:proofErr w:type="gramEnd"/>
    </w:p>
    <w:p w14:paraId="2B7F63FB" w14:textId="77777777"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Eli S. Rosenberg, PhD </w:t>
      </w:r>
      <w:r w:rsidRPr="00F70D6E">
        <w:rPr>
          <w:rFonts w:ascii="Helvetica Neue" w:hAnsi="Helvetica Neue" w:cs="Times New Roman"/>
          <w:sz w:val="20"/>
          <w:szCs w:val="20"/>
          <w:vertAlign w:val="superscript"/>
        </w:rPr>
        <w:t>1</w:t>
      </w:r>
      <w:proofErr w:type="gramStart"/>
      <w:r w:rsidRPr="00F70D6E">
        <w:rPr>
          <w:rFonts w:ascii="Helvetica Neue" w:hAnsi="Helvetica Neue" w:cs="Times New Roman"/>
          <w:sz w:val="20"/>
          <w:szCs w:val="20"/>
          <w:vertAlign w:val="superscript"/>
        </w:rPr>
        <w:t>,6</w:t>
      </w:r>
      <w:proofErr w:type="gramEnd"/>
    </w:p>
    <w:p w14:paraId="512B566B" w14:textId="5B36DEAB" w:rsidR="00F70D6E" w:rsidRPr="00F70D6E" w:rsidRDefault="00F70D6E" w:rsidP="00F70D6E">
      <w:pPr>
        <w:pStyle w:val="BodyA"/>
        <w:rPr>
          <w:rFonts w:ascii="Helvetica Neue" w:hAnsi="Helvetica Neue" w:cs="Times New Roman"/>
          <w:sz w:val="20"/>
          <w:szCs w:val="20"/>
          <w:vertAlign w:val="superscript"/>
        </w:rPr>
      </w:pPr>
      <w:r w:rsidRPr="00F70D6E">
        <w:rPr>
          <w:rFonts w:ascii="Helvetica Neue" w:hAnsi="Helvetica Neue" w:cs="Times New Roman"/>
          <w:sz w:val="20"/>
          <w:szCs w:val="20"/>
        </w:rPr>
        <w:t xml:space="preserve">Samuel M. </w:t>
      </w:r>
      <w:proofErr w:type="spellStart"/>
      <w:r w:rsidRPr="00F70D6E">
        <w:rPr>
          <w:rFonts w:ascii="Helvetica Neue" w:hAnsi="Helvetica Neue" w:cs="Times New Roman"/>
          <w:sz w:val="20"/>
          <w:szCs w:val="20"/>
        </w:rPr>
        <w:t>Jenness</w:t>
      </w:r>
      <w:proofErr w:type="spellEnd"/>
      <w:r w:rsidRPr="00F70D6E">
        <w:rPr>
          <w:rFonts w:ascii="Helvetica Neue" w:hAnsi="Helvetica Neue" w:cs="Times New Roman"/>
          <w:sz w:val="20"/>
          <w:szCs w:val="20"/>
        </w:rPr>
        <w:t xml:space="preserve">, PhD </w:t>
      </w:r>
      <w:r w:rsidRPr="00F70D6E">
        <w:rPr>
          <w:rFonts w:ascii="Helvetica Neue" w:hAnsi="Helvetica Neue" w:cs="Times New Roman"/>
          <w:sz w:val="20"/>
          <w:szCs w:val="20"/>
          <w:vertAlign w:val="superscript"/>
        </w:rPr>
        <w:t>1</w:t>
      </w:r>
    </w:p>
    <w:p w14:paraId="6309214F" w14:textId="77777777" w:rsidR="00F70D6E" w:rsidRDefault="00F70D6E" w:rsidP="00F70D6E">
      <w:pPr>
        <w:pStyle w:val="BodyA"/>
        <w:rPr>
          <w:rFonts w:ascii="Times New Roman" w:hAnsi="Times New Roman" w:cs="Times New Roman"/>
        </w:rPr>
      </w:pPr>
    </w:p>
    <w:p w14:paraId="41980700" w14:textId="77777777" w:rsidR="00F70D6E" w:rsidRPr="00F70D6E" w:rsidRDefault="00F70D6E" w:rsidP="00F70D6E">
      <w:pPr>
        <w:pStyle w:val="Body"/>
        <w:spacing w:line="276" w:lineRule="auto"/>
        <w:rPr>
          <w:rFonts w:ascii="Helvetica Neue" w:hAnsi="Helvetica Neue" w:cs="Arial"/>
          <w:color w:val="auto"/>
          <w:sz w:val="20"/>
          <w:szCs w:val="20"/>
        </w:rPr>
      </w:pPr>
      <w:r w:rsidRPr="00F70D6E">
        <w:rPr>
          <w:rFonts w:ascii="Helvetica Neue" w:hAnsi="Helvetica Neue" w:cs="Arial"/>
          <w:color w:val="auto"/>
          <w:sz w:val="20"/>
          <w:szCs w:val="20"/>
          <w:vertAlign w:val="superscript"/>
        </w:rPr>
        <w:t xml:space="preserve">1 </w:t>
      </w:r>
      <w:r w:rsidRPr="00F70D6E">
        <w:rPr>
          <w:rFonts w:ascii="Helvetica Neue" w:hAnsi="Helvetica Neue" w:cs="Arial"/>
          <w:color w:val="auto"/>
          <w:sz w:val="20"/>
          <w:szCs w:val="20"/>
        </w:rPr>
        <w:t>Department of Epidemiology, Emory University, Atlanta, GA</w:t>
      </w:r>
    </w:p>
    <w:p w14:paraId="00517122" w14:textId="77777777" w:rsidR="00F70D6E" w:rsidRPr="00F70D6E" w:rsidRDefault="00F70D6E" w:rsidP="00F70D6E">
      <w:pPr>
        <w:pStyle w:val="Body"/>
        <w:spacing w:line="276" w:lineRule="auto"/>
        <w:rPr>
          <w:rFonts w:ascii="Helvetica Neue" w:hAnsi="Helvetica Neue" w:cs="Arial"/>
          <w:color w:val="auto"/>
          <w:sz w:val="20"/>
          <w:szCs w:val="20"/>
        </w:rPr>
      </w:pPr>
      <w:r w:rsidRPr="00F70D6E">
        <w:rPr>
          <w:rFonts w:ascii="Helvetica Neue" w:hAnsi="Helvetica Neue" w:cs="Arial"/>
          <w:color w:val="auto"/>
          <w:sz w:val="20"/>
          <w:szCs w:val="20"/>
          <w:vertAlign w:val="superscript"/>
        </w:rPr>
        <w:t xml:space="preserve">2 </w:t>
      </w:r>
      <w:proofErr w:type="gramStart"/>
      <w:r w:rsidRPr="00F70D6E">
        <w:rPr>
          <w:rFonts w:ascii="Helvetica Neue" w:hAnsi="Helvetica Neue" w:cs="Arial"/>
          <w:color w:val="auto"/>
          <w:sz w:val="20"/>
          <w:szCs w:val="20"/>
        </w:rPr>
        <w:t>Department</w:t>
      </w:r>
      <w:proofErr w:type="gramEnd"/>
      <w:r w:rsidRPr="00F70D6E">
        <w:rPr>
          <w:rFonts w:ascii="Helvetica Neue" w:hAnsi="Helvetica Neue" w:cs="Arial"/>
          <w:color w:val="auto"/>
          <w:sz w:val="20"/>
          <w:szCs w:val="20"/>
        </w:rPr>
        <w:t xml:space="preserve"> of Global Health, University of Washington, Seattle, WA.</w:t>
      </w:r>
    </w:p>
    <w:p w14:paraId="4F6DC891" w14:textId="77777777" w:rsidR="00F70D6E" w:rsidRPr="00F70D6E" w:rsidRDefault="00F70D6E" w:rsidP="00F70D6E">
      <w:pPr>
        <w:pStyle w:val="Body"/>
        <w:spacing w:line="276" w:lineRule="auto"/>
        <w:rPr>
          <w:rFonts w:ascii="Helvetica Neue" w:hAnsi="Helvetica Neue" w:cs="Arial"/>
          <w:color w:val="auto"/>
          <w:sz w:val="20"/>
          <w:szCs w:val="20"/>
        </w:rPr>
      </w:pPr>
      <w:proofErr w:type="gramStart"/>
      <w:r w:rsidRPr="00F70D6E">
        <w:rPr>
          <w:rFonts w:ascii="Helvetica Neue" w:hAnsi="Helvetica Neue" w:cs="Arial"/>
          <w:color w:val="auto"/>
          <w:sz w:val="20"/>
          <w:szCs w:val="20"/>
          <w:vertAlign w:val="superscript"/>
        </w:rPr>
        <w:t xml:space="preserve">3 </w:t>
      </w:r>
      <w:r w:rsidRPr="00F70D6E">
        <w:rPr>
          <w:rFonts w:ascii="Helvetica Neue" w:hAnsi="Helvetica Neue" w:cs="Arial"/>
          <w:color w:val="auto"/>
          <w:sz w:val="20"/>
          <w:szCs w:val="20"/>
        </w:rPr>
        <w:t>HIV/STD Program, Public Health-Seattle &amp; King County, Seattle, WA.</w:t>
      </w:r>
      <w:proofErr w:type="gramEnd"/>
    </w:p>
    <w:p w14:paraId="41B44AC1" w14:textId="77777777" w:rsidR="00F70D6E" w:rsidRPr="00F70D6E" w:rsidRDefault="00F70D6E" w:rsidP="00F70D6E">
      <w:pPr>
        <w:pStyle w:val="Body"/>
        <w:spacing w:line="276" w:lineRule="auto"/>
        <w:rPr>
          <w:rFonts w:ascii="Helvetica Neue" w:hAnsi="Helvetica Neue" w:cs="Arial"/>
          <w:color w:val="auto"/>
          <w:sz w:val="20"/>
          <w:szCs w:val="20"/>
        </w:rPr>
      </w:pPr>
      <w:r w:rsidRPr="00F70D6E">
        <w:rPr>
          <w:rFonts w:ascii="Helvetica Neue" w:hAnsi="Helvetica Neue" w:cs="Arial"/>
          <w:color w:val="auto"/>
          <w:sz w:val="20"/>
          <w:szCs w:val="20"/>
          <w:vertAlign w:val="superscript"/>
        </w:rPr>
        <w:t xml:space="preserve">4 </w:t>
      </w:r>
      <w:r w:rsidRPr="00F70D6E">
        <w:rPr>
          <w:rFonts w:ascii="Helvetica Neue" w:hAnsi="Helvetica Neue" w:cs="Arial"/>
          <w:color w:val="auto"/>
          <w:sz w:val="20"/>
          <w:szCs w:val="20"/>
        </w:rPr>
        <w:t>Division of STD Prevention, Centers for Disease Control and Prevention, Atlanta, GA</w:t>
      </w:r>
    </w:p>
    <w:p w14:paraId="3CA49B71" w14:textId="77777777" w:rsidR="00F70D6E" w:rsidRPr="00F70D6E" w:rsidRDefault="00F70D6E" w:rsidP="00F70D6E">
      <w:pPr>
        <w:pStyle w:val="Body"/>
        <w:spacing w:line="276" w:lineRule="auto"/>
        <w:rPr>
          <w:rFonts w:ascii="Helvetica Neue" w:hAnsi="Helvetica Neue" w:cs="Arial"/>
          <w:color w:val="auto"/>
          <w:sz w:val="20"/>
          <w:szCs w:val="20"/>
          <w:vertAlign w:val="superscript"/>
        </w:rPr>
      </w:pPr>
      <w:r w:rsidRPr="00F70D6E">
        <w:rPr>
          <w:rFonts w:ascii="Helvetica Neue" w:hAnsi="Helvetica Neue" w:cs="Arial"/>
          <w:color w:val="auto"/>
          <w:sz w:val="20"/>
          <w:szCs w:val="20"/>
          <w:vertAlign w:val="superscript"/>
        </w:rPr>
        <w:t xml:space="preserve">5 </w:t>
      </w:r>
      <w:proofErr w:type="gramStart"/>
      <w:r w:rsidRPr="00F70D6E">
        <w:rPr>
          <w:rFonts w:ascii="Helvetica Neue" w:hAnsi="Helvetica Neue" w:cs="Arial"/>
          <w:color w:val="auto"/>
          <w:sz w:val="20"/>
          <w:szCs w:val="20"/>
        </w:rPr>
        <w:t>Department</w:t>
      </w:r>
      <w:proofErr w:type="gramEnd"/>
      <w:r w:rsidRPr="00F70D6E">
        <w:rPr>
          <w:rFonts w:ascii="Helvetica Neue" w:hAnsi="Helvetica Neue" w:cs="Arial"/>
          <w:color w:val="auto"/>
          <w:sz w:val="20"/>
          <w:szCs w:val="20"/>
        </w:rPr>
        <w:t xml:space="preserve"> of Medicine, Emory University, Atlanta, GA.</w:t>
      </w:r>
    </w:p>
    <w:p w14:paraId="7555BB66" w14:textId="11EC02EA" w:rsidR="00D0180F" w:rsidRPr="00F70D6E" w:rsidRDefault="00F70D6E" w:rsidP="00F70D6E">
      <w:pPr>
        <w:pStyle w:val="Body"/>
        <w:spacing w:line="276" w:lineRule="auto"/>
        <w:rPr>
          <w:rFonts w:ascii="Helvetica Neue" w:eastAsia="Arial" w:hAnsi="Helvetica Neue" w:cs="Arial"/>
          <w:i/>
          <w:iCs/>
          <w:sz w:val="16"/>
          <w:szCs w:val="18"/>
        </w:rPr>
      </w:pPr>
      <w:r w:rsidRPr="00F70D6E">
        <w:rPr>
          <w:rFonts w:ascii="Helvetica Neue" w:hAnsi="Helvetica Neue" w:cs="Arial"/>
          <w:color w:val="auto"/>
          <w:sz w:val="20"/>
          <w:szCs w:val="20"/>
          <w:vertAlign w:val="superscript"/>
        </w:rPr>
        <w:t xml:space="preserve">6 </w:t>
      </w:r>
      <w:proofErr w:type="gramStart"/>
      <w:r w:rsidRPr="00F70D6E">
        <w:rPr>
          <w:rFonts w:ascii="Helvetica Neue" w:hAnsi="Helvetica Neue" w:cs="Arial"/>
          <w:color w:val="auto"/>
          <w:sz w:val="20"/>
          <w:szCs w:val="20"/>
        </w:rPr>
        <w:t>Department</w:t>
      </w:r>
      <w:proofErr w:type="gramEnd"/>
      <w:r w:rsidRPr="00F70D6E">
        <w:rPr>
          <w:rFonts w:ascii="Helvetica Neue" w:hAnsi="Helvetica Neue" w:cs="Arial"/>
          <w:color w:val="auto"/>
          <w:sz w:val="20"/>
          <w:szCs w:val="20"/>
        </w:rPr>
        <w:t xml:space="preserve"> of Epidemiology and Biostatistics, University of Albany, Albany, NY</w:t>
      </w:r>
    </w:p>
    <w:p w14:paraId="7E2C3E29" w14:textId="77777777" w:rsidR="009B3BB0" w:rsidRPr="0024409C" w:rsidRDefault="009B3BB0" w:rsidP="00D0180F">
      <w:pPr>
        <w:spacing w:before="120" w:line="360" w:lineRule="auto"/>
        <w:rPr>
          <w:rFonts w:ascii="Helvetica Neue" w:hAnsi="Helvetica Neue"/>
          <w:i/>
          <w:iCs/>
          <w:sz w:val="32"/>
          <w:szCs w:val="21"/>
        </w:rPr>
      </w:pPr>
      <w:r w:rsidRPr="0024409C">
        <w:rPr>
          <w:rFonts w:ascii="Helvetica Neue" w:hAnsi="Helvetica Neue"/>
          <w:i/>
          <w:iCs/>
          <w:sz w:val="32"/>
          <w:szCs w:val="21"/>
        </w:rPr>
        <w:t>Supplementary Technical Appendix</w:t>
      </w:r>
    </w:p>
    <w:p w14:paraId="0259A5DB" w14:textId="77777777" w:rsidR="009B3BB0" w:rsidRPr="0024409C" w:rsidRDefault="009B3BB0" w:rsidP="00D0180F">
      <w:pPr>
        <w:pBdr>
          <w:bottom w:val="single" w:sz="4" w:space="1" w:color="auto"/>
        </w:pBdr>
        <w:spacing w:line="360" w:lineRule="auto"/>
        <w:rPr>
          <w:rFonts w:ascii="Helvetica Neue" w:hAnsi="Helvetica Neue"/>
        </w:rPr>
      </w:pPr>
    </w:p>
    <w:p w14:paraId="750339FA" w14:textId="77777777" w:rsidR="00D0180F" w:rsidRPr="0024409C" w:rsidRDefault="00D0180F" w:rsidP="009B3BB0">
      <w:pPr>
        <w:spacing w:line="360" w:lineRule="auto"/>
        <w:rPr>
          <w:rFonts w:ascii="Helvetica Neue" w:hAnsi="Helvetica Neue"/>
        </w:rPr>
      </w:pPr>
    </w:p>
    <w:p w14:paraId="443C78E2" w14:textId="1A6E6704" w:rsidR="009B3BB0" w:rsidRDefault="009B3BB0" w:rsidP="009B3BB0">
      <w:pPr>
        <w:spacing w:line="360" w:lineRule="auto"/>
        <w:rPr>
          <w:rFonts w:ascii="Helvetica Neue" w:hAnsi="Helvetica Neue"/>
        </w:rPr>
      </w:pPr>
    </w:p>
    <w:p w14:paraId="1872C5B8" w14:textId="6665A318" w:rsidR="0049670D" w:rsidRDefault="0049670D" w:rsidP="009B3BB0">
      <w:pPr>
        <w:spacing w:line="360" w:lineRule="auto"/>
        <w:rPr>
          <w:rFonts w:ascii="Helvetica Neue" w:hAnsi="Helvetica Neue"/>
        </w:rPr>
      </w:pPr>
    </w:p>
    <w:p w14:paraId="642EBDA3" w14:textId="203AD614" w:rsidR="0049670D" w:rsidRDefault="0049670D" w:rsidP="009B3BB0">
      <w:pPr>
        <w:spacing w:line="360" w:lineRule="auto"/>
        <w:rPr>
          <w:rFonts w:ascii="Helvetica Neue" w:hAnsi="Helvetica Neue"/>
        </w:rPr>
      </w:pPr>
    </w:p>
    <w:p w14:paraId="0C33717E" w14:textId="0ADF1049" w:rsidR="0049670D" w:rsidRDefault="0049670D" w:rsidP="009B3BB0">
      <w:pPr>
        <w:spacing w:line="360" w:lineRule="auto"/>
        <w:rPr>
          <w:rFonts w:ascii="Helvetica Neue" w:hAnsi="Helvetica Neue"/>
        </w:rPr>
      </w:pPr>
    </w:p>
    <w:p w14:paraId="2A806C94" w14:textId="0385F08F" w:rsidR="0049670D" w:rsidRDefault="0049670D" w:rsidP="009B3BB0">
      <w:pPr>
        <w:spacing w:line="360" w:lineRule="auto"/>
        <w:rPr>
          <w:rFonts w:ascii="Helvetica Neue" w:hAnsi="Helvetica Neue"/>
        </w:rPr>
      </w:pPr>
    </w:p>
    <w:p w14:paraId="446A4031" w14:textId="6646F653" w:rsidR="0049670D" w:rsidRDefault="0049670D" w:rsidP="009B3BB0">
      <w:pPr>
        <w:spacing w:line="360" w:lineRule="auto"/>
        <w:rPr>
          <w:rFonts w:ascii="Helvetica Neue" w:hAnsi="Helvetica Neue"/>
        </w:rPr>
      </w:pPr>
    </w:p>
    <w:p w14:paraId="4B64CDC1" w14:textId="6A993804" w:rsidR="00D95BFB" w:rsidRDefault="00D95BFB" w:rsidP="009B3BB0">
      <w:pPr>
        <w:spacing w:line="360" w:lineRule="auto"/>
        <w:rPr>
          <w:rFonts w:ascii="Helvetica Neue" w:hAnsi="Helvetica Neue"/>
        </w:rPr>
      </w:pPr>
    </w:p>
    <w:p w14:paraId="1306EAE1" w14:textId="61A1534E" w:rsidR="003B31F1" w:rsidRDefault="003B31F1" w:rsidP="009B3BB0">
      <w:pPr>
        <w:spacing w:line="360" w:lineRule="auto"/>
        <w:rPr>
          <w:rFonts w:ascii="Helvetica Neue" w:hAnsi="Helvetica Neue"/>
        </w:rPr>
      </w:pPr>
    </w:p>
    <w:p w14:paraId="0505D106" w14:textId="3E5E1646" w:rsidR="00F70D6E" w:rsidRDefault="00F70D6E">
      <w:pPr>
        <w:spacing w:after="160" w:line="259" w:lineRule="auto"/>
        <w:rPr>
          <w:rFonts w:ascii="Helvetica Neue" w:hAnsi="Helvetica Neue"/>
        </w:rPr>
      </w:pPr>
      <w:r>
        <w:rPr>
          <w:rFonts w:ascii="Helvetica Neue" w:hAnsi="Helvetica Neue"/>
        </w:rPr>
        <w:br w:type="page"/>
      </w:r>
    </w:p>
    <w:p w14:paraId="5EF64407" w14:textId="77777777" w:rsidR="009B3BB0" w:rsidRPr="0024409C" w:rsidRDefault="009B3BB0" w:rsidP="00564F76">
      <w:pPr>
        <w:spacing w:line="360" w:lineRule="auto"/>
        <w:rPr>
          <w:rFonts w:ascii="Helvetica Neue" w:hAnsi="Helvetica Neue"/>
          <w:b/>
          <w:sz w:val="28"/>
        </w:rPr>
      </w:pPr>
      <w:r w:rsidRPr="0024409C">
        <w:rPr>
          <w:rFonts w:ascii="Helvetica Neue" w:hAnsi="Helvetica Neue"/>
          <w:b/>
          <w:sz w:val="28"/>
        </w:rPr>
        <w:lastRenderedPageBreak/>
        <w:t>TABLE OF CONTENTS</w:t>
      </w:r>
    </w:p>
    <w:p w14:paraId="2D5C401A" w14:textId="52DA139D" w:rsidR="005D79FA" w:rsidRDefault="009B3BB0">
      <w:pPr>
        <w:pStyle w:val="TOC1"/>
        <w:rPr>
          <w:rFonts w:asciiTheme="minorHAnsi" w:eastAsiaTheme="minorEastAsia" w:hAnsiTheme="minorHAnsi" w:cstheme="minorBidi"/>
          <w:b w:val="0"/>
          <w:noProof/>
        </w:rPr>
      </w:pPr>
      <w:r w:rsidRPr="0024409C">
        <w:rPr>
          <w:rFonts w:ascii="Helvetica Neue" w:hAnsi="Helvetica Neue"/>
        </w:rPr>
        <w:fldChar w:fldCharType="begin"/>
      </w:r>
      <w:r w:rsidRPr="0024409C">
        <w:rPr>
          <w:rFonts w:ascii="Helvetica Neue" w:hAnsi="Helvetica Neue"/>
        </w:rPr>
        <w:instrText xml:space="preserve"> TOC \o "1-3" </w:instrText>
      </w:r>
      <w:r w:rsidRPr="0024409C">
        <w:rPr>
          <w:rFonts w:ascii="Helvetica Neue" w:hAnsi="Helvetica Neue"/>
        </w:rPr>
        <w:fldChar w:fldCharType="separate"/>
      </w:r>
      <w:r w:rsidR="005D79FA" w:rsidRPr="007F0E80">
        <w:rPr>
          <w:rFonts w:ascii="Helvetica Neue" w:hAnsi="Helvetica Neue"/>
          <w:noProof/>
        </w:rPr>
        <w:t>1</w:t>
      </w:r>
      <w:r w:rsidR="005D79FA">
        <w:rPr>
          <w:rFonts w:asciiTheme="minorHAnsi" w:eastAsiaTheme="minorEastAsia" w:hAnsiTheme="minorHAnsi" w:cstheme="minorBidi"/>
          <w:b w:val="0"/>
          <w:noProof/>
        </w:rPr>
        <w:tab/>
      </w:r>
      <w:r w:rsidR="005D79FA" w:rsidRPr="007F0E80">
        <w:rPr>
          <w:rFonts w:ascii="Helvetica Neue" w:hAnsi="Helvetica Neue"/>
          <w:noProof/>
        </w:rPr>
        <w:t>INTRODUCTION</w:t>
      </w:r>
      <w:r w:rsidR="005D79FA">
        <w:rPr>
          <w:noProof/>
        </w:rPr>
        <w:tab/>
      </w:r>
      <w:r w:rsidR="005D79FA">
        <w:rPr>
          <w:noProof/>
        </w:rPr>
        <w:fldChar w:fldCharType="begin"/>
      </w:r>
      <w:r w:rsidR="005D79FA">
        <w:rPr>
          <w:noProof/>
        </w:rPr>
        <w:instrText xml:space="preserve"> PAGEREF _Toc2361361 \h </w:instrText>
      </w:r>
      <w:r w:rsidR="005D79FA">
        <w:rPr>
          <w:noProof/>
        </w:rPr>
      </w:r>
      <w:r w:rsidR="005D79FA">
        <w:rPr>
          <w:noProof/>
        </w:rPr>
        <w:fldChar w:fldCharType="separate"/>
      </w:r>
      <w:r w:rsidR="005D79FA">
        <w:rPr>
          <w:noProof/>
        </w:rPr>
        <w:t>4</w:t>
      </w:r>
      <w:r w:rsidR="005D79FA">
        <w:rPr>
          <w:noProof/>
        </w:rPr>
        <w:fldChar w:fldCharType="end"/>
      </w:r>
    </w:p>
    <w:p w14:paraId="4713F2FF" w14:textId="1E4EEE4B"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1.1 </w:t>
      </w:r>
      <w:r>
        <w:rPr>
          <w:rFonts w:asciiTheme="minorHAnsi" w:eastAsiaTheme="minorEastAsia" w:hAnsiTheme="minorHAnsi" w:cstheme="minorBidi"/>
          <w:i w:val="0"/>
          <w:noProof/>
          <w:sz w:val="22"/>
        </w:rPr>
        <w:tab/>
      </w:r>
      <w:r w:rsidRPr="007F0E80">
        <w:rPr>
          <w:rFonts w:ascii="Helvetica Neue" w:hAnsi="Helvetica Neue"/>
          <w:noProof/>
        </w:rPr>
        <w:t>Model Framework</w:t>
      </w:r>
      <w:r>
        <w:rPr>
          <w:noProof/>
        </w:rPr>
        <w:tab/>
      </w:r>
      <w:r>
        <w:rPr>
          <w:noProof/>
        </w:rPr>
        <w:fldChar w:fldCharType="begin"/>
      </w:r>
      <w:r>
        <w:rPr>
          <w:noProof/>
        </w:rPr>
        <w:instrText xml:space="preserve"> PAGEREF _Toc2361362 \h </w:instrText>
      </w:r>
      <w:r>
        <w:rPr>
          <w:noProof/>
        </w:rPr>
      </w:r>
      <w:r>
        <w:rPr>
          <w:noProof/>
        </w:rPr>
        <w:fldChar w:fldCharType="separate"/>
      </w:r>
      <w:r>
        <w:rPr>
          <w:noProof/>
        </w:rPr>
        <w:t>4</w:t>
      </w:r>
      <w:r>
        <w:rPr>
          <w:noProof/>
        </w:rPr>
        <w:fldChar w:fldCharType="end"/>
      </w:r>
    </w:p>
    <w:p w14:paraId="635DFA66" w14:textId="1D65F8C1"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w:t>
      </w:r>
      <w:r>
        <w:rPr>
          <w:rFonts w:asciiTheme="minorHAnsi" w:eastAsiaTheme="minorEastAsia" w:hAnsiTheme="minorHAnsi" w:cstheme="minorBidi"/>
          <w:i w:val="0"/>
          <w:noProof/>
          <w:sz w:val="22"/>
        </w:rPr>
        <w:tab/>
      </w:r>
      <w:r w:rsidRPr="007F0E80">
        <w:rPr>
          <w:rFonts w:ascii="Helvetica Neue" w:hAnsi="Helvetica Neue"/>
          <w:noProof/>
        </w:rPr>
        <w:t>Model Software</w:t>
      </w:r>
      <w:r>
        <w:rPr>
          <w:noProof/>
        </w:rPr>
        <w:tab/>
      </w:r>
      <w:r>
        <w:rPr>
          <w:noProof/>
        </w:rPr>
        <w:fldChar w:fldCharType="begin"/>
      </w:r>
      <w:r>
        <w:rPr>
          <w:noProof/>
        </w:rPr>
        <w:instrText xml:space="preserve"> PAGEREF _Toc2361363 \h </w:instrText>
      </w:r>
      <w:r>
        <w:rPr>
          <w:noProof/>
        </w:rPr>
      </w:r>
      <w:r>
        <w:rPr>
          <w:noProof/>
        </w:rPr>
        <w:fldChar w:fldCharType="separate"/>
      </w:r>
      <w:r>
        <w:rPr>
          <w:noProof/>
        </w:rPr>
        <w:t>4</w:t>
      </w:r>
      <w:r>
        <w:rPr>
          <w:noProof/>
        </w:rPr>
        <w:fldChar w:fldCharType="end"/>
      </w:r>
    </w:p>
    <w:p w14:paraId="275C0C20" w14:textId="1F56A696"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2</w:t>
      </w:r>
      <w:r>
        <w:rPr>
          <w:rFonts w:asciiTheme="minorHAnsi" w:eastAsiaTheme="minorEastAsia" w:hAnsiTheme="minorHAnsi" w:cstheme="minorBidi"/>
          <w:b w:val="0"/>
          <w:noProof/>
        </w:rPr>
        <w:tab/>
      </w:r>
      <w:r w:rsidRPr="007F0E80">
        <w:rPr>
          <w:rFonts w:ascii="Helvetica Neue" w:hAnsi="Helvetica Neue"/>
          <w:noProof/>
        </w:rPr>
        <w:t>DYNAMIC NETWORKS OF SEXUAL PARTNERSHIPS</w:t>
      </w:r>
      <w:r>
        <w:rPr>
          <w:noProof/>
        </w:rPr>
        <w:tab/>
      </w:r>
      <w:r>
        <w:rPr>
          <w:noProof/>
        </w:rPr>
        <w:fldChar w:fldCharType="begin"/>
      </w:r>
      <w:r>
        <w:rPr>
          <w:noProof/>
        </w:rPr>
        <w:instrText xml:space="preserve"> PAGEREF _Toc2361364 \h </w:instrText>
      </w:r>
      <w:r>
        <w:rPr>
          <w:noProof/>
        </w:rPr>
      </w:r>
      <w:r>
        <w:rPr>
          <w:noProof/>
        </w:rPr>
        <w:fldChar w:fldCharType="separate"/>
      </w:r>
      <w:r>
        <w:rPr>
          <w:noProof/>
        </w:rPr>
        <w:t>5</w:t>
      </w:r>
      <w:r>
        <w:rPr>
          <w:noProof/>
        </w:rPr>
        <w:fldChar w:fldCharType="end"/>
      </w:r>
    </w:p>
    <w:p w14:paraId="1149DEC7" w14:textId="14582A38"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2.1 </w:t>
      </w:r>
      <w:r>
        <w:rPr>
          <w:rFonts w:asciiTheme="minorHAnsi" w:eastAsiaTheme="minorEastAsia" w:hAnsiTheme="minorHAnsi" w:cstheme="minorBidi"/>
          <w:i w:val="0"/>
          <w:noProof/>
          <w:sz w:val="22"/>
        </w:rPr>
        <w:tab/>
      </w:r>
      <w:r w:rsidRPr="007F0E80">
        <w:rPr>
          <w:rFonts w:ascii="Helvetica Neue" w:hAnsi="Helvetica Neue"/>
          <w:noProof/>
        </w:rPr>
        <w:t>Conceptual Representation of Sexual Networks</w:t>
      </w:r>
      <w:r>
        <w:rPr>
          <w:noProof/>
        </w:rPr>
        <w:tab/>
      </w:r>
      <w:r>
        <w:rPr>
          <w:noProof/>
        </w:rPr>
        <w:fldChar w:fldCharType="begin"/>
      </w:r>
      <w:r>
        <w:rPr>
          <w:noProof/>
        </w:rPr>
        <w:instrText xml:space="preserve"> PAGEREF _Toc2361365 \h </w:instrText>
      </w:r>
      <w:r>
        <w:rPr>
          <w:noProof/>
        </w:rPr>
      </w:r>
      <w:r>
        <w:rPr>
          <w:noProof/>
        </w:rPr>
        <w:fldChar w:fldCharType="separate"/>
      </w:r>
      <w:r>
        <w:rPr>
          <w:noProof/>
        </w:rPr>
        <w:t>5</w:t>
      </w:r>
      <w:r>
        <w:rPr>
          <w:noProof/>
        </w:rPr>
        <w:fldChar w:fldCharType="end"/>
      </w:r>
    </w:p>
    <w:p w14:paraId="59F41FC7" w14:textId="01CB95C3"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2.2 </w:t>
      </w:r>
      <w:r>
        <w:rPr>
          <w:rFonts w:asciiTheme="minorHAnsi" w:eastAsiaTheme="minorEastAsia" w:hAnsiTheme="minorHAnsi" w:cstheme="minorBidi"/>
          <w:i w:val="0"/>
          <w:noProof/>
          <w:sz w:val="22"/>
        </w:rPr>
        <w:tab/>
      </w:r>
      <w:r w:rsidRPr="007F0E80">
        <w:rPr>
          <w:rFonts w:ascii="Helvetica Neue" w:hAnsi="Helvetica Neue"/>
          <w:noProof/>
        </w:rPr>
        <w:t>Statistical Representation of Sexual Networks</w:t>
      </w:r>
      <w:r>
        <w:rPr>
          <w:noProof/>
        </w:rPr>
        <w:tab/>
      </w:r>
      <w:r>
        <w:rPr>
          <w:noProof/>
        </w:rPr>
        <w:fldChar w:fldCharType="begin"/>
      </w:r>
      <w:r>
        <w:rPr>
          <w:noProof/>
        </w:rPr>
        <w:instrText xml:space="preserve"> PAGEREF _Toc2361366 \h </w:instrText>
      </w:r>
      <w:r>
        <w:rPr>
          <w:noProof/>
        </w:rPr>
      </w:r>
      <w:r>
        <w:rPr>
          <w:noProof/>
        </w:rPr>
        <w:fldChar w:fldCharType="separate"/>
      </w:r>
      <w:r>
        <w:rPr>
          <w:noProof/>
        </w:rPr>
        <w:t>9</w:t>
      </w:r>
      <w:r>
        <w:rPr>
          <w:noProof/>
        </w:rPr>
        <w:fldChar w:fldCharType="end"/>
      </w:r>
    </w:p>
    <w:p w14:paraId="05740AEF" w14:textId="68B08F66"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3</w:t>
      </w:r>
      <w:r>
        <w:rPr>
          <w:rFonts w:asciiTheme="minorHAnsi" w:eastAsiaTheme="minorEastAsia" w:hAnsiTheme="minorHAnsi" w:cstheme="minorBidi"/>
          <w:b w:val="0"/>
          <w:noProof/>
        </w:rPr>
        <w:tab/>
      </w:r>
      <w:r w:rsidRPr="007F0E80">
        <w:rPr>
          <w:rFonts w:ascii="Helvetica Neue" w:hAnsi="Helvetica Neue"/>
          <w:noProof/>
        </w:rPr>
        <w:t>BEHAVIOR WITHIN SEXUAL PARTNERSHIPS</w:t>
      </w:r>
      <w:r>
        <w:rPr>
          <w:noProof/>
        </w:rPr>
        <w:tab/>
      </w:r>
      <w:r>
        <w:rPr>
          <w:noProof/>
        </w:rPr>
        <w:fldChar w:fldCharType="begin"/>
      </w:r>
      <w:r>
        <w:rPr>
          <w:noProof/>
        </w:rPr>
        <w:instrText xml:space="preserve"> PAGEREF _Toc2361367 \h </w:instrText>
      </w:r>
      <w:r>
        <w:rPr>
          <w:noProof/>
        </w:rPr>
      </w:r>
      <w:r>
        <w:rPr>
          <w:noProof/>
        </w:rPr>
        <w:fldChar w:fldCharType="separate"/>
      </w:r>
      <w:r>
        <w:rPr>
          <w:noProof/>
        </w:rPr>
        <w:t>12</w:t>
      </w:r>
      <w:r>
        <w:rPr>
          <w:noProof/>
        </w:rPr>
        <w:fldChar w:fldCharType="end"/>
      </w:r>
    </w:p>
    <w:p w14:paraId="4FD42D0B" w14:textId="65D6A5EA"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3.1 </w:t>
      </w:r>
      <w:r>
        <w:rPr>
          <w:rFonts w:asciiTheme="minorHAnsi" w:eastAsiaTheme="minorEastAsia" w:hAnsiTheme="minorHAnsi" w:cstheme="minorBidi"/>
          <w:i w:val="0"/>
          <w:noProof/>
          <w:sz w:val="22"/>
        </w:rPr>
        <w:tab/>
      </w:r>
      <w:r w:rsidRPr="007F0E80">
        <w:rPr>
          <w:rFonts w:ascii="Helvetica Neue" w:hAnsi="Helvetica Neue"/>
          <w:noProof/>
        </w:rPr>
        <w:t>Disclosure</w:t>
      </w:r>
      <w:r>
        <w:rPr>
          <w:noProof/>
        </w:rPr>
        <w:tab/>
      </w:r>
      <w:r>
        <w:rPr>
          <w:noProof/>
        </w:rPr>
        <w:fldChar w:fldCharType="begin"/>
      </w:r>
      <w:r>
        <w:rPr>
          <w:noProof/>
        </w:rPr>
        <w:instrText xml:space="preserve"> PAGEREF _Toc2361368 \h </w:instrText>
      </w:r>
      <w:r>
        <w:rPr>
          <w:noProof/>
        </w:rPr>
      </w:r>
      <w:r>
        <w:rPr>
          <w:noProof/>
        </w:rPr>
        <w:fldChar w:fldCharType="separate"/>
      </w:r>
      <w:r>
        <w:rPr>
          <w:noProof/>
        </w:rPr>
        <w:t>12</w:t>
      </w:r>
      <w:r>
        <w:rPr>
          <w:noProof/>
        </w:rPr>
        <w:fldChar w:fldCharType="end"/>
      </w:r>
    </w:p>
    <w:p w14:paraId="19D0DE02" w14:textId="2309AE88"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3.2 </w:t>
      </w:r>
      <w:r>
        <w:rPr>
          <w:rFonts w:asciiTheme="minorHAnsi" w:eastAsiaTheme="minorEastAsia" w:hAnsiTheme="minorHAnsi" w:cstheme="minorBidi"/>
          <w:i w:val="0"/>
          <w:noProof/>
          <w:sz w:val="22"/>
        </w:rPr>
        <w:tab/>
      </w:r>
      <w:r w:rsidRPr="007F0E80">
        <w:rPr>
          <w:rFonts w:ascii="Helvetica Neue" w:hAnsi="Helvetica Neue"/>
          <w:noProof/>
        </w:rPr>
        <w:t>Number of AI Acts</w:t>
      </w:r>
      <w:r>
        <w:rPr>
          <w:noProof/>
        </w:rPr>
        <w:tab/>
      </w:r>
      <w:r>
        <w:rPr>
          <w:noProof/>
        </w:rPr>
        <w:fldChar w:fldCharType="begin"/>
      </w:r>
      <w:r>
        <w:rPr>
          <w:noProof/>
        </w:rPr>
        <w:instrText xml:space="preserve"> PAGEREF _Toc2361369 \h </w:instrText>
      </w:r>
      <w:r>
        <w:rPr>
          <w:noProof/>
        </w:rPr>
      </w:r>
      <w:r>
        <w:rPr>
          <w:noProof/>
        </w:rPr>
        <w:fldChar w:fldCharType="separate"/>
      </w:r>
      <w:r>
        <w:rPr>
          <w:noProof/>
        </w:rPr>
        <w:t>13</w:t>
      </w:r>
      <w:r>
        <w:rPr>
          <w:noProof/>
        </w:rPr>
        <w:fldChar w:fldCharType="end"/>
      </w:r>
    </w:p>
    <w:p w14:paraId="7CE1B27D" w14:textId="4C7E908E"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3.3 </w:t>
      </w:r>
      <w:r>
        <w:rPr>
          <w:rFonts w:asciiTheme="minorHAnsi" w:eastAsiaTheme="minorEastAsia" w:hAnsiTheme="minorHAnsi" w:cstheme="minorBidi"/>
          <w:i w:val="0"/>
          <w:noProof/>
          <w:sz w:val="22"/>
        </w:rPr>
        <w:tab/>
      </w:r>
      <w:r w:rsidRPr="007F0E80">
        <w:rPr>
          <w:rFonts w:ascii="Helvetica Neue" w:hAnsi="Helvetica Neue"/>
          <w:noProof/>
        </w:rPr>
        <w:t>Condom Use</w:t>
      </w:r>
      <w:r>
        <w:rPr>
          <w:noProof/>
        </w:rPr>
        <w:tab/>
      </w:r>
      <w:r>
        <w:rPr>
          <w:noProof/>
        </w:rPr>
        <w:fldChar w:fldCharType="begin"/>
      </w:r>
      <w:r>
        <w:rPr>
          <w:noProof/>
        </w:rPr>
        <w:instrText xml:space="preserve"> PAGEREF _Toc2361370 \h </w:instrText>
      </w:r>
      <w:r>
        <w:rPr>
          <w:noProof/>
        </w:rPr>
      </w:r>
      <w:r>
        <w:rPr>
          <w:noProof/>
        </w:rPr>
        <w:fldChar w:fldCharType="separate"/>
      </w:r>
      <w:r>
        <w:rPr>
          <w:noProof/>
        </w:rPr>
        <w:t>13</w:t>
      </w:r>
      <w:r>
        <w:rPr>
          <w:noProof/>
        </w:rPr>
        <w:fldChar w:fldCharType="end"/>
      </w:r>
    </w:p>
    <w:p w14:paraId="7989555A" w14:textId="1D9CCE97"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3.4 </w:t>
      </w:r>
      <w:r>
        <w:rPr>
          <w:rFonts w:asciiTheme="minorHAnsi" w:eastAsiaTheme="minorEastAsia" w:hAnsiTheme="minorHAnsi" w:cstheme="minorBidi"/>
          <w:i w:val="0"/>
          <w:noProof/>
          <w:sz w:val="22"/>
        </w:rPr>
        <w:tab/>
      </w:r>
      <w:r w:rsidRPr="007F0E80">
        <w:rPr>
          <w:rFonts w:ascii="Helvetica Neue" w:hAnsi="Helvetica Neue"/>
          <w:noProof/>
        </w:rPr>
        <w:t>Sexual Role</w:t>
      </w:r>
      <w:r>
        <w:rPr>
          <w:noProof/>
        </w:rPr>
        <w:tab/>
      </w:r>
      <w:r>
        <w:rPr>
          <w:noProof/>
        </w:rPr>
        <w:fldChar w:fldCharType="begin"/>
      </w:r>
      <w:r>
        <w:rPr>
          <w:noProof/>
        </w:rPr>
        <w:instrText xml:space="preserve"> PAGEREF _Toc2361371 \h </w:instrText>
      </w:r>
      <w:r>
        <w:rPr>
          <w:noProof/>
        </w:rPr>
      </w:r>
      <w:r>
        <w:rPr>
          <w:noProof/>
        </w:rPr>
        <w:fldChar w:fldCharType="separate"/>
      </w:r>
      <w:r>
        <w:rPr>
          <w:noProof/>
        </w:rPr>
        <w:t>14</w:t>
      </w:r>
      <w:r>
        <w:rPr>
          <w:noProof/>
        </w:rPr>
        <w:fldChar w:fldCharType="end"/>
      </w:r>
    </w:p>
    <w:p w14:paraId="249C45EC" w14:textId="0D1DB219"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4</w:t>
      </w:r>
      <w:r>
        <w:rPr>
          <w:rFonts w:asciiTheme="minorHAnsi" w:eastAsiaTheme="minorEastAsia" w:hAnsiTheme="minorHAnsi" w:cstheme="minorBidi"/>
          <w:b w:val="0"/>
          <w:noProof/>
        </w:rPr>
        <w:tab/>
      </w:r>
      <w:r w:rsidRPr="007F0E80">
        <w:rPr>
          <w:rFonts w:ascii="Helvetica Neue" w:hAnsi="Helvetica Neue"/>
          <w:noProof/>
        </w:rPr>
        <w:t>DEMOGRAPHY</w:t>
      </w:r>
      <w:r>
        <w:rPr>
          <w:noProof/>
        </w:rPr>
        <w:tab/>
      </w:r>
      <w:r>
        <w:rPr>
          <w:noProof/>
        </w:rPr>
        <w:fldChar w:fldCharType="begin"/>
      </w:r>
      <w:r>
        <w:rPr>
          <w:noProof/>
        </w:rPr>
        <w:instrText xml:space="preserve"> PAGEREF _Toc2361372 \h </w:instrText>
      </w:r>
      <w:r>
        <w:rPr>
          <w:noProof/>
        </w:rPr>
      </w:r>
      <w:r>
        <w:rPr>
          <w:noProof/>
        </w:rPr>
        <w:fldChar w:fldCharType="separate"/>
      </w:r>
      <w:r>
        <w:rPr>
          <w:noProof/>
        </w:rPr>
        <w:t>15</w:t>
      </w:r>
      <w:r>
        <w:rPr>
          <w:noProof/>
        </w:rPr>
        <w:fldChar w:fldCharType="end"/>
      </w:r>
    </w:p>
    <w:p w14:paraId="1A333BB0" w14:textId="0B274657"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4.1</w:t>
      </w:r>
      <w:r>
        <w:rPr>
          <w:rFonts w:asciiTheme="minorHAnsi" w:eastAsiaTheme="minorEastAsia" w:hAnsiTheme="minorHAnsi" w:cstheme="minorBidi"/>
          <w:i w:val="0"/>
          <w:noProof/>
          <w:sz w:val="22"/>
        </w:rPr>
        <w:tab/>
      </w:r>
      <w:r w:rsidRPr="007F0E80">
        <w:rPr>
          <w:rFonts w:ascii="Helvetica Neue" w:hAnsi="Helvetica Neue"/>
          <w:noProof/>
        </w:rPr>
        <w:t>Entry at Sexual Onset</w:t>
      </w:r>
      <w:r>
        <w:rPr>
          <w:noProof/>
        </w:rPr>
        <w:tab/>
      </w:r>
      <w:r>
        <w:rPr>
          <w:noProof/>
        </w:rPr>
        <w:fldChar w:fldCharType="begin"/>
      </w:r>
      <w:r>
        <w:rPr>
          <w:noProof/>
        </w:rPr>
        <w:instrText xml:space="preserve"> PAGEREF _Toc2361373 \h </w:instrText>
      </w:r>
      <w:r>
        <w:rPr>
          <w:noProof/>
        </w:rPr>
      </w:r>
      <w:r>
        <w:rPr>
          <w:noProof/>
        </w:rPr>
        <w:fldChar w:fldCharType="separate"/>
      </w:r>
      <w:r>
        <w:rPr>
          <w:noProof/>
        </w:rPr>
        <w:t>15</w:t>
      </w:r>
      <w:r>
        <w:rPr>
          <w:noProof/>
        </w:rPr>
        <w:fldChar w:fldCharType="end"/>
      </w:r>
    </w:p>
    <w:p w14:paraId="3A859752" w14:textId="66722F56"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4.2 </w:t>
      </w:r>
      <w:r>
        <w:rPr>
          <w:rFonts w:asciiTheme="minorHAnsi" w:eastAsiaTheme="minorEastAsia" w:hAnsiTheme="minorHAnsi" w:cstheme="minorBidi"/>
          <w:i w:val="0"/>
          <w:noProof/>
          <w:sz w:val="22"/>
        </w:rPr>
        <w:tab/>
      </w:r>
      <w:r w:rsidRPr="007F0E80">
        <w:rPr>
          <w:rFonts w:ascii="Helvetica Neue" w:hAnsi="Helvetica Neue"/>
          <w:noProof/>
        </w:rPr>
        <w:t>Initialization of Attributes</w:t>
      </w:r>
      <w:r>
        <w:rPr>
          <w:noProof/>
        </w:rPr>
        <w:tab/>
      </w:r>
      <w:r>
        <w:rPr>
          <w:noProof/>
        </w:rPr>
        <w:fldChar w:fldCharType="begin"/>
      </w:r>
      <w:r>
        <w:rPr>
          <w:noProof/>
        </w:rPr>
        <w:instrText xml:space="preserve"> PAGEREF _Toc2361374 \h </w:instrText>
      </w:r>
      <w:r>
        <w:rPr>
          <w:noProof/>
        </w:rPr>
      </w:r>
      <w:r>
        <w:rPr>
          <w:noProof/>
        </w:rPr>
        <w:fldChar w:fldCharType="separate"/>
      </w:r>
      <w:r>
        <w:rPr>
          <w:noProof/>
        </w:rPr>
        <w:t>15</w:t>
      </w:r>
      <w:r>
        <w:rPr>
          <w:noProof/>
        </w:rPr>
        <w:fldChar w:fldCharType="end"/>
      </w:r>
    </w:p>
    <w:p w14:paraId="320AEA19" w14:textId="43FCBE9B"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4.3</w:t>
      </w:r>
      <w:r>
        <w:rPr>
          <w:rFonts w:asciiTheme="minorHAnsi" w:eastAsiaTheme="minorEastAsia" w:hAnsiTheme="minorHAnsi" w:cstheme="minorBidi"/>
          <w:i w:val="0"/>
          <w:noProof/>
          <w:sz w:val="22"/>
        </w:rPr>
        <w:tab/>
      </w:r>
      <w:r w:rsidRPr="007F0E80">
        <w:rPr>
          <w:rFonts w:ascii="Helvetica Neue" w:hAnsi="Helvetica Neue"/>
          <w:noProof/>
        </w:rPr>
        <w:t>Exits from the Network</w:t>
      </w:r>
      <w:r>
        <w:rPr>
          <w:noProof/>
        </w:rPr>
        <w:tab/>
      </w:r>
      <w:r>
        <w:rPr>
          <w:noProof/>
        </w:rPr>
        <w:fldChar w:fldCharType="begin"/>
      </w:r>
      <w:r>
        <w:rPr>
          <w:noProof/>
        </w:rPr>
        <w:instrText xml:space="preserve"> PAGEREF _Toc2361375 \h </w:instrText>
      </w:r>
      <w:r>
        <w:rPr>
          <w:noProof/>
        </w:rPr>
      </w:r>
      <w:r>
        <w:rPr>
          <w:noProof/>
        </w:rPr>
        <w:fldChar w:fldCharType="separate"/>
      </w:r>
      <w:r>
        <w:rPr>
          <w:noProof/>
        </w:rPr>
        <w:t>16</w:t>
      </w:r>
      <w:r>
        <w:rPr>
          <w:noProof/>
        </w:rPr>
        <w:fldChar w:fldCharType="end"/>
      </w:r>
    </w:p>
    <w:p w14:paraId="67C39B98" w14:textId="2E2606D4"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4.4</w:t>
      </w:r>
      <w:r>
        <w:rPr>
          <w:rFonts w:asciiTheme="minorHAnsi" w:eastAsiaTheme="minorEastAsia" w:hAnsiTheme="minorHAnsi" w:cstheme="minorBidi"/>
          <w:i w:val="0"/>
          <w:noProof/>
          <w:sz w:val="22"/>
        </w:rPr>
        <w:tab/>
      </w:r>
      <w:r w:rsidRPr="007F0E80">
        <w:rPr>
          <w:rFonts w:ascii="Helvetica Neue" w:hAnsi="Helvetica Neue"/>
          <w:noProof/>
        </w:rPr>
        <w:t>Aging</w:t>
      </w:r>
      <w:r>
        <w:rPr>
          <w:noProof/>
        </w:rPr>
        <w:tab/>
      </w:r>
      <w:r>
        <w:rPr>
          <w:noProof/>
        </w:rPr>
        <w:fldChar w:fldCharType="begin"/>
      </w:r>
      <w:r>
        <w:rPr>
          <w:noProof/>
        </w:rPr>
        <w:instrText xml:space="preserve"> PAGEREF _Toc2361376 \h </w:instrText>
      </w:r>
      <w:r>
        <w:rPr>
          <w:noProof/>
        </w:rPr>
      </w:r>
      <w:r>
        <w:rPr>
          <w:noProof/>
        </w:rPr>
        <w:fldChar w:fldCharType="separate"/>
      </w:r>
      <w:r>
        <w:rPr>
          <w:noProof/>
        </w:rPr>
        <w:t>17</w:t>
      </w:r>
      <w:r>
        <w:rPr>
          <w:noProof/>
        </w:rPr>
        <w:fldChar w:fldCharType="end"/>
      </w:r>
    </w:p>
    <w:p w14:paraId="5635003E" w14:textId="7EF0FB65"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5</w:t>
      </w:r>
      <w:r>
        <w:rPr>
          <w:rFonts w:asciiTheme="minorHAnsi" w:eastAsiaTheme="minorEastAsia" w:hAnsiTheme="minorHAnsi" w:cstheme="minorBidi"/>
          <w:b w:val="0"/>
          <w:noProof/>
        </w:rPr>
        <w:tab/>
      </w:r>
      <w:r w:rsidRPr="007F0E80">
        <w:rPr>
          <w:rFonts w:ascii="Helvetica Neue" w:hAnsi="Helvetica Neue"/>
          <w:noProof/>
        </w:rPr>
        <w:t>HIV INTRAHOST EPIDEMIOLOGY</w:t>
      </w:r>
      <w:r>
        <w:rPr>
          <w:noProof/>
        </w:rPr>
        <w:tab/>
      </w:r>
      <w:r>
        <w:rPr>
          <w:noProof/>
        </w:rPr>
        <w:fldChar w:fldCharType="begin"/>
      </w:r>
      <w:r>
        <w:rPr>
          <w:noProof/>
        </w:rPr>
        <w:instrText xml:space="preserve"> PAGEREF _Toc2361377 \h </w:instrText>
      </w:r>
      <w:r>
        <w:rPr>
          <w:noProof/>
        </w:rPr>
      </w:r>
      <w:r>
        <w:rPr>
          <w:noProof/>
        </w:rPr>
        <w:fldChar w:fldCharType="separate"/>
      </w:r>
      <w:r>
        <w:rPr>
          <w:noProof/>
        </w:rPr>
        <w:t>17</w:t>
      </w:r>
      <w:r>
        <w:rPr>
          <w:noProof/>
        </w:rPr>
        <w:fldChar w:fldCharType="end"/>
      </w:r>
    </w:p>
    <w:p w14:paraId="4A572530" w14:textId="7667FB77"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6</w:t>
      </w:r>
      <w:r>
        <w:rPr>
          <w:rFonts w:asciiTheme="minorHAnsi" w:eastAsiaTheme="minorEastAsia" w:hAnsiTheme="minorHAnsi" w:cstheme="minorBidi"/>
          <w:b w:val="0"/>
          <w:noProof/>
        </w:rPr>
        <w:tab/>
      </w:r>
      <w:r w:rsidRPr="007F0E80">
        <w:rPr>
          <w:rFonts w:ascii="Helvetica Neue" w:hAnsi="Helvetica Neue"/>
          <w:noProof/>
        </w:rPr>
        <w:t>HIV CLINICAL EPIDEMIOLOGY</w:t>
      </w:r>
      <w:r>
        <w:rPr>
          <w:noProof/>
        </w:rPr>
        <w:tab/>
      </w:r>
      <w:r>
        <w:rPr>
          <w:noProof/>
        </w:rPr>
        <w:fldChar w:fldCharType="begin"/>
      </w:r>
      <w:r>
        <w:rPr>
          <w:noProof/>
        </w:rPr>
        <w:instrText xml:space="preserve"> PAGEREF _Toc2361378 \h </w:instrText>
      </w:r>
      <w:r>
        <w:rPr>
          <w:noProof/>
        </w:rPr>
      </w:r>
      <w:r>
        <w:rPr>
          <w:noProof/>
        </w:rPr>
        <w:fldChar w:fldCharType="separate"/>
      </w:r>
      <w:r>
        <w:rPr>
          <w:noProof/>
        </w:rPr>
        <w:t>18</w:t>
      </w:r>
      <w:r>
        <w:rPr>
          <w:noProof/>
        </w:rPr>
        <w:fldChar w:fldCharType="end"/>
      </w:r>
    </w:p>
    <w:p w14:paraId="0C3A740A" w14:textId="661C0BCC"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6.1</w:t>
      </w:r>
      <w:r>
        <w:rPr>
          <w:rFonts w:asciiTheme="minorHAnsi" w:eastAsiaTheme="minorEastAsia" w:hAnsiTheme="minorHAnsi" w:cstheme="minorBidi"/>
          <w:i w:val="0"/>
          <w:noProof/>
          <w:sz w:val="22"/>
        </w:rPr>
        <w:tab/>
      </w:r>
      <w:r w:rsidRPr="007F0E80">
        <w:rPr>
          <w:rFonts w:ascii="Helvetica Neue" w:hAnsi="Helvetica Neue"/>
          <w:noProof/>
        </w:rPr>
        <w:t xml:space="preserve"> HIV Diagnostic Testing</w:t>
      </w:r>
      <w:r>
        <w:rPr>
          <w:noProof/>
        </w:rPr>
        <w:tab/>
      </w:r>
      <w:r>
        <w:rPr>
          <w:noProof/>
        </w:rPr>
        <w:fldChar w:fldCharType="begin"/>
      </w:r>
      <w:r>
        <w:rPr>
          <w:noProof/>
        </w:rPr>
        <w:instrText xml:space="preserve"> PAGEREF _Toc2361379 \h </w:instrText>
      </w:r>
      <w:r>
        <w:rPr>
          <w:noProof/>
        </w:rPr>
      </w:r>
      <w:r>
        <w:rPr>
          <w:noProof/>
        </w:rPr>
        <w:fldChar w:fldCharType="separate"/>
      </w:r>
      <w:r>
        <w:rPr>
          <w:noProof/>
        </w:rPr>
        <w:t>18</w:t>
      </w:r>
      <w:r>
        <w:rPr>
          <w:noProof/>
        </w:rPr>
        <w:fldChar w:fldCharType="end"/>
      </w:r>
    </w:p>
    <w:p w14:paraId="39824FB1" w14:textId="78AC942C"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6.2</w:t>
      </w:r>
      <w:r>
        <w:rPr>
          <w:rFonts w:asciiTheme="minorHAnsi" w:eastAsiaTheme="minorEastAsia" w:hAnsiTheme="minorHAnsi" w:cstheme="minorBidi"/>
          <w:i w:val="0"/>
          <w:noProof/>
          <w:sz w:val="22"/>
        </w:rPr>
        <w:tab/>
      </w:r>
      <w:r w:rsidRPr="007F0E80">
        <w:rPr>
          <w:rFonts w:ascii="Helvetica Neue" w:hAnsi="Helvetica Neue"/>
          <w:noProof/>
        </w:rPr>
        <w:t xml:space="preserve"> Antiretroviral Therapy (ART) Initiation</w:t>
      </w:r>
      <w:r>
        <w:rPr>
          <w:noProof/>
        </w:rPr>
        <w:tab/>
      </w:r>
      <w:r>
        <w:rPr>
          <w:noProof/>
        </w:rPr>
        <w:fldChar w:fldCharType="begin"/>
      </w:r>
      <w:r>
        <w:rPr>
          <w:noProof/>
        </w:rPr>
        <w:instrText xml:space="preserve"> PAGEREF _Toc2361380 \h </w:instrText>
      </w:r>
      <w:r>
        <w:rPr>
          <w:noProof/>
        </w:rPr>
      </w:r>
      <w:r>
        <w:rPr>
          <w:noProof/>
        </w:rPr>
        <w:fldChar w:fldCharType="separate"/>
      </w:r>
      <w:r>
        <w:rPr>
          <w:noProof/>
        </w:rPr>
        <w:t>19</w:t>
      </w:r>
      <w:r>
        <w:rPr>
          <w:noProof/>
        </w:rPr>
        <w:fldChar w:fldCharType="end"/>
      </w:r>
    </w:p>
    <w:p w14:paraId="57380BA5" w14:textId="4C26F703"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6.3</w:t>
      </w:r>
      <w:r>
        <w:rPr>
          <w:rFonts w:asciiTheme="minorHAnsi" w:eastAsiaTheme="minorEastAsia" w:hAnsiTheme="minorHAnsi" w:cstheme="minorBidi"/>
          <w:i w:val="0"/>
          <w:noProof/>
          <w:sz w:val="22"/>
        </w:rPr>
        <w:tab/>
      </w:r>
      <w:r w:rsidRPr="007F0E80">
        <w:rPr>
          <w:rFonts w:ascii="Helvetica Neue" w:hAnsi="Helvetica Neue"/>
          <w:noProof/>
        </w:rPr>
        <w:t xml:space="preserve"> ART Adherence and Viral Suppression</w:t>
      </w:r>
      <w:r>
        <w:rPr>
          <w:noProof/>
        </w:rPr>
        <w:tab/>
      </w:r>
      <w:r>
        <w:rPr>
          <w:noProof/>
        </w:rPr>
        <w:fldChar w:fldCharType="begin"/>
      </w:r>
      <w:r>
        <w:rPr>
          <w:noProof/>
        </w:rPr>
        <w:instrText xml:space="preserve"> PAGEREF _Toc2361381 \h </w:instrText>
      </w:r>
      <w:r>
        <w:rPr>
          <w:noProof/>
        </w:rPr>
      </w:r>
      <w:r>
        <w:rPr>
          <w:noProof/>
        </w:rPr>
        <w:fldChar w:fldCharType="separate"/>
      </w:r>
      <w:r>
        <w:rPr>
          <w:noProof/>
        </w:rPr>
        <w:t>20</w:t>
      </w:r>
      <w:r>
        <w:rPr>
          <w:noProof/>
        </w:rPr>
        <w:fldChar w:fldCharType="end"/>
      </w:r>
    </w:p>
    <w:p w14:paraId="1C23AAAF" w14:textId="04F8F5BF"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6.4</w:t>
      </w:r>
      <w:r>
        <w:rPr>
          <w:rFonts w:asciiTheme="minorHAnsi" w:eastAsiaTheme="minorEastAsia" w:hAnsiTheme="minorHAnsi" w:cstheme="minorBidi"/>
          <w:i w:val="0"/>
          <w:noProof/>
          <w:sz w:val="22"/>
        </w:rPr>
        <w:tab/>
      </w:r>
      <w:r w:rsidRPr="007F0E80">
        <w:rPr>
          <w:rFonts w:ascii="Helvetica Neue" w:hAnsi="Helvetica Neue"/>
          <w:noProof/>
        </w:rPr>
        <w:t xml:space="preserve"> Disease Progression and Mortality after ART Initiation</w:t>
      </w:r>
      <w:r>
        <w:rPr>
          <w:noProof/>
        </w:rPr>
        <w:tab/>
      </w:r>
      <w:r>
        <w:rPr>
          <w:noProof/>
        </w:rPr>
        <w:fldChar w:fldCharType="begin"/>
      </w:r>
      <w:r>
        <w:rPr>
          <w:noProof/>
        </w:rPr>
        <w:instrText xml:space="preserve"> PAGEREF _Toc2361382 \h </w:instrText>
      </w:r>
      <w:r>
        <w:rPr>
          <w:noProof/>
        </w:rPr>
      </w:r>
      <w:r>
        <w:rPr>
          <w:noProof/>
        </w:rPr>
        <w:fldChar w:fldCharType="separate"/>
      </w:r>
      <w:r>
        <w:rPr>
          <w:noProof/>
        </w:rPr>
        <w:t>21</w:t>
      </w:r>
      <w:r>
        <w:rPr>
          <w:noProof/>
        </w:rPr>
        <w:fldChar w:fldCharType="end"/>
      </w:r>
    </w:p>
    <w:p w14:paraId="1F57CB13" w14:textId="69FDCE5A"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7</w:t>
      </w:r>
      <w:r>
        <w:rPr>
          <w:rFonts w:asciiTheme="minorHAnsi" w:eastAsiaTheme="minorEastAsia" w:hAnsiTheme="minorHAnsi" w:cstheme="minorBidi"/>
          <w:b w:val="0"/>
          <w:noProof/>
        </w:rPr>
        <w:tab/>
      </w:r>
      <w:r w:rsidRPr="007F0E80">
        <w:rPr>
          <w:rFonts w:ascii="Helvetica Neue" w:hAnsi="Helvetica Neue"/>
          <w:noProof/>
        </w:rPr>
        <w:t>HIV INTERHOST EPIDEMIOLOGY</w:t>
      </w:r>
      <w:r>
        <w:rPr>
          <w:noProof/>
        </w:rPr>
        <w:tab/>
      </w:r>
      <w:r>
        <w:rPr>
          <w:noProof/>
        </w:rPr>
        <w:fldChar w:fldCharType="begin"/>
      </w:r>
      <w:r>
        <w:rPr>
          <w:noProof/>
        </w:rPr>
        <w:instrText xml:space="preserve"> PAGEREF _Toc2361383 \h </w:instrText>
      </w:r>
      <w:r>
        <w:rPr>
          <w:noProof/>
        </w:rPr>
      </w:r>
      <w:r>
        <w:rPr>
          <w:noProof/>
        </w:rPr>
        <w:fldChar w:fldCharType="separate"/>
      </w:r>
      <w:r>
        <w:rPr>
          <w:noProof/>
        </w:rPr>
        <w:t>21</w:t>
      </w:r>
      <w:r>
        <w:rPr>
          <w:noProof/>
        </w:rPr>
        <w:fldChar w:fldCharType="end"/>
      </w:r>
    </w:p>
    <w:p w14:paraId="06166708" w14:textId="00F7042B"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7.1</w:t>
      </w:r>
      <w:r>
        <w:rPr>
          <w:rFonts w:asciiTheme="minorHAnsi" w:eastAsiaTheme="minorEastAsia" w:hAnsiTheme="minorHAnsi" w:cstheme="minorBidi"/>
          <w:i w:val="0"/>
          <w:noProof/>
          <w:sz w:val="22"/>
        </w:rPr>
        <w:tab/>
      </w:r>
      <w:r w:rsidRPr="007F0E80">
        <w:rPr>
          <w:rFonts w:ascii="Helvetica Neue" w:hAnsi="Helvetica Neue"/>
          <w:noProof/>
        </w:rPr>
        <w:t xml:space="preserve"> Disease-Discordant Dyads</w:t>
      </w:r>
      <w:r>
        <w:rPr>
          <w:noProof/>
        </w:rPr>
        <w:tab/>
      </w:r>
      <w:r>
        <w:rPr>
          <w:noProof/>
        </w:rPr>
        <w:fldChar w:fldCharType="begin"/>
      </w:r>
      <w:r>
        <w:rPr>
          <w:noProof/>
        </w:rPr>
        <w:instrText xml:space="preserve"> PAGEREF _Toc2361384 \h </w:instrText>
      </w:r>
      <w:r>
        <w:rPr>
          <w:noProof/>
        </w:rPr>
      </w:r>
      <w:r>
        <w:rPr>
          <w:noProof/>
        </w:rPr>
        <w:fldChar w:fldCharType="separate"/>
      </w:r>
      <w:r>
        <w:rPr>
          <w:noProof/>
        </w:rPr>
        <w:t>22</w:t>
      </w:r>
      <w:r>
        <w:rPr>
          <w:noProof/>
        </w:rPr>
        <w:fldChar w:fldCharType="end"/>
      </w:r>
    </w:p>
    <w:p w14:paraId="247B4A31" w14:textId="2CAF228F"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7.2</w:t>
      </w:r>
      <w:r>
        <w:rPr>
          <w:rFonts w:asciiTheme="minorHAnsi" w:eastAsiaTheme="minorEastAsia" w:hAnsiTheme="minorHAnsi" w:cstheme="minorBidi"/>
          <w:i w:val="0"/>
          <w:noProof/>
          <w:sz w:val="22"/>
        </w:rPr>
        <w:tab/>
      </w:r>
      <w:r w:rsidRPr="007F0E80">
        <w:rPr>
          <w:rFonts w:ascii="Helvetica Neue" w:hAnsi="Helvetica Neue"/>
          <w:noProof/>
        </w:rPr>
        <w:t xml:space="preserve"> Per-Act HIV Transmission Probability</w:t>
      </w:r>
      <w:r>
        <w:rPr>
          <w:noProof/>
        </w:rPr>
        <w:tab/>
      </w:r>
      <w:r>
        <w:rPr>
          <w:noProof/>
        </w:rPr>
        <w:fldChar w:fldCharType="begin"/>
      </w:r>
      <w:r>
        <w:rPr>
          <w:noProof/>
        </w:rPr>
        <w:instrText xml:space="preserve"> PAGEREF _Toc2361385 \h </w:instrText>
      </w:r>
      <w:r>
        <w:rPr>
          <w:noProof/>
        </w:rPr>
      </w:r>
      <w:r>
        <w:rPr>
          <w:noProof/>
        </w:rPr>
        <w:fldChar w:fldCharType="separate"/>
      </w:r>
      <w:r>
        <w:rPr>
          <w:noProof/>
        </w:rPr>
        <w:t>22</w:t>
      </w:r>
      <w:r>
        <w:rPr>
          <w:noProof/>
        </w:rPr>
        <w:fldChar w:fldCharType="end"/>
      </w:r>
    </w:p>
    <w:p w14:paraId="28D9FAB1" w14:textId="38F214D2"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 xml:space="preserve">8 </w:t>
      </w:r>
      <w:r>
        <w:rPr>
          <w:rFonts w:asciiTheme="minorHAnsi" w:eastAsiaTheme="minorEastAsia" w:hAnsiTheme="minorHAnsi" w:cstheme="minorBidi"/>
          <w:b w:val="0"/>
          <w:noProof/>
        </w:rPr>
        <w:tab/>
      </w:r>
      <w:r w:rsidRPr="007F0E80">
        <w:rPr>
          <w:rFonts w:ascii="Helvetica Neue" w:hAnsi="Helvetica Neue"/>
          <w:noProof/>
        </w:rPr>
        <w:t>STI TRANSMISSION</w:t>
      </w:r>
      <w:r>
        <w:rPr>
          <w:noProof/>
        </w:rPr>
        <w:tab/>
      </w:r>
      <w:r>
        <w:rPr>
          <w:noProof/>
        </w:rPr>
        <w:fldChar w:fldCharType="begin"/>
      </w:r>
      <w:r>
        <w:rPr>
          <w:noProof/>
        </w:rPr>
        <w:instrText xml:space="preserve"> PAGEREF _Toc2361386 \h </w:instrText>
      </w:r>
      <w:r>
        <w:rPr>
          <w:noProof/>
        </w:rPr>
      </w:r>
      <w:r>
        <w:rPr>
          <w:noProof/>
        </w:rPr>
        <w:fldChar w:fldCharType="separate"/>
      </w:r>
      <w:r>
        <w:rPr>
          <w:noProof/>
        </w:rPr>
        <w:t>23</w:t>
      </w:r>
      <w:r>
        <w:rPr>
          <w:noProof/>
        </w:rPr>
        <w:fldChar w:fldCharType="end"/>
      </w:r>
    </w:p>
    <w:p w14:paraId="4D731751" w14:textId="3570A489" w:rsidR="005D79FA" w:rsidRDefault="005D79FA">
      <w:pPr>
        <w:pStyle w:val="TOC2"/>
        <w:rPr>
          <w:rFonts w:asciiTheme="minorHAnsi" w:eastAsiaTheme="minorEastAsia" w:hAnsiTheme="minorHAnsi" w:cstheme="minorBidi"/>
          <w:i w:val="0"/>
          <w:noProof/>
          <w:sz w:val="22"/>
        </w:rPr>
      </w:pPr>
      <w:r w:rsidRPr="007F0E80">
        <w:rPr>
          <w:rFonts w:ascii="Helvetica Neue" w:eastAsia="Arial" w:hAnsi="Helvetica Neue"/>
          <w:noProof/>
        </w:rPr>
        <w:t xml:space="preserve">8.1 </w:t>
      </w:r>
      <w:r>
        <w:rPr>
          <w:rFonts w:asciiTheme="minorHAnsi" w:eastAsiaTheme="minorEastAsia" w:hAnsiTheme="minorHAnsi" w:cstheme="minorBidi"/>
          <w:i w:val="0"/>
          <w:noProof/>
          <w:sz w:val="22"/>
        </w:rPr>
        <w:tab/>
      </w:r>
      <w:r w:rsidRPr="007F0E80">
        <w:rPr>
          <w:rFonts w:ascii="Helvetica Neue" w:eastAsia="Arial" w:hAnsi="Helvetica Neue"/>
          <w:noProof/>
        </w:rPr>
        <w:t>Overview of Model Structure</w:t>
      </w:r>
      <w:r>
        <w:rPr>
          <w:noProof/>
        </w:rPr>
        <w:tab/>
      </w:r>
      <w:r>
        <w:rPr>
          <w:noProof/>
        </w:rPr>
        <w:fldChar w:fldCharType="begin"/>
      </w:r>
      <w:r>
        <w:rPr>
          <w:noProof/>
        </w:rPr>
        <w:instrText xml:space="preserve"> PAGEREF _Toc2361387 \h </w:instrText>
      </w:r>
      <w:r>
        <w:rPr>
          <w:noProof/>
        </w:rPr>
      </w:r>
      <w:r>
        <w:rPr>
          <w:noProof/>
        </w:rPr>
        <w:fldChar w:fldCharType="separate"/>
      </w:r>
      <w:r>
        <w:rPr>
          <w:noProof/>
        </w:rPr>
        <w:t>23</w:t>
      </w:r>
      <w:r>
        <w:rPr>
          <w:noProof/>
        </w:rPr>
        <w:fldChar w:fldCharType="end"/>
      </w:r>
    </w:p>
    <w:p w14:paraId="53524F0C" w14:textId="7C32B910" w:rsidR="005D79FA" w:rsidRDefault="005D79FA">
      <w:pPr>
        <w:pStyle w:val="TOC2"/>
        <w:rPr>
          <w:rFonts w:asciiTheme="minorHAnsi" w:eastAsiaTheme="minorEastAsia" w:hAnsiTheme="minorHAnsi" w:cstheme="minorBidi"/>
          <w:i w:val="0"/>
          <w:noProof/>
          <w:sz w:val="22"/>
        </w:rPr>
      </w:pPr>
      <w:r w:rsidRPr="007F0E80">
        <w:rPr>
          <w:rFonts w:ascii="Helvetica Neue" w:eastAsia="Arial" w:hAnsi="Helvetica Neue"/>
          <w:noProof/>
        </w:rPr>
        <w:t xml:space="preserve">8.2 </w:t>
      </w:r>
      <w:r>
        <w:rPr>
          <w:rFonts w:asciiTheme="minorHAnsi" w:eastAsiaTheme="minorEastAsia" w:hAnsiTheme="minorHAnsi" w:cstheme="minorBidi"/>
          <w:i w:val="0"/>
          <w:noProof/>
          <w:sz w:val="22"/>
        </w:rPr>
        <w:tab/>
      </w:r>
      <w:r w:rsidRPr="007F0E80">
        <w:rPr>
          <w:rFonts w:ascii="Helvetica Neue" w:eastAsia="Arial" w:hAnsi="Helvetica Neue"/>
          <w:noProof/>
        </w:rPr>
        <w:t>STI Co-Factor Effect</w:t>
      </w:r>
      <w:r w:rsidRPr="007F0E80">
        <w:rPr>
          <w:rFonts w:ascii="Helvetica Neue" w:hAnsi="Helvetica Neue"/>
          <w:noProof/>
        </w:rPr>
        <w:t xml:space="preserve"> on HIV Transmission Probability</w:t>
      </w:r>
      <w:r>
        <w:rPr>
          <w:noProof/>
        </w:rPr>
        <w:tab/>
      </w:r>
      <w:r>
        <w:rPr>
          <w:noProof/>
        </w:rPr>
        <w:fldChar w:fldCharType="begin"/>
      </w:r>
      <w:r>
        <w:rPr>
          <w:noProof/>
        </w:rPr>
        <w:instrText xml:space="preserve"> PAGEREF _Toc2361388 \h </w:instrText>
      </w:r>
      <w:r>
        <w:rPr>
          <w:noProof/>
        </w:rPr>
      </w:r>
      <w:r>
        <w:rPr>
          <w:noProof/>
        </w:rPr>
        <w:fldChar w:fldCharType="separate"/>
      </w:r>
      <w:r>
        <w:rPr>
          <w:noProof/>
        </w:rPr>
        <w:t>24</w:t>
      </w:r>
      <w:r>
        <w:rPr>
          <w:noProof/>
        </w:rPr>
        <w:fldChar w:fldCharType="end"/>
      </w:r>
    </w:p>
    <w:p w14:paraId="17AF6A49" w14:textId="6E30FD58"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8.3 Chlamydia Transmission Probability</w:t>
      </w:r>
      <w:r>
        <w:rPr>
          <w:noProof/>
        </w:rPr>
        <w:tab/>
      </w:r>
      <w:r>
        <w:rPr>
          <w:noProof/>
        </w:rPr>
        <w:fldChar w:fldCharType="begin"/>
      </w:r>
      <w:r>
        <w:rPr>
          <w:noProof/>
        </w:rPr>
        <w:instrText xml:space="preserve"> PAGEREF _Toc2361389 \h </w:instrText>
      </w:r>
      <w:r>
        <w:rPr>
          <w:noProof/>
        </w:rPr>
      </w:r>
      <w:r>
        <w:rPr>
          <w:noProof/>
        </w:rPr>
        <w:fldChar w:fldCharType="separate"/>
      </w:r>
      <w:r>
        <w:rPr>
          <w:noProof/>
        </w:rPr>
        <w:t>25</w:t>
      </w:r>
      <w:r>
        <w:rPr>
          <w:noProof/>
        </w:rPr>
        <w:fldChar w:fldCharType="end"/>
      </w:r>
    </w:p>
    <w:p w14:paraId="3F8D2DB7" w14:textId="1E7CDF97"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8.4</w:t>
      </w:r>
      <w:r>
        <w:rPr>
          <w:rFonts w:asciiTheme="minorHAnsi" w:eastAsiaTheme="minorEastAsia" w:hAnsiTheme="minorHAnsi" w:cstheme="minorBidi"/>
          <w:i w:val="0"/>
          <w:noProof/>
          <w:sz w:val="22"/>
        </w:rPr>
        <w:tab/>
      </w:r>
      <w:r w:rsidRPr="007F0E80">
        <w:rPr>
          <w:rFonts w:ascii="Helvetica Neue" w:hAnsi="Helvetica Neue"/>
          <w:noProof/>
        </w:rPr>
        <w:t>Gonorrhea Transmission Probability</w:t>
      </w:r>
      <w:r>
        <w:rPr>
          <w:noProof/>
        </w:rPr>
        <w:tab/>
      </w:r>
      <w:r>
        <w:rPr>
          <w:noProof/>
        </w:rPr>
        <w:fldChar w:fldCharType="begin"/>
      </w:r>
      <w:r>
        <w:rPr>
          <w:noProof/>
        </w:rPr>
        <w:instrText xml:space="preserve"> PAGEREF _Toc2361390 \h </w:instrText>
      </w:r>
      <w:r>
        <w:rPr>
          <w:noProof/>
        </w:rPr>
      </w:r>
      <w:r>
        <w:rPr>
          <w:noProof/>
        </w:rPr>
        <w:fldChar w:fldCharType="separate"/>
      </w:r>
      <w:r>
        <w:rPr>
          <w:noProof/>
        </w:rPr>
        <w:t>26</w:t>
      </w:r>
      <w:r>
        <w:rPr>
          <w:noProof/>
        </w:rPr>
        <w:fldChar w:fldCharType="end"/>
      </w:r>
    </w:p>
    <w:p w14:paraId="261F8BFD" w14:textId="23ACEB29"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 xml:space="preserve">9 </w:t>
      </w:r>
      <w:r>
        <w:rPr>
          <w:rFonts w:asciiTheme="minorHAnsi" w:eastAsiaTheme="minorEastAsia" w:hAnsiTheme="minorHAnsi" w:cstheme="minorBidi"/>
          <w:b w:val="0"/>
          <w:noProof/>
        </w:rPr>
        <w:tab/>
      </w:r>
      <w:r w:rsidRPr="007F0E80">
        <w:rPr>
          <w:rFonts w:ascii="Helvetica Neue" w:hAnsi="Helvetica Neue"/>
          <w:noProof/>
        </w:rPr>
        <w:t>STI SYMPTOMS AND TREATMENT</w:t>
      </w:r>
      <w:r>
        <w:rPr>
          <w:noProof/>
        </w:rPr>
        <w:tab/>
      </w:r>
      <w:r>
        <w:rPr>
          <w:noProof/>
        </w:rPr>
        <w:fldChar w:fldCharType="begin"/>
      </w:r>
      <w:r>
        <w:rPr>
          <w:noProof/>
        </w:rPr>
        <w:instrText xml:space="preserve"> PAGEREF _Toc2361391 \h </w:instrText>
      </w:r>
      <w:r>
        <w:rPr>
          <w:noProof/>
        </w:rPr>
      </w:r>
      <w:r>
        <w:rPr>
          <w:noProof/>
        </w:rPr>
        <w:fldChar w:fldCharType="separate"/>
      </w:r>
      <w:r>
        <w:rPr>
          <w:noProof/>
        </w:rPr>
        <w:t>26</w:t>
      </w:r>
      <w:r>
        <w:rPr>
          <w:noProof/>
        </w:rPr>
        <w:fldChar w:fldCharType="end"/>
      </w:r>
    </w:p>
    <w:p w14:paraId="234A3FD4" w14:textId="43F3EE14"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9.1 </w:t>
      </w:r>
      <w:r>
        <w:rPr>
          <w:rFonts w:asciiTheme="minorHAnsi" w:eastAsiaTheme="minorEastAsia" w:hAnsiTheme="minorHAnsi" w:cstheme="minorBidi"/>
          <w:i w:val="0"/>
          <w:noProof/>
          <w:sz w:val="22"/>
        </w:rPr>
        <w:tab/>
      </w:r>
      <w:r w:rsidRPr="007F0E80">
        <w:rPr>
          <w:rFonts w:ascii="Helvetica Neue" w:hAnsi="Helvetica Neue"/>
          <w:noProof/>
        </w:rPr>
        <w:t>Treatment</w:t>
      </w:r>
      <w:r>
        <w:rPr>
          <w:noProof/>
        </w:rPr>
        <w:tab/>
      </w:r>
      <w:r>
        <w:rPr>
          <w:noProof/>
        </w:rPr>
        <w:fldChar w:fldCharType="begin"/>
      </w:r>
      <w:r>
        <w:rPr>
          <w:noProof/>
        </w:rPr>
        <w:instrText xml:space="preserve"> PAGEREF _Toc2361392 \h </w:instrText>
      </w:r>
      <w:r>
        <w:rPr>
          <w:noProof/>
        </w:rPr>
      </w:r>
      <w:r>
        <w:rPr>
          <w:noProof/>
        </w:rPr>
        <w:fldChar w:fldCharType="separate"/>
      </w:r>
      <w:r>
        <w:rPr>
          <w:noProof/>
        </w:rPr>
        <w:t>26</w:t>
      </w:r>
      <w:r>
        <w:rPr>
          <w:noProof/>
        </w:rPr>
        <w:fldChar w:fldCharType="end"/>
      </w:r>
    </w:p>
    <w:p w14:paraId="727F7676" w14:textId="7D9C8A13"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9.2 </w:t>
      </w:r>
      <w:r>
        <w:rPr>
          <w:rFonts w:asciiTheme="minorHAnsi" w:eastAsiaTheme="minorEastAsia" w:hAnsiTheme="minorHAnsi" w:cstheme="minorBidi"/>
          <w:i w:val="0"/>
          <w:noProof/>
          <w:sz w:val="22"/>
        </w:rPr>
        <w:tab/>
      </w:r>
      <w:r w:rsidRPr="007F0E80">
        <w:rPr>
          <w:rFonts w:ascii="Helvetica Neue" w:hAnsi="Helvetica Neue"/>
          <w:noProof/>
        </w:rPr>
        <w:t>Chlamydia Symptoms</w:t>
      </w:r>
      <w:r>
        <w:rPr>
          <w:noProof/>
        </w:rPr>
        <w:tab/>
      </w:r>
      <w:r>
        <w:rPr>
          <w:noProof/>
        </w:rPr>
        <w:fldChar w:fldCharType="begin"/>
      </w:r>
      <w:r>
        <w:rPr>
          <w:noProof/>
        </w:rPr>
        <w:instrText xml:space="preserve"> PAGEREF _Toc2361393 \h </w:instrText>
      </w:r>
      <w:r>
        <w:rPr>
          <w:noProof/>
        </w:rPr>
      </w:r>
      <w:r>
        <w:rPr>
          <w:noProof/>
        </w:rPr>
        <w:fldChar w:fldCharType="separate"/>
      </w:r>
      <w:r>
        <w:rPr>
          <w:noProof/>
        </w:rPr>
        <w:t>28</w:t>
      </w:r>
      <w:r>
        <w:rPr>
          <w:noProof/>
        </w:rPr>
        <w:fldChar w:fldCharType="end"/>
      </w:r>
    </w:p>
    <w:p w14:paraId="1EF093E4" w14:textId="580ADEBE"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 xml:space="preserve">9.3 </w:t>
      </w:r>
      <w:r>
        <w:rPr>
          <w:rFonts w:asciiTheme="minorHAnsi" w:eastAsiaTheme="minorEastAsia" w:hAnsiTheme="minorHAnsi" w:cstheme="minorBidi"/>
          <w:i w:val="0"/>
          <w:noProof/>
          <w:sz w:val="22"/>
        </w:rPr>
        <w:tab/>
      </w:r>
      <w:r w:rsidRPr="007F0E80">
        <w:rPr>
          <w:rFonts w:ascii="Helvetica Neue" w:hAnsi="Helvetica Neue"/>
          <w:noProof/>
        </w:rPr>
        <w:t>Gonorrhea Symptoms</w:t>
      </w:r>
      <w:r>
        <w:rPr>
          <w:noProof/>
        </w:rPr>
        <w:tab/>
      </w:r>
      <w:r>
        <w:rPr>
          <w:noProof/>
        </w:rPr>
        <w:fldChar w:fldCharType="begin"/>
      </w:r>
      <w:r>
        <w:rPr>
          <w:noProof/>
        </w:rPr>
        <w:instrText xml:space="preserve"> PAGEREF _Toc2361394 \h </w:instrText>
      </w:r>
      <w:r>
        <w:rPr>
          <w:noProof/>
        </w:rPr>
      </w:r>
      <w:r>
        <w:rPr>
          <w:noProof/>
        </w:rPr>
        <w:fldChar w:fldCharType="separate"/>
      </w:r>
      <w:r>
        <w:rPr>
          <w:noProof/>
        </w:rPr>
        <w:t>29</w:t>
      </w:r>
      <w:r>
        <w:rPr>
          <w:noProof/>
        </w:rPr>
        <w:fldChar w:fldCharType="end"/>
      </w:r>
    </w:p>
    <w:p w14:paraId="0E665198" w14:textId="478C1DAE"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lastRenderedPageBreak/>
        <w:t xml:space="preserve">10 </w:t>
      </w:r>
      <w:r>
        <w:rPr>
          <w:rFonts w:asciiTheme="minorHAnsi" w:eastAsiaTheme="minorEastAsia" w:hAnsiTheme="minorHAnsi" w:cstheme="minorBidi"/>
          <w:b w:val="0"/>
          <w:noProof/>
        </w:rPr>
        <w:tab/>
      </w:r>
      <w:r w:rsidRPr="007F0E80">
        <w:rPr>
          <w:rFonts w:ascii="Helvetica Neue" w:hAnsi="Helvetica Neue"/>
          <w:noProof/>
        </w:rPr>
        <w:t>STI DURATION AND RECOVERY</w:t>
      </w:r>
      <w:r>
        <w:rPr>
          <w:noProof/>
        </w:rPr>
        <w:tab/>
      </w:r>
      <w:r>
        <w:rPr>
          <w:noProof/>
        </w:rPr>
        <w:fldChar w:fldCharType="begin"/>
      </w:r>
      <w:r>
        <w:rPr>
          <w:noProof/>
        </w:rPr>
        <w:instrText xml:space="preserve"> PAGEREF _Toc2361395 \h </w:instrText>
      </w:r>
      <w:r>
        <w:rPr>
          <w:noProof/>
        </w:rPr>
      </w:r>
      <w:r>
        <w:rPr>
          <w:noProof/>
        </w:rPr>
        <w:fldChar w:fldCharType="separate"/>
      </w:r>
      <w:r>
        <w:rPr>
          <w:noProof/>
        </w:rPr>
        <w:t>30</w:t>
      </w:r>
      <w:r>
        <w:rPr>
          <w:noProof/>
        </w:rPr>
        <w:fldChar w:fldCharType="end"/>
      </w:r>
    </w:p>
    <w:p w14:paraId="0654FDCD" w14:textId="5ED3FC72"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10.1</w:t>
      </w:r>
      <w:r>
        <w:rPr>
          <w:rFonts w:asciiTheme="minorHAnsi" w:eastAsiaTheme="minorEastAsia" w:hAnsiTheme="minorHAnsi" w:cstheme="minorBidi"/>
          <w:i w:val="0"/>
          <w:noProof/>
          <w:sz w:val="22"/>
        </w:rPr>
        <w:tab/>
      </w:r>
      <w:r w:rsidRPr="007F0E80">
        <w:rPr>
          <w:rFonts w:ascii="Helvetica Neue" w:hAnsi="Helvetica Neue"/>
          <w:noProof/>
        </w:rPr>
        <w:t xml:space="preserve"> Duration of Chlamydia Infection</w:t>
      </w:r>
      <w:r>
        <w:rPr>
          <w:noProof/>
        </w:rPr>
        <w:tab/>
      </w:r>
      <w:r>
        <w:rPr>
          <w:noProof/>
        </w:rPr>
        <w:fldChar w:fldCharType="begin"/>
      </w:r>
      <w:r>
        <w:rPr>
          <w:noProof/>
        </w:rPr>
        <w:instrText xml:space="preserve"> PAGEREF _Toc2361396 \h </w:instrText>
      </w:r>
      <w:r>
        <w:rPr>
          <w:noProof/>
        </w:rPr>
      </w:r>
      <w:r>
        <w:rPr>
          <w:noProof/>
        </w:rPr>
        <w:fldChar w:fldCharType="separate"/>
      </w:r>
      <w:r>
        <w:rPr>
          <w:noProof/>
        </w:rPr>
        <w:t>30</w:t>
      </w:r>
      <w:r>
        <w:rPr>
          <w:noProof/>
        </w:rPr>
        <w:fldChar w:fldCharType="end"/>
      </w:r>
    </w:p>
    <w:p w14:paraId="05996330" w14:textId="5C21A2F5"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10.2</w:t>
      </w:r>
      <w:r>
        <w:rPr>
          <w:rFonts w:asciiTheme="minorHAnsi" w:eastAsiaTheme="minorEastAsia" w:hAnsiTheme="minorHAnsi" w:cstheme="minorBidi"/>
          <w:i w:val="0"/>
          <w:noProof/>
          <w:sz w:val="22"/>
        </w:rPr>
        <w:tab/>
      </w:r>
      <w:r w:rsidRPr="007F0E80">
        <w:rPr>
          <w:rFonts w:ascii="Helvetica Neue" w:hAnsi="Helvetica Neue"/>
          <w:noProof/>
        </w:rPr>
        <w:t xml:space="preserve"> Duration of Gonorrhea Infection</w:t>
      </w:r>
      <w:r>
        <w:rPr>
          <w:noProof/>
        </w:rPr>
        <w:tab/>
      </w:r>
      <w:r>
        <w:rPr>
          <w:noProof/>
        </w:rPr>
        <w:fldChar w:fldCharType="begin"/>
      </w:r>
      <w:r>
        <w:rPr>
          <w:noProof/>
        </w:rPr>
        <w:instrText xml:space="preserve"> PAGEREF _Toc2361397 \h </w:instrText>
      </w:r>
      <w:r>
        <w:rPr>
          <w:noProof/>
        </w:rPr>
      </w:r>
      <w:r>
        <w:rPr>
          <w:noProof/>
        </w:rPr>
        <w:fldChar w:fldCharType="separate"/>
      </w:r>
      <w:r>
        <w:rPr>
          <w:noProof/>
        </w:rPr>
        <w:t>31</w:t>
      </w:r>
      <w:r>
        <w:rPr>
          <w:noProof/>
        </w:rPr>
        <w:fldChar w:fldCharType="end"/>
      </w:r>
    </w:p>
    <w:p w14:paraId="687EE760" w14:textId="04769DFA"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 xml:space="preserve">11 </w:t>
      </w:r>
      <w:r>
        <w:rPr>
          <w:rFonts w:asciiTheme="minorHAnsi" w:eastAsiaTheme="minorEastAsia" w:hAnsiTheme="minorHAnsi" w:cstheme="minorBidi"/>
          <w:b w:val="0"/>
          <w:noProof/>
        </w:rPr>
        <w:tab/>
      </w:r>
      <w:r w:rsidRPr="007F0E80">
        <w:rPr>
          <w:rFonts w:ascii="Helvetica Neue" w:hAnsi="Helvetica Neue"/>
          <w:noProof/>
        </w:rPr>
        <w:t>STI SCREENING</w:t>
      </w:r>
      <w:r>
        <w:rPr>
          <w:noProof/>
        </w:rPr>
        <w:tab/>
      </w:r>
      <w:r>
        <w:rPr>
          <w:noProof/>
        </w:rPr>
        <w:fldChar w:fldCharType="begin"/>
      </w:r>
      <w:r>
        <w:rPr>
          <w:noProof/>
        </w:rPr>
        <w:instrText xml:space="preserve"> PAGEREF _Toc2361398 \h </w:instrText>
      </w:r>
      <w:r>
        <w:rPr>
          <w:noProof/>
        </w:rPr>
      </w:r>
      <w:r>
        <w:rPr>
          <w:noProof/>
        </w:rPr>
        <w:fldChar w:fldCharType="separate"/>
      </w:r>
      <w:r>
        <w:rPr>
          <w:noProof/>
        </w:rPr>
        <w:t>31</w:t>
      </w:r>
      <w:r>
        <w:rPr>
          <w:noProof/>
        </w:rPr>
        <w:fldChar w:fldCharType="end"/>
      </w:r>
    </w:p>
    <w:p w14:paraId="677F3DE4" w14:textId="5EAF95FD"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11.1</w:t>
      </w:r>
      <w:r>
        <w:rPr>
          <w:rFonts w:asciiTheme="minorHAnsi" w:eastAsiaTheme="minorEastAsia" w:hAnsiTheme="minorHAnsi" w:cstheme="minorBidi"/>
          <w:i w:val="0"/>
          <w:noProof/>
          <w:sz w:val="22"/>
        </w:rPr>
        <w:tab/>
      </w:r>
      <w:r w:rsidRPr="007F0E80">
        <w:rPr>
          <w:rFonts w:ascii="Helvetica Neue" w:hAnsi="Helvetica Neue"/>
          <w:noProof/>
        </w:rPr>
        <w:t xml:space="preserve"> STI Screening Indications and Screening Eligibility</w:t>
      </w:r>
      <w:r>
        <w:rPr>
          <w:noProof/>
        </w:rPr>
        <w:tab/>
      </w:r>
      <w:r>
        <w:rPr>
          <w:noProof/>
        </w:rPr>
        <w:fldChar w:fldCharType="begin"/>
      </w:r>
      <w:r>
        <w:rPr>
          <w:noProof/>
        </w:rPr>
        <w:instrText xml:space="preserve"> PAGEREF _Toc2361399 \h </w:instrText>
      </w:r>
      <w:r>
        <w:rPr>
          <w:noProof/>
        </w:rPr>
      </w:r>
      <w:r>
        <w:rPr>
          <w:noProof/>
        </w:rPr>
        <w:fldChar w:fldCharType="separate"/>
      </w:r>
      <w:r>
        <w:rPr>
          <w:noProof/>
        </w:rPr>
        <w:t>32</w:t>
      </w:r>
      <w:r>
        <w:rPr>
          <w:noProof/>
        </w:rPr>
        <w:fldChar w:fldCharType="end"/>
      </w:r>
    </w:p>
    <w:p w14:paraId="177642E0" w14:textId="6AF762DB"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11.2</w:t>
      </w:r>
      <w:r>
        <w:rPr>
          <w:rFonts w:asciiTheme="minorHAnsi" w:eastAsiaTheme="minorEastAsia" w:hAnsiTheme="minorHAnsi" w:cstheme="minorBidi"/>
          <w:i w:val="0"/>
          <w:noProof/>
          <w:sz w:val="22"/>
        </w:rPr>
        <w:tab/>
      </w:r>
      <w:r w:rsidRPr="007F0E80">
        <w:rPr>
          <w:rFonts w:ascii="Helvetica Neue" w:hAnsi="Helvetica Neue"/>
          <w:noProof/>
        </w:rPr>
        <w:t xml:space="preserve"> STI Screening Process</w:t>
      </w:r>
      <w:r>
        <w:rPr>
          <w:noProof/>
        </w:rPr>
        <w:tab/>
      </w:r>
      <w:r>
        <w:rPr>
          <w:noProof/>
        </w:rPr>
        <w:fldChar w:fldCharType="begin"/>
      </w:r>
      <w:r>
        <w:rPr>
          <w:noProof/>
        </w:rPr>
        <w:instrText xml:space="preserve"> PAGEREF _Toc2361400 \h </w:instrText>
      </w:r>
      <w:r>
        <w:rPr>
          <w:noProof/>
        </w:rPr>
      </w:r>
      <w:r>
        <w:rPr>
          <w:noProof/>
        </w:rPr>
        <w:fldChar w:fldCharType="separate"/>
      </w:r>
      <w:r>
        <w:rPr>
          <w:noProof/>
        </w:rPr>
        <w:t>32</w:t>
      </w:r>
      <w:r>
        <w:rPr>
          <w:noProof/>
        </w:rPr>
        <w:fldChar w:fldCharType="end"/>
      </w:r>
    </w:p>
    <w:p w14:paraId="2EF04632" w14:textId="13000AC6"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11.3</w:t>
      </w:r>
      <w:r>
        <w:rPr>
          <w:rFonts w:asciiTheme="minorHAnsi" w:eastAsiaTheme="minorEastAsia" w:hAnsiTheme="minorHAnsi" w:cstheme="minorBidi"/>
          <w:i w:val="0"/>
          <w:noProof/>
          <w:sz w:val="22"/>
        </w:rPr>
        <w:tab/>
      </w:r>
      <w:r w:rsidRPr="007F0E80">
        <w:rPr>
          <w:rFonts w:ascii="Helvetica Neue" w:hAnsi="Helvetica Neue"/>
          <w:noProof/>
        </w:rPr>
        <w:t xml:space="preserve"> Testing Adherence and Progression to STI Treatment</w:t>
      </w:r>
      <w:r>
        <w:rPr>
          <w:noProof/>
        </w:rPr>
        <w:tab/>
      </w:r>
      <w:r>
        <w:rPr>
          <w:noProof/>
        </w:rPr>
        <w:fldChar w:fldCharType="begin"/>
      </w:r>
      <w:r>
        <w:rPr>
          <w:noProof/>
        </w:rPr>
        <w:instrText xml:space="preserve"> PAGEREF _Toc2361401 \h </w:instrText>
      </w:r>
      <w:r>
        <w:rPr>
          <w:noProof/>
        </w:rPr>
      </w:r>
      <w:r>
        <w:rPr>
          <w:noProof/>
        </w:rPr>
        <w:fldChar w:fldCharType="separate"/>
      </w:r>
      <w:r>
        <w:rPr>
          <w:noProof/>
        </w:rPr>
        <w:t>34</w:t>
      </w:r>
      <w:r>
        <w:rPr>
          <w:noProof/>
        </w:rPr>
        <w:fldChar w:fldCharType="end"/>
      </w:r>
    </w:p>
    <w:p w14:paraId="52C1B631" w14:textId="4E2FA9BE"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 xml:space="preserve">12 </w:t>
      </w:r>
      <w:r>
        <w:rPr>
          <w:rFonts w:asciiTheme="minorHAnsi" w:eastAsiaTheme="minorEastAsia" w:hAnsiTheme="minorHAnsi" w:cstheme="minorBidi"/>
          <w:b w:val="0"/>
          <w:noProof/>
        </w:rPr>
        <w:tab/>
      </w:r>
      <w:r w:rsidRPr="007F0E80">
        <w:rPr>
          <w:rFonts w:ascii="Helvetica Neue" w:hAnsi="Helvetica Neue"/>
          <w:noProof/>
        </w:rPr>
        <w:t>EXPEDITED PARTNER THERAPY</w:t>
      </w:r>
      <w:r>
        <w:rPr>
          <w:noProof/>
        </w:rPr>
        <w:tab/>
      </w:r>
      <w:r>
        <w:rPr>
          <w:noProof/>
        </w:rPr>
        <w:fldChar w:fldCharType="begin"/>
      </w:r>
      <w:r>
        <w:rPr>
          <w:noProof/>
        </w:rPr>
        <w:instrText xml:space="preserve"> PAGEREF _Toc2361402 \h </w:instrText>
      </w:r>
      <w:r>
        <w:rPr>
          <w:noProof/>
        </w:rPr>
      </w:r>
      <w:r>
        <w:rPr>
          <w:noProof/>
        </w:rPr>
        <w:fldChar w:fldCharType="separate"/>
      </w:r>
      <w:r>
        <w:rPr>
          <w:noProof/>
        </w:rPr>
        <w:t>34</w:t>
      </w:r>
      <w:r>
        <w:rPr>
          <w:noProof/>
        </w:rPr>
        <w:fldChar w:fldCharType="end"/>
      </w:r>
    </w:p>
    <w:p w14:paraId="6C776152" w14:textId="3389A873"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12.1</w:t>
      </w:r>
      <w:r>
        <w:rPr>
          <w:rFonts w:asciiTheme="minorHAnsi" w:eastAsiaTheme="minorEastAsia" w:hAnsiTheme="minorHAnsi" w:cstheme="minorBidi"/>
          <w:i w:val="0"/>
          <w:noProof/>
          <w:sz w:val="22"/>
        </w:rPr>
        <w:tab/>
      </w:r>
      <w:r w:rsidRPr="007F0E80">
        <w:rPr>
          <w:rFonts w:ascii="Helvetica Neue" w:hAnsi="Helvetica Neue"/>
          <w:noProof/>
        </w:rPr>
        <w:t>EPT Indications and Eligibility</w:t>
      </w:r>
      <w:r>
        <w:rPr>
          <w:noProof/>
        </w:rPr>
        <w:tab/>
      </w:r>
      <w:r>
        <w:rPr>
          <w:noProof/>
        </w:rPr>
        <w:fldChar w:fldCharType="begin"/>
      </w:r>
      <w:r>
        <w:rPr>
          <w:noProof/>
        </w:rPr>
        <w:instrText xml:space="preserve"> PAGEREF _Toc2361403 \h </w:instrText>
      </w:r>
      <w:r>
        <w:rPr>
          <w:noProof/>
        </w:rPr>
      </w:r>
      <w:r>
        <w:rPr>
          <w:noProof/>
        </w:rPr>
        <w:fldChar w:fldCharType="separate"/>
      </w:r>
      <w:r>
        <w:rPr>
          <w:noProof/>
        </w:rPr>
        <w:t>34</w:t>
      </w:r>
      <w:r>
        <w:rPr>
          <w:noProof/>
        </w:rPr>
        <w:fldChar w:fldCharType="end"/>
      </w:r>
    </w:p>
    <w:p w14:paraId="3ADD79BB" w14:textId="6320B51C"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12.2</w:t>
      </w:r>
      <w:r>
        <w:rPr>
          <w:rFonts w:asciiTheme="minorHAnsi" w:eastAsiaTheme="minorEastAsia" w:hAnsiTheme="minorHAnsi" w:cstheme="minorBidi"/>
          <w:i w:val="0"/>
          <w:noProof/>
          <w:sz w:val="22"/>
        </w:rPr>
        <w:tab/>
      </w:r>
      <w:r w:rsidRPr="007F0E80">
        <w:rPr>
          <w:rFonts w:ascii="Helvetica Neue" w:hAnsi="Helvetica Neue"/>
          <w:noProof/>
        </w:rPr>
        <w:t>Coverage (Provision to Index Partner)</w:t>
      </w:r>
      <w:r>
        <w:rPr>
          <w:noProof/>
        </w:rPr>
        <w:tab/>
      </w:r>
      <w:r>
        <w:rPr>
          <w:noProof/>
        </w:rPr>
        <w:fldChar w:fldCharType="begin"/>
      </w:r>
      <w:r>
        <w:rPr>
          <w:noProof/>
        </w:rPr>
        <w:instrText xml:space="preserve"> PAGEREF _Toc2361404 \h </w:instrText>
      </w:r>
      <w:r>
        <w:rPr>
          <w:noProof/>
        </w:rPr>
      </w:r>
      <w:r>
        <w:rPr>
          <w:noProof/>
        </w:rPr>
        <w:fldChar w:fldCharType="separate"/>
      </w:r>
      <w:r>
        <w:rPr>
          <w:noProof/>
        </w:rPr>
        <w:t>34</w:t>
      </w:r>
      <w:r>
        <w:rPr>
          <w:noProof/>
        </w:rPr>
        <w:fldChar w:fldCharType="end"/>
      </w:r>
    </w:p>
    <w:p w14:paraId="5D93C6FC" w14:textId="46DD7436"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12.3</w:t>
      </w:r>
      <w:r>
        <w:rPr>
          <w:rFonts w:asciiTheme="minorHAnsi" w:eastAsiaTheme="minorEastAsia" w:hAnsiTheme="minorHAnsi" w:cstheme="minorBidi"/>
          <w:i w:val="0"/>
          <w:noProof/>
          <w:sz w:val="22"/>
        </w:rPr>
        <w:tab/>
      </w:r>
      <w:r w:rsidRPr="007F0E80">
        <w:rPr>
          <w:rFonts w:ascii="Helvetica Neue" w:hAnsi="Helvetica Neue"/>
          <w:noProof/>
        </w:rPr>
        <w:t>Provision (Provision to Non-Index Partner)</w:t>
      </w:r>
      <w:r>
        <w:rPr>
          <w:noProof/>
        </w:rPr>
        <w:tab/>
      </w:r>
      <w:r>
        <w:rPr>
          <w:noProof/>
        </w:rPr>
        <w:fldChar w:fldCharType="begin"/>
      </w:r>
      <w:r>
        <w:rPr>
          <w:noProof/>
        </w:rPr>
        <w:instrText xml:space="preserve"> PAGEREF _Toc2361405 \h </w:instrText>
      </w:r>
      <w:r>
        <w:rPr>
          <w:noProof/>
        </w:rPr>
      </w:r>
      <w:r>
        <w:rPr>
          <w:noProof/>
        </w:rPr>
        <w:fldChar w:fldCharType="separate"/>
      </w:r>
      <w:r>
        <w:rPr>
          <w:noProof/>
        </w:rPr>
        <w:t>36</w:t>
      </w:r>
      <w:r>
        <w:rPr>
          <w:noProof/>
        </w:rPr>
        <w:fldChar w:fldCharType="end"/>
      </w:r>
    </w:p>
    <w:p w14:paraId="09459967" w14:textId="2A5C1646"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12.4</w:t>
      </w:r>
      <w:r>
        <w:rPr>
          <w:rFonts w:asciiTheme="minorHAnsi" w:eastAsiaTheme="minorEastAsia" w:hAnsiTheme="minorHAnsi" w:cstheme="minorBidi"/>
          <w:i w:val="0"/>
          <w:noProof/>
          <w:sz w:val="22"/>
        </w:rPr>
        <w:tab/>
      </w:r>
      <w:r w:rsidRPr="007F0E80">
        <w:rPr>
          <w:rFonts w:ascii="Helvetica Neue" w:hAnsi="Helvetica Neue"/>
          <w:noProof/>
        </w:rPr>
        <w:t>Uptake (Uptake by Non-Index Partner)</w:t>
      </w:r>
      <w:r>
        <w:rPr>
          <w:noProof/>
        </w:rPr>
        <w:tab/>
      </w:r>
      <w:r>
        <w:rPr>
          <w:noProof/>
        </w:rPr>
        <w:fldChar w:fldCharType="begin"/>
      </w:r>
      <w:r>
        <w:rPr>
          <w:noProof/>
        </w:rPr>
        <w:instrText xml:space="preserve"> PAGEREF _Toc2361406 \h </w:instrText>
      </w:r>
      <w:r>
        <w:rPr>
          <w:noProof/>
        </w:rPr>
      </w:r>
      <w:r>
        <w:rPr>
          <w:noProof/>
        </w:rPr>
        <w:fldChar w:fldCharType="separate"/>
      </w:r>
      <w:r>
        <w:rPr>
          <w:noProof/>
        </w:rPr>
        <w:t>37</w:t>
      </w:r>
      <w:r>
        <w:rPr>
          <w:noProof/>
        </w:rPr>
        <w:fldChar w:fldCharType="end"/>
      </w:r>
    </w:p>
    <w:p w14:paraId="4E1AAE74" w14:textId="62474CF8"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12.5</w:t>
      </w:r>
      <w:r>
        <w:rPr>
          <w:rFonts w:asciiTheme="minorHAnsi" w:eastAsiaTheme="minorEastAsia" w:hAnsiTheme="minorHAnsi" w:cstheme="minorBidi"/>
          <w:i w:val="0"/>
          <w:noProof/>
          <w:sz w:val="22"/>
        </w:rPr>
        <w:tab/>
      </w:r>
      <w:r w:rsidRPr="007F0E80">
        <w:rPr>
          <w:rFonts w:ascii="Helvetica Neue" w:hAnsi="Helvetica Neue"/>
          <w:noProof/>
        </w:rPr>
        <w:t>Treatment Success (EPT Adherence and Progression to STI Treatment)</w:t>
      </w:r>
      <w:r>
        <w:rPr>
          <w:noProof/>
        </w:rPr>
        <w:tab/>
      </w:r>
      <w:r>
        <w:rPr>
          <w:noProof/>
        </w:rPr>
        <w:fldChar w:fldCharType="begin"/>
      </w:r>
      <w:r>
        <w:rPr>
          <w:noProof/>
        </w:rPr>
        <w:instrText xml:space="preserve"> PAGEREF _Toc2361407 \h </w:instrText>
      </w:r>
      <w:r>
        <w:rPr>
          <w:noProof/>
        </w:rPr>
      </w:r>
      <w:r>
        <w:rPr>
          <w:noProof/>
        </w:rPr>
        <w:fldChar w:fldCharType="separate"/>
      </w:r>
      <w:r>
        <w:rPr>
          <w:noProof/>
        </w:rPr>
        <w:t>39</w:t>
      </w:r>
      <w:r>
        <w:rPr>
          <w:noProof/>
        </w:rPr>
        <w:fldChar w:fldCharType="end"/>
      </w:r>
    </w:p>
    <w:p w14:paraId="70A36E28" w14:textId="2E69891B"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12.6</w:t>
      </w:r>
      <w:r>
        <w:rPr>
          <w:rFonts w:asciiTheme="minorHAnsi" w:eastAsiaTheme="minorEastAsia" w:hAnsiTheme="minorHAnsi" w:cstheme="minorBidi"/>
          <w:i w:val="0"/>
          <w:noProof/>
          <w:sz w:val="22"/>
        </w:rPr>
        <w:tab/>
      </w:r>
      <w:r w:rsidRPr="007F0E80">
        <w:rPr>
          <w:rFonts w:ascii="Helvetica Neue" w:hAnsi="Helvetica Neue"/>
          <w:noProof/>
        </w:rPr>
        <w:t>Other Statistics Relevant to EPT</w:t>
      </w:r>
      <w:r>
        <w:rPr>
          <w:noProof/>
        </w:rPr>
        <w:tab/>
      </w:r>
      <w:r>
        <w:rPr>
          <w:noProof/>
        </w:rPr>
        <w:fldChar w:fldCharType="begin"/>
      </w:r>
      <w:r>
        <w:rPr>
          <w:noProof/>
        </w:rPr>
        <w:instrText xml:space="preserve"> PAGEREF _Toc2361408 \h </w:instrText>
      </w:r>
      <w:r>
        <w:rPr>
          <w:noProof/>
        </w:rPr>
      </w:r>
      <w:r>
        <w:rPr>
          <w:noProof/>
        </w:rPr>
        <w:fldChar w:fldCharType="separate"/>
      </w:r>
      <w:r>
        <w:rPr>
          <w:noProof/>
        </w:rPr>
        <w:t>39</w:t>
      </w:r>
      <w:r>
        <w:rPr>
          <w:noProof/>
        </w:rPr>
        <w:fldChar w:fldCharType="end"/>
      </w:r>
    </w:p>
    <w:p w14:paraId="48C5E273" w14:textId="668A14DE"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13</w:t>
      </w:r>
      <w:r>
        <w:rPr>
          <w:rFonts w:asciiTheme="minorHAnsi" w:eastAsiaTheme="minorEastAsia" w:hAnsiTheme="minorHAnsi" w:cstheme="minorBidi"/>
          <w:b w:val="0"/>
          <w:noProof/>
        </w:rPr>
        <w:tab/>
      </w:r>
      <w:r w:rsidRPr="007F0E80">
        <w:rPr>
          <w:rFonts w:ascii="Helvetica Neue" w:hAnsi="Helvetica Neue"/>
          <w:noProof/>
        </w:rPr>
        <w:t>MODEL CALIBRATION AND PARAMETER ESTIMATION</w:t>
      </w:r>
      <w:r>
        <w:rPr>
          <w:noProof/>
        </w:rPr>
        <w:tab/>
      </w:r>
      <w:r>
        <w:rPr>
          <w:noProof/>
        </w:rPr>
        <w:fldChar w:fldCharType="begin"/>
      </w:r>
      <w:r>
        <w:rPr>
          <w:noProof/>
        </w:rPr>
        <w:instrText xml:space="preserve"> PAGEREF _Toc2361409 \h </w:instrText>
      </w:r>
      <w:r>
        <w:rPr>
          <w:noProof/>
        </w:rPr>
      </w:r>
      <w:r>
        <w:rPr>
          <w:noProof/>
        </w:rPr>
        <w:fldChar w:fldCharType="separate"/>
      </w:r>
      <w:r>
        <w:rPr>
          <w:noProof/>
        </w:rPr>
        <w:t>40</w:t>
      </w:r>
      <w:r>
        <w:rPr>
          <w:noProof/>
        </w:rPr>
        <w:fldChar w:fldCharType="end"/>
      </w:r>
    </w:p>
    <w:p w14:paraId="6A8D4199" w14:textId="6D440141"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13.1</w:t>
      </w:r>
      <w:r>
        <w:rPr>
          <w:rFonts w:asciiTheme="minorHAnsi" w:eastAsiaTheme="minorEastAsia" w:hAnsiTheme="minorHAnsi" w:cstheme="minorBidi"/>
          <w:i w:val="0"/>
          <w:noProof/>
          <w:sz w:val="22"/>
        </w:rPr>
        <w:tab/>
      </w:r>
      <w:r w:rsidRPr="007F0E80">
        <w:rPr>
          <w:rFonts w:ascii="Helvetica Neue" w:hAnsi="Helvetica Neue"/>
          <w:noProof/>
        </w:rPr>
        <w:t xml:space="preserve"> Model Calibration</w:t>
      </w:r>
      <w:r>
        <w:rPr>
          <w:noProof/>
        </w:rPr>
        <w:tab/>
      </w:r>
      <w:r>
        <w:rPr>
          <w:noProof/>
        </w:rPr>
        <w:fldChar w:fldCharType="begin"/>
      </w:r>
      <w:r>
        <w:rPr>
          <w:noProof/>
        </w:rPr>
        <w:instrText xml:space="preserve"> PAGEREF _Toc2361410 \h </w:instrText>
      </w:r>
      <w:r>
        <w:rPr>
          <w:noProof/>
        </w:rPr>
      </w:r>
      <w:r>
        <w:rPr>
          <w:noProof/>
        </w:rPr>
        <w:fldChar w:fldCharType="separate"/>
      </w:r>
      <w:r>
        <w:rPr>
          <w:noProof/>
        </w:rPr>
        <w:t>40</w:t>
      </w:r>
      <w:r>
        <w:rPr>
          <w:noProof/>
        </w:rPr>
        <w:fldChar w:fldCharType="end"/>
      </w:r>
    </w:p>
    <w:p w14:paraId="481A7308" w14:textId="211416F8" w:rsidR="005D79FA" w:rsidRDefault="005D79FA">
      <w:pPr>
        <w:pStyle w:val="TOC2"/>
        <w:rPr>
          <w:rFonts w:asciiTheme="minorHAnsi" w:eastAsiaTheme="minorEastAsia" w:hAnsiTheme="minorHAnsi" w:cstheme="minorBidi"/>
          <w:i w:val="0"/>
          <w:noProof/>
          <w:sz w:val="22"/>
        </w:rPr>
      </w:pPr>
      <w:r w:rsidRPr="007F0E80">
        <w:rPr>
          <w:rFonts w:ascii="Helvetica Neue" w:hAnsi="Helvetica Neue"/>
          <w:noProof/>
        </w:rPr>
        <w:t>13.2</w:t>
      </w:r>
      <w:r>
        <w:rPr>
          <w:rFonts w:asciiTheme="minorHAnsi" w:eastAsiaTheme="minorEastAsia" w:hAnsiTheme="minorHAnsi" w:cstheme="minorBidi"/>
          <w:i w:val="0"/>
          <w:noProof/>
          <w:sz w:val="22"/>
        </w:rPr>
        <w:tab/>
      </w:r>
      <w:r w:rsidRPr="007F0E80">
        <w:rPr>
          <w:rFonts w:ascii="Helvetica Neue" w:hAnsi="Helvetica Neue"/>
          <w:noProof/>
        </w:rPr>
        <w:t xml:space="preserve"> Model Simulations</w:t>
      </w:r>
      <w:r>
        <w:rPr>
          <w:noProof/>
        </w:rPr>
        <w:tab/>
      </w:r>
      <w:r>
        <w:rPr>
          <w:noProof/>
        </w:rPr>
        <w:fldChar w:fldCharType="begin"/>
      </w:r>
      <w:r>
        <w:rPr>
          <w:noProof/>
        </w:rPr>
        <w:instrText xml:space="preserve"> PAGEREF _Toc2361411 \h </w:instrText>
      </w:r>
      <w:r>
        <w:rPr>
          <w:noProof/>
        </w:rPr>
      </w:r>
      <w:r>
        <w:rPr>
          <w:noProof/>
        </w:rPr>
        <w:fldChar w:fldCharType="separate"/>
      </w:r>
      <w:r>
        <w:rPr>
          <w:noProof/>
        </w:rPr>
        <w:t>44</w:t>
      </w:r>
      <w:r>
        <w:rPr>
          <w:noProof/>
        </w:rPr>
        <w:fldChar w:fldCharType="end"/>
      </w:r>
    </w:p>
    <w:p w14:paraId="39BBDBB0" w14:textId="7524331C"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14</w:t>
      </w:r>
      <w:r>
        <w:rPr>
          <w:rFonts w:asciiTheme="minorHAnsi" w:eastAsiaTheme="minorEastAsia" w:hAnsiTheme="minorHAnsi" w:cstheme="minorBidi"/>
          <w:b w:val="0"/>
          <w:noProof/>
        </w:rPr>
        <w:tab/>
      </w:r>
      <w:r w:rsidRPr="007F0E80">
        <w:rPr>
          <w:rFonts w:ascii="Helvetica Neue" w:hAnsi="Helvetica Neue"/>
          <w:noProof/>
        </w:rPr>
        <w:t>SUPPLEMENTAL RESULTS</w:t>
      </w:r>
      <w:r>
        <w:rPr>
          <w:noProof/>
        </w:rPr>
        <w:tab/>
      </w:r>
      <w:r>
        <w:rPr>
          <w:noProof/>
        </w:rPr>
        <w:fldChar w:fldCharType="begin"/>
      </w:r>
      <w:r>
        <w:rPr>
          <w:noProof/>
        </w:rPr>
        <w:instrText xml:space="preserve"> PAGEREF _Toc2361412 \h </w:instrText>
      </w:r>
      <w:r>
        <w:rPr>
          <w:noProof/>
        </w:rPr>
      </w:r>
      <w:r>
        <w:rPr>
          <w:noProof/>
        </w:rPr>
        <w:fldChar w:fldCharType="separate"/>
      </w:r>
      <w:r>
        <w:rPr>
          <w:noProof/>
        </w:rPr>
        <w:t>48</w:t>
      </w:r>
      <w:r>
        <w:rPr>
          <w:noProof/>
        </w:rPr>
        <w:fldChar w:fldCharType="end"/>
      </w:r>
    </w:p>
    <w:p w14:paraId="76E7CA59" w14:textId="07F294EB" w:rsidR="005D79FA" w:rsidRDefault="005D79FA">
      <w:pPr>
        <w:pStyle w:val="TOC1"/>
        <w:rPr>
          <w:rFonts w:asciiTheme="minorHAnsi" w:eastAsiaTheme="minorEastAsia" w:hAnsiTheme="minorHAnsi" w:cstheme="minorBidi"/>
          <w:b w:val="0"/>
          <w:noProof/>
        </w:rPr>
      </w:pPr>
      <w:r w:rsidRPr="007F0E80">
        <w:rPr>
          <w:rFonts w:ascii="Helvetica Neue" w:hAnsi="Helvetica Neue"/>
          <w:noProof/>
        </w:rPr>
        <w:t>15</w:t>
      </w:r>
      <w:r>
        <w:rPr>
          <w:rFonts w:asciiTheme="minorHAnsi" w:eastAsiaTheme="minorEastAsia" w:hAnsiTheme="minorHAnsi" w:cstheme="minorBidi"/>
          <w:b w:val="0"/>
          <w:noProof/>
        </w:rPr>
        <w:tab/>
      </w:r>
      <w:r w:rsidRPr="007F0E80">
        <w:rPr>
          <w:rFonts w:ascii="Helvetica Neue" w:hAnsi="Helvetica Neue"/>
          <w:noProof/>
        </w:rPr>
        <w:t>REFERENCES</w:t>
      </w:r>
      <w:r>
        <w:rPr>
          <w:noProof/>
        </w:rPr>
        <w:tab/>
      </w:r>
      <w:r>
        <w:rPr>
          <w:noProof/>
        </w:rPr>
        <w:fldChar w:fldCharType="begin"/>
      </w:r>
      <w:r>
        <w:rPr>
          <w:noProof/>
        </w:rPr>
        <w:instrText xml:space="preserve"> PAGEREF _Toc2361413 \h </w:instrText>
      </w:r>
      <w:r>
        <w:rPr>
          <w:noProof/>
        </w:rPr>
      </w:r>
      <w:r>
        <w:rPr>
          <w:noProof/>
        </w:rPr>
        <w:fldChar w:fldCharType="separate"/>
      </w:r>
      <w:r>
        <w:rPr>
          <w:noProof/>
        </w:rPr>
        <w:t>56</w:t>
      </w:r>
      <w:r>
        <w:rPr>
          <w:noProof/>
        </w:rPr>
        <w:fldChar w:fldCharType="end"/>
      </w:r>
    </w:p>
    <w:p w14:paraId="2368FC12" w14:textId="44FD8ED7" w:rsidR="009B3BB0" w:rsidRPr="0024409C" w:rsidRDefault="009B3BB0" w:rsidP="00660F9A">
      <w:pPr>
        <w:contextualSpacing/>
        <w:rPr>
          <w:rFonts w:ascii="Helvetica Neue" w:hAnsi="Helvetica Neue"/>
        </w:rPr>
      </w:pPr>
      <w:r w:rsidRPr="0024409C">
        <w:rPr>
          <w:rFonts w:ascii="Helvetica Neue" w:hAnsi="Helvetica Neue"/>
        </w:rPr>
        <w:fldChar w:fldCharType="end"/>
      </w:r>
    </w:p>
    <w:p w14:paraId="0D9AF9D0" w14:textId="675A5354" w:rsidR="00160308" w:rsidRPr="0024409C" w:rsidRDefault="00160308">
      <w:pPr>
        <w:spacing w:after="160" w:line="259" w:lineRule="auto"/>
        <w:rPr>
          <w:rFonts w:ascii="Helvetica Neue" w:hAnsi="Helvetica Neue"/>
          <w:b/>
        </w:rPr>
      </w:pPr>
      <w:r w:rsidRPr="0024409C">
        <w:rPr>
          <w:rFonts w:ascii="Helvetica Neue" w:hAnsi="Helvetica Neue"/>
          <w:b/>
        </w:rPr>
        <w:br w:type="page"/>
      </w:r>
    </w:p>
    <w:p w14:paraId="0D6E47AE" w14:textId="77777777" w:rsidR="009B3BB0" w:rsidRPr="0024409C" w:rsidRDefault="009B3BB0" w:rsidP="009B3BB0">
      <w:pPr>
        <w:pStyle w:val="Heading1"/>
        <w:rPr>
          <w:rFonts w:ascii="Helvetica Neue" w:hAnsi="Helvetica Neue"/>
        </w:rPr>
      </w:pPr>
      <w:bookmarkStart w:id="0" w:name="_Toc2361361"/>
      <w:r w:rsidRPr="0024409C">
        <w:rPr>
          <w:rFonts w:ascii="Helvetica Neue" w:hAnsi="Helvetica Neue"/>
        </w:rPr>
        <w:lastRenderedPageBreak/>
        <w:t>1</w:t>
      </w:r>
      <w:r w:rsidRPr="0024409C">
        <w:rPr>
          <w:rFonts w:ascii="Helvetica Neue" w:hAnsi="Helvetica Neue"/>
        </w:rPr>
        <w:tab/>
        <w:t>INTRODUCTION</w:t>
      </w:r>
      <w:bookmarkEnd w:id="0"/>
    </w:p>
    <w:p w14:paraId="5AC08AA4" w14:textId="77777777" w:rsidR="009B3BB0" w:rsidRPr="0024409C" w:rsidRDefault="009B3BB0" w:rsidP="009B3BB0">
      <w:pPr>
        <w:spacing w:line="360" w:lineRule="auto"/>
        <w:rPr>
          <w:rFonts w:ascii="Helvetica Neue" w:hAnsi="Helvetica Neue"/>
        </w:rPr>
      </w:pPr>
      <w:r w:rsidRPr="0024409C">
        <w:rPr>
          <w:rFonts w:ascii="Helvetica Neue" w:hAnsi="Helvetica Neue"/>
        </w:rPr>
        <w:t>This supplementary technical appendix describes the mathematical model structure, parameterization, and statistical analysis of the accompanying paper in further detail.</w:t>
      </w:r>
    </w:p>
    <w:p w14:paraId="2793AAC5" w14:textId="77777777" w:rsidR="009B3BB0" w:rsidRPr="0024409C" w:rsidRDefault="009B3BB0" w:rsidP="009B3BB0">
      <w:pPr>
        <w:pStyle w:val="Heading2"/>
        <w:rPr>
          <w:rFonts w:ascii="Helvetica Neue" w:hAnsi="Helvetica Neue"/>
          <w:szCs w:val="22"/>
        </w:rPr>
      </w:pPr>
      <w:bookmarkStart w:id="1" w:name="_Toc2361362"/>
      <w:r w:rsidRPr="0024409C">
        <w:rPr>
          <w:rFonts w:ascii="Helvetica Neue" w:hAnsi="Helvetica Neue"/>
          <w:szCs w:val="22"/>
        </w:rPr>
        <w:t xml:space="preserve">1.1 </w:t>
      </w:r>
      <w:r w:rsidRPr="0024409C">
        <w:rPr>
          <w:rFonts w:ascii="Helvetica Neue" w:hAnsi="Helvetica Neue"/>
          <w:szCs w:val="22"/>
        </w:rPr>
        <w:tab/>
        <w:t>Model Framework</w:t>
      </w:r>
      <w:bookmarkEnd w:id="1"/>
    </w:p>
    <w:p w14:paraId="670AFE56" w14:textId="068747B9" w:rsidR="009B3BB0" w:rsidRPr="0024409C" w:rsidRDefault="009B3BB0" w:rsidP="009B3BB0">
      <w:pPr>
        <w:spacing w:line="360" w:lineRule="auto"/>
        <w:rPr>
          <w:rFonts w:ascii="Helvetica Neue" w:hAnsi="Helvetica Neue"/>
        </w:rPr>
      </w:pPr>
      <w:r w:rsidRPr="0024409C">
        <w:rPr>
          <w:rFonts w:ascii="Helvetica Neue" w:hAnsi="Helvetica Neue"/>
        </w:rPr>
        <w:t xml:space="preserve">The mathematical models for HIV transmission dynamics presented in this study are agent-based </w:t>
      </w:r>
      <w:proofErr w:type="spellStart"/>
      <w:r w:rsidRPr="0024409C">
        <w:rPr>
          <w:rFonts w:ascii="Helvetica Neue" w:hAnsi="Helvetica Neue"/>
        </w:rPr>
        <w:t>microsimulation</w:t>
      </w:r>
      <w:proofErr w:type="spellEnd"/>
      <w:r w:rsidRPr="0024409C">
        <w:rPr>
          <w:rFonts w:ascii="Helvetica Neue" w:hAnsi="Helvetica Neue"/>
        </w:rPr>
        <w:t xml:space="preserve"> models in which uniquely identifiable sexual partnership dyads were simulated and tracked over time. This partnership structure is represented </w:t>
      </w:r>
      <w:r w:rsidR="00816B61" w:rsidRPr="0024409C">
        <w:rPr>
          <w:rFonts w:ascii="Helvetica Neue" w:hAnsi="Helvetica Neue"/>
        </w:rPr>
        <w:t>using</w:t>
      </w:r>
      <w:r w:rsidRPr="0024409C">
        <w:rPr>
          <w:rFonts w:ascii="Helvetica Neue" w:hAnsi="Helvetica Neue"/>
        </w:rPr>
        <w:t xml:space="preserve"> separable temporal exponential-family random graph models (</w:t>
      </w:r>
      <w:r w:rsidR="000C4F8D" w:rsidRPr="0024409C">
        <w:rPr>
          <w:rFonts w:ascii="Helvetica Neue" w:hAnsi="Helvetica Neue"/>
        </w:rPr>
        <w:t xml:space="preserve">STERGMs), described in Section </w:t>
      </w:r>
      <w:r w:rsidR="004A2B0D" w:rsidRPr="0024409C">
        <w:rPr>
          <w:rFonts w:ascii="Helvetica Neue" w:hAnsi="Helvetica Neue"/>
        </w:rPr>
        <w:t>2.</w:t>
      </w:r>
      <w:r w:rsidRPr="0024409C">
        <w:rPr>
          <w:rFonts w:ascii="Helvetica Neue" w:hAnsi="Helvetica Neue"/>
        </w:rPr>
        <w:t xml:space="preserve"> On top of this dynamic network simulation, the larger epidemic model represents demography (entries, exits, and aging), </w:t>
      </w:r>
      <w:proofErr w:type="spellStart"/>
      <w:r w:rsidRPr="0024409C">
        <w:rPr>
          <w:rFonts w:ascii="Helvetica Neue" w:hAnsi="Helvetica Neue"/>
        </w:rPr>
        <w:t>interhost</w:t>
      </w:r>
      <w:proofErr w:type="spellEnd"/>
      <w:r w:rsidRPr="0024409C">
        <w:rPr>
          <w:rFonts w:ascii="Helvetica Neue" w:hAnsi="Helvetica Neue"/>
        </w:rPr>
        <w:t xml:space="preserve"> epidemiology (disease transmission), </w:t>
      </w:r>
      <w:proofErr w:type="spellStart"/>
      <w:r w:rsidRPr="0024409C">
        <w:rPr>
          <w:rFonts w:ascii="Helvetica Neue" w:hAnsi="Helvetica Neue"/>
        </w:rPr>
        <w:t>intrahost</w:t>
      </w:r>
      <w:proofErr w:type="spellEnd"/>
      <w:r w:rsidRPr="0024409C">
        <w:rPr>
          <w:rFonts w:ascii="Helvetica Neue" w:hAnsi="Helvetica Neue"/>
        </w:rPr>
        <w:t xml:space="preserve"> epidemiology (disease progression), and clinical epidemiology (disease diagnosis and treatment). Individual attributes related to these processes are stored and updated in discrete time over the course of each epidemic simulation.</w:t>
      </w:r>
    </w:p>
    <w:p w14:paraId="2BCC20FB" w14:textId="7251C425" w:rsidR="00D661FD"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The modeling methods presented here depend upon and extend the </w:t>
      </w:r>
      <w:proofErr w:type="spellStart"/>
      <w:r w:rsidRPr="0024409C">
        <w:rPr>
          <w:rFonts w:ascii="Helvetica Neue" w:hAnsi="Helvetica Neue"/>
          <w:i/>
        </w:rPr>
        <w:t>EpiModel</w:t>
      </w:r>
      <w:proofErr w:type="spellEnd"/>
      <w:r w:rsidRPr="0024409C">
        <w:rPr>
          <w:rFonts w:ascii="Helvetica Neue" w:hAnsi="Helvetica Neue"/>
        </w:rPr>
        <w:t xml:space="preserve"> software to incorporate HIV-specific epidemiology. The HIV extensions for men who have sex with men (MSM) were originally developed by </w:t>
      </w:r>
      <w:proofErr w:type="spellStart"/>
      <w:r w:rsidRPr="0024409C">
        <w:rPr>
          <w:rFonts w:ascii="Helvetica Neue" w:hAnsi="Helvetica Neue"/>
        </w:rPr>
        <w:t>Goodreau</w:t>
      </w:r>
      <w:proofErr w:type="spellEnd"/>
      <w:r w:rsidRPr="0024409C">
        <w:rPr>
          <w:rFonts w:ascii="Helvetica Neue" w:hAnsi="Helvetica Neue"/>
        </w:rPr>
        <w:t xml:space="preserve"> et al. for use in prior modeling studies of MSM in the United States and South America,</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One","id":"ITEM-1","issue":"11","issued":{"date-parts":[["2012"]]},"page":"e50522","title":"What drives the US and Peruvian HIV epidemics in men who have sex with men (MSM)?","type":"article-journal","volume":"7"},"uris":["http://www.mendeley.com/documents/?uuid=95236385-1da9-4014-87d9-9bf044dc09fb"]},{"id":"ITEM-2","itemData":{"ISSN":"1932-6203","PMID":"25076493","abstract":"BACKGROUND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w:instrText>
      </w:r>
      <w:r w:rsidR="00665BF2">
        <w:rPr>
          <w:rFonts w:ascii="Cambria Math" w:hAnsi="Cambria Math" w:cs="Cambria Math"/>
          <w:noProof/>
          <w:vertAlign w:val="superscript"/>
        </w:rPr>
        <w:instrText>∼</w:instrText>
      </w:r>
      <w:r w:rsidR="00665BF2">
        <w:rPr>
          <w:rFonts w:ascii="Helvetica Neue" w:hAnsi="Helvetica Neue"/>
          <w:noProof/>
          <w:vertAlign w:val="superscript"/>
        </w:rPr>
        <w:instrText>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R","non-dropping-particle":"","parse-names":false,"suffix":""},{"dropping-particle":"","family":"Fuchs","given":"Jonathan D","non-dropping-particle":"","parse-names":false,"suffix":""},{"dropping-particle":"","family":"Sanchez","given":"Jorge","non-dropping-particle":"","parse-names":false,"suffix":""},{"dropping-particle":"","family":"Buchbinder","given":"Susan P","non-dropping-particle":"","parse-names":false,"suffix":""}],"container-title":"PloS One","id":"ITEM-2","issue":"7","issued":{"date-parts":[["2014"]]},"page":"e102960","title":"Can male circumcision have an impact on the HIV epidemic in men who have sex with men?","type":"article-journal","volume":"9"},"uris":["http://www.mendeley.com/documents/?uuid=4655d172-cbf9-44a1-bca9-5231aaa7a93e"]},{"id":"ITEM-3","itemData":{"ISSN":"1944-7884","PMID":"25942463","abstract":"BACKGROUND We aim to identify optimal strategies for deploying pre-exposure prophylaxis among men who have sex with men (MSM) in the United States and Peru to maximize population-level effectiveness in an efficient manner. We use epidemic models to simulate the impact of targeting strategies. Most studies have focused on targeting either the general population or high-risk MSM. Alternative strategies, including serodiscordant couples, may better balance effectiveness and efficiency. METHODS We use dynamic stochastic sexual network models based on exponential-family random graph modeling, parameterized from behavioral surveys of MSM in the United States and Peru. These models represent main partnerships and casual contacts separately, permitting modeling of interventions targeting men whose risk derives from combinations of relational types. We also model varying rates of uptake and adherence to pre-exposure prophylaxis (PrEP). We assess sensitivity of results to risk compensation through increases in condomless casual contacts and condomless sex in main partnerships. RESULTS Targeting all men who are not exclusively insertive has the largest impact on HIV incidence, but targeting only those with high levels of casual activity yields comparable results using fewer person-years on PrEP. The effect is robust to risk compensation in the United States, but less so in Peru. Targeting serodiscordant main partnerships does not significantly impact incidence, but requires fewer person-years on PrEP per infection averted than other strategies. CONCLUSIONS PrEP could be effective in reducing new infections at the population level in both settings. Serodiscordant partnerships are an attractive component of a targeting program, but targeting should include other high-risk men.","author":[{"dropping-particle":"","family":"Carnegie","given":"Nicole B","non-dropping-particle":"","parse-names":false,"suffix":""},{"dropping-particle":"","family":"Goodreau","given":"Steven M","non-dropping-particle":"","parse-names":false,"suffix":""},{"dropping-particle":"","family":"Liu","given":"Albert","non-dropping-particle":"","parse-names":false,"suffix":""},{"dropping-particle":"","family":"Vittinghoff","given":"Eric","non-dropping-particle":"","parse-names":false,"suffix":""},{"dropping-particle":"","family":"Sanchez","given":"Jorge","non-dropping-particle":"","parse-names":false,"suffix":""},{"dropping-particle":"","family":"Lama","given":"Javier R","non-dropping-particle":"","parse-names":false,"suffix":""},{"dropping-particle":"","family":"Buchbinder","given":"Susan","non-dropping-particle":"","parse-names":false,"suffix":""}],"container-title":"J Acquir Immune Defic Syndr","id":"ITEM-3","issue":"1","issued":{"date-parts":[["2015","5","1"]]},"page":"119-25","title":"Targeting pre-exposure prophylaxis among men who have sex with men in the United States and Peru: partnership types, contact rates, and sexual role.","type":"article-journal","volume":"69"},"uris":["http://www.mendeley.com/documents/?uuid=c71dbe28-878b-4310-8bb6-966a22ba81d5"]}],"mendeley":{"formattedCitation":"&lt;sup&gt;1–3&lt;/sup&gt;","plainTextFormattedCitation":"1–3","previouslyFormattedCitation":"&lt;sup&gt;1–3&lt;/sup&gt;"},"properties":{"noteIndex":0},"schema":"https://github.com/citation-style-language/schema/raw/master/csl-citation.json"}</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1–3</w:t>
      </w:r>
      <w:r w:rsidRPr="0024409C">
        <w:rPr>
          <w:rFonts w:ascii="Helvetica Neue" w:hAnsi="Helvetica Neue"/>
          <w:noProof/>
          <w:vertAlign w:val="superscript"/>
        </w:rPr>
        <w:fldChar w:fldCharType="end"/>
      </w:r>
      <w:r w:rsidRPr="0024409C">
        <w:rPr>
          <w:rFonts w:ascii="Helvetica Neue" w:hAnsi="Helvetica Neue"/>
        </w:rPr>
        <w:t xml:space="preserve"> </w:t>
      </w:r>
      <w:r w:rsidR="00D661FD" w:rsidRPr="0024409C">
        <w:rPr>
          <w:rFonts w:ascii="Helvetica Neue" w:hAnsi="Helvetica Neue"/>
        </w:rPr>
        <w:t>and subsequently used for model</w:t>
      </w:r>
      <w:r w:rsidR="00077B0C" w:rsidRPr="0024409C">
        <w:rPr>
          <w:rFonts w:ascii="Helvetica Neue" w:hAnsi="Helvetica Neue"/>
        </w:rPr>
        <w:t>s</w:t>
      </w:r>
      <w:r w:rsidR="00D661FD" w:rsidRPr="0024409C">
        <w:rPr>
          <w:rFonts w:ascii="Helvetica Neue" w:hAnsi="Helvetica Neue"/>
        </w:rPr>
        <w:t xml:space="preserve"> </w:t>
      </w:r>
      <w:r w:rsidR="00077B0C" w:rsidRPr="0024409C">
        <w:rPr>
          <w:rFonts w:ascii="Helvetica Neue" w:hAnsi="Helvetica Neue"/>
        </w:rPr>
        <w:t>of</w:t>
      </w:r>
      <w:r w:rsidR="00D661FD" w:rsidRPr="0024409C">
        <w:rPr>
          <w:rFonts w:ascii="Helvetica Neue" w:hAnsi="Helvetica Neue"/>
        </w:rPr>
        <w:t xml:space="preserve"> HIV </w:t>
      </w:r>
      <w:proofErr w:type="spellStart"/>
      <w:r w:rsidR="00D661FD" w:rsidRPr="0024409C">
        <w:rPr>
          <w:rFonts w:ascii="Helvetica Neue" w:hAnsi="Helvetica Neue"/>
        </w:rPr>
        <w:t>preexposure</w:t>
      </w:r>
      <w:proofErr w:type="spellEnd"/>
      <w:r w:rsidR="00D661FD" w:rsidRPr="0024409C">
        <w:rPr>
          <w:rFonts w:ascii="Helvetica Neue" w:hAnsi="Helvetica Neue"/>
        </w:rPr>
        <w:t xml:space="preserve"> prophylaxis (</w:t>
      </w:r>
      <w:proofErr w:type="spellStart"/>
      <w:r w:rsidR="00D661FD" w:rsidRPr="0024409C">
        <w:rPr>
          <w:rFonts w:ascii="Helvetica Neue" w:hAnsi="Helvetica Neue"/>
        </w:rPr>
        <w:t>PrEP</w:t>
      </w:r>
      <w:proofErr w:type="spellEnd"/>
      <w:r w:rsidR="00D661FD" w:rsidRPr="0024409C">
        <w:rPr>
          <w:rFonts w:ascii="Helvetica Neue" w:hAnsi="Helvetica Neue"/>
        </w:rPr>
        <w:t>) among US MSM.</w:t>
      </w:r>
      <w:r w:rsidR="00D661FD" w:rsidRPr="0024409C">
        <w:rPr>
          <w:rFonts w:ascii="Helvetica Neue" w:hAnsi="Helvetica Neue"/>
        </w:rPr>
        <w:fldChar w:fldCharType="begin" w:fldLock="1"/>
      </w:r>
      <w:r w:rsidR="00665BF2">
        <w:rPr>
          <w:rFonts w:ascii="Helvetica Neue" w:hAnsi="Helvetica Neue"/>
        </w:rPr>
        <w:instrText>ADDIN CSL_CITATION {"citationItems":[{"id":"ITEM-1","itemData":{"ISSN":"1537-6613","PMID":"27418048","abstract":"BACKGROUND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K","non-dropping-particle":"","parse-names":false,"suffix":""},{"dropping-particle":"","family":"Sullivan","given":"Patrick","non-dropping-particle":"","parse-names":false,"suffix":""}],"container-title":"J Inf Dis","id":"ITEM-1","issue":"12","issued":{"date-parts":[["2016"]]},"page":"1800-1807","title":"Impact of the Centers for Disease Control's HIV preexposure prophylaxis guidelines for men who have sex with men in the United States.","type":"article-journal","volume":"214"},"uris":["http://www.mendeley.com/documents/?uuid=519a92ba-c0b5-4c1e-8183-234b9b845078"]},{"id":"ITEM-2","itemData":{"ISSN":"1058-4838","PMID":"28505240","abstract":"Background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Diseases","id":"ITEM-2","issue":"5","issued":{"date-parts":[["2017","5","13"]]},"page":"712-718","title":"Incidence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4,5&lt;/sup&gt;","plainTextFormattedCitation":"4,5","previouslyFormattedCitation":"&lt;sup&gt;4,5&lt;/sup&gt;"},"properties":{"noteIndex":0},"schema":"https://github.com/citation-style-language/schema/raw/master/csl-citation.json"}</w:instrText>
      </w:r>
      <w:r w:rsidR="00D661FD" w:rsidRPr="0024409C">
        <w:rPr>
          <w:rFonts w:ascii="Helvetica Neue" w:hAnsi="Helvetica Neue"/>
        </w:rPr>
        <w:fldChar w:fldCharType="separate"/>
      </w:r>
      <w:r w:rsidR="00E52119" w:rsidRPr="0024409C">
        <w:rPr>
          <w:rFonts w:ascii="Helvetica Neue" w:hAnsi="Helvetica Neue"/>
          <w:noProof/>
          <w:vertAlign w:val="superscript"/>
        </w:rPr>
        <w:t>4,5</w:t>
      </w:r>
      <w:r w:rsidR="00D661FD" w:rsidRPr="0024409C">
        <w:rPr>
          <w:rFonts w:ascii="Helvetica Neue" w:hAnsi="Helvetica Neue"/>
        </w:rPr>
        <w:fldChar w:fldCharType="end"/>
      </w:r>
    </w:p>
    <w:p w14:paraId="5119FAB3" w14:textId="5476BF4F"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The model algorithms and methods presented here generalize these prior MSM HIV transmission models to investigate emerging </w:t>
      </w:r>
      <w:r w:rsidR="00B63A79" w:rsidRPr="0024409C">
        <w:rPr>
          <w:rFonts w:ascii="Helvetica Neue" w:hAnsi="Helvetica Neue"/>
        </w:rPr>
        <w:t>and established</w:t>
      </w:r>
      <w:r w:rsidRPr="0024409C">
        <w:rPr>
          <w:rFonts w:ascii="Helvetica Neue" w:hAnsi="Helvetica Neue"/>
        </w:rPr>
        <w:t xml:space="preserve"> </w:t>
      </w:r>
      <w:r w:rsidR="00B63A79" w:rsidRPr="0024409C">
        <w:rPr>
          <w:rFonts w:ascii="Helvetica Neue" w:hAnsi="Helvetica Neue"/>
        </w:rPr>
        <w:t xml:space="preserve">HIV and STI </w:t>
      </w:r>
      <w:r w:rsidRPr="0024409C">
        <w:rPr>
          <w:rFonts w:ascii="Helvetica Neue" w:hAnsi="Helvetica Neue"/>
        </w:rPr>
        <w:t xml:space="preserve">prevention </w:t>
      </w:r>
      <w:r w:rsidR="00B63A79" w:rsidRPr="0024409C">
        <w:rPr>
          <w:rFonts w:ascii="Helvetica Neue" w:hAnsi="Helvetica Neue"/>
        </w:rPr>
        <w:t>methods</w:t>
      </w:r>
      <w:r w:rsidRPr="0024409C">
        <w:rPr>
          <w:rFonts w:ascii="Helvetica Neue" w:hAnsi="Helvetica Neue"/>
        </w:rPr>
        <w:t xml:space="preserve"> such as </w:t>
      </w:r>
      <w:r w:rsidR="00B63A79" w:rsidRPr="0024409C">
        <w:rPr>
          <w:rFonts w:ascii="Helvetica Neue" w:hAnsi="Helvetica Neue"/>
        </w:rPr>
        <w:t>regular screening for HIV and STIs</w:t>
      </w:r>
      <w:r w:rsidRPr="0024409C">
        <w:rPr>
          <w:rFonts w:ascii="Helvetica Neue" w:hAnsi="Helvetica Neue"/>
        </w:rPr>
        <w:t xml:space="preserve"> as part of a collaborative modeling effort (the Coalition for Applied Modeling for Prevention) between Emory University, the University of Washington, the Centers for Disease Control and Prevention, and local health public departments </w:t>
      </w:r>
      <w:r w:rsidRPr="0024409C">
        <w:rPr>
          <w:rFonts w:ascii="Helvetica Neue" w:hAnsi="Helvetica Neue"/>
          <w:color w:val="2E74B5" w:themeColor="accent1" w:themeShade="BF"/>
        </w:rPr>
        <w:t>[http://emorycamp.org/]</w:t>
      </w:r>
      <w:r w:rsidRPr="0024409C">
        <w:rPr>
          <w:rFonts w:ascii="Helvetica Neue" w:hAnsi="Helvetica Neue"/>
        </w:rPr>
        <w:t>.</w:t>
      </w:r>
    </w:p>
    <w:p w14:paraId="6CB383BC" w14:textId="77777777" w:rsidR="009B3BB0" w:rsidRPr="0024409C" w:rsidRDefault="009B3BB0" w:rsidP="009B3BB0">
      <w:pPr>
        <w:pStyle w:val="Heading2"/>
        <w:rPr>
          <w:rFonts w:ascii="Helvetica Neue" w:hAnsi="Helvetica Neue"/>
          <w:szCs w:val="22"/>
        </w:rPr>
      </w:pPr>
      <w:bookmarkStart w:id="2" w:name="_Toc2361363"/>
      <w:r w:rsidRPr="0024409C">
        <w:rPr>
          <w:rFonts w:ascii="Helvetica Neue" w:hAnsi="Helvetica Neue"/>
          <w:szCs w:val="22"/>
        </w:rPr>
        <w:lastRenderedPageBreak/>
        <w:t>1.2</w:t>
      </w:r>
      <w:r w:rsidRPr="0024409C">
        <w:rPr>
          <w:rFonts w:ascii="Helvetica Neue" w:hAnsi="Helvetica Neue"/>
          <w:szCs w:val="22"/>
        </w:rPr>
        <w:tab/>
        <w:t>Model Software</w:t>
      </w:r>
      <w:bookmarkEnd w:id="2"/>
    </w:p>
    <w:p w14:paraId="3DD1B3EA" w14:textId="29FFB056" w:rsidR="00D661FD" w:rsidRPr="0024409C" w:rsidRDefault="00D661FD" w:rsidP="00D661FD">
      <w:pPr>
        <w:tabs>
          <w:tab w:val="left" w:pos="360"/>
        </w:tabs>
        <w:spacing w:line="360" w:lineRule="auto"/>
        <w:rPr>
          <w:rFonts w:ascii="Helvetica Neue" w:hAnsi="Helvetica Neue"/>
        </w:rPr>
      </w:pPr>
      <w:r w:rsidRPr="0024409C">
        <w:rPr>
          <w:rFonts w:ascii="Helvetica Neue" w:hAnsi="Helvetica Neue"/>
        </w:rPr>
        <w:t xml:space="preserve">The models in this study were programmed in the R and C++ software languages using the </w:t>
      </w:r>
      <w:proofErr w:type="spellStart"/>
      <w:r w:rsidRPr="0024409C">
        <w:rPr>
          <w:rFonts w:ascii="Helvetica Neue" w:hAnsi="Helvetica Neue"/>
          <w:i/>
        </w:rPr>
        <w:t>EpiModel</w:t>
      </w:r>
      <w:proofErr w:type="spellEnd"/>
      <w:r w:rsidRPr="0024409C">
        <w:rPr>
          <w:rFonts w:ascii="Helvetica Neue" w:hAnsi="Helvetica Neue"/>
          <w:i/>
        </w:rPr>
        <w:t xml:space="preserve"> </w:t>
      </w:r>
      <w:r w:rsidRPr="0024409C">
        <w:rPr>
          <w:rFonts w:ascii="Helvetica Neue" w:hAnsi="Helvetica Neue"/>
          <w:color w:val="0070C0"/>
        </w:rPr>
        <w:t>[http://epimodel.org/]</w:t>
      </w:r>
      <w:r w:rsidRPr="0024409C">
        <w:rPr>
          <w:rFonts w:ascii="Helvetica Neue" w:hAnsi="Helvetica Neue"/>
        </w:rPr>
        <w:t xml:space="preserve"> software platform for epidemic modeling. </w:t>
      </w:r>
      <w:proofErr w:type="spellStart"/>
      <w:r w:rsidRPr="0024409C">
        <w:rPr>
          <w:rFonts w:ascii="Helvetica Neue" w:hAnsi="Helvetica Neue"/>
          <w:i/>
        </w:rPr>
        <w:t>EpiModel</w:t>
      </w:r>
      <w:proofErr w:type="spellEnd"/>
      <w:r w:rsidRPr="0024409C">
        <w:rPr>
          <w:rFonts w:ascii="Helvetica Neue" w:hAnsi="Helvetica Neue"/>
        </w:rPr>
        <w:t xml:space="preserve"> was developed by the authors for simulating complex network-based mathematical models of infectious diseases, with a primary focus on HIV and other sexually transmitted infections (STIs). </w:t>
      </w:r>
      <w:proofErr w:type="spellStart"/>
      <w:r w:rsidRPr="0024409C">
        <w:rPr>
          <w:rFonts w:ascii="Helvetica Neue" w:hAnsi="Helvetica Neue"/>
          <w:i/>
        </w:rPr>
        <w:t>EpiModel</w:t>
      </w:r>
      <w:proofErr w:type="spellEnd"/>
      <w:r w:rsidRPr="0024409C">
        <w:rPr>
          <w:rFonts w:ascii="Helvetica Neue" w:hAnsi="Helvetica Neue"/>
        </w:rPr>
        <w:t xml:space="preserve"> depends on </w:t>
      </w:r>
      <w:proofErr w:type="spellStart"/>
      <w:r w:rsidRPr="0024409C">
        <w:rPr>
          <w:rFonts w:ascii="Helvetica Neue" w:hAnsi="Helvetica Neue"/>
          <w:i/>
        </w:rPr>
        <w:t>Statnet</w:t>
      </w:r>
      <w:proofErr w:type="spellEnd"/>
      <w:r w:rsidRPr="0024409C">
        <w:rPr>
          <w:rFonts w:ascii="Helvetica Neue" w:hAnsi="Helvetica Neue"/>
          <w:i/>
        </w:rPr>
        <w:t xml:space="preserve"> </w:t>
      </w:r>
      <w:r w:rsidRPr="0024409C">
        <w:rPr>
          <w:rFonts w:ascii="Helvetica Neue" w:hAnsi="Helvetica Neue"/>
          <w:color w:val="0070C0"/>
        </w:rPr>
        <w:t>[http://statnet.org/]</w:t>
      </w:r>
      <w:r w:rsidRPr="0024409C">
        <w:rPr>
          <w:rFonts w:ascii="Helvetica Neue" w:hAnsi="Helvetica Neue"/>
        </w:rPr>
        <w:t>, a suite of software in R for the representation, visualization, and statistical analysis of complex network data.</w:t>
      </w:r>
      <w:r w:rsidRPr="0024409C">
        <w:rPr>
          <w:rFonts w:ascii="Helvetica Neue" w:hAnsi="Helvetica Neue"/>
        </w:rPr>
        <w:fldChar w:fldCharType="begin" w:fldLock="1"/>
      </w:r>
      <w:r w:rsidR="00665BF2">
        <w:rPr>
          <w:rFonts w:ascii="Helvetica Neue" w:hAnsi="Helvetica Neue"/>
        </w:rPr>
        <w:instrText>ADDIN CSL_CITATION {"citationItems":[{"id":"ITEM-1","itemData":{"ISSN":"1548-7660","abstract":"statnet is a suite of software packages for statistical network analysis. The packages implement recent advances in network modeling based on exponential-family random graph models (ERGM). The components of the package provide a comprehensive framework for ERGM-based network modeling, including tools for model estimation, model evaluation, model-based network simulation, and network visualization. This broad functionality is powered by a central Markov chain Monte Carlo (MCMC) algorithm. The coding is optimized for speed and robustness.","author":[{"dropping-particle":"","family":"Handcock","given":"Mark S.","non-dropping-particle":"","parse-names":false,"suffix":""},{"dropping-particle":"","family":"Hunter","given":"David R.","non-dropping-particle":"","parse-names":false,"suffix":""},{"dropping-particle":"","family":"Butts","given":"Carter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M.","non-dropping-particle":"","parse-names":false,"suffix":""},{"dropping-particle":"","family":"Morris","given":"Martina","non-dropping-particle":"","parse-names":false,"suffix":""}],"container-title":"Journal of Statistical Software","id":"ITEM-1","issue":"1","issued":{"date-parts":[["2008"]]},"page":"1-11","title":"Statnet : Software tools for the representation, visualization, analysis and simulation of network data","type":"article-journal","volume":"24"},"uris":["http://www.mendeley.com/documents/?uuid=a978bb4f-5264-37a0-bc93-5eca44d5dc75","http://www.mendeley.com/documents/?uuid=21ec5abf-8a42-4b7c-8a1f-0d9cd1bbd3b2"]}],"mendeley":{"formattedCitation":"&lt;sup&gt;6&lt;/sup&gt;","plainTextFormattedCitation":"6","previouslyFormattedCitation":"&lt;sup&gt;6&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6</w:t>
      </w:r>
      <w:r w:rsidRPr="0024409C">
        <w:rPr>
          <w:rFonts w:ascii="Helvetica Neue" w:hAnsi="Helvetica Neue"/>
        </w:rPr>
        <w:fldChar w:fldCharType="end"/>
      </w:r>
    </w:p>
    <w:p w14:paraId="30EFF226" w14:textId="4FB14871" w:rsidR="00D661FD" w:rsidRPr="0024409C" w:rsidRDefault="00D661FD" w:rsidP="00D661FD">
      <w:pPr>
        <w:tabs>
          <w:tab w:val="left" w:pos="360"/>
        </w:tabs>
        <w:spacing w:before="120" w:line="360" w:lineRule="auto"/>
        <w:rPr>
          <w:rFonts w:ascii="Helvetica Neue" w:hAnsi="Helvetica Neue"/>
        </w:rPr>
      </w:pPr>
      <w:proofErr w:type="spellStart"/>
      <w:r w:rsidRPr="0024409C">
        <w:rPr>
          <w:rFonts w:ascii="Helvetica Neue" w:hAnsi="Helvetica Neue"/>
          <w:i/>
        </w:rPr>
        <w:t>EpiModel</w:t>
      </w:r>
      <w:proofErr w:type="spellEnd"/>
      <w:r w:rsidRPr="0024409C">
        <w:rPr>
          <w:rFonts w:ascii="Helvetica Neue" w:hAnsi="Helvetica Neue"/>
          <w:i/>
        </w:rPr>
        <w:t xml:space="preserve"> </w:t>
      </w:r>
      <w:r w:rsidRPr="0024409C">
        <w:rPr>
          <w:rFonts w:ascii="Helvetica Neue" w:hAnsi="Helvetica Neue"/>
        </w:rPr>
        <w:t xml:space="preserve">allows for a modular expansion of its built-in modeling tools to address novel research questions. For this current research study, we have developed extension modules into an add-on software package to </w:t>
      </w:r>
      <w:proofErr w:type="spellStart"/>
      <w:r w:rsidRPr="0024409C">
        <w:rPr>
          <w:rFonts w:ascii="Helvetica Neue" w:hAnsi="Helvetica Neue"/>
          <w:i/>
        </w:rPr>
        <w:t>EpiModel</w:t>
      </w:r>
      <w:proofErr w:type="spellEnd"/>
      <w:r w:rsidRPr="0024409C">
        <w:rPr>
          <w:rFonts w:ascii="Helvetica Neue" w:hAnsi="Helvetica Neue"/>
        </w:rPr>
        <w:t xml:space="preserve"> called </w:t>
      </w:r>
      <w:proofErr w:type="spellStart"/>
      <w:r w:rsidRPr="0024409C">
        <w:rPr>
          <w:rFonts w:ascii="Helvetica Neue" w:hAnsi="Helvetica Neue"/>
          <w:i/>
        </w:rPr>
        <w:t>EpiModelHIV</w:t>
      </w:r>
      <w:proofErr w:type="spellEnd"/>
      <w:r w:rsidRPr="0024409C">
        <w:rPr>
          <w:rFonts w:ascii="Helvetica Neue" w:hAnsi="Helvetica Neue"/>
        </w:rPr>
        <w:t xml:space="preserve">. This open-source software is available for download, along with the scripts used in the execution of these models. The tools and scripts to run these models are contained in two </w:t>
      </w:r>
      <w:proofErr w:type="spellStart"/>
      <w:r w:rsidR="00B97FCD" w:rsidRPr="0024409C">
        <w:rPr>
          <w:rFonts w:ascii="Helvetica Neue" w:hAnsi="Helvetica Neue"/>
        </w:rPr>
        <w:t>GitHub</w:t>
      </w:r>
      <w:proofErr w:type="spellEnd"/>
      <w:r w:rsidRPr="0024409C">
        <w:rPr>
          <w:rFonts w:ascii="Helvetica Neue" w:hAnsi="Helvetica Neue"/>
        </w:rPr>
        <w:t xml:space="preserve"> software repositories:</w:t>
      </w:r>
    </w:p>
    <w:p w14:paraId="002962FE" w14:textId="183A50A7" w:rsidR="00D661FD" w:rsidRPr="0024409C" w:rsidRDefault="00D661FD" w:rsidP="00D661FD">
      <w:pPr>
        <w:pStyle w:val="ListParagraph"/>
        <w:numPr>
          <w:ilvl w:val="0"/>
          <w:numId w:val="4"/>
        </w:numPr>
        <w:tabs>
          <w:tab w:val="left" w:pos="360"/>
        </w:tabs>
        <w:spacing w:line="360" w:lineRule="auto"/>
        <w:ind w:left="360" w:hanging="180"/>
        <w:rPr>
          <w:rFonts w:ascii="Helvetica Neue" w:hAnsi="Helvetica Neue"/>
        </w:rPr>
      </w:pPr>
      <w:r w:rsidRPr="0024409C">
        <w:rPr>
          <w:rFonts w:ascii="Helvetica Neue" w:hAnsi="Helvetica Neue"/>
          <w:color w:val="0070C0"/>
        </w:rPr>
        <w:t>[http://github.com/</w:t>
      </w:r>
      <w:r w:rsidR="00EC6064">
        <w:rPr>
          <w:rFonts w:ascii="Helvetica Neue" w:hAnsi="Helvetica Neue"/>
          <w:color w:val="0070C0"/>
        </w:rPr>
        <w:t>EpiModel</w:t>
      </w:r>
      <w:r w:rsidRPr="0024409C">
        <w:rPr>
          <w:rFonts w:ascii="Helvetica Neue" w:hAnsi="Helvetica Neue"/>
          <w:color w:val="0070C0"/>
        </w:rPr>
        <w:t xml:space="preserve">/EpiModelHIV] </w:t>
      </w:r>
      <w:r w:rsidRPr="0024409C">
        <w:rPr>
          <w:rFonts w:ascii="Helvetica Neue" w:hAnsi="Helvetica Neue"/>
        </w:rPr>
        <w:t xml:space="preserve">contains the general extension software package. Installing this using the instructions listed at the repository homepage will also load in </w:t>
      </w:r>
      <w:proofErr w:type="spellStart"/>
      <w:r w:rsidRPr="0024409C">
        <w:rPr>
          <w:rFonts w:ascii="Helvetica Neue" w:hAnsi="Helvetica Neue"/>
          <w:i/>
        </w:rPr>
        <w:t>EpiModel</w:t>
      </w:r>
      <w:proofErr w:type="spellEnd"/>
      <w:r w:rsidRPr="0024409C">
        <w:rPr>
          <w:rFonts w:ascii="Helvetica Neue" w:hAnsi="Helvetica Neue"/>
          <w:i/>
        </w:rPr>
        <w:t xml:space="preserve"> </w:t>
      </w:r>
      <w:r w:rsidRPr="0024409C">
        <w:rPr>
          <w:rFonts w:ascii="Helvetica Neue" w:hAnsi="Helvetica Neue"/>
        </w:rPr>
        <w:t xml:space="preserve">and the other dependencies. We use </w:t>
      </w:r>
      <w:proofErr w:type="gramStart"/>
      <w:r w:rsidRPr="0024409C">
        <w:rPr>
          <w:rFonts w:ascii="Helvetica Neue" w:hAnsi="Helvetica Neue"/>
        </w:rPr>
        <w:t>a branching</w:t>
      </w:r>
      <w:proofErr w:type="gramEnd"/>
      <w:r w:rsidRPr="0024409C">
        <w:rPr>
          <w:rFonts w:ascii="Helvetica Neue" w:hAnsi="Helvetica Neue"/>
        </w:rPr>
        <w:t xml:space="preserve"> software architecture such that the version of the software associated with this research project is </w:t>
      </w:r>
      <w:proofErr w:type="spellStart"/>
      <w:r w:rsidR="00816B61">
        <w:rPr>
          <w:rFonts w:ascii="Helvetica Neue" w:hAnsi="Helvetica Neue"/>
          <w:i/>
        </w:rPr>
        <w:t>new</w:t>
      </w:r>
      <w:r w:rsidR="00AB2579">
        <w:rPr>
          <w:rFonts w:ascii="Helvetica Neue" w:hAnsi="Helvetica Neue"/>
          <w:i/>
        </w:rPr>
        <w:t>_ept</w:t>
      </w:r>
      <w:proofErr w:type="spellEnd"/>
      <w:r w:rsidR="00AB2579">
        <w:rPr>
          <w:rFonts w:ascii="Helvetica Neue" w:hAnsi="Helvetica Neue"/>
          <w:i/>
        </w:rPr>
        <w:t>.</w:t>
      </w:r>
    </w:p>
    <w:p w14:paraId="4EC74CD1" w14:textId="39F1D5E9" w:rsidR="00D661FD" w:rsidRPr="0024409C" w:rsidRDefault="00D661FD" w:rsidP="00D661FD">
      <w:pPr>
        <w:pStyle w:val="ListParagraph"/>
        <w:numPr>
          <w:ilvl w:val="0"/>
          <w:numId w:val="4"/>
        </w:numPr>
        <w:tabs>
          <w:tab w:val="left" w:pos="360"/>
        </w:tabs>
        <w:spacing w:line="360" w:lineRule="auto"/>
        <w:ind w:left="360" w:hanging="180"/>
        <w:rPr>
          <w:rFonts w:ascii="Helvetica Neue" w:hAnsi="Helvetica Neue"/>
        </w:rPr>
      </w:pPr>
      <w:r w:rsidRPr="0024409C">
        <w:rPr>
          <w:rFonts w:ascii="Helvetica Neue" w:hAnsi="Helvetica Neue"/>
          <w:color w:val="0070C0"/>
        </w:rPr>
        <w:t>[http://github.com/</w:t>
      </w:r>
      <w:r w:rsidR="00EC6064">
        <w:rPr>
          <w:rFonts w:ascii="Helvetica Neue" w:hAnsi="Helvetica Neue"/>
          <w:color w:val="0070C0"/>
        </w:rPr>
        <w:t>EpiModel</w:t>
      </w:r>
      <w:r w:rsidRPr="0024409C">
        <w:rPr>
          <w:rFonts w:ascii="Helvetica Neue" w:hAnsi="Helvetica Neue"/>
          <w:color w:val="0070C0"/>
        </w:rPr>
        <w:t>/</w:t>
      </w:r>
      <w:r w:rsidR="00EC6064">
        <w:rPr>
          <w:rFonts w:ascii="Helvetica Neue" w:hAnsi="Helvetica Neue"/>
          <w:color w:val="0070C0"/>
        </w:rPr>
        <w:t>EPT</w:t>
      </w:r>
      <w:r w:rsidRPr="0024409C">
        <w:rPr>
          <w:rFonts w:ascii="Helvetica Neue" w:hAnsi="Helvetica Neue"/>
          <w:color w:val="0070C0"/>
        </w:rPr>
        <w:t xml:space="preserve">] </w:t>
      </w:r>
      <w:r w:rsidRPr="0024409C">
        <w:rPr>
          <w:rFonts w:ascii="Helvetica Neue" w:hAnsi="Helvetica Neue"/>
        </w:rPr>
        <w:t>contains the scripts to execute the mathematical models and to run the statistical analyses provided in the manuscript.</w:t>
      </w:r>
    </w:p>
    <w:p w14:paraId="66078886" w14:textId="0724AFC3" w:rsidR="009B3BB0" w:rsidRPr="0024409C" w:rsidRDefault="00273CDD" w:rsidP="002232EA">
      <w:pPr>
        <w:pStyle w:val="Heading1"/>
        <w:spacing w:before="300"/>
        <w:rPr>
          <w:rFonts w:ascii="Helvetica Neue" w:hAnsi="Helvetica Neue"/>
        </w:rPr>
      </w:pPr>
      <w:bookmarkStart w:id="3" w:name="_Toc2361364"/>
      <w:r w:rsidRPr="0024409C">
        <w:rPr>
          <w:rFonts w:ascii="Helvetica Neue" w:hAnsi="Helvetica Neue"/>
        </w:rPr>
        <w:t>2</w:t>
      </w:r>
      <w:r w:rsidR="009B3BB0" w:rsidRPr="0024409C">
        <w:rPr>
          <w:rFonts w:ascii="Helvetica Neue" w:hAnsi="Helvetica Neue"/>
        </w:rPr>
        <w:tab/>
      </w:r>
      <w:r w:rsidR="00277378" w:rsidRPr="0024409C">
        <w:rPr>
          <w:rFonts w:ascii="Helvetica Neue" w:hAnsi="Helvetica Neue"/>
        </w:rPr>
        <w:t xml:space="preserve">DYNAMIC </w:t>
      </w:r>
      <w:r w:rsidR="009B3BB0" w:rsidRPr="0024409C">
        <w:rPr>
          <w:rFonts w:ascii="Helvetica Neue" w:hAnsi="Helvetica Neue"/>
        </w:rPr>
        <w:t>NETWORKS OF SEXUAL PARTNERSHIPS</w:t>
      </w:r>
      <w:bookmarkEnd w:id="3"/>
    </w:p>
    <w:p w14:paraId="4A0D5DB6" w14:textId="4821F550" w:rsidR="009B3BB0" w:rsidRPr="0024409C" w:rsidRDefault="009B3BB0" w:rsidP="009B3BB0">
      <w:pPr>
        <w:spacing w:before="80" w:line="360" w:lineRule="auto"/>
        <w:rPr>
          <w:rFonts w:ascii="Helvetica Neue" w:hAnsi="Helvetica Neue"/>
        </w:rPr>
      </w:pPr>
      <w:r w:rsidRPr="0024409C">
        <w:rPr>
          <w:rFonts w:ascii="Helvetica Neue" w:hAnsi="Helvetica Neue"/>
        </w:rPr>
        <w:t xml:space="preserve">We modeled networks of three interacting types of sexual relations: main partnerships, casual (but persistent) partnerships, and one-time anal intercourse (AI) contacts. We first describe the methods conceptually, including the parameters used to guide the model and their derivation (Section </w:t>
      </w:r>
      <w:r w:rsidR="004A2B0D" w:rsidRPr="0024409C">
        <w:rPr>
          <w:rFonts w:ascii="Helvetica Neue" w:hAnsi="Helvetica Neue"/>
        </w:rPr>
        <w:t>2</w:t>
      </w:r>
      <w:r w:rsidRPr="0024409C">
        <w:rPr>
          <w:rFonts w:ascii="Helvetica Neue" w:hAnsi="Helvetica Neue"/>
        </w:rPr>
        <w:t xml:space="preserve">.1), and then present the formal statistical modeling methods (Section </w:t>
      </w:r>
      <w:r w:rsidR="004A2B0D" w:rsidRPr="0024409C">
        <w:rPr>
          <w:rFonts w:ascii="Helvetica Neue" w:hAnsi="Helvetica Neue"/>
        </w:rPr>
        <w:t>2</w:t>
      </w:r>
      <w:r w:rsidRPr="0024409C">
        <w:rPr>
          <w:rFonts w:ascii="Helvetica Neue" w:hAnsi="Helvetica Neue"/>
        </w:rPr>
        <w:t>.2). Consistent with our parameter derivations, all relationships are defined as those in which AI is expected to occur at least once.</w:t>
      </w:r>
    </w:p>
    <w:p w14:paraId="7DD0F192" w14:textId="2C3C6BDC" w:rsidR="009B3BB0" w:rsidRPr="0024409C" w:rsidRDefault="00273CDD" w:rsidP="009B3BB0">
      <w:pPr>
        <w:pStyle w:val="Heading2"/>
        <w:rPr>
          <w:rFonts w:ascii="Helvetica Neue" w:hAnsi="Helvetica Neue"/>
          <w:szCs w:val="22"/>
          <w:highlight w:val="lightGray"/>
        </w:rPr>
      </w:pPr>
      <w:bookmarkStart w:id="4" w:name="mathematical-framework"/>
      <w:bookmarkStart w:id="5" w:name="_Toc2361365"/>
      <w:bookmarkEnd w:id="4"/>
      <w:r w:rsidRPr="0024409C">
        <w:rPr>
          <w:rFonts w:ascii="Helvetica Neue" w:hAnsi="Helvetica Neue"/>
          <w:szCs w:val="22"/>
        </w:rPr>
        <w:lastRenderedPageBreak/>
        <w:t>2</w:t>
      </w:r>
      <w:r w:rsidR="009B3BB0" w:rsidRPr="0024409C">
        <w:rPr>
          <w:rFonts w:ascii="Helvetica Neue" w:hAnsi="Helvetica Neue"/>
          <w:szCs w:val="22"/>
        </w:rPr>
        <w:t xml:space="preserve">.1 </w:t>
      </w:r>
      <w:r w:rsidR="009B3BB0" w:rsidRPr="0024409C">
        <w:rPr>
          <w:rFonts w:ascii="Helvetica Neue" w:hAnsi="Helvetica Neue"/>
          <w:szCs w:val="22"/>
        </w:rPr>
        <w:tab/>
        <w:t>Conceptual Representation of Sexual Networks</w:t>
      </w:r>
      <w:bookmarkEnd w:id="5"/>
    </w:p>
    <w:p w14:paraId="53D061CD" w14:textId="05406142" w:rsidR="009B3BB0" w:rsidRPr="0024409C" w:rsidRDefault="009B3BB0" w:rsidP="009B3BB0">
      <w:pPr>
        <w:spacing w:line="360" w:lineRule="auto"/>
        <w:ind w:left="38"/>
        <w:rPr>
          <w:rFonts w:ascii="Helvetica Neue" w:hAnsi="Helvetica Neue"/>
        </w:rPr>
      </w:pPr>
      <w:r w:rsidRPr="0024409C">
        <w:rPr>
          <w:rFonts w:ascii="Helvetica Neue" w:hAnsi="Helvetica Neue"/>
        </w:rPr>
        <w:t>Our modeling methods aim to preserve certain features of the cross-sectional and dynamic network structure as reported in behavioral studies, while also allowing for mean relational durations to be targeted to those reported for different groups and relational types. These methods do so all within the context of changing population size (due to births, deaths, arrivals</w:t>
      </w:r>
      <w:r w:rsidR="00886491" w:rsidRPr="0024409C">
        <w:rPr>
          <w:rFonts w:ascii="Helvetica Neue" w:hAnsi="Helvetica Neue"/>
        </w:rPr>
        <w:t>,</w:t>
      </w:r>
      <w:r w:rsidRPr="0024409C">
        <w:rPr>
          <w:rFonts w:ascii="Helvetica Neue" w:hAnsi="Helvetica Neue"/>
        </w:rPr>
        <w:t xml:space="preserve"> and departures from the population) and changing composition by attributes such as age and disease status.</w:t>
      </w:r>
    </w:p>
    <w:p w14:paraId="7C44E7BC" w14:textId="77777777" w:rsidR="009B3BB0" w:rsidRPr="0024409C" w:rsidRDefault="009B3BB0" w:rsidP="009B3BB0">
      <w:pPr>
        <w:spacing w:before="120" w:line="360" w:lineRule="auto"/>
        <w:ind w:left="43"/>
        <w:rPr>
          <w:rFonts w:ascii="Helvetica Neue" w:hAnsi="Helvetica Neue"/>
        </w:rPr>
      </w:pPr>
      <w:r w:rsidRPr="0024409C">
        <w:rPr>
          <w:rFonts w:ascii="Helvetica Neue" w:hAnsi="Helvetica Neue"/>
        </w:rPr>
        <w:t>The network features that we aim to preserve are as follows, with the parameters for each described in turn:</w:t>
      </w:r>
    </w:p>
    <w:p w14:paraId="7A7B1792"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The proportion of men in any given combination of main and casual partnerships (for example, in 1 main and 0 casual partnerships) at any time point.</w:t>
      </w:r>
    </w:p>
    <w:p w14:paraId="5F443B0A"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The expected number of one-time contacts per time step had by men in each main-casual combination.</w:t>
      </w:r>
    </w:p>
    <w:p w14:paraId="5799EA57"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Variation across men in the numbers of one-time contacts.</w:t>
      </w:r>
    </w:p>
    <w:p w14:paraId="46BFE12C" w14:textId="77777777"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Age mixing within each of the different relational types.</w:t>
      </w:r>
    </w:p>
    <w:p w14:paraId="4A2E3F75" w14:textId="2019FB82" w:rsidR="009B3BB0" w:rsidRPr="0024409C" w:rsidRDefault="009B3BB0" w:rsidP="009B3BB0">
      <w:pPr>
        <w:pStyle w:val="ListParagraph"/>
        <w:numPr>
          <w:ilvl w:val="0"/>
          <w:numId w:val="35"/>
        </w:numPr>
        <w:spacing w:line="360" w:lineRule="auto"/>
        <w:contextualSpacing w:val="0"/>
        <w:rPr>
          <w:rFonts w:ascii="Helvetica Neue" w:hAnsi="Helvetica Neue"/>
        </w:rPr>
      </w:pPr>
      <w:r w:rsidRPr="0024409C">
        <w:rPr>
          <w:rFonts w:ascii="Helvetica Neue" w:hAnsi="Helvetica Neue"/>
        </w:rPr>
        <w:t xml:space="preserve">Prohibitions against partnering for two men who are both exclusively </w:t>
      </w:r>
      <w:proofErr w:type="spellStart"/>
      <w:r w:rsidRPr="0024409C">
        <w:rPr>
          <w:rFonts w:ascii="Helvetica Neue" w:hAnsi="Helvetica Neue"/>
        </w:rPr>
        <w:t>insertive</w:t>
      </w:r>
      <w:proofErr w:type="spellEnd"/>
      <w:r w:rsidRPr="0024409C">
        <w:rPr>
          <w:rFonts w:ascii="Helvetica Neue" w:hAnsi="Helvetica Neue"/>
        </w:rPr>
        <w:t xml:space="preserve"> or </w:t>
      </w:r>
      <w:r w:rsidR="00C104A0" w:rsidRPr="0024409C">
        <w:rPr>
          <w:rFonts w:ascii="Helvetica Neue" w:hAnsi="Helvetica Neue"/>
        </w:rPr>
        <w:t xml:space="preserve">both </w:t>
      </w:r>
      <w:r w:rsidRPr="0024409C">
        <w:rPr>
          <w:rFonts w:ascii="Helvetica Neue" w:hAnsi="Helvetica Neue"/>
        </w:rPr>
        <w:t>exclusively receptive.</w:t>
      </w:r>
    </w:p>
    <w:p w14:paraId="6B45499D" w14:textId="6FA0A469" w:rsidR="009B3BB0" w:rsidRPr="0024409C" w:rsidRDefault="00273CDD" w:rsidP="009B3BB0">
      <w:pPr>
        <w:shd w:val="clear" w:color="auto" w:fill="FFFFFF" w:themeFill="background1"/>
        <w:spacing w:before="180" w:line="360" w:lineRule="auto"/>
        <w:rPr>
          <w:rFonts w:ascii="Helvetica Neue" w:hAnsi="Helvetica Neue"/>
          <w:i/>
        </w:rPr>
      </w:pPr>
      <w:r w:rsidRPr="0024409C">
        <w:rPr>
          <w:rFonts w:ascii="Helvetica Neue" w:hAnsi="Helvetica Neue"/>
          <w:i/>
        </w:rPr>
        <w:t>2</w:t>
      </w:r>
      <w:r w:rsidR="009B3BB0" w:rsidRPr="0024409C">
        <w:rPr>
          <w:rFonts w:ascii="Helvetica Neue" w:hAnsi="Helvetica Neue"/>
          <w:i/>
        </w:rPr>
        <w:t xml:space="preserve">.1.1 </w:t>
      </w:r>
      <w:r w:rsidR="009B3BB0" w:rsidRPr="0024409C">
        <w:rPr>
          <w:rFonts w:ascii="Helvetica Neue" w:hAnsi="Helvetica Neue"/>
          <w:i/>
        </w:rPr>
        <w:tab/>
        <w:t xml:space="preserve">Number of Ongoing Main and Casual Partnerships </w:t>
      </w:r>
    </w:p>
    <w:p w14:paraId="5C25EB45" w14:textId="77777777" w:rsidR="009B3BB0" w:rsidRPr="0024409C" w:rsidRDefault="009B3BB0" w:rsidP="009B3BB0">
      <w:pPr>
        <w:shd w:val="clear" w:color="auto" w:fill="FFFFFF" w:themeFill="background1"/>
        <w:spacing w:after="180" w:line="360" w:lineRule="auto"/>
        <w:rPr>
          <w:rFonts w:ascii="Helvetica Neue" w:hAnsi="Helvetica Neue"/>
          <w:i/>
        </w:rPr>
      </w:pPr>
      <w:r w:rsidRPr="0024409C">
        <w:rPr>
          <w:rFonts w:ascii="Helvetica Neue" w:hAnsi="Helvetica Neue"/>
        </w:rPr>
        <w:t>Ongoing partnerships (whether main or casual) were defined from the combined dyadic dataset as those in which sex had already occurred more than once, and in which the respondent anticipated having sex again. Within this set, partnerships were defined as main if the respondent indicated that it was someone they “felt committed to above all others” or that they considered the person their “primary sex partner”; if neither of these conditions held, the partner was defined as casual.</w:t>
      </w:r>
      <w:r w:rsidRPr="0024409C">
        <w:rPr>
          <w:rFonts w:ascii="Helvetica Neue" w:hAnsi="Helvetica Neue"/>
          <w:i/>
        </w:rPr>
        <w:t xml:space="preserve"> </w:t>
      </w:r>
      <w:r w:rsidRPr="0024409C">
        <w:rPr>
          <w:rFonts w:ascii="Helvetica Neue" w:hAnsi="Helvetica Neue"/>
        </w:rPr>
        <w:t xml:space="preserve">This yielded the following </w:t>
      </w:r>
      <w:r w:rsidRPr="0024409C">
        <w:rPr>
          <w:rFonts w:ascii="Helvetica Neue" w:eastAsiaTheme="minorEastAsia" w:hAnsi="Helvetica Neue"/>
        </w:rPr>
        <w:t xml:space="preserve">proportions of men with a given number of main and casual relationships at a point in time (i.e. the expected </w:t>
      </w:r>
      <w:r w:rsidRPr="0024409C">
        <w:rPr>
          <w:rFonts w:ascii="Helvetica Neue" w:eastAsiaTheme="minorEastAsia" w:hAnsi="Helvetica Neue"/>
          <w:i/>
        </w:rPr>
        <w:t>momentary degree distribution</w:t>
      </w:r>
      <w:r w:rsidRPr="0024409C">
        <w:rPr>
          <w:rFonts w:ascii="Helvetica Neue" w:eastAsiaTheme="minorEastAsia" w:hAnsi="Helvetica Neue"/>
        </w:rPr>
        <w:t>):</w:t>
      </w:r>
    </w:p>
    <w:tbl>
      <w:tblPr>
        <w:tblStyle w:val="TableGrid"/>
        <w:tblW w:w="4303" w:type="dxa"/>
        <w:jc w:val="center"/>
        <w:tblCellMar>
          <w:left w:w="29" w:type="dxa"/>
          <w:right w:w="29" w:type="dxa"/>
        </w:tblCellMar>
        <w:tblLook w:val="04A0" w:firstRow="1" w:lastRow="0" w:firstColumn="1" w:lastColumn="0" w:noHBand="0" w:noVBand="1"/>
      </w:tblPr>
      <w:tblGrid>
        <w:gridCol w:w="1131"/>
        <w:gridCol w:w="1015"/>
        <w:gridCol w:w="1038"/>
        <w:gridCol w:w="1119"/>
      </w:tblGrid>
      <w:tr w:rsidR="009B3BB0" w:rsidRPr="0024409C" w14:paraId="02E5EE04" w14:textId="77777777" w:rsidTr="00EA384A">
        <w:trPr>
          <w:trHeight w:val="368"/>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BF8AD0" w14:textId="77777777" w:rsidR="009B3BB0" w:rsidRPr="0024409C" w:rsidRDefault="009B3BB0" w:rsidP="00A2582E">
            <w:pPr>
              <w:jc w:val="right"/>
              <w:rPr>
                <w:rFonts w:ascii="Helvetica Neue" w:hAnsi="Helvetica Neue"/>
                <w:sz w:val="18"/>
              </w:rPr>
            </w:pPr>
          </w:p>
        </w:tc>
        <w:tc>
          <w:tcPr>
            <w:tcW w:w="10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3D11C0"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0 Casual</w:t>
            </w: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DEB178"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1 Casual</w:t>
            </w: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AFD58"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2 Casual</w:t>
            </w:r>
          </w:p>
        </w:tc>
      </w:tr>
      <w:tr w:rsidR="009B3BB0" w:rsidRPr="0024409C" w14:paraId="27201C0F" w14:textId="77777777" w:rsidTr="00EA384A">
        <w:trPr>
          <w:trHeight w:val="382"/>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8C926"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0 Main</w:t>
            </w:r>
          </w:p>
        </w:tc>
        <w:tc>
          <w:tcPr>
            <w:tcW w:w="1015" w:type="dxa"/>
            <w:tcBorders>
              <w:top w:val="single" w:sz="4" w:space="0" w:color="auto"/>
              <w:left w:val="single" w:sz="4" w:space="0" w:color="auto"/>
              <w:bottom w:val="single" w:sz="4" w:space="0" w:color="auto"/>
              <w:right w:val="single" w:sz="4" w:space="0" w:color="auto"/>
            </w:tcBorders>
            <w:vAlign w:val="center"/>
          </w:tcPr>
          <w:p w14:paraId="02798B68" w14:textId="77777777" w:rsidR="009B3BB0" w:rsidRPr="0024409C" w:rsidRDefault="009B3BB0" w:rsidP="00A2582E">
            <w:pPr>
              <w:jc w:val="center"/>
              <w:rPr>
                <w:rFonts w:ascii="Helvetica Neue" w:hAnsi="Helvetica Neue"/>
                <w:sz w:val="18"/>
              </w:rPr>
            </w:pPr>
            <w:r w:rsidRPr="0024409C">
              <w:rPr>
                <w:rFonts w:ascii="Helvetica Neue" w:hAnsi="Helvetica Neue"/>
                <w:sz w:val="18"/>
              </w:rPr>
              <w:t>47.1%</w:t>
            </w:r>
          </w:p>
        </w:tc>
        <w:tc>
          <w:tcPr>
            <w:tcW w:w="1038" w:type="dxa"/>
            <w:tcBorders>
              <w:top w:val="single" w:sz="4" w:space="0" w:color="auto"/>
              <w:left w:val="single" w:sz="4" w:space="0" w:color="auto"/>
              <w:bottom w:val="single" w:sz="4" w:space="0" w:color="auto"/>
              <w:right w:val="single" w:sz="4" w:space="0" w:color="auto"/>
            </w:tcBorders>
            <w:vAlign w:val="center"/>
          </w:tcPr>
          <w:p w14:paraId="0BE5BBAC" w14:textId="77777777" w:rsidR="009B3BB0" w:rsidRPr="0024409C" w:rsidRDefault="009B3BB0" w:rsidP="00A2582E">
            <w:pPr>
              <w:jc w:val="center"/>
              <w:rPr>
                <w:rFonts w:ascii="Helvetica Neue" w:hAnsi="Helvetica Neue"/>
                <w:sz w:val="18"/>
              </w:rPr>
            </w:pPr>
            <w:r w:rsidRPr="0024409C">
              <w:rPr>
                <w:rFonts w:ascii="Helvetica Neue" w:hAnsi="Helvetica Neue"/>
                <w:sz w:val="18"/>
              </w:rPr>
              <w:t>16.7%</w:t>
            </w:r>
          </w:p>
        </w:tc>
        <w:tc>
          <w:tcPr>
            <w:tcW w:w="1119" w:type="dxa"/>
            <w:tcBorders>
              <w:top w:val="single" w:sz="4" w:space="0" w:color="auto"/>
              <w:left w:val="single" w:sz="4" w:space="0" w:color="auto"/>
              <w:bottom w:val="single" w:sz="4" w:space="0" w:color="auto"/>
              <w:right w:val="single" w:sz="4" w:space="0" w:color="auto"/>
            </w:tcBorders>
            <w:vAlign w:val="center"/>
          </w:tcPr>
          <w:p w14:paraId="075D7362" w14:textId="77777777" w:rsidR="009B3BB0" w:rsidRPr="0024409C" w:rsidRDefault="009B3BB0" w:rsidP="00A2582E">
            <w:pPr>
              <w:jc w:val="center"/>
              <w:rPr>
                <w:rFonts w:ascii="Helvetica Neue" w:hAnsi="Helvetica Neue"/>
                <w:sz w:val="18"/>
              </w:rPr>
            </w:pPr>
            <w:r w:rsidRPr="0024409C">
              <w:rPr>
                <w:rFonts w:ascii="Helvetica Neue" w:hAnsi="Helvetica Neue"/>
                <w:sz w:val="18"/>
              </w:rPr>
              <w:t>7.4%</w:t>
            </w:r>
          </w:p>
        </w:tc>
      </w:tr>
      <w:tr w:rsidR="009B3BB0" w:rsidRPr="0024409C" w14:paraId="274B7BAE" w14:textId="77777777" w:rsidTr="00EA384A">
        <w:trPr>
          <w:trHeight w:val="333"/>
          <w:jc w:val="center"/>
        </w:trPr>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12F24" w14:textId="77777777" w:rsidR="009B3BB0" w:rsidRPr="0024409C" w:rsidRDefault="009B3BB0" w:rsidP="00A2582E">
            <w:pPr>
              <w:jc w:val="center"/>
              <w:rPr>
                <w:rFonts w:ascii="Helvetica Neue" w:hAnsi="Helvetica Neue"/>
                <w:i/>
                <w:sz w:val="18"/>
              </w:rPr>
            </w:pPr>
            <w:r w:rsidRPr="0024409C">
              <w:rPr>
                <w:rFonts w:ascii="Helvetica Neue" w:hAnsi="Helvetica Neue"/>
                <w:i/>
                <w:sz w:val="18"/>
              </w:rPr>
              <w:t>1 Main</w:t>
            </w:r>
          </w:p>
        </w:tc>
        <w:tc>
          <w:tcPr>
            <w:tcW w:w="1015" w:type="dxa"/>
            <w:tcBorders>
              <w:top w:val="single" w:sz="4" w:space="0" w:color="auto"/>
              <w:left w:val="single" w:sz="4" w:space="0" w:color="auto"/>
              <w:bottom w:val="single" w:sz="4" w:space="0" w:color="auto"/>
              <w:right w:val="single" w:sz="4" w:space="0" w:color="auto"/>
            </w:tcBorders>
            <w:vAlign w:val="center"/>
          </w:tcPr>
          <w:p w14:paraId="7ADA33CB" w14:textId="77777777" w:rsidR="009B3BB0" w:rsidRPr="0024409C" w:rsidRDefault="009B3BB0" w:rsidP="00A2582E">
            <w:pPr>
              <w:jc w:val="center"/>
              <w:rPr>
                <w:rFonts w:ascii="Helvetica Neue" w:hAnsi="Helvetica Neue"/>
                <w:sz w:val="18"/>
              </w:rPr>
            </w:pPr>
            <w:r w:rsidRPr="0024409C">
              <w:rPr>
                <w:rFonts w:ascii="Helvetica Neue" w:hAnsi="Helvetica Neue"/>
                <w:sz w:val="18"/>
              </w:rPr>
              <w:t>22.0%</w:t>
            </w:r>
          </w:p>
        </w:tc>
        <w:tc>
          <w:tcPr>
            <w:tcW w:w="1038" w:type="dxa"/>
            <w:tcBorders>
              <w:top w:val="single" w:sz="4" w:space="0" w:color="auto"/>
              <w:left w:val="single" w:sz="4" w:space="0" w:color="auto"/>
              <w:bottom w:val="single" w:sz="4" w:space="0" w:color="auto"/>
              <w:right w:val="single" w:sz="4" w:space="0" w:color="auto"/>
            </w:tcBorders>
            <w:vAlign w:val="center"/>
          </w:tcPr>
          <w:p w14:paraId="2001EA09" w14:textId="77777777" w:rsidR="009B3BB0" w:rsidRPr="0024409C" w:rsidRDefault="009B3BB0" w:rsidP="00A2582E">
            <w:pPr>
              <w:jc w:val="center"/>
              <w:rPr>
                <w:rFonts w:ascii="Helvetica Neue" w:hAnsi="Helvetica Neue"/>
                <w:sz w:val="18"/>
              </w:rPr>
            </w:pPr>
            <w:r w:rsidRPr="0024409C">
              <w:rPr>
                <w:rFonts w:ascii="Helvetica Neue" w:hAnsi="Helvetica Neue"/>
                <w:sz w:val="18"/>
              </w:rPr>
              <w:t>4.7%</w:t>
            </w:r>
          </w:p>
        </w:tc>
        <w:tc>
          <w:tcPr>
            <w:tcW w:w="1119" w:type="dxa"/>
            <w:tcBorders>
              <w:top w:val="single" w:sz="4" w:space="0" w:color="auto"/>
              <w:left w:val="single" w:sz="4" w:space="0" w:color="auto"/>
              <w:bottom w:val="single" w:sz="4" w:space="0" w:color="auto"/>
              <w:right w:val="single" w:sz="4" w:space="0" w:color="auto"/>
            </w:tcBorders>
            <w:vAlign w:val="center"/>
          </w:tcPr>
          <w:p w14:paraId="047C1558" w14:textId="77777777" w:rsidR="009B3BB0" w:rsidRPr="0024409C" w:rsidRDefault="009B3BB0" w:rsidP="00A2582E">
            <w:pPr>
              <w:jc w:val="center"/>
              <w:rPr>
                <w:rFonts w:ascii="Helvetica Neue" w:hAnsi="Helvetica Neue"/>
                <w:sz w:val="18"/>
              </w:rPr>
            </w:pPr>
            <w:r w:rsidRPr="0024409C">
              <w:rPr>
                <w:rFonts w:ascii="Helvetica Neue" w:hAnsi="Helvetica Neue"/>
                <w:sz w:val="18"/>
              </w:rPr>
              <w:t>2.1%</w:t>
            </w:r>
          </w:p>
        </w:tc>
      </w:tr>
    </w:tbl>
    <w:p w14:paraId="15D48A38" w14:textId="517685C9" w:rsidR="009B3BB0" w:rsidRPr="0024409C" w:rsidRDefault="00273CDD" w:rsidP="009B3BB0">
      <w:pPr>
        <w:spacing w:before="300" w:line="360" w:lineRule="auto"/>
        <w:rPr>
          <w:rFonts w:ascii="Helvetica Neue" w:hAnsi="Helvetica Neue"/>
          <w:i/>
        </w:rPr>
      </w:pPr>
      <w:r w:rsidRPr="0024409C">
        <w:rPr>
          <w:rFonts w:ascii="Helvetica Neue" w:eastAsiaTheme="minorEastAsia" w:hAnsi="Helvetica Neue"/>
          <w:i/>
        </w:rPr>
        <w:t>2</w:t>
      </w:r>
      <w:r w:rsidR="009B3BB0" w:rsidRPr="0024409C">
        <w:rPr>
          <w:rFonts w:ascii="Helvetica Neue" w:eastAsiaTheme="minorEastAsia" w:hAnsi="Helvetica Neue"/>
          <w:i/>
        </w:rPr>
        <w:t xml:space="preserve">.1.2 </w:t>
      </w:r>
      <w:r w:rsidR="009B3BB0" w:rsidRPr="0024409C">
        <w:rPr>
          <w:rFonts w:ascii="Helvetica Neue" w:eastAsiaTheme="minorEastAsia" w:hAnsi="Helvetica Neue"/>
          <w:i/>
        </w:rPr>
        <w:tab/>
        <w:t xml:space="preserve">Expected </w:t>
      </w:r>
      <w:r w:rsidR="009B3BB0" w:rsidRPr="0024409C">
        <w:rPr>
          <w:rFonts w:ascii="Helvetica Neue" w:hAnsi="Helvetica Neue"/>
          <w:i/>
        </w:rPr>
        <w:t>Number of One-Time AI Contacts, by Main/Casual Degree</w:t>
      </w:r>
    </w:p>
    <w:p w14:paraId="15C74F2D" w14:textId="5F1CC8A7" w:rsidR="009B3BB0" w:rsidRPr="0024409C" w:rsidRDefault="009B3BB0" w:rsidP="009B3BB0">
      <w:pPr>
        <w:spacing w:after="180" w:line="360" w:lineRule="auto"/>
        <w:rPr>
          <w:rFonts w:ascii="Helvetica Neue" w:hAnsi="Helvetica Neue"/>
        </w:rPr>
      </w:pPr>
      <w:r w:rsidRPr="0024409C">
        <w:rPr>
          <w:rFonts w:ascii="Helvetica Neue" w:hAnsi="Helvetica Neue"/>
        </w:rPr>
        <w:t>Respondents</w:t>
      </w:r>
      <w:r w:rsidRPr="0024409C">
        <w:rPr>
          <w:rFonts w:ascii="Helvetica Neue" w:hAnsi="Helvetica Neue"/>
          <w:i/>
        </w:rPr>
        <w:t xml:space="preserve"> </w:t>
      </w:r>
      <w:r w:rsidRPr="0024409C">
        <w:rPr>
          <w:rFonts w:ascii="Helvetica Neue" w:hAnsi="Helvetica Neue"/>
        </w:rPr>
        <w:t>in the combined dyadic dataset were asked whether they had had sex with each partner once or more than once; the former response led to the contact being defined as one-time. These contacts cannot be analyzed in terms of momentary degree distributions, since</w:t>
      </w:r>
      <w:r w:rsidR="004F61AD">
        <w:rPr>
          <w:rFonts w:ascii="Helvetica Neue" w:hAnsi="Helvetica Neue"/>
        </w:rPr>
        <w:t>, by definition,</w:t>
      </w:r>
      <w:r w:rsidRPr="0024409C">
        <w:rPr>
          <w:rFonts w:ascii="Helvetica Neue" w:hAnsi="Helvetica Neue"/>
        </w:rPr>
        <w:t xml:space="preserve"> none are ongoing at the point of interview. Instead, we turn the observed frequencies into expected rates of one-time contacts per time step for men under different conditions. One of the sources of heterogeneity in men’s propensity for one-time AI contacts is their current relationship status. The expected numbers are given by:</w:t>
      </w:r>
    </w:p>
    <w:tbl>
      <w:tblPr>
        <w:tblStyle w:val="TableGrid"/>
        <w:tblW w:w="4510" w:type="dxa"/>
        <w:jc w:val="center"/>
        <w:tblCellMar>
          <w:left w:w="29" w:type="dxa"/>
          <w:right w:w="29" w:type="dxa"/>
        </w:tblCellMar>
        <w:tblLook w:val="04A0" w:firstRow="1" w:lastRow="0" w:firstColumn="1" w:lastColumn="0" w:noHBand="0" w:noVBand="1"/>
      </w:tblPr>
      <w:tblGrid>
        <w:gridCol w:w="1235"/>
        <w:gridCol w:w="1083"/>
        <w:gridCol w:w="1109"/>
        <w:gridCol w:w="1083"/>
      </w:tblGrid>
      <w:tr w:rsidR="009B3BB0" w:rsidRPr="0024409C" w14:paraId="0DD730C2"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353A1B" w14:textId="77777777" w:rsidR="009B3BB0" w:rsidRPr="0024409C" w:rsidRDefault="009B3BB0" w:rsidP="00A2582E">
            <w:pPr>
              <w:jc w:val="center"/>
              <w:rPr>
                <w:rFonts w:ascii="Helvetica Neue" w:hAnsi="Helvetica Neue"/>
                <w:sz w:val="18"/>
              </w:rPr>
            </w:pP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2DF99"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0 Casual</w:t>
            </w:r>
          </w:p>
        </w:tc>
        <w:tc>
          <w:tcPr>
            <w:tcW w:w="11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48B67E"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1 Casual</w:t>
            </w:r>
          </w:p>
        </w:tc>
        <w:tc>
          <w:tcPr>
            <w:tcW w:w="1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8DC54F"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2 Casual</w:t>
            </w:r>
          </w:p>
        </w:tc>
      </w:tr>
      <w:tr w:rsidR="009B3BB0" w:rsidRPr="0024409C" w14:paraId="7E166EB7"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7639C7"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0 Main</w:t>
            </w:r>
          </w:p>
        </w:tc>
        <w:tc>
          <w:tcPr>
            <w:tcW w:w="1083" w:type="dxa"/>
            <w:tcBorders>
              <w:top w:val="single" w:sz="4" w:space="0" w:color="auto"/>
              <w:left w:val="single" w:sz="4" w:space="0" w:color="auto"/>
              <w:bottom w:val="single" w:sz="4" w:space="0" w:color="auto"/>
              <w:right w:val="single" w:sz="4" w:space="0" w:color="auto"/>
            </w:tcBorders>
            <w:vAlign w:val="center"/>
          </w:tcPr>
          <w:p w14:paraId="39933CB8" w14:textId="77777777" w:rsidR="009B3BB0" w:rsidRPr="0024409C" w:rsidRDefault="009B3BB0" w:rsidP="00A2582E">
            <w:pPr>
              <w:jc w:val="center"/>
              <w:rPr>
                <w:rFonts w:ascii="Helvetica Neue" w:hAnsi="Helvetica Neue"/>
                <w:sz w:val="18"/>
              </w:rPr>
            </w:pPr>
            <w:r w:rsidRPr="0024409C">
              <w:rPr>
                <w:rFonts w:ascii="Helvetica Neue" w:hAnsi="Helvetica Neue"/>
                <w:sz w:val="18"/>
              </w:rPr>
              <w:t>0.065</w:t>
            </w:r>
          </w:p>
        </w:tc>
        <w:tc>
          <w:tcPr>
            <w:tcW w:w="1109" w:type="dxa"/>
            <w:tcBorders>
              <w:top w:val="single" w:sz="4" w:space="0" w:color="auto"/>
              <w:left w:val="single" w:sz="4" w:space="0" w:color="auto"/>
              <w:bottom w:val="single" w:sz="4" w:space="0" w:color="auto"/>
              <w:right w:val="single" w:sz="4" w:space="0" w:color="auto"/>
            </w:tcBorders>
            <w:vAlign w:val="center"/>
          </w:tcPr>
          <w:p w14:paraId="608D25E0" w14:textId="77777777" w:rsidR="009B3BB0" w:rsidRPr="0024409C" w:rsidRDefault="009B3BB0" w:rsidP="00A2582E">
            <w:pPr>
              <w:jc w:val="center"/>
              <w:rPr>
                <w:rFonts w:ascii="Helvetica Neue" w:hAnsi="Helvetica Neue"/>
                <w:sz w:val="18"/>
              </w:rPr>
            </w:pPr>
            <w:r w:rsidRPr="0024409C">
              <w:rPr>
                <w:rFonts w:ascii="Helvetica Neue" w:hAnsi="Helvetica Neue"/>
                <w:sz w:val="18"/>
              </w:rPr>
              <w:t>0.087</w:t>
            </w:r>
          </w:p>
        </w:tc>
        <w:tc>
          <w:tcPr>
            <w:tcW w:w="1083" w:type="dxa"/>
            <w:tcBorders>
              <w:top w:val="single" w:sz="4" w:space="0" w:color="auto"/>
              <w:left w:val="single" w:sz="4" w:space="0" w:color="auto"/>
              <w:bottom w:val="single" w:sz="4" w:space="0" w:color="auto"/>
              <w:right w:val="single" w:sz="4" w:space="0" w:color="auto"/>
            </w:tcBorders>
            <w:vAlign w:val="center"/>
          </w:tcPr>
          <w:p w14:paraId="21F2E3B6" w14:textId="77777777" w:rsidR="009B3BB0" w:rsidRPr="0024409C" w:rsidRDefault="009B3BB0" w:rsidP="00A2582E">
            <w:pPr>
              <w:jc w:val="center"/>
              <w:rPr>
                <w:rFonts w:ascii="Helvetica Neue" w:hAnsi="Helvetica Neue"/>
                <w:sz w:val="18"/>
              </w:rPr>
            </w:pPr>
            <w:r w:rsidRPr="0024409C">
              <w:rPr>
                <w:rFonts w:ascii="Helvetica Neue" w:hAnsi="Helvetica Neue"/>
                <w:sz w:val="18"/>
              </w:rPr>
              <w:t>0.086</w:t>
            </w:r>
          </w:p>
        </w:tc>
      </w:tr>
      <w:tr w:rsidR="009B3BB0" w:rsidRPr="0024409C" w14:paraId="23719958" w14:textId="77777777" w:rsidTr="00EA384A">
        <w:trPr>
          <w:trHeight w:val="389"/>
          <w:jc w:val="center"/>
        </w:trPr>
        <w:tc>
          <w:tcPr>
            <w:tcW w:w="12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A26C20" w14:textId="77777777" w:rsidR="009B3BB0" w:rsidRPr="0024409C" w:rsidRDefault="009B3BB0" w:rsidP="00A2582E">
            <w:pPr>
              <w:jc w:val="center"/>
              <w:rPr>
                <w:rFonts w:ascii="Helvetica Neue" w:hAnsi="Helvetica Neue"/>
                <w:sz w:val="18"/>
              </w:rPr>
            </w:pPr>
            <w:r w:rsidRPr="0024409C">
              <w:rPr>
                <w:rFonts w:ascii="Helvetica Neue" w:hAnsi="Helvetica Neue"/>
                <w:i/>
                <w:sz w:val="18"/>
              </w:rPr>
              <w:t>1 Main</w:t>
            </w:r>
          </w:p>
        </w:tc>
        <w:tc>
          <w:tcPr>
            <w:tcW w:w="1083" w:type="dxa"/>
            <w:tcBorders>
              <w:top w:val="single" w:sz="4" w:space="0" w:color="auto"/>
              <w:left w:val="single" w:sz="4" w:space="0" w:color="auto"/>
              <w:bottom w:val="single" w:sz="4" w:space="0" w:color="auto"/>
              <w:right w:val="single" w:sz="4" w:space="0" w:color="auto"/>
            </w:tcBorders>
            <w:vAlign w:val="center"/>
          </w:tcPr>
          <w:p w14:paraId="1B1AD507"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0.056</w:t>
            </w:r>
          </w:p>
        </w:tc>
        <w:tc>
          <w:tcPr>
            <w:tcW w:w="1109" w:type="dxa"/>
            <w:tcBorders>
              <w:top w:val="single" w:sz="4" w:space="0" w:color="auto"/>
              <w:left w:val="single" w:sz="4" w:space="0" w:color="auto"/>
              <w:bottom w:val="single" w:sz="4" w:space="0" w:color="auto"/>
              <w:right w:val="single" w:sz="4" w:space="0" w:color="auto"/>
            </w:tcBorders>
            <w:vAlign w:val="center"/>
          </w:tcPr>
          <w:p w14:paraId="6F6B395E"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0.055</w:t>
            </w:r>
          </w:p>
        </w:tc>
        <w:tc>
          <w:tcPr>
            <w:tcW w:w="1083" w:type="dxa"/>
            <w:tcBorders>
              <w:top w:val="single" w:sz="4" w:space="0" w:color="auto"/>
              <w:left w:val="single" w:sz="4" w:space="0" w:color="auto"/>
              <w:bottom w:val="single" w:sz="4" w:space="0" w:color="auto"/>
              <w:right w:val="single" w:sz="4" w:space="0" w:color="auto"/>
            </w:tcBorders>
            <w:vAlign w:val="center"/>
          </w:tcPr>
          <w:p w14:paraId="7F84C474" w14:textId="77777777" w:rsidR="009B3BB0" w:rsidRPr="0024409C" w:rsidRDefault="009B3BB0" w:rsidP="00A2582E">
            <w:pPr>
              <w:jc w:val="center"/>
              <w:rPr>
                <w:rFonts w:ascii="Helvetica Neue" w:hAnsi="Helvetica Neue"/>
                <w:sz w:val="18"/>
              </w:rPr>
            </w:pPr>
            <w:r w:rsidRPr="0024409C">
              <w:rPr>
                <w:rFonts w:ascii="Helvetica Neue" w:hAnsi="Helvetica Neue"/>
                <w:sz w:val="18"/>
              </w:rPr>
              <w:t>0.055</w:t>
            </w:r>
          </w:p>
        </w:tc>
      </w:tr>
    </w:tbl>
    <w:p w14:paraId="58147A8B" w14:textId="77777777" w:rsidR="009B3BB0" w:rsidRPr="0024409C" w:rsidRDefault="009B3BB0" w:rsidP="009B3BB0">
      <w:pPr>
        <w:spacing w:line="360" w:lineRule="auto"/>
        <w:rPr>
          <w:rFonts w:ascii="Helvetica Neue" w:eastAsiaTheme="minorEastAsia" w:hAnsi="Helvetica Neue"/>
        </w:rPr>
      </w:pPr>
    </w:p>
    <w:p w14:paraId="24ADFB77" w14:textId="1B7B4CC7" w:rsidR="009B3BB0" w:rsidRPr="0024409C" w:rsidRDefault="00273CDD" w:rsidP="009B3BB0">
      <w:pPr>
        <w:spacing w:line="360" w:lineRule="auto"/>
        <w:rPr>
          <w:rFonts w:ascii="Helvetica Neue" w:hAnsi="Helvetica Neue"/>
        </w:rPr>
      </w:pPr>
      <w:r w:rsidRPr="0024409C">
        <w:rPr>
          <w:rFonts w:ascii="Helvetica Neue" w:eastAsiaTheme="minorEastAsia" w:hAnsi="Helvetica Neue"/>
          <w:i/>
        </w:rPr>
        <w:t>2</w:t>
      </w:r>
      <w:r w:rsidR="009B3BB0" w:rsidRPr="0024409C">
        <w:rPr>
          <w:rFonts w:ascii="Helvetica Neue" w:eastAsiaTheme="minorEastAsia" w:hAnsi="Helvetica Neue"/>
          <w:i/>
        </w:rPr>
        <w:t>.1.3</w:t>
      </w:r>
      <w:r w:rsidR="009B3BB0" w:rsidRPr="0024409C">
        <w:rPr>
          <w:rFonts w:ascii="Helvetica Neue" w:eastAsiaTheme="minorEastAsia" w:hAnsi="Helvetica Neue"/>
          <w:i/>
        </w:rPr>
        <w:tab/>
      </w:r>
      <w:r w:rsidR="009B3BB0" w:rsidRPr="0024409C">
        <w:rPr>
          <w:rFonts w:ascii="Helvetica Neue" w:hAnsi="Helvetica Neue"/>
          <w:i/>
        </w:rPr>
        <w:t>Heterogeneity in the One-Time Contact Rate</w:t>
      </w:r>
      <w:r w:rsidR="009B3BB0" w:rsidRPr="0024409C">
        <w:rPr>
          <w:rFonts w:ascii="Helvetica Neue" w:hAnsi="Helvetica Neue"/>
        </w:rPr>
        <w:t xml:space="preserve"> </w:t>
      </w:r>
    </w:p>
    <w:p w14:paraId="4194DD52" w14:textId="77777777" w:rsidR="009B3BB0" w:rsidRPr="0024409C" w:rsidRDefault="009B3BB0" w:rsidP="009B3BB0">
      <w:pPr>
        <w:spacing w:line="360" w:lineRule="auto"/>
        <w:rPr>
          <w:rFonts w:ascii="Helvetica Neue" w:eastAsiaTheme="minorEastAsia" w:hAnsi="Helvetica Neue"/>
        </w:rPr>
      </w:pPr>
      <w:r w:rsidRPr="0024409C">
        <w:rPr>
          <w:rFonts w:ascii="Helvetica Neue" w:hAnsi="Helvetica Neue"/>
        </w:rPr>
        <w:t xml:space="preserve">In addition to differences by relational status, men also have underlying fixed heterogeneities in their propensity to engage in one-time AI. The distribution of one-time contacts was divided into </w:t>
      </w:r>
      <w:r w:rsidRPr="0024409C">
        <w:rPr>
          <w:rFonts w:ascii="Helvetica Neue" w:eastAsiaTheme="minorEastAsia" w:hAnsi="Helvetica Neue"/>
        </w:rPr>
        <w:t>quintiles, within which the expected values of one-time AI per time step are:</w:t>
      </w:r>
    </w:p>
    <w:p w14:paraId="06FB6B82" w14:textId="77777777" w:rsidR="009B3BB0" w:rsidRPr="0024409C" w:rsidRDefault="009B3BB0" w:rsidP="009B3BB0">
      <w:pPr>
        <w:spacing w:line="360" w:lineRule="auto"/>
        <w:rPr>
          <w:rFonts w:ascii="Helvetica Neue" w:eastAsiaTheme="minorEastAsia" w:hAnsi="Helvetica Neue"/>
        </w:rPr>
      </w:pPr>
    </w:p>
    <w:tbl>
      <w:tblPr>
        <w:tblStyle w:val="TableGrid"/>
        <w:tblW w:w="2959" w:type="dxa"/>
        <w:jc w:val="center"/>
        <w:tblLook w:val="04A0" w:firstRow="1" w:lastRow="0" w:firstColumn="1" w:lastColumn="0" w:noHBand="0" w:noVBand="1"/>
      </w:tblPr>
      <w:tblGrid>
        <w:gridCol w:w="1890"/>
        <w:gridCol w:w="1069"/>
      </w:tblGrid>
      <w:tr w:rsidR="009B3BB0" w:rsidRPr="0024409C" w14:paraId="492E6FDA" w14:textId="77777777" w:rsidTr="00A2582E">
        <w:trPr>
          <w:trHeight w:val="389"/>
          <w:jc w:val="center"/>
        </w:trPr>
        <w:tc>
          <w:tcPr>
            <w:tcW w:w="1890" w:type="dxa"/>
            <w:shd w:val="clear" w:color="auto" w:fill="D9D9D9" w:themeFill="background1" w:themeFillShade="D9"/>
            <w:vAlign w:val="center"/>
          </w:tcPr>
          <w:p w14:paraId="76581019"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Quintile</w:t>
            </w:r>
          </w:p>
        </w:tc>
        <w:tc>
          <w:tcPr>
            <w:tcW w:w="1069" w:type="dxa"/>
            <w:shd w:val="clear" w:color="auto" w:fill="D9D9D9" w:themeFill="background1" w:themeFillShade="D9"/>
            <w:vAlign w:val="center"/>
          </w:tcPr>
          <w:p w14:paraId="2B6E7FED"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Value</w:t>
            </w:r>
          </w:p>
        </w:tc>
      </w:tr>
      <w:tr w:rsidR="009B3BB0" w:rsidRPr="0024409C" w14:paraId="2EA9D20F" w14:textId="77777777" w:rsidTr="00A2582E">
        <w:trPr>
          <w:trHeight w:val="389"/>
          <w:jc w:val="center"/>
        </w:trPr>
        <w:tc>
          <w:tcPr>
            <w:tcW w:w="1890" w:type="dxa"/>
            <w:vAlign w:val="center"/>
          </w:tcPr>
          <w:p w14:paraId="1585E659" w14:textId="77777777" w:rsidR="009B3BB0" w:rsidRPr="0024409C" w:rsidRDefault="009B3BB0" w:rsidP="00A2582E">
            <w:pPr>
              <w:rPr>
                <w:rFonts w:ascii="Helvetica Neue" w:hAnsi="Helvetica Neue"/>
                <w:sz w:val="18"/>
              </w:rPr>
            </w:pPr>
            <w:r w:rsidRPr="0024409C">
              <w:rPr>
                <w:rFonts w:ascii="Helvetica Neue" w:hAnsi="Helvetica Neue"/>
                <w:sz w:val="18"/>
              </w:rPr>
              <w:t>Lowest quintile</w:t>
            </w:r>
          </w:p>
        </w:tc>
        <w:tc>
          <w:tcPr>
            <w:tcW w:w="1069" w:type="dxa"/>
            <w:vAlign w:val="center"/>
          </w:tcPr>
          <w:p w14:paraId="4CE2AA3D" w14:textId="77777777" w:rsidR="009B3BB0" w:rsidRPr="0024409C" w:rsidRDefault="009B3BB0" w:rsidP="00A2582E">
            <w:pPr>
              <w:jc w:val="center"/>
              <w:rPr>
                <w:rFonts w:ascii="Helvetica Neue" w:hAnsi="Helvetica Neue"/>
                <w:sz w:val="18"/>
              </w:rPr>
            </w:pPr>
            <w:r w:rsidRPr="0024409C">
              <w:rPr>
                <w:rFonts w:ascii="Helvetica Neue" w:hAnsi="Helvetica Neue"/>
                <w:sz w:val="18"/>
              </w:rPr>
              <w:t>0.000</w:t>
            </w:r>
          </w:p>
        </w:tc>
      </w:tr>
      <w:tr w:rsidR="009B3BB0" w:rsidRPr="0024409C" w14:paraId="38557C78" w14:textId="77777777" w:rsidTr="00A2582E">
        <w:trPr>
          <w:trHeight w:val="389"/>
          <w:jc w:val="center"/>
        </w:trPr>
        <w:tc>
          <w:tcPr>
            <w:tcW w:w="1890" w:type="dxa"/>
            <w:vAlign w:val="center"/>
          </w:tcPr>
          <w:p w14:paraId="43EC5281" w14:textId="77777777" w:rsidR="009B3BB0" w:rsidRPr="0024409C" w:rsidRDefault="009B3BB0" w:rsidP="00A2582E">
            <w:pPr>
              <w:rPr>
                <w:rFonts w:ascii="Helvetica Neue" w:hAnsi="Helvetica Neue"/>
                <w:sz w:val="18"/>
              </w:rPr>
            </w:pPr>
            <w:r w:rsidRPr="0024409C">
              <w:rPr>
                <w:rFonts w:ascii="Helvetica Neue" w:hAnsi="Helvetica Neue"/>
                <w:sz w:val="18"/>
              </w:rPr>
              <w:t>Second quintile</w:t>
            </w:r>
          </w:p>
        </w:tc>
        <w:tc>
          <w:tcPr>
            <w:tcW w:w="1069" w:type="dxa"/>
            <w:vAlign w:val="center"/>
          </w:tcPr>
          <w:p w14:paraId="5C25FC86" w14:textId="77777777" w:rsidR="009B3BB0" w:rsidRPr="0024409C" w:rsidRDefault="009B3BB0" w:rsidP="00A2582E">
            <w:pPr>
              <w:jc w:val="center"/>
              <w:rPr>
                <w:rFonts w:ascii="Helvetica Neue" w:hAnsi="Helvetica Neue"/>
                <w:sz w:val="18"/>
              </w:rPr>
            </w:pPr>
            <w:r w:rsidRPr="0024409C">
              <w:rPr>
                <w:rFonts w:ascii="Helvetica Neue" w:hAnsi="Helvetica Neue"/>
                <w:sz w:val="18"/>
              </w:rPr>
              <w:t>0.007</w:t>
            </w:r>
          </w:p>
        </w:tc>
      </w:tr>
      <w:tr w:rsidR="009B3BB0" w:rsidRPr="0024409C" w14:paraId="44EFAD78" w14:textId="77777777" w:rsidTr="00A2582E">
        <w:trPr>
          <w:trHeight w:val="389"/>
          <w:jc w:val="center"/>
        </w:trPr>
        <w:tc>
          <w:tcPr>
            <w:tcW w:w="1890" w:type="dxa"/>
            <w:vAlign w:val="center"/>
          </w:tcPr>
          <w:p w14:paraId="4294CEA0" w14:textId="77777777" w:rsidR="009B3BB0" w:rsidRPr="0024409C" w:rsidRDefault="009B3BB0" w:rsidP="00A2582E">
            <w:pPr>
              <w:rPr>
                <w:rFonts w:ascii="Helvetica Neue" w:hAnsi="Helvetica Neue"/>
                <w:sz w:val="18"/>
              </w:rPr>
            </w:pPr>
            <w:r w:rsidRPr="0024409C">
              <w:rPr>
                <w:rFonts w:ascii="Helvetica Neue" w:hAnsi="Helvetica Neue"/>
                <w:sz w:val="18"/>
              </w:rPr>
              <w:t>Third quintile</w:t>
            </w:r>
          </w:p>
        </w:tc>
        <w:tc>
          <w:tcPr>
            <w:tcW w:w="1069" w:type="dxa"/>
            <w:vAlign w:val="center"/>
          </w:tcPr>
          <w:p w14:paraId="61C7B175" w14:textId="77777777" w:rsidR="009B3BB0" w:rsidRPr="0024409C" w:rsidRDefault="009B3BB0" w:rsidP="00A2582E">
            <w:pPr>
              <w:jc w:val="center"/>
              <w:rPr>
                <w:rFonts w:ascii="Helvetica Neue" w:hAnsi="Helvetica Neue"/>
                <w:sz w:val="18"/>
              </w:rPr>
            </w:pPr>
            <w:r w:rsidRPr="0024409C">
              <w:rPr>
                <w:rFonts w:ascii="Helvetica Neue" w:hAnsi="Helvetica Neue"/>
                <w:sz w:val="18"/>
              </w:rPr>
              <w:t>0.038</w:t>
            </w:r>
          </w:p>
        </w:tc>
      </w:tr>
      <w:tr w:rsidR="009B3BB0" w:rsidRPr="0024409C" w14:paraId="42EC9340" w14:textId="77777777" w:rsidTr="00A2582E">
        <w:trPr>
          <w:trHeight w:val="389"/>
          <w:jc w:val="center"/>
        </w:trPr>
        <w:tc>
          <w:tcPr>
            <w:tcW w:w="1890" w:type="dxa"/>
            <w:vAlign w:val="center"/>
          </w:tcPr>
          <w:p w14:paraId="39DEB7E0" w14:textId="77777777" w:rsidR="009B3BB0" w:rsidRPr="0024409C" w:rsidRDefault="009B3BB0" w:rsidP="00A2582E">
            <w:pPr>
              <w:rPr>
                <w:rFonts w:ascii="Helvetica Neue" w:hAnsi="Helvetica Neue"/>
                <w:sz w:val="18"/>
              </w:rPr>
            </w:pPr>
            <w:r w:rsidRPr="0024409C">
              <w:rPr>
                <w:rFonts w:ascii="Helvetica Neue" w:hAnsi="Helvetica Neue"/>
                <w:sz w:val="18"/>
              </w:rPr>
              <w:t>Fourth quintile</w:t>
            </w:r>
          </w:p>
        </w:tc>
        <w:tc>
          <w:tcPr>
            <w:tcW w:w="1069" w:type="dxa"/>
            <w:vAlign w:val="center"/>
          </w:tcPr>
          <w:p w14:paraId="3040D9B4" w14:textId="77777777" w:rsidR="009B3BB0" w:rsidRPr="0024409C" w:rsidRDefault="009B3BB0" w:rsidP="00A2582E">
            <w:pPr>
              <w:jc w:val="center"/>
              <w:rPr>
                <w:rFonts w:ascii="Helvetica Neue" w:hAnsi="Helvetica Neue"/>
                <w:sz w:val="18"/>
              </w:rPr>
            </w:pPr>
            <w:r w:rsidRPr="0024409C">
              <w:rPr>
                <w:rFonts w:ascii="Helvetica Neue" w:hAnsi="Helvetica Neue"/>
                <w:sz w:val="18"/>
              </w:rPr>
              <w:t>0.071</w:t>
            </w:r>
          </w:p>
        </w:tc>
      </w:tr>
      <w:tr w:rsidR="009B3BB0" w:rsidRPr="0024409C" w14:paraId="5963E3FA" w14:textId="77777777" w:rsidTr="00A2582E">
        <w:trPr>
          <w:trHeight w:val="389"/>
          <w:jc w:val="center"/>
        </w:trPr>
        <w:tc>
          <w:tcPr>
            <w:tcW w:w="1890" w:type="dxa"/>
            <w:vAlign w:val="center"/>
          </w:tcPr>
          <w:p w14:paraId="08D9D552" w14:textId="77777777" w:rsidR="009B3BB0" w:rsidRPr="0024409C" w:rsidRDefault="009B3BB0" w:rsidP="00A2582E">
            <w:pPr>
              <w:rPr>
                <w:rFonts w:ascii="Helvetica Neue" w:hAnsi="Helvetica Neue"/>
                <w:sz w:val="18"/>
              </w:rPr>
            </w:pPr>
            <w:r w:rsidRPr="0024409C">
              <w:rPr>
                <w:rFonts w:ascii="Helvetica Neue" w:hAnsi="Helvetica Neue"/>
                <w:sz w:val="18"/>
              </w:rPr>
              <w:t>Highest quintile</w:t>
            </w:r>
          </w:p>
        </w:tc>
        <w:tc>
          <w:tcPr>
            <w:tcW w:w="1069" w:type="dxa"/>
            <w:vAlign w:val="center"/>
          </w:tcPr>
          <w:p w14:paraId="27D960D0" w14:textId="77777777" w:rsidR="009B3BB0" w:rsidRPr="0024409C" w:rsidRDefault="009B3BB0" w:rsidP="00A2582E">
            <w:pPr>
              <w:jc w:val="center"/>
              <w:rPr>
                <w:rFonts w:ascii="Helvetica Neue" w:hAnsi="Helvetica Neue"/>
                <w:sz w:val="18"/>
              </w:rPr>
            </w:pPr>
            <w:r w:rsidRPr="0024409C">
              <w:rPr>
                <w:rFonts w:ascii="Helvetica Neue" w:hAnsi="Helvetica Neue"/>
                <w:sz w:val="18"/>
              </w:rPr>
              <w:t>0.221</w:t>
            </w:r>
          </w:p>
        </w:tc>
      </w:tr>
    </w:tbl>
    <w:p w14:paraId="682DD48B" w14:textId="5441F4AB" w:rsidR="009B3BB0" w:rsidRPr="0024409C" w:rsidRDefault="009B3BB0" w:rsidP="009B3BB0">
      <w:pPr>
        <w:spacing w:before="240" w:line="360" w:lineRule="auto"/>
        <w:rPr>
          <w:rFonts w:ascii="Helvetica Neue" w:eastAsiaTheme="minorEastAsia" w:hAnsi="Helvetica Neue"/>
        </w:rPr>
      </w:pPr>
      <w:r w:rsidRPr="0024409C">
        <w:rPr>
          <w:rFonts w:ascii="Helvetica Neue" w:eastAsiaTheme="minorEastAsia" w:hAnsi="Helvetica Neue"/>
        </w:rPr>
        <w:t xml:space="preserve">Men are assigned a quintile upon entry into the population, which remains fixed. Any individual man’s propensity for AI is determined as a combination of their quintile and their </w:t>
      </w:r>
      <w:r w:rsidRPr="0024409C">
        <w:rPr>
          <w:rFonts w:ascii="Helvetica Neue" w:eastAsiaTheme="minorEastAsia" w:hAnsi="Helvetica Neue"/>
        </w:rPr>
        <w:lastRenderedPageBreak/>
        <w:t xml:space="preserve">current main/casual partnership counts. Our statistical methods (described below) translate both propensities into conditional log-odds, allowing for their combination. Note that the means of the columns in the quintile table equal the means of the values in Section </w:t>
      </w:r>
      <w:r w:rsidR="0024214F" w:rsidRPr="0024409C">
        <w:rPr>
          <w:rFonts w:ascii="Helvetica Neue" w:eastAsiaTheme="minorEastAsia" w:hAnsi="Helvetica Neue"/>
        </w:rPr>
        <w:t>2</w:t>
      </w:r>
      <w:r w:rsidRPr="0024409C">
        <w:rPr>
          <w:rFonts w:ascii="Helvetica Neue" w:eastAsiaTheme="minorEastAsia" w:hAnsi="Helvetica Neue"/>
        </w:rPr>
        <w:t xml:space="preserve">.1.2 weighted by the proportions in Section </w:t>
      </w:r>
      <w:r w:rsidR="0024214F" w:rsidRPr="0024409C">
        <w:rPr>
          <w:rFonts w:ascii="Helvetica Neue" w:eastAsiaTheme="minorEastAsia" w:hAnsi="Helvetica Neue"/>
        </w:rPr>
        <w:t>2</w:t>
      </w:r>
      <w:r w:rsidRPr="0024409C">
        <w:rPr>
          <w:rFonts w:ascii="Helvetica Neue" w:eastAsiaTheme="minorEastAsia" w:hAnsi="Helvetica Neue"/>
        </w:rPr>
        <w:t>.1.1. These reflect the overall expected value across all men for one-time AI acts per time step.</w:t>
      </w:r>
    </w:p>
    <w:p w14:paraId="413FD9D3" w14:textId="6D3E3A99" w:rsidR="009B3BB0" w:rsidRPr="0024409C" w:rsidRDefault="00273CDD" w:rsidP="009B3BB0">
      <w:pPr>
        <w:spacing w:before="180" w:line="360" w:lineRule="auto"/>
        <w:rPr>
          <w:rFonts w:ascii="Helvetica Neue" w:eastAsiaTheme="minorEastAsia" w:hAnsi="Helvetica Neue"/>
          <w:b/>
          <w:i/>
        </w:rPr>
      </w:pPr>
      <w:r w:rsidRPr="0024409C">
        <w:rPr>
          <w:rFonts w:ascii="Helvetica Neue" w:eastAsiaTheme="minorEastAsia" w:hAnsi="Helvetica Neue"/>
          <w:i/>
        </w:rPr>
        <w:t>2</w:t>
      </w:r>
      <w:r w:rsidR="009B3BB0" w:rsidRPr="0024409C">
        <w:rPr>
          <w:rFonts w:ascii="Helvetica Neue" w:eastAsiaTheme="minorEastAsia" w:hAnsi="Helvetica Neue"/>
          <w:i/>
        </w:rPr>
        <w:t xml:space="preserve">.1.4 </w:t>
      </w:r>
      <w:r w:rsidR="009B3BB0" w:rsidRPr="0024409C">
        <w:rPr>
          <w:rFonts w:ascii="Helvetica Neue" w:eastAsiaTheme="minorEastAsia" w:hAnsi="Helvetica Neue"/>
          <w:i/>
        </w:rPr>
        <w:tab/>
        <w:t>Age Mixing</w:t>
      </w:r>
    </w:p>
    <w:p w14:paraId="7EF0A841" w14:textId="2E8768C0" w:rsidR="006C7E13" w:rsidRPr="0024409C" w:rsidRDefault="009B3BB0" w:rsidP="009B3BB0">
      <w:pPr>
        <w:spacing w:after="180" w:line="360" w:lineRule="auto"/>
        <w:rPr>
          <w:rFonts w:ascii="Helvetica Neue" w:eastAsiaTheme="minorEastAsia" w:hAnsi="Helvetica Neue"/>
        </w:rPr>
      </w:pPr>
      <w:r w:rsidRPr="0024409C">
        <w:rPr>
          <w:rFonts w:ascii="Helvetica Neue" w:eastAsiaTheme="minorEastAsia" w:hAnsi="Helvetica Neue"/>
        </w:rPr>
        <w:t>Respondents also reported on the estimated age of each partner.</w:t>
      </w:r>
      <w:r w:rsidRPr="0024409C">
        <w:rPr>
          <w:rFonts w:ascii="Helvetica Neue" w:eastAsiaTheme="minorEastAsia" w:hAnsi="Helvetica Neue"/>
          <w:b/>
          <w:i/>
        </w:rPr>
        <w:t xml:space="preserve"> </w:t>
      </w:r>
      <w:r w:rsidRPr="0024409C">
        <w:rPr>
          <w:rFonts w:ascii="Helvetica Neue" w:eastAsiaTheme="minorEastAsia" w:hAnsi="Helvetica Neue"/>
        </w:rPr>
        <w:t xml:space="preserve">We model age mixing within a given relational type using a single parameter for each, the expected </w:t>
      </w:r>
      <w:r w:rsidRPr="0024409C">
        <w:rPr>
          <w:rFonts w:ascii="Helvetica Neue" w:hAnsi="Helvetica Neue"/>
        </w:rPr>
        <w:t>mean difference in square root of the ages of men in a relationship, consistent with previous work.</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{"citationItems":[{"id":"ITEM-1","itemData":{"abstract":"Men who have sex with men (MSM) have been substantially affected by HIV epidemics worldwide. Epidemics in MSM are re-emerging in many high-income countries and gaining greater recognition in many low-income and middle-income countries. Better HIV prevention strategies are urgently needed. Our review of HIV prevention strategies for MSM identified several important themes. At the beginning of the epidemic, stand-alone behavioural interventions mostly aimed to reduce unprotected anal intercourse, which, although somewhat efficacious, did not reduce HIV transmission. Biomedical prevention strategies reduce the incidence of HIV infection. Delivery of barrier and biomedical interventions with coordinated behavioural and structural strategies could optimise the effectiveness of prevention. Modelling suggests that, with sufficient coverage, available interventions are sufficient to avert at least a quarter of new HIV infections in MSM in diverse countries. Scale-up of HIV prevention programmes for MSM is difficult because of homophobia and bias, suboptimum access to HIV testing and care, and financial constraints.","author":[{"dropping-particle":"","family":"Sullivan","given":"Patrick S","non-dropping-particle":"","parse-names":false,"suffix":""},{"dropping-particle":"","family":"Carballo-Diéguez","given":"Alex","non-dropping-particle":"","parse-names":false,"suffix":""},{"dropping-particle":"","family":"Coates","given":"Thomas","non-dropping-particle":"","parse-names":false,"suffix":""},{"dropping-particle":"","family":"Goodreau","given":"Steven M","non-dropping-particle":"","parse-names":false,"suffix":""},{"dropping-particle":"","family":"McGowan","given":"Ian","non-dropping-particle":"","parse-names":false,"suffix":""},{"dropping-particle":"","family":"Sanders","given":"Eduard J","non-dropping-particle":"","parse-names":false,"suffix":""},{"dropping-particle":"","family":"Smith","given":"Adrian","non-dropping-particle":"","parse-names":false,"suffix":""},{"dropping-particle":"","family":"Goswami","given":"Prabuddhagopal","non-dropping-particle":"","parse-names":false,"suffix":""},{"dropping-particle":"","family":"Sanchez","given":"Jorge","non-dropping-particle":"","parse-names":false,"suffix":""}],"container-title":"Lancet","id":"ITEM-1","issue":"9839","issued":{"date-parts":[["2012","7","28"]]},"page":"388-99","publisher":"NIH Public Access","title":"Successes and challenges of HIV prevention in men who have sex with men.","type":"article-journal","volume":"380"},"uris":["http://www.mendeley.com/documents/?uuid=41d44cb9-e544-4140-b100-79332484b897"]},{"id":"ITEM-2","itemData":{"abstract":"In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One","id":"ITEM-2","issue":"11","issued":{"date-parts":[["2012"]]},"page":"e50522","title":"What drives the US and Peruvian HIV epidemics in men who have sex with men (MSM)?","type":"article-journal","volume":"7"},"uris":["http://www.mendeley.com/documents/?uuid=95236385-1da9-4014-87d9-9bf044dc09fb"]},{"id":"ITEM-3","itemData":{"ISSN":"1944-7884","PMID":"25942463","abstract":"BACKGROUND We aim to identify optimal strategies for deploying pre-exposure prophylaxis among men who have sex with men (MSM) in the United States and Peru to maximize population-level effectiveness in an efficient manner. We use epidemic models to simulate the impact of targeting strategies. Most studies have focused on targeting either the general population or high-risk MSM. Alternative strategies, including serodiscordant couples, may better balance effectiveness and efficiency. METHODS We use dynamic stochastic sexual network models based on exponential-family random graph modeling, parameterized from behavioral surveys of MSM in the United States and Peru. These models represent main partnerships and casual contacts separately, permitting modeling of interventions targeting men whose risk derives from combinations of relational types. We also model varying rates of uptake and adherence to pre-exposure prophylaxis (PrEP). We assess sensitivity of results to risk compensation through increases in condomless casual contacts and condomless sex in main partnerships. RESULTS Targeting all men who are not exclusively insertive has the largest impact on HIV incidence, but targeting only those with high levels of casual activity yields comparable results using fewer person-years on PrEP. The effect is robust to risk compensation in the United States, but less so in Peru. Targeting serodiscordant main partnerships does not significantly impact incidence, but requires fewer person-years on PrEP per infection averted than other strategies. CONCLUSIONS PrEP could be effective in reducing new infections at the population level in both settings. Serodiscordant partnerships are an attractive component of a targeting program, but targeting should include other high-risk men.","author":[{"dropping-particle":"","family":"Carnegie","given":"Nicole B","non-dropping-particle":"","parse-names":false,"suffix":""},{"dropping-particle":"","family":"Goodreau","given":"Steven M","non-dropping-particle":"","parse-names":false,"suffix":""},{"dropping-particle":"","family":"Liu","given":"Albert","non-dropping-particle":"","parse-names":false,"suffix":""},{"dropping-particle":"","family":"Vittinghoff","given":"Eric","non-dropping-particle":"","parse-names":false,"suffix":""},{"dropping-particle":"","family":"Sanchez","given":"Jorge","non-dropping-particle":"","parse-names":false,"suffix":""},{"dropping-particle":"","family":"Lama","given":"Javier R","non-dropping-particle":"","parse-names":false,"suffix":""},{"dropping-particle":"","family":"Buchbinder","given":"Susan","non-dropping-particle":"","parse-names":false,"suffix":""}],"container-title":"J Acquir Immune Defic Syndr","id":"ITEM-3","issue":"1","issued":{"date-parts":[["2015","5","1"]]},"page":"119-25","title":"Targeting pre-exposure prophylaxis among men who have sex with men in the United States and Peru: partnership types, contact rates, and sexual role.","type":"article-journal","volume":"69"},"uris":["http://www.mendeley.com/documents/?uuid=c71dbe28-878b-4310-8bb6-966a22ba81d5"]}],"mendeley":{"formattedCitation":"&lt;sup&gt;1,3,7&lt;/sup&gt;","plainTextFormattedCitation":"1,3,7","previouslyFormattedCitation":"&lt;sup&gt;1,3,7&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1,3,7</w:t>
      </w:r>
      <w:r w:rsidRPr="0024409C">
        <w:rPr>
          <w:rFonts w:ascii="Helvetica Neue" w:hAnsi="Helvetica Neue"/>
          <w:noProof/>
          <w:vertAlign w:val="superscript"/>
        </w:rPr>
        <w:fldChar w:fldCharType="end"/>
      </w:r>
      <w:r w:rsidRPr="0024409C">
        <w:rPr>
          <w:rFonts w:ascii="Helvetica Neue" w:hAnsi="Helvetica Neue"/>
        </w:rPr>
        <w:t xml:space="preserve"> For instance, a relationship between a 23-year-old and a 28-year-old would represent </w:t>
      </w:r>
      <m:oMath>
        <m:d>
          <m:dPr>
            <m:begChr m:val="|"/>
            <m:endChr m:val="|"/>
            <m:ctrlPr>
              <w:rPr>
                <w:rFonts w:ascii="Cambria Math" w:hAnsi="Cambria Math"/>
                <w:i/>
              </w:rPr>
            </m:ctrlPr>
          </m:dPr>
          <m:e>
            <m:rad>
              <m:radPr>
                <m:degHide m:val="1"/>
                <m:ctrlPr>
                  <w:rPr>
                    <w:rFonts w:ascii="Cambria Math" w:hAnsi="Cambria Math"/>
                    <w:i/>
                  </w:rPr>
                </m:ctrlPr>
              </m:radPr>
              <m:deg/>
              <m:e>
                <m:r>
                  <w:rPr>
                    <w:rFonts w:ascii="Cambria Math" w:hAnsi="Cambria Math"/>
                  </w:rPr>
                  <m:t>23</m:t>
                </m:r>
              </m:e>
            </m:rad>
            <m:r>
              <w:rPr>
                <w:rFonts w:ascii="Cambria Math" w:hAnsi="Cambria Math"/>
              </w:rPr>
              <m:t>-</m:t>
            </m:r>
            <m:rad>
              <m:radPr>
                <m:degHide m:val="1"/>
                <m:ctrlPr>
                  <w:rPr>
                    <w:rFonts w:ascii="Cambria Math" w:hAnsi="Cambria Math"/>
                    <w:i/>
                  </w:rPr>
                </m:ctrlPr>
              </m:radPr>
              <m:deg/>
              <m:e>
                <m:r>
                  <w:rPr>
                    <w:rFonts w:ascii="Cambria Math" w:hAnsi="Cambria Math"/>
                  </w:rPr>
                  <m:t>28</m:t>
                </m:r>
              </m:e>
            </m:rad>
          </m:e>
        </m:d>
      </m:oMath>
      <w:r w:rsidRPr="0024409C">
        <w:rPr>
          <w:rFonts w:ascii="Helvetica Neue" w:eastAsiaTheme="minorEastAsia" w:hAnsi="Helvetica Neue"/>
        </w:rPr>
        <w:t xml:space="preserve"> = 0.496.</w:t>
      </w:r>
    </w:p>
    <w:tbl>
      <w:tblPr>
        <w:tblStyle w:val="TableGrid"/>
        <w:tblW w:w="3690" w:type="dxa"/>
        <w:jc w:val="center"/>
        <w:tblLook w:val="04A0" w:firstRow="1" w:lastRow="0" w:firstColumn="1" w:lastColumn="0" w:noHBand="0" w:noVBand="1"/>
      </w:tblPr>
      <w:tblGrid>
        <w:gridCol w:w="2340"/>
        <w:gridCol w:w="1350"/>
      </w:tblGrid>
      <w:tr w:rsidR="009B3BB0" w:rsidRPr="0024409C" w14:paraId="30F0DC5F" w14:textId="77777777" w:rsidTr="00A2582E">
        <w:trPr>
          <w:trHeight w:val="389"/>
          <w:jc w:val="center"/>
        </w:trPr>
        <w:tc>
          <w:tcPr>
            <w:tcW w:w="2340" w:type="dxa"/>
            <w:shd w:val="clear" w:color="auto" w:fill="D9D9D9" w:themeFill="background1" w:themeFillShade="D9"/>
            <w:vAlign w:val="center"/>
          </w:tcPr>
          <w:p w14:paraId="569F0CC7" w14:textId="77777777" w:rsidR="009B3BB0" w:rsidRPr="0024409C" w:rsidRDefault="009B3BB0" w:rsidP="00A2582E">
            <w:pPr>
              <w:jc w:val="center"/>
              <w:rPr>
                <w:rFonts w:ascii="Helvetica Neue" w:hAnsi="Helvetica Neue"/>
                <w:b/>
                <w:sz w:val="18"/>
              </w:rPr>
            </w:pPr>
          </w:p>
        </w:tc>
        <w:tc>
          <w:tcPr>
            <w:tcW w:w="1350" w:type="dxa"/>
            <w:shd w:val="clear" w:color="auto" w:fill="D9D9D9" w:themeFill="background1" w:themeFillShade="D9"/>
            <w:vAlign w:val="center"/>
          </w:tcPr>
          <w:p w14:paraId="2EBA0224"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Value</w:t>
            </w:r>
          </w:p>
        </w:tc>
      </w:tr>
      <w:tr w:rsidR="009B3BB0" w:rsidRPr="0024409C" w14:paraId="527752EF" w14:textId="77777777" w:rsidTr="00A2582E">
        <w:trPr>
          <w:trHeight w:val="389"/>
          <w:jc w:val="center"/>
        </w:trPr>
        <w:tc>
          <w:tcPr>
            <w:tcW w:w="2340" w:type="dxa"/>
            <w:vAlign w:val="center"/>
          </w:tcPr>
          <w:p w14:paraId="2342F251"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5A56E40B" w14:textId="77777777" w:rsidR="009B3BB0" w:rsidRPr="0024409C" w:rsidRDefault="009B3BB0" w:rsidP="00A2582E">
            <w:pPr>
              <w:jc w:val="center"/>
              <w:rPr>
                <w:rFonts w:ascii="Helvetica Neue" w:hAnsi="Helvetica Neue"/>
                <w:sz w:val="18"/>
              </w:rPr>
            </w:pPr>
            <w:r w:rsidRPr="0024409C">
              <w:rPr>
                <w:rFonts w:ascii="Helvetica Neue" w:hAnsi="Helvetica Neue"/>
                <w:sz w:val="18"/>
              </w:rPr>
              <w:t>0.464</w:t>
            </w:r>
          </w:p>
        </w:tc>
      </w:tr>
      <w:tr w:rsidR="009B3BB0" w:rsidRPr="0024409C" w14:paraId="25CF4C59" w14:textId="77777777" w:rsidTr="00A2582E">
        <w:trPr>
          <w:trHeight w:val="389"/>
          <w:jc w:val="center"/>
        </w:trPr>
        <w:tc>
          <w:tcPr>
            <w:tcW w:w="2340" w:type="dxa"/>
            <w:vAlign w:val="center"/>
          </w:tcPr>
          <w:p w14:paraId="46B58BF7"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3DC76736" w14:textId="77777777" w:rsidR="009B3BB0" w:rsidRPr="0024409C" w:rsidRDefault="009B3BB0" w:rsidP="00A2582E">
            <w:pPr>
              <w:jc w:val="center"/>
              <w:rPr>
                <w:rFonts w:ascii="Helvetica Neue" w:hAnsi="Helvetica Neue"/>
                <w:sz w:val="18"/>
              </w:rPr>
            </w:pPr>
            <w:r w:rsidRPr="0024409C">
              <w:rPr>
                <w:rFonts w:ascii="Helvetica Neue" w:hAnsi="Helvetica Neue"/>
                <w:sz w:val="18"/>
              </w:rPr>
              <w:t>0.586</w:t>
            </w:r>
          </w:p>
        </w:tc>
      </w:tr>
      <w:tr w:rsidR="009B3BB0" w:rsidRPr="0024409C" w14:paraId="7ECD1649" w14:textId="77777777" w:rsidTr="00A2582E">
        <w:trPr>
          <w:trHeight w:val="389"/>
          <w:jc w:val="center"/>
        </w:trPr>
        <w:tc>
          <w:tcPr>
            <w:tcW w:w="2340" w:type="dxa"/>
            <w:vAlign w:val="center"/>
          </w:tcPr>
          <w:p w14:paraId="1CB0C1FC" w14:textId="77777777" w:rsidR="009B3BB0" w:rsidRPr="0024409C" w:rsidRDefault="009B3BB0" w:rsidP="00A2582E">
            <w:pPr>
              <w:rPr>
                <w:rFonts w:ascii="Helvetica Neue" w:hAnsi="Helvetica Neue"/>
                <w:sz w:val="18"/>
              </w:rPr>
            </w:pPr>
            <w:r w:rsidRPr="0024409C">
              <w:rPr>
                <w:rFonts w:ascii="Helvetica Neue" w:hAnsi="Helvetica Neue"/>
                <w:sz w:val="18"/>
              </w:rPr>
              <w:t>One-time contacts</w:t>
            </w:r>
          </w:p>
        </w:tc>
        <w:tc>
          <w:tcPr>
            <w:tcW w:w="1350" w:type="dxa"/>
            <w:vAlign w:val="center"/>
          </w:tcPr>
          <w:p w14:paraId="440E973F" w14:textId="77777777" w:rsidR="009B3BB0" w:rsidRPr="0024409C" w:rsidRDefault="009B3BB0" w:rsidP="00A2582E">
            <w:pPr>
              <w:jc w:val="center"/>
              <w:rPr>
                <w:rFonts w:ascii="Helvetica Neue" w:hAnsi="Helvetica Neue"/>
                <w:sz w:val="18"/>
              </w:rPr>
            </w:pPr>
            <w:r w:rsidRPr="0024409C">
              <w:rPr>
                <w:rFonts w:ascii="Helvetica Neue" w:hAnsi="Helvetica Neue"/>
                <w:sz w:val="18"/>
              </w:rPr>
              <w:t>0.544</w:t>
            </w:r>
          </w:p>
        </w:tc>
      </w:tr>
    </w:tbl>
    <w:p w14:paraId="1CDCFCE3" w14:textId="280E13D3" w:rsidR="009B3BB0" w:rsidRPr="0024409C" w:rsidRDefault="00273CDD" w:rsidP="009B3BB0">
      <w:pPr>
        <w:spacing w:before="300" w:line="360" w:lineRule="auto"/>
        <w:rPr>
          <w:rFonts w:ascii="Helvetica Neue" w:eastAsiaTheme="minorEastAsia" w:hAnsi="Helvetica Neue"/>
          <w:b/>
        </w:rPr>
      </w:pPr>
      <w:r w:rsidRPr="0024409C">
        <w:rPr>
          <w:rFonts w:ascii="Helvetica Neue" w:eastAsiaTheme="minorEastAsia" w:hAnsi="Helvetica Neue"/>
          <w:i/>
        </w:rPr>
        <w:t>2</w:t>
      </w:r>
      <w:r w:rsidR="009B3BB0" w:rsidRPr="0024409C">
        <w:rPr>
          <w:rFonts w:ascii="Helvetica Neue" w:eastAsiaTheme="minorEastAsia" w:hAnsi="Helvetica Neue"/>
          <w:i/>
        </w:rPr>
        <w:t>.1.5</w:t>
      </w:r>
      <w:r w:rsidR="009B3BB0" w:rsidRPr="0024409C">
        <w:rPr>
          <w:rFonts w:ascii="Helvetica Neue" w:eastAsiaTheme="minorEastAsia" w:hAnsi="Helvetica Neue"/>
          <w:i/>
        </w:rPr>
        <w:tab/>
        <w:t xml:space="preserve"> Mixing by Sexual Role</w:t>
      </w:r>
    </w:p>
    <w:p w14:paraId="64DE486F" w14:textId="71A9042E" w:rsidR="009B3BB0" w:rsidRPr="0024409C" w:rsidRDefault="009B3BB0" w:rsidP="009B3BB0">
      <w:pPr>
        <w:spacing w:after="180" w:line="360" w:lineRule="auto"/>
        <w:rPr>
          <w:rFonts w:ascii="Helvetica Neue" w:eastAsiaTheme="minorEastAsia" w:hAnsi="Helvetica Neue"/>
        </w:rPr>
      </w:pPr>
      <w:r w:rsidRPr="0024409C">
        <w:rPr>
          <w:rFonts w:ascii="Helvetica Neue" w:eastAsiaTheme="minorEastAsia" w:hAnsi="Helvetica Neue"/>
        </w:rPr>
        <w:t xml:space="preserve">We assign men a fixed sexual role preference (exclusively </w:t>
      </w:r>
      <w:proofErr w:type="spellStart"/>
      <w:r w:rsidRPr="0024409C">
        <w:rPr>
          <w:rFonts w:ascii="Helvetica Neue" w:eastAsiaTheme="minorEastAsia" w:hAnsi="Helvetica Neue"/>
        </w:rPr>
        <w:t>insertive</w:t>
      </w:r>
      <w:proofErr w:type="spellEnd"/>
      <w:r w:rsidRPr="0024409C">
        <w:rPr>
          <w:rFonts w:ascii="Helvetica Neue" w:eastAsiaTheme="minorEastAsia" w:hAnsi="Helvetica Neue"/>
        </w:rPr>
        <w:t xml:space="preserve">, exclusively receptive, </w:t>
      </w:r>
      <w:r w:rsidR="00EB6FEA" w:rsidRPr="0024409C">
        <w:rPr>
          <w:rFonts w:ascii="Helvetica Neue" w:eastAsiaTheme="minorEastAsia" w:hAnsi="Helvetica Neue"/>
        </w:rPr>
        <w:t xml:space="preserve">or </w:t>
      </w:r>
      <w:r w:rsidRPr="0024409C">
        <w:rPr>
          <w:rFonts w:ascii="Helvetica Neue" w:eastAsiaTheme="minorEastAsia" w:hAnsi="Helvetica Neue"/>
        </w:rPr>
        <w:t xml:space="preserve">versatile). The model then includes an absolute prohibition, such that two exclusively </w:t>
      </w:r>
      <w:proofErr w:type="spellStart"/>
      <w:r w:rsidRPr="0024409C">
        <w:rPr>
          <w:rFonts w:ascii="Helvetica Neue" w:eastAsiaTheme="minorEastAsia" w:hAnsi="Helvetica Neue"/>
        </w:rPr>
        <w:t>insertive</w:t>
      </w:r>
      <w:proofErr w:type="spellEnd"/>
      <w:r w:rsidRPr="0024409C">
        <w:rPr>
          <w:rFonts w:ascii="Helvetica Neue" w:eastAsiaTheme="minorEastAsia" w:hAnsi="Helvetica Neue"/>
        </w:rPr>
        <w:t xml:space="preserve"> men cannot partner, nor can two exclusively receptive men. Men’s roles at last sex for each of the last 5 (Involvement) or 10 (MAN Project) partners were aggregated; those who had engaged in one role across </w:t>
      </w:r>
      <w:r w:rsidR="003E4927" w:rsidRPr="0024409C">
        <w:rPr>
          <w:rFonts w:ascii="Helvetica Neue" w:eastAsiaTheme="minorEastAsia" w:hAnsi="Helvetica Neue"/>
        </w:rPr>
        <w:t>all</w:t>
      </w:r>
      <w:r w:rsidRPr="0024409C">
        <w:rPr>
          <w:rFonts w:ascii="Helvetica Neue" w:eastAsiaTheme="minorEastAsia" w:hAnsi="Helvetica Neue"/>
        </w:rPr>
        <w:t xml:space="preserve"> those acts </w:t>
      </w:r>
      <w:r w:rsidR="00CF75E3" w:rsidRPr="0024409C">
        <w:rPr>
          <w:rFonts w:ascii="Helvetica Neue" w:eastAsiaTheme="minorEastAsia" w:hAnsi="Helvetica Neue"/>
        </w:rPr>
        <w:t xml:space="preserve">in those partnerships </w:t>
      </w:r>
      <w:r w:rsidRPr="0024409C">
        <w:rPr>
          <w:rFonts w:ascii="Helvetica Neue" w:eastAsiaTheme="minorEastAsia" w:hAnsi="Helvetica Neue"/>
        </w:rPr>
        <w:t xml:space="preserve">were deemed to be exclusively receptive or </w:t>
      </w:r>
      <w:proofErr w:type="spellStart"/>
      <w:r w:rsidRPr="0024409C">
        <w:rPr>
          <w:rFonts w:ascii="Helvetica Neue" w:eastAsiaTheme="minorEastAsia" w:hAnsi="Helvetica Neue"/>
        </w:rPr>
        <w:t>insertive</w:t>
      </w:r>
      <w:proofErr w:type="spellEnd"/>
      <w:r w:rsidRPr="0024409C">
        <w:rPr>
          <w:rFonts w:ascii="Helvetica Neue" w:eastAsiaTheme="minorEastAsia" w:hAnsi="Helvetica Neue"/>
        </w:rPr>
        <w:t>, and those who had engaged in at least one act of each were deemed to be versatile.</w:t>
      </w:r>
      <w:r w:rsidR="000F1217" w:rsidRPr="0024409C">
        <w:rPr>
          <w:rFonts w:ascii="Helvetica Neue" w:eastAsiaTheme="minorEastAsia" w:hAnsi="Helvetica Neue"/>
        </w:rPr>
        <w:t xml:space="preserve"> </w:t>
      </w:r>
      <w:r w:rsidR="008C38B7" w:rsidRPr="0024409C">
        <w:rPr>
          <w:rFonts w:ascii="Helvetica Neue" w:eastAsiaTheme="minorEastAsia" w:hAnsi="Helvetica Neue"/>
        </w:rPr>
        <w:t>In the absence of longitudinal behavioral data, s</w:t>
      </w:r>
      <w:r w:rsidR="000F1217" w:rsidRPr="0024409C">
        <w:rPr>
          <w:rFonts w:ascii="Helvetica Neue" w:eastAsiaTheme="minorEastAsia" w:hAnsi="Helvetica Neue"/>
        </w:rPr>
        <w:t>exual role preference was assumed to be a fixed trait, rather than a time-varying one, although, for versatile men, the sexual role within each partnership at each simulated time step was stochastic.</w:t>
      </w:r>
      <w:r w:rsidR="00C96BD0" w:rsidRPr="0024409C">
        <w:rPr>
          <w:rFonts w:ascii="Helvetica Neue" w:eastAsiaTheme="minorEastAsia" w:hAnsi="Helvetica Neue"/>
        </w:rPr>
        <w:t xml:space="preserve"> </w:t>
      </w:r>
    </w:p>
    <w:tbl>
      <w:tblPr>
        <w:tblStyle w:val="TableGrid"/>
        <w:tblW w:w="3403" w:type="dxa"/>
        <w:jc w:val="center"/>
        <w:tblLook w:val="04A0" w:firstRow="1" w:lastRow="0" w:firstColumn="1" w:lastColumn="0" w:noHBand="0" w:noVBand="1"/>
      </w:tblPr>
      <w:tblGrid>
        <w:gridCol w:w="2340"/>
        <w:gridCol w:w="1063"/>
      </w:tblGrid>
      <w:tr w:rsidR="009B3BB0" w:rsidRPr="0024409C" w14:paraId="051EA37A" w14:textId="77777777" w:rsidTr="00A2582E">
        <w:trPr>
          <w:trHeight w:val="389"/>
          <w:jc w:val="center"/>
        </w:trPr>
        <w:tc>
          <w:tcPr>
            <w:tcW w:w="2340" w:type="dxa"/>
            <w:shd w:val="clear" w:color="auto" w:fill="D9D9D9" w:themeFill="background1" w:themeFillShade="D9"/>
            <w:vAlign w:val="center"/>
          </w:tcPr>
          <w:p w14:paraId="3E8DBE77" w14:textId="77777777" w:rsidR="009B3BB0" w:rsidRPr="0024409C" w:rsidRDefault="009B3BB0" w:rsidP="00A2582E">
            <w:pPr>
              <w:jc w:val="center"/>
              <w:rPr>
                <w:rFonts w:ascii="Helvetica Neue" w:hAnsi="Helvetica Neue"/>
                <w:sz w:val="18"/>
              </w:rPr>
            </w:pPr>
          </w:p>
        </w:tc>
        <w:tc>
          <w:tcPr>
            <w:tcW w:w="1063" w:type="dxa"/>
            <w:shd w:val="clear" w:color="auto" w:fill="D9D9D9" w:themeFill="background1" w:themeFillShade="D9"/>
            <w:vAlign w:val="center"/>
          </w:tcPr>
          <w:p w14:paraId="5ED0A389"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Probability</w:t>
            </w:r>
          </w:p>
        </w:tc>
      </w:tr>
      <w:tr w:rsidR="009B3BB0" w:rsidRPr="0024409C" w14:paraId="4DCD840C" w14:textId="77777777" w:rsidTr="00A2582E">
        <w:trPr>
          <w:trHeight w:val="389"/>
          <w:jc w:val="center"/>
        </w:trPr>
        <w:tc>
          <w:tcPr>
            <w:tcW w:w="2340" w:type="dxa"/>
            <w:vAlign w:val="center"/>
          </w:tcPr>
          <w:p w14:paraId="03723798" w14:textId="77777777" w:rsidR="009B3BB0" w:rsidRPr="0024409C" w:rsidRDefault="009B3BB0" w:rsidP="00A2582E">
            <w:pPr>
              <w:rPr>
                <w:rFonts w:ascii="Helvetica Neue" w:hAnsi="Helvetica Neue"/>
                <w:sz w:val="18"/>
              </w:rPr>
            </w:pPr>
            <w:r w:rsidRPr="0024409C">
              <w:rPr>
                <w:rFonts w:ascii="Helvetica Neue" w:hAnsi="Helvetica Neue"/>
                <w:sz w:val="18"/>
              </w:rPr>
              <w:lastRenderedPageBreak/>
              <w:t xml:space="preserve">Exclusively </w:t>
            </w:r>
            <w:proofErr w:type="spellStart"/>
            <w:r w:rsidRPr="0024409C">
              <w:rPr>
                <w:rFonts w:ascii="Helvetica Neue" w:hAnsi="Helvetica Neue"/>
                <w:sz w:val="18"/>
              </w:rPr>
              <w:t>insertive</w:t>
            </w:r>
            <w:proofErr w:type="spellEnd"/>
          </w:p>
        </w:tc>
        <w:tc>
          <w:tcPr>
            <w:tcW w:w="1063" w:type="dxa"/>
            <w:vAlign w:val="center"/>
          </w:tcPr>
          <w:p w14:paraId="4FCB8581" w14:textId="77777777" w:rsidR="009B3BB0" w:rsidRPr="0024409C" w:rsidRDefault="009B3BB0" w:rsidP="00A2582E">
            <w:pPr>
              <w:jc w:val="center"/>
              <w:rPr>
                <w:rFonts w:ascii="Helvetica Neue" w:hAnsi="Helvetica Neue"/>
                <w:sz w:val="18"/>
              </w:rPr>
            </w:pPr>
            <w:r w:rsidRPr="0024409C">
              <w:rPr>
                <w:rFonts w:ascii="Helvetica Neue" w:hAnsi="Helvetica Neue"/>
                <w:sz w:val="18"/>
              </w:rPr>
              <w:t>24.2%</w:t>
            </w:r>
          </w:p>
        </w:tc>
      </w:tr>
      <w:tr w:rsidR="009B3BB0" w:rsidRPr="0024409C" w14:paraId="579B85E0" w14:textId="77777777" w:rsidTr="00A2582E">
        <w:trPr>
          <w:trHeight w:val="389"/>
          <w:jc w:val="center"/>
        </w:trPr>
        <w:tc>
          <w:tcPr>
            <w:tcW w:w="2340" w:type="dxa"/>
            <w:vAlign w:val="center"/>
          </w:tcPr>
          <w:p w14:paraId="604FA68F" w14:textId="77777777" w:rsidR="009B3BB0" w:rsidRPr="0024409C" w:rsidRDefault="009B3BB0" w:rsidP="00A2582E">
            <w:pPr>
              <w:rPr>
                <w:rFonts w:ascii="Helvetica Neue" w:hAnsi="Helvetica Neue"/>
                <w:sz w:val="18"/>
              </w:rPr>
            </w:pPr>
            <w:r w:rsidRPr="0024409C">
              <w:rPr>
                <w:rFonts w:ascii="Helvetica Neue" w:hAnsi="Helvetica Neue"/>
                <w:sz w:val="18"/>
              </w:rPr>
              <w:t>Versatile</w:t>
            </w:r>
          </w:p>
        </w:tc>
        <w:tc>
          <w:tcPr>
            <w:tcW w:w="1063" w:type="dxa"/>
            <w:vAlign w:val="center"/>
          </w:tcPr>
          <w:p w14:paraId="6AB5B2DC" w14:textId="77777777" w:rsidR="009B3BB0" w:rsidRPr="0024409C" w:rsidRDefault="009B3BB0" w:rsidP="00A2582E">
            <w:pPr>
              <w:jc w:val="center"/>
              <w:rPr>
                <w:rFonts w:ascii="Helvetica Neue" w:hAnsi="Helvetica Neue"/>
                <w:sz w:val="18"/>
              </w:rPr>
            </w:pPr>
            <w:r w:rsidRPr="0024409C">
              <w:rPr>
                <w:rFonts w:ascii="Helvetica Neue" w:hAnsi="Helvetica Neue"/>
                <w:sz w:val="18"/>
              </w:rPr>
              <w:t>43.7%</w:t>
            </w:r>
          </w:p>
        </w:tc>
      </w:tr>
      <w:tr w:rsidR="009B3BB0" w:rsidRPr="0024409C" w14:paraId="67DE49C8" w14:textId="77777777" w:rsidTr="00A2582E">
        <w:trPr>
          <w:trHeight w:val="389"/>
          <w:jc w:val="center"/>
        </w:trPr>
        <w:tc>
          <w:tcPr>
            <w:tcW w:w="2340" w:type="dxa"/>
            <w:vAlign w:val="center"/>
          </w:tcPr>
          <w:p w14:paraId="046BC80F" w14:textId="77777777" w:rsidR="009B3BB0" w:rsidRPr="0024409C" w:rsidRDefault="009B3BB0" w:rsidP="00A2582E">
            <w:pPr>
              <w:rPr>
                <w:rFonts w:ascii="Helvetica Neue" w:hAnsi="Helvetica Neue"/>
                <w:sz w:val="18"/>
              </w:rPr>
            </w:pPr>
            <w:r w:rsidRPr="0024409C">
              <w:rPr>
                <w:rFonts w:ascii="Helvetica Neue" w:hAnsi="Helvetica Neue"/>
                <w:sz w:val="18"/>
              </w:rPr>
              <w:t>Exclusively receptive</w:t>
            </w:r>
          </w:p>
        </w:tc>
        <w:tc>
          <w:tcPr>
            <w:tcW w:w="1063" w:type="dxa"/>
            <w:vAlign w:val="center"/>
          </w:tcPr>
          <w:p w14:paraId="35E68738" w14:textId="77777777" w:rsidR="009B3BB0" w:rsidRPr="0024409C" w:rsidRDefault="009B3BB0" w:rsidP="00A2582E">
            <w:pPr>
              <w:jc w:val="center"/>
              <w:rPr>
                <w:rFonts w:ascii="Helvetica Neue" w:hAnsi="Helvetica Neue"/>
                <w:sz w:val="18"/>
              </w:rPr>
            </w:pPr>
            <w:r w:rsidRPr="0024409C">
              <w:rPr>
                <w:rFonts w:ascii="Helvetica Neue" w:hAnsi="Helvetica Neue"/>
                <w:sz w:val="18"/>
              </w:rPr>
              <w:t>32.1%</w:t>
            </w:r>
          </w:p>
        </w:tc>
      </w:tr>
    </w:tbl>
    <w:p w14:paraId="55C160B6" w14:textId="7458DB70" w:rsidR="009B3BB0" w:rsidRPr="0024409C" w:rsidRDefault="00273CDD" w:rsidP="009B3BB0">
      <w:pPr>
        <w:spacing w:before="300" w:line="360" w:lineRule="auto"/>
        <w:rPr>
          <w:rFonts w:ascii="Helvetica Neue" w:hAnsi="Helvetica Neue"/>
          <w:i/>
        </w:rPr>
      </w:pPr>
      <w:r w:rsidRPr="0024409C">
        <w:rPr>
          <w:rFonts w:ascii="Helvetica Neue" w:hAnsi="Helvetica Neue"/>
          <w:i/>
        </w:rPr>
        <w:t>2</w:t>
      </w:r>
      <w:r w:rsidR="009B3BB0" w:rsidRPr="0024409C">
        <w:rPr>
          <w:rFonts w:ascii="Helvetica Neue" w:hAnsi="Helvetica Neue"/>
          <w:i/>
        </w:rPr>
        <w:t xml:space="preserve">.1.6 </w:t>
      </w:r>
      <w:r w:rsidR="009B3BB0" w:rsidRPr="0024409C">
        <w:rPr>
          <w:rFonts w:ascii="Helvetica Neue" w:hAnsi="Helvetica Neue"/>
          <w:i/>
        </w:rPr>
        <w:tab/>
        <w:t>Partnership Durations</w:t>
      </w:r>
    </w:p>
    <w:p w14:paraId="76A804E6" w14:textId="117724A1" w:rsidR="009B3BB0" w:rsidRPr="0024409C" w:rsidRDefault="009B3BB0" w:rsidP="009B3BB0">
      <w:pPr>
        <w:spacing w:after="180" w:line="360" w:lineRule="auto"/>
        <w:rPr>
          <w:rFonts w:ascii="Helvetica Neue" w:hAnsi="Helvetica Neue"/>
        </w:rPr>
      </w:pPr>
      <w:r w:rsidRPr="0024409C">
        <w:rPr>
          <w:rFonts w:ascii="Helvetica Neue" w:hAnsi="Helvetica Neue"/>
        </w:rPr>
        <w:t xml:space="preserve">We model relational dissolution as a </w:t>
      </w:r>
      <w:proofErr w:type="spellStart"/>
      <w:r w:rsidRPr="0024409C">
        <w:rPr>
          <w:rFonts w:ascii="Helvetica Neue" w:hAnsi="Helvetica Neue"/>
        </w:rPr>
        <w:t>memoryless</w:t>
      </w:r>
      <w:proofErr w:type="spellEnd"/>
      <w:r w:rsidRPr="0024409C">
        <w:rPr>
          <w:rFonts w:ascii="Helvetica Neue" w:hAnsi="Helvetica Neue"/>
        </w:rPr>
        <w:t xml:space="preserve"> process with a single parameter per relational type. This implies an exponential distribution for relational durations within each category. As detailed in previous work,</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One","id":"ITEM-1","issue":"11","issued":{"date-parts":[["2012"]]},"page":"e50522","title":"What drives the US and Peruvian HIV epidemics in men who have sex with men (MSM)?","type":"article-journal","volume":"7"},"uris":["http://www.mendeley.com/documents/?uuid=95236385-1da9-4014-87d9-9bf044dc09fb"]}],"mendeley":{"formattedCitation":"&lt;sup&gt;1&lt;/sup&gt;","plainTextFormattedCitation":"1","previouslyFormattedCitation":"&lt;sup&gt;1&lt;/sup&gt;"},"properties":{"noteIndex":0},"schema":"https://github.com/citation-style-language/schema/raw/master/csl-citation.json"}</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w:t>
      </w:r>
      <w:r w:rsidRPr="0024409C">
        <w:rPr>
          <w:rFonts w:ascii="Helvetica Neue" w:hAnsi="Helvetica Neue"/>
          <w:noProof/>
          <w:vertAlign w:val="superscript"/>
        </w:rPr>
        <w:fldChar w:fldCharType="end"/>
      </w:r>
      <w:r w:rsidRPr="0024409C">
        <w:rPr>
          <w:rFonts w:ascii="Helvetica Neue" w:hAnsi="Helvetica Neue"/>
        </w:rPr>
        <w:t xml:space="preserve"> for </w:t>
      </w:r>
      <w:proofErr w:type="spellStart"/>
      <w:r w:rsidRPr="0024409C">
        <w:rPr>
          <w:rFonts w:ascii="Helvetica Neue" w:hAnsi="Helvetica Neue"/>
        </w:rPr>
        <w:t>memoryless</w:t>
      </w:r>
      <w:proofErr w:type="spellEnd"/>
      <w:r w:rsidRPr="0024409C">
        <w:rPr>
          <w:rFonts w:ascii="Helvetica Neue" w:hAnsi="Helvetica Neue"/>
        </w:rPr>
        <w:t xml:space="preserve"> processes, the expected age of an extant relationship at any moment in time matches the expected uncensored duration of relationships, given the balancing effects of right-censoring and length bias for this distribution. To derive our values, we take the median of the observed distribution and then calculate the mean for the exponential distribution with that median. Duration was calculated as the difference between first and last sex date for each dyad the ego reported sex with more than once in the interval. The resulting expected relational durations were:</w:t>
      </w:r>
    </w:p>
    <w:tbl>
      <w:tblPr>
        <w:tblStyle w:val="TableGrid"/>
        <w:tblW w:w="3600" w:type="dxa"/>
        <w:jc w:val="center"/>
        <w:tblLook w:val="04A0" w:firstRow="1" w:lastRow="0" w:firstColumn="1" w:lastColumn="0" w:noHBand="0" w:noVBand="1"/>
      </w:tblPr>
      <w:tblGrid>
        <w:gridCol w:w="2250"/>
        <w:gridCol w:w="1350"/>
      </w:tblGrid>
      <w:tr w:rsidR="009B3BB0" w:rsidRPr="0024409C" w14:paraId="340850C5" w14:textId="77777777" w:rsidTr="00A2582E">
        <w:trPr>
          <w:trHeight w:val="389"/>
          <w:jc w:val="center"/>
        </w:trPr>
        <w:tc>
          <w:tcPr>
            <w:tcW w:w="2250" w:type="dxa"/>
            <w:shd w:val="clear" w:color="auto" w:fill="D9D9D9" w:themeFill="background1" w:themeFillShade="D9"/>
            <w:vAlign w:val="center"/>
          </w:tcPr>
          <w:p w14:paraId="26D0E324" w14:textId="77777777" w:rsidR="009B3BB0" w:rsidRPr="0024409C" w:rsidRDefault="009B3BB0" w:rsidP="00A2582E">
            <w:pPr>
              <w:ind w:right="432"/>
              <w:jc w:val="center"/>
              <w:rPr>
                <w:rFonts w:ascii="Helvetica Neue" w:hAnsi="Helvetica Neue"/>
                <w:sz w:val="18"/>
              </w:rPr>
            </w:pPr>
          </w:p>
        </w:tc>
        <w:tc>
          <w:tcPr>
            <w:tcW w:w="1350" w:type="dxa"/>
            <w:shd w:val="clear" w:color="auto" w:fill="D9D9D9" w:themeFill="background1" w:themeFillShade="D9"/>
            <w:vAlign w:val="center"/>
          </w:tcPr>
          <w:p w14:paraId="36A6B206"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Duration</w:t>
            </w:r>
          </w:p>
        </w:tc>
      </w:tr>
      <w:tr w:rsidR="009B3BB0" w:rsidRPr="0024409C" w14:paraId="33D4A15E" w14:textId="77777777" w:rsidTr="00A2582E">
        <w:trPr>
          <w:trHeight w:val="389"/>
          <w:jc w:val="center"/>
        </w:trPr>
        <w:tc>
          <w:tcPr>
            <w:tcW w:w="2250" w:type="dxa"/>
            <w:vAlign w:val="center"/>
          </w:tcPr>
          <w:p w14:paraId="3E0F5F12"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6EBF16A5" w14:textId="77777777" w:rsidR="009B3BB0" w:rsidRPr="0024409C" w:rsidRDefault="009B3BB0" w:rsidP="00A2582E">
            <w:pPr>
              <w:jc w:val="center"/>
              <w:rPr>
                <w:rFonts w:ascii="Helvetica Neue" w:hAnsi="Helvetica Neue"/>
                <w:sz w:val="18"/>
              </w:rPr>
            </w:pPr>
            <w:r w:rsidRPr="0024409C">
              <w:rPr>
                <w:rFonts w:ascii="Helvetica Neue" w:hAnsi="Helvetica Neue"/>
                <w:sz w:val="18"/>
              </w:rPr>
              <w:t>407 days</w:t>
            </w:r>
          </w:p>
        </w:tc>
      </w:tr>
      <w:tr w:rsidR="009B3BB0" w:rsidRPr="0024409C" w14:paraId="0F57E8BA" w14:textId="77777777" w:rsidTr="00A2582E">
        <w:trPr>
          <w:trHeight w:val="389"/>
          <w:jc w:val="center"/>
        </w:trPr>
        <w:tc>
          <w:tcPr>
            <w:tcW w:w="2250" w:type="dxa"/>
            <w:vAlign w:val="center"/>
          </w:tcPr>
          <w:p w14:paraId="7F3F5C80"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3CCC9409" w14:textId="77777777" w:rsidR="009B3BB0" w:rsidRPr="0024409C" w:rsidRDefault="009B3BB0" w:rsidP="00A2582E">
            <w:pPr>
              <w:jc w:val="center"/>
              <w:rPr>
                <w:rFonts w:ascii="Helvetica Neue" w:hAnsi="Helvetica Neue"/>
                <w:sz w:val="18"/>
              </w:rPr>
            </w:pPr>
            <w:r w:rsidRPr="0024409C">
              <w:rPr>
                <w:rFonts w:ascii="Helvetica Neue" w:hAnsi="Helvetica Neue"/>
                <w:sz w:val="18"/>
              </w:rPr>
              <w:t>166 days</w:t>
            </w:r>
          </w:p>
        </w:tc>
      </w:tr>
    </w:tbl>
    <w:p w14:paraId="3A87D7AD" w14:textId="373AED90" w:rsidR="009B3BB0" w:rsidRPr="0024409C" w:rsidRDefault="00273CDD" w:rsidP="009B3BB0">
      <w:pPr>
        <w:pStyle w:val="Heading2"/>
        <w:spacing w:before="300"/>
        <w:rPr>
          <w:rFonts w:ascii="Helvetica Neue" w:hAnsi="Helvetica Neue"/>
          <w:szCs w:val="22"/>
        </w:rPr>
      </w:pPr>
      <w:bookmarkStart w:id="6" w:name="_Toc2361366"/>
      <w:r w:rsidRPr="0024409C">
        <w:rPr>
          <w:rFonts w:ascii="Helvetica Neue" w:hAnsi="Helvetica Neue"/>
          <w:szCs w:val="22"/>
        </w:rPr>
        <w:t>2</w:t>
      </w:r>
      <w:r w:rsidR="009B3BB0" w:rsidRPr="0024409C">
        <w:rPr>
          <w:rFonts w:ascii="Helvetica Neue" w:hAnsi="Helvetica Neue"/>
          <w:szCs w:val="22"/>
        </w:rPr>
        <w:t xml:space="preserve">.2 </w:t>
      </w:r>
      <w:r w:rsidR="009B3BB0" w:rsidRPr="0024409C">
        <w:rPr>
          <w:rFonts w:ascii="Helvetica Neue" w:hAnsi="Helvetica Neue"/>
          <w:szCs w:val="22"/>
        </w:rPr>
        <w:tab/>
        <w:t>Statistical Representation of Sexual Networks</w:t>
      </w:r>
      <w:bookmarkEnd w:id="6"/>
    </w:p>
    <w:p w14:paraId="0869D2DB" w14:textId="67CAD930" w:rsidR="009B3BB0" w:rsidRPr="0024409C" w:rsidRDefault="009B3BB0" w:rsidP="009B3BB0">
      <w:pPr>
        <w:spacing w:after="120" w:line="360" w:lineRule="auto"/>
        <w:rPr>
          <w:rFonts w:ascii="Helvetica Neue" w:hAnsi="Helvetica Neue"/>
          <w:b/>
          <w:highlight w:val="yellow"/>
        </w:rPr>
      </w:pPr>
      <w:r w:rsidRPr="0024409C">
        <w:rPr>
          <w:rFonts w:ascii="Helvetica Neue" w:hAnsi="Helvetica Neue"/>
        </w:rPr>
        <w:t>Exponential-family random graph models (ERGMs) and their dynamic extension</w:t>
      </w:r>
      <w:r w:rsidR="00AB2579">
        <w:rPr>
          <w:rFonts w:ascii="Helvetica Neue" w:hAnsi="Helvetica Neue"/>
        </w:rPr>
        <w:t>,</w:t>
      </w:r>
      <w:r w:rsidRPr="0024409C">
        <w:rPr>
          <w:rFonts w:ascii="Helvetica Neue" w:hAnsi="Helvetica Neue"/>
        </w:rPr>
        <w:t xml:space="preserve"> separable temporal ERGMs (STERGMs)</w:t>
      </w:r>
      <w:r w:rsidR="00AB2579">
        <w:rPr>
          <w:rFonts w:ascii="Helvetica Neue" w:hAnsi="Helvetica Neue"/>
        </w:rPr>
        <w:t>,</w:t>
      </w:r>
      <w:r w:rsidRPr="0024409C">
        <w:rPr>
          <w:rFonts w:ascii="Helvetica Neue" w:hAnsi="Helvetica Neue"/>
        </w:rPr>
        <w:t xml:space="preserve"> provide a foundation for statistically principled simulation of local and global network structure given a set of target statistics from empirical data. Main and casual relationships were modeled using STERGMs,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{"citationItems":[{"id":"ITEM-1","itemData":{"ISBN":"1369-7412 (Print) 1369-7412 (Linking)","ISSN":"1369-7412","PMID":"24443639","abstract":"Models of dynamic networks - networks that evolve over time - have manifold applications. We develop a discrete-time generative model for social network evolution that inherits the richness and flexibility of the class of exponential-family random graph models. The model - a Separable Temporal ERGM (STERGM) - facilitates separable modeling of the tie duration distributions and the structural dynamics of tie formation. We develop likelihood-based inference for the model, and provide computational algorithms for maximum likelihood estimation. We illustrate the interpretability of the model in analyzing a longitudinal network of friendship ties within a school.","author":[{"dropping-particle":"","family":"Krivitsky","given":"Pavel N","non-dropping-particle":"","parse-names":false,"suffix":""},{"dropping-particle":"","family":"Handcock","given":"Mark S","non-dropping-particle":"","parse-names":false,"suffix":""}],"container-title":"J R Stat Soc Series B Stat Methodol","id":"ITEM-1","issue":"1","issued":{"date-parts":[["2014"]]},"note":"From Duplicate 2 (A Separable Model for Dynamic Networks - Krivitsky, P N; Handcock, M S)\n\nKrivitsky, Pavel N\nHandcock, Mark S\nENG\nP30 AI027757/AI/NIAID NIH HHS/\nR01 DA012831/DA/NIDA NIH HHS/\nR01 HD041877/HD/NICHD NIH HHS/\nR01 HD068395/HD/NICHD NIH HHS/\nR21 HD063000/HD/NICHD NIH HHS/\nR29 HD034957/HD/NICHD NIH HHS/\nJ R Stat Soc Series B Stat Methodol. 2014 Jan 1;76(1):29-46.","page":"29-46","title":"A separable model for dynamic networks","type":"article-journal","volume":"76"},"uris":["http://www.mendeley.com/documents/?uuid=ab04e14c-fd9a-42eb-bdb9-20bd9848757a"]}],"mendeley":{"formattedCitation":"&lt;sup&gt;8&lt;/sup&gt;","plainTextFormattedCitation":"8","previouslyFormattedCitation":"&lt;sup&gt;8&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8</w:t>
      </w:r>
      <w:r w:rsidRPr="0024409C">
        <w:rPr>
          <w:rFonts w:ascii="Helvetica Neue" w:hAnsi="Helvetica Neue"/>
          <w:noProof/>
          <w:vertAlign w:val="superscript"/>
        </w:rPr>
        <w:fldChar w:fldCharType="end"/>
      </w:r>
      <w:r w:rsidRPr="0024409C">
        <w:rPr>
          <w:rFonts w:ascii="Helvetica Neue" w:hAnsi="Helvetica Neue"/>
        </w:rPr>
        <w:t xml:space="preserve"> since they persist for multiple time steps. One-time contacts, on the other hand, were modeled using cross-sectional ERGMs.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{"citationItems":[{"id":"ITEM-1","itemData":{"abstract":"We describe some of the capabilities of the ergm package and the statistical theory underlying it. This package contains tools for accomplishing three important, and interrelated, tasks involving exponential-family random graph models (ERGMs): estimation, simulation, and goodness of fit. More precisely, ergm has the capability of approximating a maximum likelihood estimator for an ERGM given a network data set; simulating new network data sets from a fitted ERGM using Markov chain Monte Carlo; and assessing how well a fitted ERGM does at capturing characteristics of a particular network data set.","author":[{"dropping-particle":"","family":"Hunter","given":"David R","non-dropping-particle":"","parse-names":false,"suffix":""},{"dropping-particle":"","family":"Handcock","given":"Mark S","non-dropping-particle":"","parse-names":false,"suffix":""},{"dropping-particle":"","family":"Butts","given":"Carter T","non-dropping-particle":"","parse-names":false,"suffix":""},{"dropping-particle":"","family":"Goodreau","given":"Steven M","non-dropping-particle":"","parse-names":false,"suffix":""},{"dropping-particle":"","family":"Morris","given":"Martina","non-dropping-particle":"","parse-names":false,"suffix":""}],"container-title":"Journal of Statistical Software","id":"ITEM-1","issue":"3","issued":{"date-parts":[["2008","5"]]},"page":"nihpa54860","publisher":"NIH Public Access","title":"ergm: A Package to Fit, Simulate and Diagnose Exponential-Family Models for Networks.","type":"article-journal","volume":"24"},"uris":["http://www.mendeley.com/documents/?uuid=d6be1cc9-7e69-388b-84a4-d22ce8e7232c","http://www.mendeley.com/documents/?uuid=6411b3d2-f6b4-4bb7-8f45-2e9fe037a1b4"]}],"mendeley":{"formattedCitation":"&lt;sup&gt;9&lt;/sup&gt;","plainTextFormattedCitation":"9","previouslyFormattedCitation":"&lt;sup&gt;9&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9</w:t>
      </w:r>
      <w:r w:rsidRPr="0024409C">
        <w:rPr>
          <w:rFonts w:ascii="Helvetica Neue" w:hAnsi="Helvetica Neue"/>
          <w:noProof/>
          <w:vertAlign w:val="superscript"/>
        </w:rPr>
        <w:fldChar w:fldCharType="end"/>
      </w:r>
      <w:r w:rsidRPr="0024409C">
        <w:rPr>
          <w:rFonts w:ascii="Helvetica Neue" w:hAnsi="Helvetica Neue"/>
        </w:rPr>
        <w:t xml:space="preserve"> Formally, our statistical models for relational dynamics can be represented as five equations for the conditional log odds (</w:t>
      </w:r>
      <w:proofErr w:type="spellStart"/>
      <w:r w:rsidRPr="0024409C">
        <w:rPr>
          <w:rFonts w:ascii="Helvetica Neue" w:hAnsi="Helvetica Neue"/>
        </w:rPr>
        <w:t>logits</w:t>
      </w:r>
      <w:proofErr w:type="spellEnd"/>
      <w:r w:rsidRPr="0024409C">
        <w:rPr>
          <w:rFonts w:ascii="Helvetica Neue" w:hAnsi="Helvetica Neue"/>
        </w:rPr>
        <w:t xml:space="preserve">) of relational formation and persistence at time </w:t>
      </w:r>
      <w:r w:rsidRPr="0024409C">
        <w:rPr>
          <w:rFonts w:ascii="Helvetica Neue" w:hAnsi="Helvetica Neue"/>
          <w:i/>
        </w:rPr>
        <w:t>t</w:t>
      </w:r>
      <w:r w:rsidRPr="0024409C">
        <w:rPr>
          <w:rFonts w:ascii="Helvetica Neue" w:hAnsi="Helvetica Neue"/>
        </w:rPr>
        <w:t xml:space="preserve"> (for main and casual relationships) or for relational existence at time </w:t>
      </w:r>
      <w:r w:rsidRPr="0024409C">
        <w:rPr>
          <w:rFonts w:ascii="Helvetica Neue" w:hAnsi="Helvetica Neue"/>
          <w:i/>
        </w:rPr>
        <w:t>t</w:t>
      </w:r>
      <w:r w:rsidRPr="0024409C">
        <w:rPr>
          <w:rFonts w:ascii="Helvetica Neue" w:hAnsi="Helvetica Neue"/>
        </w:rPr>
        <w:t xml:space="preserve"> (for one-time contacts):</w:t>
      </w:r>
    </w:p>
    <w:p w14:paraId="5ECAC837" w14:textId="04760E38"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m:t>logi</m:t>
        </m:r>
        <m:r>
          <w:rPr>
            <w:rFonts w:ascii="Cambria Math" w:hAnsi="Cambria Math" w:cs="Cambria Math"/>
          </w:rPr>
          <m:t>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=0</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m</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m</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Main partnership formation</w:t>
      </w:r>
    </w:p>
    <w:p w14:paraId="246FC9B6" w14:textId="77777777"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w:lastRenderedPageBreak/>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=0</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c</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c</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Casual partnership form</w:t>
      </w:r>
      <w:proofErr w:type="spellStart"/>
      <w:r w:rsidRPr="0024409C">
        <w:rPr>
          <w:rFonts w:ascii="Helvetica Neue" w:hAnsi="Helvetica Neue"/>
        </w:rPr>
        <w:t>ation</w:t>
      </w:r>
      <w:proofErr w:type="spellEnd"/>
    </w:p>
    <w:p w14:paraId="6F9A1BE3" w14:textId="77777777" w:rsidR="009B3BB0" w:rsidRPr="0024409C" w:rsidRDefault="009B3BB0" w:rsidP="009B3BB0">
      <w:pPr>
        <w:tabs>
          <w:tab w:val="left" w:pos="6120"/>
        </w:tabs>
        <w:spacing w:line="360" w:lineRule="auto"/>
        <w:ind w:left="720"/>
        <w:rPr>
          <w:rFonts w:ascii="Helvetica Neue" w:eastAsiaTheme="minorEastAsia" w:hAnsi="Helvetica Neue"/>
          <w:iCs/>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=1</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m</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m</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eastAsiaTheme="minorEastAsia" w:hAnsi="Helvetica Neue"/>
          <w:iCs/>
        </w:rPr>
        <w:tab/>
      </w:r>
      <w:r w:rsidRPr="0024409C">
        <w:rPr>
          <w:rFonts w:ascii="Helvetica Neue" w:hAnsi="Helvetica Neue"/>
        </w:rPr>
        <w:t>Main partnership persistence</w:t>
      </w:r>
    </w:p>
    <w:p w14:paraId="062CCC54" w14:textId="77777777" w:rsidR="009B3BB0" w:rsidRPr="0024409C" w:rsidRDefault="009B3BB0" w:rsidP="009B3BB0">
      <w:pPr>
        <w:tabs>
          <w:tab w:val="left" w:pos="6120"/>
        </w:tabs>
        <w:spacing w:line="360" w:lineRule="auto"/>
        <w:ind w:left="720"/>
        <w:rPr>
          <w:rFonts w:ascii="Helvetica Neue" w:eastAsiaTheme="minorEastAsia" w:hAnsi="Helvetica Neue"/>
          <w:iCs/>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
                  <m:sSubPr>
                    <m:ctrlPr>
                      <w:rPr>
                        <w:rFonts w:ascii="Cambria Math" w:hAnsi="Cambria Math"/>
                        <w:i/>
                        <w:iCs/>
                      </w:rPr>
                    </m:ctrlPr>
                  </m:sSubPr>
                  <m:e>
                    <m:r>
                      <w:rPr>
                        <w:rFonts w:ascii="Cambria Math" w:hAnsi="Cambria Math"/>
                      </w:rPr>
                      <m:t> Y</m:t>
                    </m:r>
                  </m:e>
                  <m:sub>
                    <m:r>
                      <w:rPr>
                        <w:rFonts w:ascii="Cambria Math" w:hAnsi="Cambria Math"/>
                      </w:rPr>
                      <m:t>ij,t-1</m:t>
                    </m:r>
                  </m:sub>
                </m:sSub>
                <m:r>
                  <w:rPr>
                    <w:rFonts w:ascii="Cambria Math" w:hAnsi="Cambria Math"/>
                  </w:rPr>
                  <m:t>=1</m:t>
                </m:r>
                <m:r>
                  <m:rPr>
                    <m:nor/>
                  </m:rPr>
                  <w:rPr>
                    <w:rFonts w:ascii="Helvetica Neue" w:hAnsi="Helvetica Neue"/>
                  </w:rPr>
                  <m:t>, </m:t>
                </m:r>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Sup>
              <m:sSubSupPr>
                <m:ctrlPr>
                  <w:rPr>
                    <w:rFonts w:ascii="Cambria Math" w:hAnsi="Cambria Math"/>
                    <w:i/>
                  </w:rPr>
                </m:ctrlPr>
              </m:sSubSupPr>
              <m:e>
                <m:r>
                  <w:rPr>
                    <w:rFonts w:ascii="Cambria Math" w:hAnsi="Cambria Math"/>
                  </w:rPr>
                  <m:t>θ</m:t>
                </m:r>
              </m:e>
              <m:sub>
                <m:r>
                  <w:rPr>
                    <w:rFonts w:ascii="Cambria Math" w:hAnsi="Cambria Math"/>
                  </w:rPr>
                  <m:t>c</m:t>
                </m:r>
              </m:sub>
              <m:sup>
                <m:r>
                  <w:rPr>
                    <w:rFonts w:ascii="Cambria Math" w:hAnsi="Cambria Math"/>
                  </w:rPr>
                  <m:t>-</m:t>
                </m:r>
              </m:sup>
            </m:sSubSup>
          </m:e>
          <m:sup>
            <m:r>
              <w:rPr>
                <w:rFonts w:ascii="Cambria Math" w:hAnsi="Cambria Math"/>
              </w:rPr>
              <m:t>'</m:t>
            </m:r>
          </m:sup>
        </m:sSup>
        <m:r>
          <w:rPr>
            <w:rFonts w:ascii="Cambria Math" w:hAnsi="Cambria Math"/>
          </w:rPr>
          <m:t>∂</m:t>
        </m:r>
        <m:d>
          <m:dPr>
            <m:ctrlPr>
              <w:rPr>
                <w:rFonts w:ascii="Cambria Math" w:hAnsi="Cambria Math"/>
                <w:i/>
                <w:iCs/>
              </w:rPr>
            </m:ctrlPr>
          </m:dPr>
          <m:e>
            <m:sSubSup>
              <m:sSubSupPr>
                <m:ctrlPr>
                  <w:rPr>
                    <w:rFonts w:ascii="Cambria Math" w:hAnsi="Cambria Math"/>
                    <w:bCs/>
                    <w:i/>
                    <w:iCs/>
                  </w:rPr>
                </m:ctrlPr>
              </m:sSubSupPr>
              <m:e>
                <m:r>
                  <w:rPr>
                    <w:rFonts w:ascii="Cambria Math" w:hAnsi="Cambria Math"/>
                  </w:rPr>
                  <m:t>g</m:t>
                </m:r>
              </m:e>
              <m:sub>
                <m:r>
                  <w:rPr>
                    <w:rFonts w:ascii="Cambria Math" w:hAnsi="Cambria Math"/>
                  </w:rPr>
                  <m:t>c</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e>
        </m:d>
      </m:oMath>
      <w:r w:rsidRPr="0024409C">
        <w:rPr>
          <w:rFonts w:ascii="Helvetica Neue" w:eastAsiaTheme="minorEastAsia" w:hAnsi="Helvetica Neue"/>
          <w:iCs/>
        </w:rPr>
        <w:tab/>
      </w:r>
      <w:r w:rsidRPr="0024409C">
        <w:rPr>
          <w:rFonts w:ascii="Helvetica Neue" w:hAnsi="Helvetica Neue"/>
        </w:rPr>
        <w:t>Casual partnership persistence</w:t>
      </w:r>
    </w:p>
    <w:p w14:paraId="7FA7658A" w14:textId="77777777" w:rsidR="009B3BB0" w:rsidRPr="0024409C" w:rsidRDefault="009B3BB0" w:rsidP="009B3BB0">
      <w:pPr>
        <w:tabs>
          <w:tab w:val="left" w:pos="6120"/>
        </w:tabs>
        <w:spacing w:line="360" w:lineRule="auto"/>
        <w:ind w:left="720"/>
        <w:rPr>
          <w:rFonts w:ascii="Helvetica Neue" w:hAnsi="Helvetica Neue"/>
        </w:rPr>
      </w:pPr>
      <m:oMath>
        <m:r>
          <w:rPr>
            <w:rFonts w:ascii="Cambria Math" w:hAnsi="Cambria Math"/>
          </w:rPr>
          <m:t>logit</m:t>
        </m:r>
        <m:d>
          <m:dPr>
            <m:ctrlPr>
              <w:rPr>
                <w:rFonts w:ascii="Cambria Math" w:hAnsi="Cambria Math"/>
                <w:i/>
                <w:iCs/>
              </w:rPr>
            </m:ctrlPr>
          </m:dPr>
          <m:e>
            <m:r>
              <w:rPr>
                <w:rFonts w:ascii="Cambria Math" w:hAnsi="Cambria Math"/>
              </w:rPr>
              <m:t>P</m:t>
            </m:r>
            <m:d>
              <m:dPr>
                <m:ctrlPr>
                  <w:rPr>
                    <w:rFonts w:ascii="Cambria Math" w:hAnsi="Cambria Math"/>
                    <w:i/>
                    <w:iCs/>
                  </w:rPr>
                </m:ctrlPr>
              </m:dPr>
              <m:e>
                <m:sSub>
                  <m:sSubPr>
                    <m:ctrlPr>
                      <w:rPr>
                        <w:rFonts w:ascii="Cambria Math" w:hAnsi="Cambria Math"/>
                        <w:i/>
                        <w:iCs/>
                      </w:rPr>
                    </m:ctrlPr>
                  </m:sSubPr>
                  <m:e>
                    <m:r>
                      <w:rPr>
                        <w:rFonts w:ascii="Cambria Math" w:hAnsi="Cambria Math"/>
                      </w:rPr>
                      <m:t>Y</m:t>
                    </m:r>
                  </m:e>
                  <m:sub>
                    <m:r>
                      <w:rPr>
                        <w:rFonts w:ascii="Cambria Math" w:hAnsi="Cambria Math"/>
                      </w:rPr>
                      <m:t>ij,t</m:t>
                    </m:r>
                  </m:sub>
                </m:sSub>
                <m:r>
                  <w:rPr>
                    <w:rFonts w:ascii="Cambria Math" w:hAnsi="Cambria Math"/>
                  </w:rPr>
                  <m:t>=1</m:t>
                </m:r>
              </m:e>
              <m:e>
                <m:sSubSup>
                  <m:sSubSupPr>
                    <m:ctrlPr>
                      <w:rPr>
                        <w:rFonts w:ascii="Cambria Math" w:hAnsi="Cambria Math"/>
                        <w:i/>
                      </w:rPr>
                    </m:ctrlPr>
                  </m:sSubSupPr>
                  <m:e>
                    <m:r>
                      <w:rPr>
                        <w:rFonts w:ascii="Cambria Math" w:hAnsi="Cambria Math"/>
                      </w:rPr>
                      <m:t xml:space="preserve"> Y</m:t>
                    </m:r>
                  </m:e>
                  <m:sub>
                    <m:r>
                      <w:rPr>
                        <w:rFonts w:ascii="Cambria Math" w:hAnsi="Cambria Math"/>
                      </w:rPr>
                      <m:t>ij,t</m:t>
                    </m:r>
                  </m:sub>
                  <m:sup>
                    <m:r>
                      <w:rPr>
                        <w:rFonts w:ascii="Cambria Math" w:hAnsi="Cambria Math"/>
                      </w:rPr>
                      <m:t>C</m:t>
                    </m:r>
                  </m:sup>
                </m:sSubSup>
              </m:e>
            </m:d>
          </m:e>
        </m:d>
        <m:r>
          <m:rPr>
            <m:nor/>
          </m:rPr>
          <w:rPr>
            <w:rFonts w:ascii="Helvetica Neue" w:hAnsi="Helvetica Neue"/>
          </w:rPr>
          <m:t> = </m:t>
        </m:r>
        <m:sSup>
          <m:sSupPr>
            <m:ctrlPr>
              <w:rPr>
                <w:rFonts w:ascii="Cambria Math" w:hAnsi="Cambria Math"/>
                <w:bCs/>
                <w:i/>
                <w:iCs/>
              </w:rPr>
            </m:ctrlPr>
          </m:sSupPr>
          <m:e>
            <m:sSub>
              <m:sSubPr>
                <m:ctrlPr>
                  <w:rPr>
                    <w:rFonts w:ascii="Cambria Math" w:hAnsi="Cambria Math"/>
                    <w:i/>
                  </w:rPr>
                </m:ctrlPr>
              </m:sSubPr>
              <m:e>
                <m:r>
                  <w:rPr>
                    <w:rFonts w:ascii="Cambria Math" w:hAnsi="Cambria Math"/>
                  </w:rPr>
                  <m:t>θ</m:t>
                </m:r>
              </m:e>
              <m:sub>
                <m:r>
                  <w:rPr>
                    <w:rFonts w:ascii="Cambria Math" w:hAnsi="Cambria Math"/>
                  </w:rPr>
                  <m:t>o</m:t>
                </m:r>
              </m:sub>
            </m:sSub>
          </m:e>
          <m:sup>
            <m:r>
              <w:rPr>
                <w:rFonts w:ascii="Cambria Math" w:hAnsi="Cambria Math"/>
              </w:rPr>
              <m:t>'</m:t>
            </m:r>
          </m:sup>
        </m:sSup>
        <m:r>
          <w:rPr>
            <w:rFonts w:ascii="Cambria Math" w:hAnsi="Cambria Math"/>
          </w:rPr>
          <m:t>∂</m:t>
        </m:r>
        <m:d>
          <m:dPr>
            <m:ctrlPr>
              <w:rPr>
                <w:rFonts w:ascii="Cambria Math" w:hAnsi="Cambria Math"/>
                <w:i/>
                <w:iCs/>
              </w:rPr>
            </m:ctrlPr>
          </m:dPr>
          <m:e>
            <m:sSub>
              <m:sSubPr>
                <m:ctrlPr>
                  <w:rPr>
                    <w:rFonts w:ascii="Cambria Math" w:hAnsi="Cambria Math"/>
                    <w:i/>
                  </w:rPr>
                </m:ctrlPr>
              </m:sSubPr>
              <m:e>
                <m:r>
                  <w:rPr>
                    <w:rFonts w:ascii="Cambria Math" w:hAnsi="Cambria Math"/>
                  </w:rPr>
                  <m:t>g</m:t>
                </m:r>
              </m:e>
              <m:sub>
                <m:r>
                  <w:rPr>
                    <w:rFonts w:ascii="Cambria Math" w:hAnsi="Cambria Math"/>
                  </w:rPr>
                  <m:t>o</m:t>
                </m:r>
              </m:sub>
            </m:sSub>
            <m:d>
              <m:dPr>
                <m:ctrlPr>
                  <w:rPr>
                    <w:rFonts w:ascii="Cambria Math" w:hAnsi="Cambria Math"/>
                    <w:bCs/>
                    <w:i/>
                    <w:iCs/>
                    <w:lang w:val="el-GR"/>
                  </w:rPr>
                </m:ctrlPr>
              </m:dPr>
              <m:e>
                <m:r>
                  <w:rPr>
                    <w:rFonts w:ascii="Cambria Math" w:hAnsi="Cambria Math"/>
                  </w:rPr>
                  <m:t>y</m:t>
                </m:r>
              </m:e>
            </m:d>
          </m:e>
        </m:d>
      </m:oMath>
      <w:r w:rsidRPr="0024409C">
        <w:rPr>
          <w:rFonts w:ascii="Helvetica Neue" w:hAnsi="Helvetica Neue"/>
        </w:rPr>
        <w:tab/>
        <w:t>One-time contact existence</w:t>
      </w:r>
    </w:p>
    <w:p w14:paraId="53EF53B8" w14:textId="77777777" w:rsidR="009B3BB0" w:rsidRPr="0024409C" w:rsidRDefault="009B3BB0" w:rsidP="009B3BB0">
      <w:pPr>
        <w:spacing w:before="120" w:line="360" w:lineRule="auto"/>
        <w:rPr>
          <w:rFonts w:ascii="Helvetica Neue" w:eastAsiaTheme="minorEastAsia" w:hAnsi="Helvetica Neue"/>
        </w:rPr>
      </w:pPr>
      <w:proofErr w:type="gramStart"/>
      <w:r w:rsidRPr="0024409C">
        <w:rPr>
          <w:rFonts w:ascii="Helvetica Neue" w:hAnsi="Helvetica Neue"/>
          <w:iCs/>
        </w:rPr>
        <w:t>where</w:t>
      </w:r>
      <w:proofErr w:type="gramEnd"/>
      <w:r w:rsidRPr="0024409C">
        <w:rPr>
          <w:rFonts w:ascii="Helvetica Neue" w:hAnsi="Helvetica Neue"/>
          <w:iCs/>
        </w:rPr>
        <w:t>:</w:t>
      </w:r>
      <w:r w:rsidRPr="0024409C">
        <w:rPr>
          <w:rFonts w:ascii="Helvetica Neue" w:hAnsi="Helvetica Neue"/>
        </w:rPr>
        <w:tab/>
      </w:r>
    </w:p>
    <w:p w14:paraId="1F6BABF6" w14:textId="77777777" w:rsidR="009B3BB0" w:rsidRPr="0024409C" w:rsidRDefault="002A49DF" w:rsidP="009B3BB0">
      <w:pPr>
        <w:pStyle w:val="ListParagraph"/>
        <w:numPr>
          <w:ilvl w:val="0"/>
          <w:numId w:val="28"/>
        </w:numPr>
        <w:spacing w:line="360" w:lineRule="auto"/>
        <w:rPr>
          <w:rFonts w:ascii="Helvetica Neue" w:eastAsiaTheme="minorEastAsia" w:hAnsi="Helvetica Neue"/>
          <w:iCs/>
        </w:rPr>
      </w:pPr>
      <m:oMath>
        <m:sSub>
          <m:sSubPr>
            <m:ctrlPr>
              <w:rPr>
                <w:rFonts w:ascii="Cambria Math" w:hAnsi="Cambria Math"/>
                <w:i/>
                <w:iCs/>
              </w:rPr>
            </m:ctrlPr>
          </m:sSubPr>
          <m:e>
            <m:r>
              <w:rPr>
                <w:rFonts w:ascii="Cambria Math" w:hAnsi="Cambria Math"/>
              </w:rPr>
              <m:t>Y</m:t>
            </m:r>
          </m:e>
          <m:sub>
            <m:r>
              <w:rPr>
                <w:rFonts w:ascii="Cambria Math" w:hAnsi="Cambria Math"/>
              </w:rPr>
              <m:t>ij,t</m:t>
            </m:r>
          </m:sub>
        </m:sSub>
      </m:oMath>
      <w:r w:rsidR="009B3BB0" w:rsidRPr="0024409C">
        <w:rPr>
          <w:rFonts w:ascii="Helvetica Neue" w:eastAsiaTheme="minorEastAsia" w:hAnsi="Helvetica Neue"/>
          <w:iCs/>
        </w:rPr>
        <w:t xml:space="preserve"> = the relational status of persons </w:t>
      </w:r>
      <w:proofErr w:type="spellStart"/>
      <w:r w:rsidR="009B3BB0" w:rsidRPr="0024409C">
        <w:rPr>
          <w:rFonts w:ascii="Helvetica Neue" w:eastAsiaTheme="minorEastAsia" w:hAnsi="Helvetica Neue"/>
          <w:i/>
          <w:iCs/>
        </w:rPr>
        <w:t>i</w:t>
      </w:r>
      <w:proofErr w:type="spellEnd"/>
      <w:r w:rsidR="009B3BB0" w:rsidRPr="0024409C">
        <w:rPr>
          <w:rFonts w:ascii="Helvetica Neue" w:eastAsiaTheme="minorEastAsia" w:hAnsi="Helvetica Neue"/>
          <w:iCs/>
        </w:rPr>
        <w:t xml:space="preserve"> and </w:t>
      </w:r>
      <w:r w:rsidR="009B3BB0" w:rsidRPr="0024409C">
        <w:rPr>
          <w:rFonts w:ascii="Helvetica Neue" w:eastAsiaTheme="minorEastAsia" w:hAnsi="Helvetica Neue"/>
          <w:i/>
          <w:iCs/>
        </w:rPr>
        <w:t>j</w:t>
      </w:r>
      <w:r w:rsidR="009B3BB0" w:rsidRPr="0024409C">
        <w:rPr>
          <w:rFonts w:ascii="Helvetica Neue" w:eastAsiaTheme="minorEastAsia" w:hAnsi="Helvetica Neue"/>
          <w:iCs/>
        </w:rPr>
        <w:t xml:space="preserve"> at time </w:t>
      </w:r>
      <w:r w:rsidR="009B3BB0" w:rsidRPr="0024409C">
        <w:rPr>
          <w:rFonts w:ascii="Helvetica Neue" w:eastAsiaTheme="minorEastAsia" w:hAnsi="Helvetica Neue"/>
          <w:i/>
          <w:iCs/>
        </w:rPr>
        <w:t>t</w:t>
      </w:r>
      <w:r w:rsidR="009B3BB0" w:rsidRPr="0024409C">
        <w:rPr>
          <w:rFonts w:ascii="Helvetica Neue" w:eastAsiaTheme="minorEastAsia" w:hAnsi="Helvetica Neue"/>
          <w:iCs/>
        </w:rPr>
        <w:t xml:space="preserve"> (1 = in relationship/contact, 0 = not)</w:t>
      </w:r>
    </w:p>
    <w:p w14:paraId="00B0C859" w14:textId="77777777" w:rsidR="009B3BB0" w:rsidRPr="0024409C" w:rsidRDefault="002A49DF" w:rsidP="009B3BB0">
      <w:pPr>
        <w:pStyle w:val="ListParagraph"/>
        <w:numPr>
          <w:ilvl w:val="0"/>
          <w:numId w:val="28"/>
        </w:numPr>
        <w:spacing w:line="360" w:lineRule="auto"/>
        <w:rPr>
          <w:rFonts w:ascii="Helvetica Neue" w:eastAsiaTheme="minorEastAsia" w:hAnsi="Helvetica Neue"/>
          <w:i/>
        </w:rPr>
      </w:pPr>
      <m:oMath>
        <m:sSubSup>
          <m:sSubSupPr>
            <m:ctrlPr>
              <w:rPr>
                <w:rFonts w:ascii="Cambria Math" w:hAnsi="Cambria Math"/>
                <w:i/>
              </w:rPr>
            </m:ctrlPr>
          </m:sSubSupPr>
          <m:e>
            <m:r>
              <w:rPr>
                <w:rFonts w:ascii="Cambria Math" w:hAnsi="Cambria Math"/>
              </w:rPr>
              <m:t>Y</m:t>
            </m:r>
          </m:e>
          <m:sub>
            <m:r>
              <w:rPr>
                <w:rFonts w:ascii="Cambria Math" w:hAnsi="Cambria Math"/>
              </w:rPr>
              <m:t>ij,t</m:t>
            </m:r>
          </m:sub>
          <m:sup>
            <m:r>
              <w:rPr>
                <w:rFonts w:ascii="Cambria Math" w:hAnsi="Cambria Math"/>
              </w:rPr>
              <m:t>C</m:t>
            </m:r>
          </m:sup>
        </m:sSubSup>
      </m:oMath>
      <w:r w:rsidR="009B3BB0" w:rsidRPr="0024409C">
        <w:rPr>
          <w:rFonts w:ascii="Helvetica Neue" w:eastAsiaTheme="minorEastAsia" w:hAnsi="Helvetica Neue"/>
        </w:rPr>
        <w:t xml:space="preserve"> = the network complement of </w:t>
      </w:r>
      <w:proofErr w:type="spellStart"/>
      <w:r w:rsidR="009B3BB0" w:rsidRPr="0024409C">
        <w:rPr>
          <w:rFonts w:ascii="Helvetica Neue" w:eastAsiaTheme="minorEastAsia" w:hAnsi="Helvetica Neue"/>
          <w:i/>
        </w:rPr>
        <w:t>i,j</w:t>
      </w:r>
      <w:proofErr w:type="spellEnd"/>
      <w:r w:rsidR="009B3BB0" w:rsidRPr="0024409C">
        <w:rPr>
          <w:rFonts w:ascii="Helvetica Neue" w:eastAsiaTheme="minorEastAsia" w:hAnsi="Helvetica Neue"/>
        </w:rPr>
        <w:t xml:space="preserve"> at time </w:t>
      </w:r>
      <w:r w:rsidR="009B3BB0" w:rsidRPr="0024409C">
        <w:rPr>
          <w:rFonts w:ascii="Helvetica Neue" w:eastAsiaTheme="minorEastAsia" w:hAnsi="Helvetica Neue"/>
          <w:i/>
        </w:rPr>
        <w:t>t</w:t>
      </w:r>
      <w:r w:rsidR="009B3BB0" w:rsidRPr="0024409C">
        <w:rPr>
          <w:rFonts w:ascii="Helvetica Neue" w:eastAsiaTheme="minorEastAsia" w:hAnsi="Helvetica Neue"/>
        </w:rPr>
        <w:t>,</w:t>
      </w:r>
      <w:r w:rsidR="009B3BB0" w:rsidRPr="0024409C">
        <w:rPr>
          <w:rFonts w:ascii="Helvetica Neue" w:eastAsiaTheme="minorEastAsia" w:hAnsi="Helvetica Neue"/>
          <w:i/>
        </w:rPr>
        <w:t xml:space="preserve"> </w:t>
      </w:r>
      <w:r w:rsidR="009B3BB0" w:rsidRPr="0024409C">
        <w:rPr>
          <w:rFonts w:ascii="Helvetica Neue" w:eastAsiaTheme="minorEastAsia" w:hAnsi="Helvetica Neue"/>
        </w:rPr>
        <w:t xml:space="preserve">i.e. all relations in the network other than </w:t>
      </w:r>
      <w:proofErr w:type="spellStart"/>
      <w:r w:rsidR="009B3BB0" w:rsidRPr="0024409C">
        <w:rPr>
          <w:rFonts w:ascii="Helvetica Neue" w:eastAsiaTheme="minorEastAsia" w:hAnsi="Helvetica Neue"/>
          <w:i/>
        </w:rPr>
        <w:t>i,j</w:t>
      </w:r>
      <w:proofErr w:type="spellEnd"/>
    </w:p>
    <w:p w14:paraId="1902B8DB" w14:textId="77777777" w:rsidR="009B3BB0" w:rsidRPr="0024409C" w:rsidRDefault="009B3BB0" w:rsidP="009B3BB0">
      <w:pPr>
        <w:pStyle w:val="ListParagraph"/>
        <w:numPr>
          <w:ilvl w:val="0"/>
          <w:numId w:val="28"/>
        </w:numPr>
        <w:spacing w:line="360" w:lineRule="auto"/>
        <w:rPr>
          <w:rFonts w:ascii="Helvetica Neue" w:hAnsi="Helvetica Neue"/>
        </w:rPr>
      </w:pPr>
      <m:oMath>
        <m:r>
          <w:rPr>
            <w:rFonts w:ascii="Cambria Math" w:hAnsi="Cambria Math"/>
          </w:rPr>
          <m:t>g</m:t>
        </m:r>
        <m:d>
          <m:dPr>
            <m:ctrlPr>
              <w:rPr>
                <w:rFonts w:ascii="Cambria Math" w:hAnsi="Cambria Math"/>
                <w:bCs/>
                <w:i/>
                <w:iCs/>
                <w:lang w:val="el-GR"/>
              </w:rPr>
            </m:ctrlPr>
          </m:dPr>
          <m:e>
            <m:r>
              <w:rPr>
                <w:rFonts w:ascii="Cambria Math" w:hAnsi="Cambria Math"/>
              </w:rPr>
              <m:t>y</m:t>
            </m:r>
          </m:e>
        </m:d>
      </m:oMath>
      <w:r w:rsidRPr="0024409C">
        <w:rPr>
          <w:rFonts w:ascii="Helvetica Neue" w:hAnsi="Helvetica Neue"/>
          <w:bCs/>
        </w:rPr>
        <w:t xml:space="preserve"> </w:t>
      </w:r>
      <w:r w:rsidRPr="0024409C">
        <w:rPr>
          <w:rFonts w:ascii="Helvetica Neue" w:hAnsi="Helvetica Neue"/>
        </w:rPr>
        <w:t xml:space="preserve">= vector of network statistics in each model </w:t>
      </w:r>
    </w:p>
    <w:p w14:paraId="187A57B8" w14:textId="77777777" w:rsidR="009B3BB0" w:rsidRPr="0024409C" w:rsidRDefault="009B3BB0" w:rsidP="009B3BB0">
      <w:pPr>
        <w:pStyle w:val="ListParagraph"/>
        <w:numPr>
          <w:ilvl w:val="0"/>
          <w:numId w:val="28"/>
        </w:numPr>
        <w:spacing w:line="360" w:lineRule="auto"/>
        <w:rPr>
          <w:rFonts w:ascii="Helvetica Neue" w:hAnsi="Helvetica Neue"/>
        </w:rPr>
      </w:pPr>
      <m:oMath>
        <m:r>
          <w:rPr>
            <w:rFonts w:ascii="Cambria Math" w:hAnsi="Cambria Math"/>
          </w:rPr>
          <m:t>θ</m:t>
        </m:r>
      </m:oMath>
      <w:r w:rsidRPr="0024409C">
        <w:rPr>
          <w:rFonts w:ascii="Helvetica Neue" w:hAnsi="Helvetica Neue"/>
          <w:bCs/>
          <w:i/>
          <w:iCs/>
        </w:rPr>
        <w:t xml:space="preserve"> </w:t>
      </w:r>
      <w:r w:rsidRPr="0024409C">
        <w:rPr>
          <w:rFonts w:ascii="Helvetica Neue" w:hAnsi="Helvetica Neue"/>
        </w:rPr>
        <w:t>= vector of parameters in the formation model</w:t>
      </w:r>
    </w:p>
    <w:p w14:paraId="2883E8A0" w14:textId="77777777" w:rsidR="009B3BB0" w:rsidRPr="0024409C" w:rsidRDefault="009B3BB0" w:rsidP="009B3BB0">
      <w:pPr>
        <w:spacing w:before="120" w:line="360" w:lineRule="auto"/>
        <w:rPr>
          <w:rFonts w:ascii="Helvetica Neue" w:hAnsi="Helvetica Neue"/>
        </w:rPr>
      </w:pPr>
      <w:r w:rsidRPr="0024409C">
        <w:rPr>
          <w:rFonts w:ascii="Helvetica Neue" w:hAnsi="Helvetica Neue"/>
        </w:rPr>
        <w:t xml:space="preserve">For </w:t>
      </w:r>
      <m:oMath>
        <m:r>
          <w:rPr>
            <w:rFonts w:ascii="Cambria Math" w:hAnsi="Cambria Math"/>
          </w:rPr>
          <m:t>g</m:t>
        </m:r>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rPr>
        <w:t xml:space="preserve"> </w:t>
      </w:r>
      <w:proofErr w:type="gramStart"/>
      <w:r w:rsidRPr="0024409C">
        <w:rPr>
          <w:rFonts w:ascii="Helvetica Neue" w:eastAsiaTheme="minorEastAsia" w:hAnsi="Helvetica Neue"/>
          <w:bCs/>
          <w:iCs/>
        </w:rPr>
        <w:t xml:space="preserve">and </w:t>
      </w:r>
      <w:proofErr w:type="gramEnd"/>
      <m:oMath>
        <m:r>
          <w:rPr>
            <w:rFonts w:ascii="Cambria Math" w:hAnsi="Cambria Math"/>
          </w:rPr>
          <m:t>θ</m:t>
        </m:r>
      </m:oMath>
      <w:r w:rsidRPr="0024409C">
        <w:rPr>
          <w:rFonts w:ascii="Helvetica Neue" w:hAnsi="Helvetica Neue"/>
        </w:rPr>
        <w:t>, the superscript distinguishes the formation model (+), persistence model (-) and existence models (neither). The subscript indicates the main (m), casual (c) and one-time (o) models.</w:t>
      </w:r>
    </w:p>
    <w:p w14:paraId="67801BD9" w14:textId="77777777" w:rsidR="009B3BB0" w:rsidRPr="0024409C" w:rsidRDefault="009B3BB0" w:rsidP="009B3BB0">
      <w:pPr>
        <w:spacing w:before="120" w:line="360" w:lineRule="auto"/>
        <w:rPr>
          <w:rFonts w:ascii="Helvetica Neue" w:hAnsi="Helvetica Neue"/>
        </w:rPr>
      </w:pPr>
      <w:r w:rsidRPr="0024409C">
        <w:rPr>
          <w:rFonts w:ascii="Helvetica Neue" w:hAnsi="Helvetica Neue"/>
        </w:rPr>
        <w:t>The recursive dependence among the relationships renders the model impossible to evaluate using standard techniques; we use Markov chain Monte Carlo (MCMC) methods in order to obtain the maximum likelihood estimates for the</w:t>
      </w:r>
      <w:r w:rsidRPr="0024409C">
        <w:rPr>
          <w:rFonts w:ascii="Helvetica Neue" w:hAnsi="Helvetica Neue"/>
          <w:i/>
        </w:rPr>
        <w:t xml:space="preserve"> </w:t>
      </w:r>
      <m:oMath>
        <m:r>
          <m:rPr>
            <m:sty m:val="bi"/>
          </m:rPr>
          <w:rPr>
            <w:rFonts w:ascii="Cambria Math" w:hAnsi="Cambria Math"/>
          </w:rPr>
          <m:t>θ</m:t>
        </m:r>
      </m:oMath>
      <w:r w:rsidRPr="0024409C">
        <w:rPr>
          <w:rFonts w:ascii="Helvetica Neue" w:hAnsi="Helvetica Neue"/>
        </w:rPr>
        <w:t xml:space="preserve"> vectors given the </w:t>
      </w:r>
      <m:oMath>
        <m:r>
          <m:rPr>
            <m:sty m:val="bi"/>
          </m:rPr>
          <w:rPr>
            <w:rFonts w:ascii="Cambria Math" w:hAnsi="Cambria Math"/>
          </w:rPr>
          <m:t>g</m:t>
        </m:r>
        <m:d>
          <m:dPr>
            <m:ctrlPr>
              <w:rPr>
                <w:rFonts w:ascii="Cambria Math" w:hAnsi="Cambria Math"/>
                <w:b/>
                <w:bCs/>
                <w:i/>
                <w:iCs/>
                <w:lang w:val="el-GR"/>
              </w:rPr>
            </m:ctrlPr>
          </m:dPr>
          <m:e>
            <m:r>
              <m:rPr>
                <m:sty m:val="bi"/>
              </m:rPr>
              <w:rPr>
                <w:rFonts w:ascii="Cambria Math" w:hAnsi="Cambria Math"/>
              </w:rPr>
              <m:t>y</m:t>
            </m:r>
          </m:e>
        </m:d>
      </m:oMath>
      <w:r w:rsidRPr="0024409C">
        <w:rPr>
          <w:rFonts w:ascii="Helvetica Neue" w:hAnsi="Helvetica Neue"/>
          <w:b/>
          <w:bCs/>
        </w:rPr>
        <w:t xml:space="preserve"> </w:t>
      </w:r>
      <w:r w:rsidRPr="0024409C">
        <w:rPr>
          <w:rFonts w:ascii="Helvetica Neue" w:hAnsi="Helvetica Neue"/>
        </w:rPr>
        <w:t>vectors.</w:t>
      </w:r>
    </w:p>
    <w:p w14:paraId="38B95499" w14:textId="2528EF99"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 xml:space="preserve">Specific model statistics are listed below. Together these sets allow us to retain all network features listed in Section </w:t>
      </w:r>
      <w:r w:rsidR="00777511" w:rsidRPr="0024409C">
        <w:rPr>
          <w:rFonts w:ascii="Helvetica Neue" w:eastAsiaTheme="minorEastAsia" w:hAnsi="Helvetica Neue"/>
        </w:rPr>
        <w:t>2</w:t>
      </w:r>
      <w:r w:rsidRPr="0024409C">
        <w:rPr>
          <w:rFonts w:ascii="Helvetica Neue" w:eastAsiaTheme="minorEastAsia" w:hAnsi="Helvetica Neue"/>
        </w:rPr>
        <w:t xml:space="preserve">.1. It is important to note that, although the statistics are expressed here in terms of number of relationships and </w:t>
      </w:r>
      <w:r w:rsidR="00ED3FEC">
        <w:rPr>
          <w:rFonts w:ascii="Helvetica Neue" w:eastAsiaTheme="minorEastAsia" w:hAnsi="Helvetica Neue"/>
        </w:rPr>
        <w:t xml:space="preserve">are </w:t>
      </w:r>
      <w:r w:rsidRPr="0024409C">
        <w:rPr>
          <w:rFonts w:ascii="Helvetica Neue" w:eastAsiaTheme="minorEastAsia" w:hAnsi="Helvetica Neue"/>
        </w:rPr>
        <w:t>enter</w:t>
      </w:r>
      <w:r w:rsidR="00ED3FEC">
        <w:rPr>
          <w:rFonts w:ascii="Helvetica Neue" w:eastAsiaTheme="minorEastAsia" w:hAnsi="Helvetica Neue"/>
        </w:rPr>
        <w:t>ed</w:t>
      </w:r>
      <w:r w:rsidRPr="0024409C">
        <w:rPr>
          <w:rFonts w:ascii="Helvetica Neue" w:eastAsiaTheme="minorEastAsia" w:hAnsi="Helvetica Neue"/>
        </w:rPr>
        <w:t xml:space="preserve"> into the estimation model in this form, the simulation model is then paramet</w:t>
      </w:r>
      <w:r w:rsidR="00F97CA3" w:rsidRPr="0024409C">
        <w:rPr>
          <w:rFonts w:ascii="Helvetica Neue" w:eastAsiaTheme="minorEastAsia" w:hAnsi="Helvetica Neue"/>
        </w:rPr>
        <w:t>e</w:t>
      </w:r>
      <w:r w:rsidRPr="0024409C">
        <w:rPr>
          <w:rFonts w:ascii="Helvetica Neue" w:eastAsiaTheme="minorEastAsia" w:hAnsi="Helvetica Neue"/>
        </w:rPr>
        <w:t xml:space="preserve">rized using the resulting </w:t>
      </w:r>
      <m:oMath>
        <m:r>
          <w:rPr>
            <w:rFonts w:ascii="Cambria Math" w:hAnsi="Cambria Math"/>
          </w:rPr>
          <m:t>θ</m:t>
        </m:r>
      </m:oMath>
      <w:r w:rsidRPr="0024409C">
        <w:rPr>
          <w:rFonts w:ascii="Helvetica Neue" w:eastAsiaTheme="minorEastAsia" w:hAnsi="Helvetica Neue"/>
        </w:rPr>
        <w:t xml:space="preserve"> coefficients. This means that, as population size and composition changes, it is not the absolute number of relationships of different kinds that will be preserved, but the relative numbers (e.g. the mean number of relationships per person). Similar conversions hold for the other statistics </w:t>
      </w:r>
      <w:r w:rsidRPr="0024409C">
        <w:rPr>
          <w:rFonts w:ascii="Helvetica Neue" w:eastAsiaTheme="minorEastAsia" w:hAnsi="Helvetica Neue"/>
        </w:rPr>
        <w:lastRenderedPageBreak/>
        <w:t>(e.g. the mean age difference per relationship is preserved, not the sum across all relationships).</w:t>
      </w:r>
    </w:p>
    <w:p w14:paraId="38EF3E02" w14:textId="77777777" w:rsidR="009B3BB0" w:rsidRPr="0024409C" w:rsidRDefault="009B3BB0" w:rsidP="009B3BB0">
      <w:pPr>
        <w:spacing w:before="180" w:line="360" w:lineRule="auto"/>
        <w:ind w:left="994" w:hanging="994"/>
        <w:rPr>
          <w:rFonts w:ascii="Helvetica Neue" w:eastAsiaTheme="minorEastAsia" w:hAnsi="Helvetica Neue"/>
          <w:u w:val="single"/>
        </w:rPr>
      </w:pPr>
      <w:r w:rsidRPr="0024409C">
        <w:rPr>
          <w:rFonts w:ascii="Helvetica Neue" w:eastAsiaTheme="minorEastAsia" w:hAnsi="Helvetica Neue"/>
          <w:u w:val="single"/>
        </w:rPr>
        <w:t xml:space="preserve">Main partner formation model statistics: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m</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4D2AB70E" w14:textId="77777777" w:rsidR="009B3BB0" w:rsidRPr="0024409C" w:rsidRDefault="002A49DF" w:rsidP="009B3BB0">
      <w:pPr>
        <w:pStyle w:val="ListParagraph"/>
        <w:numPr>
          <w:ilvl w:val="0"/>
          <w:numId w:val="31"/>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main partnerships</w:t>
      </w:r>
    </w:p>
    <w:p w14:paraId="7ABD763D" w14:textId="77777777" w:rsidR="009B3BB0" w:rsidRPr="0024409C" w:rsidRDefault="002A49DF" w:rsidP="009B3BB0">
      <w:pPr>
        <w:pStyle w:val="ListParagraph"/>
        <w:numPr>
          <w:ilvl w:val="0"/>
          <w:numId w:val="31"/>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men with 2+ main partners</w:t>
      </w:r>
    </w:p>
    <w:p w14:paraId="516E006A" w14:textId="77777777" w:rsidR="009B3BB0" w:rsidRPr="0024409C" w:rsidRDefault="002A49D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for men with 1 casual partner</w:t>
      </w:r>
    </w:p>
    <w:p w14:paraId="0412BEE6" w14:textId="77777777" w:rsidR="009B3BB0" w:rsidRPr="0024409C" w:rsidRDefault="002A49D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for men with 2 casual partners</w:t>
      </w:r>
    </w:p>
    <w:p w14:paraId="5E322F9B" w14:textId="77777777" w:rsidR="009B3BB0" w:rsidRPr="0024409C" w:rsidRDefault="002A49D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m5</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sum of the absolute difference in the square root of partners’ ages across main partnerships</w:t>
      </w:r>
    </w:p>
    <w:p w14:paraId="46593409" w14:textId="77777777" w:rsidR="009B3BB0" w:rsidRPr="0024409C" w:rsidRDefault="002A49D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between men who were both exclusively insertive</w:t>
      </w:r>
    </w:p>
    <w:p w14:paraId="672E183B" w14:textId="77777777" w:rsidR="009B3BB0" w:rsidRPr="0024409C" w:rsidRDefault="002A49DF" w:rsidP="009B3BB0">
      <w:pPr>
        <w:pStyle w:val="ListParagraph"/>
        <w:numPr>
          <w:ilvl w:val="0"/>
          <w:numId w:val="31"/>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main partnerships between men who were both exclusively receptive</w:t>
      </w:r>
    </w:p>
    <w:p w14:paraId="6E647CE7" w14:textId="7EBF5036"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There are structural zero</w:t>
      </w:r>
      <w:r w:rsidR="00D811D5" w:rsidRPr="0024409C">
        <w:rPr>
          <w:rFonts w:ascii="Helvetica Neue" w:eastAsiaTheme="minorEastAsia" w:hAnsi="Helvetica Neue"/>
        </w:rPr>
        <w:t>e</w:t>
      </w:r>
      <w:r w:rsidRPr="0024409C">
        <w:rPr>
          <w:rFonts w:ascii="Helvetica Neue" w:eastAsiaTheme="minorEastAsia" w:hAnsi="Helvetica Neue"/>
        </w:rPr>
        <w:t xml:space="preserve">s as coefficient constraints for the </w:t>
      </w:r>
      <w:proofErr w:type="gramStart"/>
      <w:r w:rsidRPr="0024409C">
        <w:rPr>
          <w:rFonts w:ascii="Helvetica Neue" w:eastAsiaTheme="minorEastAsia" w:hAnsi="Helvetica Neue"/>
        </w:rPr>
        <w:t xml:space="preserve">terms </w:t>
      </w:r>
      <w:proofErr w:type="gramEnd"/>
      <m:oMath>
        <m:sSubSup>
          <m:sSubSupPr>
            <m:ctrlPr>
              <w:rPr>
                <w:rFonts w:ascii="Cambria Math" w:hAnsi="Cambria Math"/>
                <w:bCs/>
                <w:i/>
                <w:iCs/>
              </w:rPr>
            </m:ctrlPr>
          </m:sSubSupPr>
          <m:e>
            <m:r>
              <w:rPr>
                <w:rFonts w:ascii="Cambria Math" w:hAnsi="Cambria Math"/>
              </w:rPr>
              <m:t>g</m:t>
            </m:r>
          </m:e>
          <m:sub>
            <m:r>
              <w:rPr>
                <w:rFonts w:ascii="Cambria Math" w:hAnsi="Cambria Math"/>
              </w:rPr>
              <m:t>m2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w:t>
      </w:r>
      <w:proofErr w:type="spellStart"/>
      <w:r w:rsidRPr="0024409C">
        <w:rPr>
          <w:rFonts w:ascii="Helvetica Neue" w:eastAsiaTheme="minorEastAsia" w:hAnsi="Helvetica Neue"/>
        </w:rPr>
        <w:t>ve</w:t>
      </w:r>
      <w:proofErr w:type="spellEnd"/>
      <w:r w:rsidRPr="0024409C">
        <w:rPr>
          <w:rFonts w:ascii="Helvetica Neue" w:eastAsiaTheme="minorEastAsia" w:hAnsi="Helvetica Neue"/>
        </w:rPr>
        <w:t xml:space="preserve"> infinity to ensure that no partnerships of these types occur.</w:t>
      </w:r>
    </w:p>
    <w:p w14:paraId="20189238"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 xml:space="preserve">Main partner persistence model terms: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m</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69AE4230" w14:textId="77777777" w:rsidR="009B3BB0" w:rsidRPr="0024409C" w:rsidRDefault="002A49DF" w:rsidP="009B3BB0">
      <w:pPr>
        <w:pStyle w:val="ListParagraph"/>
        <w:numPr>
          <w:ilvl w:val="0"/>
          <w:numId w:val="32"/>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main partnerships</w:t>
      </w:r>
    </w:p>
    <w:p w14:paraId="5D2E0F17"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 xml:space="preserve">Casual partner formation model terms: </w:t>
      </w:r>
      <m:oMath>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c</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4B05D586" w14:textId="77777777" w:rsidR="009B3BB0" w:rsidRPr="0024409C" w:rsidRDefault="002A49DF" w:rsidP="009B3BB0">
      <w:pPr>
        <w:pStyle w:val="ListParagraph"/>
        <w:numPr>
          <w:ilvl w:val="0"/>
          <w:numId w:val="33"/>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casual partnerships</w:t>
      </w:r>
    </w:p>
    <w:p w14:paraId="39DD4C4C" w14:textId="77777777" w:rsidR="009B3BB0" w:rsidRPr="0024409C" w:rsidRDefault="002A49D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for men with 1 main partner</w:t>
      </w:r>
    </w:p>
    <w:p w14:paraId="79C4D88C" w14:textId="77777777" w:rsidR="009B3BB0" w:rsidRPr="0024409C" w:rsidRDefault="002A49D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bCs/>
          <w:iCs/>
        </w:rPr>
        <w:t xml:space="preserve"> </w:t>
      </w:r>
      <w:r w:rsidR="009B3BB0" w:rsidRPr="0024409C">
        <w:rPr>
          <w:rFonts w:ascii="Helvetica Neue" w:eastAsiaTheme="minorEastAsia" w:hAnsi="Helvetica Neue"/>
        </w:rPr>
        <w:t>= number of men with 2 casual partners</w:t>
      </w:r>
    </w:p>
    <w:p w14:paraId="0FB46401" w14:textId="77777777" w:rsidR="009B3BB0" w:rsidRPr="0024409C" w:rsidRDefault="002A49D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bCs/>
          <w:iCs/>
        </w:rPr>
        <w:t xml:space="preserve"> </w:t>
      </w:r>
      <w:r w:rsidR="009B3BB0" w:rsidRPr="0024409C">
        <w:rPr>
          <w:rFonts w:ascii="Helvetica Neue" w:eastAsiaTheme="minorEastAsia" w:hAnsi="Helvetica Neue"/>
        </w:rPr>
        <w:t>= number of men with 3+ casual partners</w:t>
      </w:r>
    </w:p>
    <w:p w14:paraId="166D38A2" w14:textId="77777777" w:rsidR="009B3BB0" w:rsidRPr="0024409C" w:rsidRDefault="002A49DF" w:rsidP="009B3BB0">
      <w:pPr>
        <w:pStyle w:val="ListParagraph"/>
        <w:numPr>
          <w:ilvl w:val="0"/>
          <w:numId w:val="33"/>
        </w:numPr>
        <w:spacing w:line="360" w:lineRule="auto"/>
        <w:ind w:left="72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c5</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sum of the absolute difference in the square root of partners’ ages across casual partne</w:t>
      </w:r>
      <w:proofErr w:type="spellStart"/>
      <w:r w:rsidR="009B3BB0" w:rsidRPr="0024409C">
        <w:rPr>
          <w:rFonts w:ascii="Helvetica Neue" w:eastAsiaTheme="minorEastAsia" w:hAnsi="Helvetica Neue"/>
        </w:rPr>
        <w:t>rships</w:t>
      </w:r>
      <w:proofErr w:type="spellEnd"/>
    </w:p>
    <w:p w14:paraId="77225027" w14:textId="77777777" w:rsidR="009B3BB0" w:rsidRPr="0024409C" w:rsidRDefault="002A49DF" w:rsidP="009B3BB0">
      <w:pPr>
        <w:pStyle w:val="ListParagraph"/>
        <w:numPr>
          <w:ilvl w:val="0"/>
          <w:numId w:val="33"/>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between men who were both exclusively insertive</w:t>
      </w:r>
    </w:p>
    <w:p w14:paraId="7A69D5EF" w14:textId="77777777" w:rsidR="009B3BB0" w:rsidRPr="0024409C" w:rsidRDefault="002A49DF" w:rsidP="009B3BB0">
      <w:pPr>
        <w:pStyle w:val="ListParagraph"/>
        <w:numPr>
          <w:ilvl w:val="0"/>
          <w:numId w:val="33"/>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casual partnerships between men who were both exclusively receptive</w:t>
      </w:r>
    </w:p>
    <w:p w14:paraId="49413613" w14:textId="6E733B15"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There are structural zero</w:t>
      </w:r>
      <w:r w:rsidR="0096740D" w:rsidRPr="0024409C">
        <w:rPr>
          <w:rFonts w:ascii="Helvetica Neue" w:eastAsiaTheme="minorEastAsia" w:hAnsi="Helvetica Neue"/>
        </w:rPr>
        <w:t>e</w:t>
      </w:r>
      <w:r w:rsidRPr="0024409C">
        <w:rPr>
          <w:rFonts w:ascii="Helvetica Neue" w:eastAsiaTheme="minorEastAsia" w:hAnsi="Helvetica Neue"/>
        </w:rPr>
        <w:t xml:space="preserve">s as coefficient constraints for the </w:t>
      </w:r>
      <w:proofErr w:type="gramStart"/>
      <w:r w:rsidRPr="0024409C">
        <w:rPr>
          <w:rFonts w:ascii="Helvetica Neue" w:eastAsiaTheme="minorEastAsia" w:hAnsi="Helvetica Neue"/>
        </w:rPr>
        <w:t xml:space="preserve">terms </w:t>
      </w:r>
      <w:proofErr w:type="gramEnd"/>
      <m:oMath>
        <m:sSubSup>
          <m:sSubSupPr>
            <m:ctrlPr>
              <w:rPr>
                <w:rFonts w:ascii="Cambria Math" w:hAnsi="Cambria Math"/>
                <w:bCs/>
                <w:i/>
                <w:iCs/>
              </w:rPr>
            </m:ctrlPr>
          </m:sSubSupPr>
          <m:e>
            <m:r>
              <w:rPr>
                <w:rFonts w:ascii="Cambria Math" w:hAnsi="Cambria Math"/>
              </w:rPr>
              <m:t>g</m:t>
            </m:r>
          </m:e>
          <m:sub>
            <m:r>
              <w:rPr>
                <w:rFonts w:ascii="Cambria Math" w:hAnsi="Cambria Math"/>
              </w:rPr>
              <m:t>m4</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m6</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m7</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negative infinity to ensure that no partnerships of these types occur.</w:t>
      </w:r>
    </w:p>
    <w:p w14:paraId="65C4414E"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Casual partner persistence model terms:</w:t>
      </w:r>
      <m:oMath>
        <m:r>
          <m:rPr>
            <m:sty m:val="p"/>
          </m:rPr>
          <w:rPr>
            <w:rFonts w:ascii="Cambria Math" w:hAnsi="Cambria Math"/>
            <w:u w:val="single"/>
          </w:rPr>
          <m:t xml:space="preserve"> </m:t>
        </m:r>
        <m:sSubSup>
          <m:sSubSupPr>
            <m:ctrlPr>
              <w:rPr>
                <w:rFonts w:ascii="Cambria Math" w:hAnsi="Cambria Math"/>
                <w:bCs/>
                <w:iCs/>
                <w:u w:val="single"/>
              </w:rPr>
            </m:ctrlPr>
          </m:sSubSupPr>
          <m:e>
            <m:r>
              <m:rPr>
                <m:sty m:val="p"/>
              </m:rPr>
              <w:rPr>
                <w:rFonts w:ascii="Cambria Math" w:hAnsi="Cambria Math"/>
                <w:u w:val="single"/>
              </w:rPr>
              <m:t>g</m:t>
            </m:r>
          </m:e>
          <m:sub>
            <m:r>
              <m:rPr>
                <m:sty m:val="p"/>
              </m:rPr>
              <w:rPr>
                <w:rFonts w:ascii="Cambria Math" w:hAnsi="Cambria Math"/>
                <w:u w:val="single"/>
              </w:rPr>
              <m:t>c</m:t>
            </m:r>
          </m:sub>
          <m:sup>
            <m:r>
              <m:rPr>
                <m:sty m:val="p"/>
              </m:rPr>
              <w:rPr>
                <w:rFonts w:ascii="Cambria Math" w:hAnsi="Cambria Math"/>
                <w:u w:val="single"/>
              </w:rPr>
              <m:t>-</m:t>
            </m:r>
          </m:sup>
        </m:sSubSup>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350A3556" w14:textId="77777777" w:rsidR="009B3BB0" w:rsidRPr="0024409C" w:rsidRDefault="002A49DF" w:rsidP="009B3BB0">
      <w:pPr>
        <w:pStyle w:val="ListParagraph"/>
        <w:numPr>
          <w:ilvl w:val="0"/>
          <w:numId w:val="30"/>
        </w:numPr>
        <w:spacing w:line="360" w:lineRule="auto"/>
        <w:ind w:left="720"/>
        <w:rPr>
          <w:rFonts w:ascii="Helvetica Neue"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c1</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rPr>
        <w:t xml:space="preserve"> </w:t>
      </w:r>
      <w:r w:rsidR="009B3BB0" w:rsidRPr="0024409C">
        <w:rPr>
          <w:rFonts w:ascii="Helvetica Neue" w:eastAsiaTheme="minorEastAsia" w:hAnsi="Helvetica Neue"/>
        </w:rPr>
        <w:t>= number of casual partnerships</w:t>
      </w:r>
    </w:p>
    <w:p w14:paraId="63AD0293" w14:textId="77777777" w:rsidR="009B3BB0" w:rsidRPr="0024409C" w:rsidRDefault="009B3BB0" w:rsidP="009B3BB0">
      <w:pPr>
        <w:spacing w:before="180" w:line="360" w:lineRule="auto"/>
        <w:rPr>
          <w:rFonts w:ascii="Helvetica Neue" w:eastAsiaTheme="minorEastAsia" w:hAnsi="Helvetica Neue"/>
          <w:u w:val="single"/>
        </w:rPr>
      </w:pPr>
      <w:r w:rsidRPr="0024409C">
        <w:rPr>
          <w:rFonts w:ascii="Helvetica Neue" w:eastAsiaTheme="minorEastAsia" w:hAnsi="Helvetica Neue"/>
          <w:u w:val="single"/>
        </w:rPr>
        <w:t>One-time contact existence model terms:</w:t>
      </w:r>
      <m:oMath>
        <m:r>
          <w:rPr>
            <w:rFonts w:ascii="Cambria Math" w:eastAsiaTheme="minorEastAsia" w:hAnsi="Cambria Math"/>
            <w:u w:val="single"/>
          </w:rPr>
          <m:t xml:space="preserve"> </m:t>
        </m:r>
        <m:sSub>
          <m:sSubPr>
            <m:ctrlPr>
              <w:rPr>
                <w:rFonts w:ascii="Cambria Math" w:hAnsi="Cambria Math"/>
                <w:u w:val="single"/>
              </w:rPr>
            </m:ctrlPr>
          </m:sSubPr>
          <m:e>
            <m:r>
              <m:rPr>
                <m:sty m:val="p"/>
              </m:rPr>
              <w:rPr>
                <w:rFonts w:ascii="Cambria Math" w:hAnsi="Cambria Math"/>
                <w:u w:val="single"/>
              </w:rPr>
              <m:t>g</m:t>
            </m:r>
          </m:e>
          <m:sub>
            <m:r>
              <m:rPr>
                <m:sty m:val="p"/>
              </m:rPr>
              <w:rPr>
                <w:rFonts w:ascii="Cambria Math" w:hAnsi="Cambria Math"/>
                <w:u w:val="single"/>
              </w:rPr>
              <m:t>o</m:t>
            </m:r>
          </m:sub>
        </m:sSub>
        <m:d>
          <m:dPr>
            <m:ctrlPr>
              <w:rPr>
                <w:rFonts w:ascii="Cambria Math" w:hAnsi="Cambria Math"/>
                <w:bCs/>
                <w:iCs/>
                <w:u w:val="single"/>
                <w:lang w:val="el-GR"/>
              </w:rPr>
            </m:ctrlPr>
          </m:dPr>
          <m:e>
            <m:r>
              <m:rPr>
                <m:sty m:val="p"/>
              </m:rPr>
              <w:rPr>
                <w:rFonts w:ascii="Cambria Math" w:hAnsi="Cambria Math"/>
                <w:u w:val="single"/>
              </w:rPr>
              <m:t>y</m:t>
            </m:r>
          </m:e>
        </m:d>
      </m:oMath>
      <w:r w:rsidRPr="0024409C">
        <w:rPr>
          <w:rFonts w:ascii="Helvetica Neue" w:eastAsiaTheme="minorEastAsia" w:hAnsi="Helvetica Neue"/>
          <w:bCs/>
          <w:iCs/>
          <w:u w:val="single"/>
        </w:rPr>
        <w:t xml:space="preserve"> vector:</w:t>
      </w:r>
    </w:p>
    <w:p w14:paraId="7F48B58A"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o1</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number of one-time contacts</w:t>
      </w:r>
    </w:p>
    <w:p w14:paraId="23695DCE"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o2</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with 0 main and 1 casual partnership</w:t>
      </w:r>
    </w:p>
    <w:p w14:paraId="1C406641"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o3</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with 0 main and 2 casual partnerships</w:t>
      </w:r>
    </w:p>
    <w:p w14:paraId="6D9F8ADA"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o4</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with 1 main and 0 casual partnerships</w:t>
      </w:r>
    </w:p>
    <w:p w14:paraId="1C9EB2BA"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o5</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with 1 main and 1 casual partnership</w:t>
      </w:r>
    </w:p>
    <w:p w14:paraId="0F3B41D8"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o6</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with 1 main and 2 casual partnerships</w:t>
      </w:r>
    </w:p>
    <w:p w14:paraId="6F59BEC0"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o7</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in risk quintile 1</w:t>
      </w:r>
    </w:p>
    <w:p w14:paraId="60F7D04C"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o8</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in risk quintile 2</w:t>
      </w:r>
    </w:p>
    <w:p w14:paraId="1DFED9E4"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o9</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in risk quintile 4</w:t>
      </w:r>
    </w:p>
    <w:p w14:paraId="54F9B0FB" w14:textId="77777777" w:rsidR="009B3BB0" w:rsidRPr="0024409C" w:rsidRDefault="002A49DF" w:rsidP="009B3BB0">
      <w:pPr>
        <w:pStyle w:val="ListParagraph"/>
        <w:numPr>
          <w:ilvl w:val="0"/>
          <w:numId w:val="29"/>
        </w:numPr>
        <w:spacing w:line="360" w:lineRule="auto"/>
        <w:ind w:left="720"/>
        <w:rPr>
          <w:rFonts w:ascii="Helvetica Neue" w:hAnsi="Helvetica Neue"/>
          <w:color w:val="000000"/>
        </w:rPr>
      </w:pPr>
      <m:oMath>
        <m:sSub>
          <m:sSubPr>
            <m:ctrlPr>
              <w:rPr>
                <w:rFonts w:ascii="Cambria Math" w:hAnsi="Cambria Math"/>
                <w:bCs/>
                <w:i/>
                <w:iCs/>
              </w:rPr>
            </m:ctrlPr>
          </m:sSubPr>
          <m:e>
            <m:r>
              <w:rPr>
                <w:rFonts w:ascii="Cambria Math" w:hAnsi="Cambria Math"/>
              </w:rPr>
              <m:t>g</m:t>
            </m:r>
          </m:e>
          <m:sub>
            <m:r>
              <w:rPr>
                <w:rFonts w:ascii="Cambria Math" w:hAnsi="Cambria Math"/>
              </w:rPr>
              <m:t>o10</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hAnsi="Helvetica Neue"/>
          <w:bCs/>
          <w:iCs/>
        </w:rPr>
        <w:t xml:space="preserve"> </w:t>
      </w:r>
      <w:r w:rsidR="009B3BB0" w:rsidRPr="0024409C">
        <w:rPr>
          <w:rFonts w:ascii="Helvetica Neue" w:hAnsi="Helvetica Neue"/>
          <w:color w:val="000000"/>
        </w:rPr>
        <w:t>= total # of one-time contacts for men in risk quintile 5</w:t>
      </w:r>
    </w:p>
    <w:p w14:paraId="0A076D05" w14:textId="77777777" w:rsidR="009B3BB0" w:rsidRPr="0024409C" w:rsidRDefault="002A49DF" w:rsidP="009B3BB0">
      <w:pPr>
        <w:pStyle w:val="ListParagraph"/>
        <w:numPr>
          <w:ilvl w:val="0"/>
          <w:numId w:val="29"/>
        </w:numPr>
        <w:spacing w:line="360" w:lineRule="auto"/>
        <w:ind w:left="720"/>
        <w:rPr>
          <w:rFonts w:ascii="Helvetica Neue" w:eastAsiaTheme="minorEastAsia" w:hAnsi="Helvetica Neue"/>
        </w:rPr>
      </w:pPr>
      <m:oMath>
        <m:sSub>
          <m:sSubPr>
            <m:ctrlPr>
              <w:rPr>
                <w:rFonts w:ascii="Cambria Math" w:hAnsi="Cambria Math"/>
                <w:bCs/>
                <w:i/>
                <w:iCs/>
              </w:rPr>
            </m:ctrlPr>
          </m:sSubPr>
          <m:e>
            <m:r>
              <w:rPr>
                <w:rFonts w:ascii="Cambria Math" w:hAnsi="Cambria Math"/>
              </w:rPr>
              <m:t>g</m:t>
            </m:r>
          </m:e>
          <m:sub>
            <m:r>
              <w:rPr>
                <w:rFonts w:ascii="Cambria Math" w:hAnsi="Cambria Math"/>
              </w:rPr>
              <m:t>o11</m:t>
            </m:r>
          </m:sub>
        </m:sSub>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sum of the absolute difference in the square root of partners’ ages across one-time contacts</w:t>
      </w:r>
    </w:p>
    <w:p w14:paraId="59EE1881" w14:textId="77777777" w:rsidR="009B3BB0" w:rsidRPr="0024409C" w:rsidRDefault="002A49DF" w:rsidP="009B3BB0">
      <w:pPr>
        <w:pStyle w:val="ListParagraph"/>
        <w:numPr>
          <w:ilvl w:val="0"/>
          <w:numId w:val="29"/>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one-time contacts between men who were both exclusively insertive</w:t>
      </w:r>
    </w:p>
    <w:p w14:paraId="1E2EF5D7" w14:textId="77777777" w:rsidR="009B3BB0" w:rsidRPr="0024409C" w:rsidRDefault="002A49DF" w:rsidP="009B3BB0">
      <w:pPr>
        <w:pStyle w:val="ListParagraph"/>
        <w:numPr>
          <w:ilvl w:val="0"/>
          <w:numId w:val="29"/>
        </w:numPr>
        <w:spacing w:line="360" w:lineRule="auto"/>
        <w:ind w:firstLine="0"/>
        <w:rPr>
          <w:rFonts w:ascii="Helvetica Neue" w:eastAsiaTheme="minorEastAsia" w:hAnsi="Helvetica Neue"/>
        </w:rPr>
      </w:pPr>
      <m:oMath>
        <m:sSubSup>
          <m:sSubSupPr>
            <m:ctrlPr>
              <w:rPr>
                <w:rFonts w:ascii="Cambria Math" w:hAnsi="Cambria Math"/>
                <w:bCs/>
                <w:i/>
                <w:iCs/>
              </w:rPr>
            </m:ctrlPr>
          </m:sSubSupPr>
          <m:e>
            <m:r>
              <w:rPr>
                <w:rFonts w:ascii="Cambria Math" w:hAnsi="Cambria Math"/>
              </w:rPr>
              <m:t>g</m:t>
            </m:r>
          </m:e>
          <m:sub>
            <m:r>
              <w:rPr>
                <w:rFonts w:ascii="Cambria Math" w:hAnsi="Cambria Math"/>
              </w:rPr>
              <m:t>m13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009B3BB0" w:rsidRPr="0024409C">
        <w:rPr>
          <w:rFonts w:ascii="Helvetica Neue" w:eastAsiaTheme="minorEastAsia" w:hAnsi="Helvetica Neue"/>
        </w:rPr>
        <w:t xml:space="preserve"> = number of one-time contacts bet</w:t>
      </w:r>
      <w:proofErr w:type="spellStart"/>
      <w:r w:rsidR="009B3BB0" w:rsidRPr="0024409C">
        <w:rPr>
          <w:rFonts w:ascii="Helvetica Neue" w:eastAsiaTheme="minorEastAsia" w:hAnsi="Helvetica Neue"/>
        </w:rPr>
        <w:t>ween</w:t>
      </w:r>
      <w:proofErr w:type="spellEnd"/>
      <w:r w:rsidR="009B3BB0" w:rsidRPr="0024409C">
        <w:rPr>
          <w:rFonts w:ascii="Helvetica Neue" w:eastAsiaTheme="minorEastAsia" w:hAnsi="Helvetica Neue"/>
        </w:rPr>
        <w:t xml:space="preserve"> men who were both exclusively receptive</w:t>
      </w:r>
    </w:p>
    <w:p w14:paraId="0A99FEF1" w14:textId="55AE8B64"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lastRenderedPageBreak/>
        <w:t>There are structural zero</w:t>
      </w:r>
      <w:r w:rsidR="0096740D" w:rsidRPr="0024409C">
        <w:rPr>
          <w:rFonts w:ascii="Helvetica Neue" w:eastAsiaTheme="minorEastAsia" w:hAnsi="Helvetica Neue"/>
        </w:rPr>
        <w:t>e</w:t>
      </w:r>
      <w:r w:rsidRPr="0024409C">
        <w:rPr>
          <w:rFonts w:ascii="Helvetica Neue" w:eastAsiaTheme="minorEastAsia" w:hAnsi="Helvetica Neue"/>
        </w:rPr>
        <w:t xml:space="preserve">s as coefficient constraints for the </w:t>
      </w:r>
      <w:proofErr w:type="gramStart"/>
      <w:r w:rsidRPr="0024409C">
        <w:rPr>
          <w:rFonts w:ascii="Helvetica Neue" w:eastAsiaTheme="minorEastAsia" w:hAnsi="Helvetica Neue"/>
        </w:rPr>
        <w:t xml:space="preserve">terms </w:t>
      </w:r>
      <w:proofErr w:type="gramEnd"/>
      <m:oMath>
        <m:sSubSup>
          <m:sSubSupPr>
            <m:ctrlPr>
              <w:rPr>
                <w:rFonts w:ascii="Cambria Math" w:hAnsi="Cambria Math"/>
                <w:bCs/>
                <w:i/>
                <w:iCs/>
              </w:rPr>
            </m:ctrlPr>
          </m:sSubSupPr>
          <m:e>
            <m:r>
              <w:rPr>
                <w:rFonts w:ascii="Cambria Math" w:hAnsi="Cambria Math"/>
              </w:rPr>
              <m:t>g</m:t>
            </m:r>
          </m:e>
          <m:sub>
            <m:r>
              <w:rPr>
                <w:rFonts w:ascii="Cambria Math" w:hAnsi="Cambria Math"/>
              </w:rPr>
              <m:t>m12</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bCs/>
          <w:iCs/>
          <w:lang w:val="el-GR"/>
        </w:rPr>
        <w:t xml:space="preserve">, </w:t>
      </w:r>
      <m:oMath>
        <m:sSubSup>
          <m:sSubSupPr>
            <m:ctrlPr>
              <w:rPr>
                <w:rFonts w:ascii="Cambria Math" w:hAnsi="Cambria Math"/>
                <w:bCs/>
                <w:i/>
                <w:iCs/>
              </w:rPr>
            </m:ctrlPr>
          </m:sSubSupPr>
          <m:e>
            <m:r>
              <w:rPr>
                <w:rFonts w:ascii="Cambria Math" w:hAnsi="Cambria Math"/>
              </w:rPr>
              <m:t>g</m:t>
            </m:r>
          </m:e>
          <m:sub>
            <m:r>
              <w:rPr>
                <w:rFonts w:ascii="Cambria Math" w:hAnsi="Cambria Math"/>
              </w:rPr>
              <m:t>m13</m:t>
            </m:r>
          </m:sub>
          <m:sup>
            <m:r>
              <w:rPr>
                <w:rFonts w:ascii="Cambria Math" w:hAnsi="Cambria Math"/>
              </w:rPr>
              <m:t>+</m:t>
            </m:r>
          </m:sup>
        </m:sSubSup>
        <m:d>
          <m:dPr>
            <m:ctrlPr>
              <w:rPr>
                <w:rFonts w:ascii="Cambria Math" w:hAnsi="Cambria Math"/>
                <w:bCs/>
                <w:i/>
                <w:iCs/>
                <w:lang w:val="el-GR"/>
              </w:rPr>
            </m:ctrlPr>
          </m:dPr>
          <m:e>
            <m:r>
              <w:rPr>
                <w:rFonts w:ascii="Cambria Math" w:hAnsi="Cambria Math"/>
              </w:rPr>
              <m:t>y</m:t>
            </m:r>
          </m:e>
        </m:d>
      </m:oMath>
      <w:r w:rsidRPr="0024409C">
        <w:rPr>
          <w:rFonts w:ascii="Helvetica Neue" w:eastAsiaTheme="minorEastAsia" w:hAnsi="Helvetica Neue"/>
        </w:rPr>
        <w:t>. This means that the logit values for their coefficients are set to negative infinity to ensure that no partnerships of t</w:t>
      </w:r>
      <w:proofErr w:type="spellStart"/>
      <w:r w:rsidRPr="0024409C">
        <w:rPr>
          <w:rFonts w:ascii="Helvetica Neue" w:eastAsiaTheme="minorEastAsia" w:hAnsi="Helvetica Neue"/>
        </w:rPr>
        <w:t>hese</w:t>
      </w:r>
      <w:proofErr w:type="spellEnd"/>
      <w:r w:rsidRPr="0024409C">
        <w:rPr>
          <w:rFonts w:ascii="Helvetica Neue" w:eastAsiaTheme="minorEastAsia" w:hAnsi="Helvetica Neue"/>
        </w:rPr>
        <w:t xml:space="preserve"> types occur.</w:t>
      </w:r>
    </w:p>
    <w:p w14:paraId="50D6221D" w14:textId="08B25B69" w:rsidR="009B3BB0" w:rsidRPr="0024409C" w:rsidRDefault="009B3BB0" w:rsidP="009B3BB0">
      <w:pPr>
        <w:spacing w:before="120" w:line="360" w:lineRule="auto"/>
        <w:rPr>
          <w:rFonts w:ascii="Helvetica Neue" w:eastAsiaTheme="minorEastAsia" w:hAnsi="Helvetica Neue"/>
        </w:rPr>
      </w:pPr>
      <w:r w:rsidRPr="0024409C">
        <w:rPr>
          <w:rFonts w:ascii="Helvetica Neue" w:eastAsiaTheme="minorEastAsia" w:hAnsi="Helvetica Neue"/>
        </w:rPr>
        <w:t xml:space="preserve">Our method of converting the statistics laid out in Section </w:t>
      </w:r>
      <w:r w:rsidR="00EF3A1F" w:rsidRPr="0024409C">
        <w:rPr>
          <w:rFonts w:ascii="Helvetica Neue" w:eastAsiaTheme="minorEastAsia" w:hAnsi="Helvetica Neue"/>
        </w:rPr>
        <w:t>2</w:t>
      </w:r>
      <w:r w:rsidRPr="0024409C">
        <w:rPr>
          <w:rFonts w:ascii="Helvetica Neue" w:eastAsiaTheme="minorEastAsia" w:hAnsi="Helvetica Neue"/>
        </w:rPr>
        <w:t>.1 into our fully specified network models consists of the following steps:</w:t>
      </w:r>
    </w:p>
    <w:p w14:paraId="41E7A613"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Construct a cross-sectional network of 10,000 men with no relationships.</w:t>
      </w:r>
    </w:p>
    <w:p w14:paraId="6EDB042F" w14:textId="69F84644"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 xml:space="preserve">Assign men sexual roles based on frequencies listed in Section </w:t>
      </w:r>
      <w:r w:rsidR="00C6598D" w:rsidRPr="0024409C">
        <w:rPr>
          <w:rFonts w:ascii="Helvetica Neue" w:eastAsiaTheme="minorEastAsia" w:hAnsi="Helvetica Neue"/>
        </w:rPr>
        <w:t>2</w:t>
      </w:r>
      <w:r w:rsidRPr="0024409C">
        <w:rPr>
          <w:rFonts w:ascii="Helvetica Neue" w:eastAsiaTheme="minorEastAsia" w:hAnsi="Helvetica Neue"/>
        </w:rPr>
        <w:t>.1.</w:t>
      </w:r>
      <w:r w:rsidR="009D6954" w:rsidRPr="0024409C">
        <w:rPr>
          <w:rFonts w:ascii="Helvetica Neue" w:eastAsiaTheme="minorEastAsia" w:hAnsi="Helvetica Neue"/>
        </w:rPr>
        <w:t>5</w:t>
      </w:r>
      <w:r w:rsidRPr="0024409C">
        <w:rPr>
          <w:rFonts w:ascii="Helvetica Neue" w:eastAsiaTheme="minorEastAsia" w:hAnsi="Helvetica Neue"/>
        </w:rPr>
        <w:t>, as well as one-time risk quintiles (20% of the men per quintile).</w:t>
      </w:r>
    </w:p>
    <w:p w14:paraId="633C84BF"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Calculate the target statistics (i.e., the expected count of each statistic at any given moment in time) associated with the terms in the formation model (for the main and casual partnerships) and in the existence model (for one-time contacts).</w:t>
      </w:r>
    </w:p>
    <w:p w14:paraId="23BD6F07" w14:textId="3651BB39"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 xml:space="preserve">Assign each node a place-holder main and casual degree (number of on-going partnerships) that is consistent </w:t>
      </w:r>
      <w:r w:rsidR="006D418C">
        <w:rPr>
          <w:rFonts w:ascii="Helvetica Neue" w:eastAsiaTheme="minorEastAsia" w:hAnsi="Helvetica Neue"/>
        </w:rPr>
        <w:t xml:space="preserve">with </w:t>
      </w:r>
      <w:r w:rsidRPr="0024409C">
        <w:rPr>
          <w:rFonts w:ascii="Helvetica Neue" w:eastAsiaTheme="minorEastAsia" w:hAnsi="Helvetica Neue"/>
        </w:rPr>
        <w:t>degree matrices, and store these numbers as a nodal attribute. (Note: this does not actually require individuals to be paired up into the partnerships represented by those degrees).</w:t>
      </w:r>
    </w:p>
    <w:p w14:paraId="355918A4"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main and casual networks, use the mean relational durations to calculate the parameters of the persistence model, using closed-form solutions, given that the models are dyadic-independent (each relationship’s persistence probability is independent of all others).</w:t>
      </w:r>
    </w:p>
    <w:p w14:paraId="36130ECA"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main and casual networks, estimate the coefficients for the formation model that represent the maximum likelihood estimates for the expected cross-sectional network structure.</w:t>
      </w:r>
    </w:p>
    <w:p w14:paraId="142B329A" w14:textId="77777777" w:rsidR="009B3BB0" w:rsidRPr="0024409C" w:rsidRDefault="009B3BB0" w:rsidP="009B3BB0">
      <w:pPr>
        <w:pStyle w:val="ListParagraph"/>
        <w:numPr>
          <w:ilvl w:val="0"/>
          <w:numId w:val="24"/>
        </w:numPr>
        <w:spacing w:line="360" w:lineRule="auto"/>
        <w:contextualSpacing w:val="0"/>
        <w:rPr>
          <w:rFonts w:ascii="Helvetica Neue" w:eastAsiaTheme="minorEastAsia" w:hAnsi="Helvetica Neue"/>
        </w:rPr>
      </w:pPr>
      <w:r w:rsidRPr="0024409C">
        <w:rPr>
          <w:rFonts w:ascii="Helvetica Neue" w:eastAsiaTheme="minorEastAsia" w:hAnsi="Helvetica Neue"/>
        </w:rPr>
        <w:t>For the one-off network, estimate the coefficients for the existence model that represent the maximum likelihood estimates for the expected cross-sectional network structure.</w:t>
      </w:r>
    </w:p>
    <w:p w14:paraId="584101E7" w14:textId="036453D9" w:rsidR="009B3BB0" w:rsidRPr="0024409C" w:rsidRDefault="009B3BB0" w:rsidP="009B3BB0">
      <w:pPr>
        <w:spacing w:before="180" w:line="360" w:lineRule="auto"/>
        <w:rPr>
          <w:rFonts w:ascii="Helvetica Neue" w:eastAsiaTheme="minorEastAsia" w:hAnsi="Helvetica Neue"/>
        </w:rPr>
      </w:pPr>
      <w:r w:rsidRPr="0024409C">
        <w:rPr>
          <w:rFonts w:ascii="Helvetica Neue" w:eastAsiaTheme="minorEastAsia" w:hAnsi="Helvetica Neue"/>
        </w:rPr>
        <w:t xml:space="preserve">Steps 5–7 occur within the </w:t>
      </w:r>
      <w:proofErr w:type="spellStart"/>
      <w:r w:rsidRPr="0024409C">
        <w:rPr>
          <w:rFonts w:ascii="Helvetica Neue" w:eastAsiaTheme="minorEastAsia" w:hAnsi="Helvetica Neue"/>
          <w:i/>
        </w:rPr>
        <w:t>Statnet</w:t>
      </w:r>
      <w:proofErr w:type="spellEnd"/>
      <w:r w:rsidRPr="0024409C">
        <w:rPr>
          <w:rFonts w:ascii="Helvetica Neue" w:eastAsiaTheme="minorEastAsia" w:hAnsi="Helvetica Neue"/>
        </w:rPr>
        <w:t xml:space="preserve"> </w:t>
      </w:r>
      <w:r w:rsidR="00E67CD7" w:rsidRPr="0024409C">
        <w:rPr>
          <w:rFonts w:ascii="Helvetica Neue" w:eastAsiaTheme="minorEastAsia" w:hAnsi="Helvetica Neue"/>
        </w:rPr>
        <w:t>software and</w:t>
      </w:r>
      <w:r w:rsidRPr="0024409C">
        <w:rPr>
          <w:rFonts w:ascii="Helvetica Neue" w:eastAsiaTheme="minorEastAsia" w:hAnsi="Helvetica Neue"/>
        </w:rPr>
        <w:t xml:space="preserve"> use the ERGM and STERGM methods therein. They are made most efficient by the use of an approximation in Step 6.</w:t>
      </w:r>
      <w:r w:rsidRPr="0024409C">
        <w:rPr>
          <w:rFonts w:ascii="Helvetica Neue" w:eastAsiaTheme="minorEastAsia" w:hAnsi="Helvetica Neue"/>
          <w:noProof/>
          <w:vertAlign w:val="superscript"/>
        </w:rPr>
        <w:fldChar w:fldCharType="begin" w:fldLock="1"/>
      </w:r>
      <w:r w:rsidR="00665BF2">
        <w:rPr>
          <w:rFonts w:ascii="Helvetica Neue" w:eastAsiaTheme="minorEastAsia" w:hAnsi="Helvetica Neue"/>
          <w:noProof/>
          <w:vertAlign w:val="superscript"/>
        </w:rPr>
        <w:instrText>ADDIN CSL_CITATION {"citationItems":[{"id":"ITEM-1","itemData":{"abstract":"There has been a great deal of interest recently in the modeling and simulation of dynamic networks, i.e., networks that change over time. One promising model is the separable temporal exponential-family random graph model (ERGM) of Krivitsky and Handcock, which treats the formation and dissolution of ties in parallel at each time step as independent ERGMs. However, the computational cost of fitting these models can be substantial, particularly for large, sparse networks. Fitting cross-sectional models for observations of a network at a single point in time, while still a non-negligible computational burden, is much easier. This paper examines model fitting when the available data consist of independent measures of cross-sectional network structure and the duration of relationships under the assumption of stationarity. We introduce a simple approximation to the dynamic parameters for sparse networks with relationships of moderate or long duration and show that the approximation method works best in precisely those cases where parameter estimation is most likely to fail-networks with very little change at each time step. We consider a variety of cases: Bernoulli formation and dissolution of ties, independent-tie formation and Bernoulli dissolution, independent-tie formation and dissolution, and dependent-tie formation models.","author":[{"dropping-particle":"","family":"Carnegie","given":"Nicole Bohme","non-dropping-particle":"","parse-names":false,"suffix":""},{"dropping-particle":"","family":"Krivitsky","given":"Pavel N.","non-dropping-particle":"","parse-names":false,"suffix":""},{"dropping-particle":"","family":"Hunter","given":"David R.","non-dropping-particle":"","parse-names":false,"suffix":""},{"dropping-particle":"","family":"Goodreau","given":"Steven M.","non-dropping-particle":"","parse-names":false,"suffix":""}],"container-title":"Journal of Computational and Graphical Statistics","id":"ITEM-1","issue":"2","issued":{"date-parts":[["2015","4"]]},"page":"502-519","title":"An Approximation Method for Improving Dynamic Network Model Fitting","type":"article-journal","volume":"24"},"uris":["http://www.mendeley.com/documents/?uuid=befd815c-9d9b-3a0d-822d-c1ff4434d403","http://www.mendeley.com/documents/?uuid=c6225d97-4dee-425e-85a1-a50232648d79"]}],"mendeley":{"formattedCitation":"&lt;sup&gt;10&lt;/sup&gt;","plainTextFormattedCitation":"10","previouslyFormattedCitation":"&lt;sup&gt;10&lt;/sup&gt;"},"properties":{"noteIndex":0},"schema":"https://github.com/citation-style-language/schema/raw/master/csl-citation.json"}</w:instrText>
      </w:r>
      <w:r w:rsidRPr="0024409C">
        <w:rPr>
          <w:rFonts w:ascii="Helvetica Neue" w:eastAsiaTheme="minorEastAsia" w:hAnsi="Helvetica Neue"/>
          <w:noProof/>
          <w:vertAlign w:val="superscript"/>
        </w:rPr>
        <w:fldChar w:fldCharType="separate"/>
      </w:r>
      <w:r w:rsidR="00E52119" w:rsidRPr="0024409C">
        <w:rPr>
          <w:rFonts w:ascii="Helvetica Neue" w:eastAsiaTheme="minorEastAsia" w:hAnsi="Helvetica Neue"/>
          <w:noProof/>
          <w:vertAlign w:val="superscript"/>
        </w:rPr>
        <w:t>10</w:t>
      </w:r>
      <w:r w:rsidRPr="0024409C">
        <w:rPr>
          <w:rFonts w:ascii="Helvetica Neue" w:eastAsiaTheme="minorEastAsia" w:hAnsi="Helvetica Neue"/>
          <w:noProof/>
          <w:vertAlign w:val="superscript"/>
        </w:rPr>
        <w:fldChar w:fldCharType="end"/>
      </w:r>
      <w:r w:rsidRPr="0024409C">
        <w:rPr>
          <w:rFonts w:ascii="Helvetica Neue" w:eastAsiaTheme="minorEastAsia" w:hAnsi="Helvetica Neue"/>
        </w:rPr>
        <w:t xml:space="preserve"> </w:t>
      </w:r>
      <w:r w:rsidRPr="0024409C">
        <w:rPr>
          <w:rFonts w:ascii="Helvetica Neue" w:hAnsi="Helvetica Neue"/>
        </w:rPr>
        <w:t xml:space="preserve">During the </w:t>
      </w:r>
      <w:r w:rsidRPr="0024409C">
        <w:rPr>
          <w:rFonts w:ascii="Helvetica Neue" w:hAnsi="Helvetica Neue"/>
        </w:rPr>
        <w:lastRenderedPageBreak/>
        <w:t xml:space="preserve">subsequent model simulation, we use the method of </w:t>
      </w:r>
      <w:proofErr w:type="spellStart"/>
      <w:r w:rsidRPr="0024409C">
        <w:rPr>
          <w:rFonts w:ascii="Helvetica Neue" w:hAnsi="Helvetica Neue"/>
        </w:rPr>
        <w:t>Krivitsky</w:t>
      </w:r>
      <w:proofErr w:type="spellEnd"/>
      <w:r w:rsidRPr="0024409C">
        <w:rPr>
          <w:rFonts w:ascii="Helvetica Neue" w:hAnsi="Helvetica Neue"/>
        </w:rPr>
        <w:t xml:space="preserve"> et al.</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{"citationItems":[{"id":"ITEM-1","itemData":{"abstract":"Exponential-family random graph models (ERGMs) provide a principled way to model and simulate features common in human social networks, such as propensities for homophily and friend-of-a-friend triad closure. We show that, without adjustment, ERGMs preserve density as network size increases. Density invariance is often not appropriate for social networks. We suggest a simple modification based on an offset which instead preserves the mean degree and accommodates changes in network composition asymptotically. We demonstrate that this approach allows ERGMs to be applied to the important situation of egocentrically sampled data. We analyze data from the National Health and Social Life Survey (NHSLS).","author":[{"dropping-particle":"","family":"Krivitsky","given":"Pavel N.","non-dropping-particle":"","parse-names":false,"suffix":""},{"dropping-particle":"","family":"Handcock","given":"Mark S.","non-dropping-particle":"","parse-names":false,"suffix":""},{"dropping-particle":"","family":"Morris","given":"Martina","non-dropping-particle":"","parse-names":false,"suffix":""}],"container-title":"Statistical Methodology","id":"ITEM-1","issue":"4","issued":{"date-parts":[["2011","7"]]},"page":"319-339","title":"Adjusting for network size and composition effects in exponential-family random graph models","type":"article-journal","volume":"8"},"uris":["http://www.mendeley.com/documents/?uuid=39ccfd64-8249-4786-8d48-2ecc82321a26"]}],"mendeley":{"formattedCitation":"&lt;sup&gt;11&lt;/sup&gt;","plainTextFormattedCitation":"11","previouslyFormattedCitation":"&lt;sup&gt;11&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11</w:t>
      </w:r>
      <w:r w:rsidRPr="0024409C">
        <w:rPr>
          <w:rFonts w:ascii="Helvetica Neue" w:hAnsi="Helvetica Neue"/>
          <w:noProof/>
          <w:vertAlign w:val="superscript"/>
        </w:rPr>
        <w:fldChar w:fldCharType="end"/>
      </w:r>
      <w:r w:rsidRPr="0024409C">
        <w:rPr>
          <w:rFonts w:ascii="Helvetica Neue" w:hAnsi="Helvetica Neue"/>
        </w:rPr>
        <w:t xml:space="preserve"> to adjust the coefficient for the first term in each model at each time step, in order to preserve the same expected mean degree (relationships per person) over time in the face of changing network size and nodal composition.</w:t>
      </w:r>
      <w:r w:rsidRPr="0024409C">
        <w:rPr>
          <w:rFonts w:ascii="Helvetica Neue" w:eastAsiaTheme="minorEastAsia" w:hAnsi="Helvetica Neue"/>
        </w:rPr>
        <w:t xml:space="preserve"> </w:t>
      </w:r>
      <w:r w:rsidRPr="0024409C">
        <w:rPr>
          <w:rFonts w:ascii="Helvetica Neue" w:hAnsi="Helvetica Neue"/>
        </w:rPr>
        <w:t xml:space="preserve">At all stages of the project, simulated partnership networks were checked to ensure that they indeed retained the expected cross-sectional structure and relational durations throughout the simulations. </w:t>
      </w:r>
    </w:p>
    <w:p w14:paraId="1325D69F" w14:textId="0EC42C5C" w:rsidR="009B3BB0" w:rsidRPr="0024409C" w:rsidRDefault="00273CDD" w:rsidP="002232EA">
      <w:pPr>
        <w:pStyle w:val="Heading1"/>
        <w:spacing w:before="300"/>
        <w:rPr>
          <w:rFonts w:ascii="Helvetica Neue" w:hAnsi="Helvetica Neue"/>
        </w:rPr>
      </w:pPr>
      <w:bookmarkStart w:id="7" w:name="_Toc2361367"/>
      <w:r w:rsidRPr="0024409C">
        <w:rPr>
          <w:rFonts w:ascii="Helvetica Neue" w:hAnsi="Helvetica Neue"/>
        </w:rPr>
        <w:t>3</w:t>
      </w:r>
      <w:r w:rsidR="009B3BB0" w:rsidRPr="0024409C">
        <w:rPr>
          <w:rFonts w:ascii="Helvetica Neue" w:hAnsi="Helvetica Neue"/>
        </w:rPr>
        <w:tab/>
        <w:t>BEHAVIOR WITHIN SEXUAL PARTNERSHIPS</w:t>
      </w:r>
      <w:bookmarkEnd w:id="7"/>
    </w:p>
    <w:p w14:paraId="2DA73F52" w14:textId="63A36458" w:rsidR="009B3BB0" w:rsidRPr="0024409C" w:rsidRDefault="009B3BB0" w:rsidP="009B3BB0">
      <w:pPr>
        <w:spacing w:line="360" w:lineRule="auto"/>
        <w:rPr>
          <w:rFonts w:ascii="Helvetica Neue" w:hAnsi="Helvetica Neue"/>
        </w:rPr>
      </w:pPr>
      <w:r w:rsidRPr="0024409C">
        <w:rPr>
          <w:rFonts w:ascii="Helvetica Neue" w:hAnsi="Helvetica Neue"/>
        </w:rPr>
        <w:t>We model four phenomena consecutively within relationships at each time step: HIV+ status disclosure, number of anal sex acts, condom use per sex ac</w:t>
      </w:r>
      <w:r w:rsidR="00DF0087" w:rsidRPr="0024409C">
        <w:rPr>
          <w:rFonts w:ascii="Helvetica Neue" w:hAnsi="Helvetica Neue"/>
        </w:rPr>
        <w:t>t, and sexual role per sex act.</w:t>
      </w:r>
    </w:p>
    <w:p w14:paraId="0434F10D" w14:textId="0C76BBFC" w:rsidR="009B3BB0" w:rsidRPr="0024409C" w:rsidRDefault="00273CDD" w:rsidP="009B3BB0">
      <w:pPr>
        <w:pStyle w:val="Heading2"/>
        <w:rPr>
          <w:rFonts w:ascii="Helvetica Neue" w:hAnsi="Helvetica Neue"/>
          <w:szCs w:val="22"/>
        </w:rPr>
      </w:pPr>
      <w:bookmarkStart w:id="8" w:name="_Toc2361368"/>
      <w:r w:rsidRPr="0024409C">
        <w:rPr>
          <w:rFonts w:ascii="Helvetica Neue" w:hAnsi="Helvetica Neue"/>
          <w:szCs w:val="22"/>
        </w:rPr>
        <w:t>3</w:t>
      </w:r>
      <w:r w:rsidR="009B3BB0" w:rsidRPr="0024409C">
        <w:rPr>
          <w:rFonts w:ascii="Helvetica Neue" w:hAnsi="Helvetica Neue"/>
          <w:szCs w:val="22"/>
        </w:rPr>
        <w:t xml:space="preserve">.1 </w:t>
      </w:r>
      <w:r w:rsidR="009B3BB0" w:rsidRPr="0024409C">
        <w:rPr>
          <w:rFonts w:ascii="Helvetica Neue" w:hAnsi="Helvetica Neue"/>
          <w:szCs w:val="22"/>
        </w:rPr>
        <w:tab/>
        <w:t>Disclosure</w:t>
      </w:r>
      <w:bookmarkEnd w:id="8"/>
    </w:p>
    <w:p w14:paraId="51437DC6" w14:textId="2E26316E" w:rsidR="009B3BB0" w:rsidRPr="0024409C" w:rsidRDefault="009B3BB0" w:rsidP="002C1E8A">
      <w:pPr>
        <w:spacing w:after="180" w:line="360" w:lineRule="auto"/>
        <w:rPr>
          <w:rFonts w:ascii="Helvetica Neue" w:hAnsi="Helvetica Neue"/>
        </w:rPr>
      </w:pPr>
      <w:r w:rsidRPr="0024409C">
        <w:rPr>
          <w:rFonts w:ascii="Helvetica Neue" w:hAnsi="Helvetica Neue"/>
        </w:rPr>
        <w:t>We model the process by which someone who knows he is HIV-positive discloses this fact to partners of a</w:t>
      </w:r>
      <w:r w:rsidR="004F1DC1" w:rsidRPr="0024409C">
        <w:rPr>
          <w:rFonts w:ascii="Helvetica Neue" w:hAnsi="Helvetica Neue"/>
        </w:rPr>
        <w:t xml:space="preserve">ll types. </w:t>
      </w:r>
      <w:r w:rsidRPr="0024409C">
        <w:rPr>
          <w:rFonts w:ascii="Helvetica Neue" w:hAnsi="Helvetica Neue"/>
        </w:rPr>
        <w:t>Disclosure affects subsequent decision-making around condom use.</w:t>
      </w:r>
      <w:r w:rsidR="004F1DC1" w:rsidRPr="0024409C">
        <w:rPr>
          <w:rFonts w:ascii="Helvetica Neue" w:hAnsi="Helvetica Neue"/>
        </w:rPr>
        <w:t xml:space="preserve"> </w:t>
      </w:r>
      <w:r w:rsidRPr="0024409C">
        <w:rPr>
          <w:rFonts w:ascii="Helvetica Neue" w:hAnsi="Helvetica Neue"/>
        </w:rPr>
        <w:t xml:space="preserve">We do not explicitly model other forms of </w:t>
      </w:r>
      <w:proofErr w:type="spellStart"/>
      <w:r w:rsidRPr="0024409C">
        <w:rPr>
          <w:rFonts w:ascii="Helvetica Neue" w:hAnsi="Helvetica Neue"/>
        </w:rPr>
        <w:t>serostatus</w:t>
      </w:r>
      <w:proofErr w:type="spellEnd"/>
      <w:r w:rsidRPr="0024409C">
        <w:rPr>
          <w:rFonts w:ascii="Helvetica Neue" w:hAnsi="Helvetica Neue"/>
        </w:rPr>
        <w:t xml:space="preserve"> discussion, since our source data do not include these; our behavioral estimates in the absence of HIV+ disclosure marginalize over those cases in which men disclose as concordant negative </w:t>
      </w:r>
      <w:r w:rsidR="00567DA0" w:rsidRPr="0024409C">
        <w:rPr>
          <w:rFonts w:ascii="Helvetica Neue" w:hAnsi="Helvetica Neue"/>
        </w:rPr>
        <w:t>or</w:t>
      </w:r>
      <w:r w:rsidRPr="0024409C">
        <w:rPr>
          <w:rFonts w:ascii="Helvetica Neue" w:hAnsi="Helvetica Neue"/>
        </w:rPr>
        <w:t xml:space="preserve"> do not discuss at all. Disclosure may occur at the point of a relation commencing (if HIV+ status is already known) or it may occur at the point of diagnosis, in the case of on-going relationships. In the former case, disclosure of HIV+ status was determined from the combined dyadic dataset using the HIV status of the respondent and their response to the question, “Did you and this partner share both of your HIV statuses before you first had sex?” In the latter case, we did not have data and assumed it to be universal.</w:t>
      </w:r>
    </w:p>
    <w:tbl>
      <w:tblPr>
        <w:tblStyle w:val="PlainTable21"/>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1110"/>
      </w:tblGrid>
      <w:tr w:rsidR="009B3BB0" w:rsidRPr="0024409C" w14:paraId="10FA78E5" w14:textId="77777777" w:rsidTr="00A2582E">
        <w:trPr>
          <w:cnfStyle w:val="100000000000" w:firstRow="1" w:lastRow="0" w:firstColumn="0" w:lastColumn="0" w:oddVBand="0" w:evenVBand="0" w:oddHBand="0"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shd w:val="clear" w:color="auto" w:fill="D9D9D9" w:themeFill="background1" w:themeFillShade="D9"/>
            <w:vAlign w:val="center"/>
          </w:tcPr>
          <w:p w14:paraId="253CEA6D" w14:textId="77777777" w:rsidR="009B3BB0" w:rsidRPr="0024409C" w:rsidRDefault="009B3BB0" w:rsidP="00A2582E">
            <w:pPr>
              <w:rPr>
                <w:rFonts w:ascii="Helvetica Neue" w:hAnsi="Helvetica Neue"/>
                <w:sz w:val="18"/>
                <w:szCs w:val="20"/>
              </w:rPr>
            </w:pPr>
            <w:r w:rsidRPr="0024409C">
              <w:rPr>
                <w:rFonts w:ascii="Helvetica Neue" w:hAnsi="Helvetica Neue"/>
                <w:sz w:val="18"/>
                <w:szCs w:val="20"/>
              </w:rPr>
              <w:t>Probability of Disclosure of HIV+ Status</w:t>
            </w:r>
          </w:p>
        </w:tc>
        <w:tc>
          <w:tcPr>
            <w:tcW w:w="1110" w:type="dxa"/>
            <w:shd w:val="clear" w:color="auto" w:fill="D9D9D9" w:themeFill="background1" w:themeFillShade="D9"/>
            <w:vAlign w:val="center"/>
          </w:tcPr>
          <w:p w14:paraId="2CFA14BE" w14:textId="77777777" w:rsidR="009B3BB0" w:rsidRPr="0024409C" w:rsidRDefault="009B3BB0" w:rsidP="00A2582E">
            <w:pPr>
              <w:jc w:val="center"/>
              <w:cnfStyle w:val="100000000000" w:firstRow="1"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Probability</w:t>
            </w:r>
          </w:p>
        </w:tc>
      </w:tr>
      <w:tr w:rsidR="009B3BB0" w:rsidRPr="0024409C" w14:paraId="7DD884E2" w14:textId="77777777" w:rsidTr="00A2582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73FCA1AF"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new main partner at outset of relationship</w:t>
            </w:r>
          </w:p>
        </w:tc>
        <w:tc>
          <w:tcPr>
            <w:tcW w:w="1110" w:type="dxa"/>
            <w:vAlign w:val="center"/>
          </w:tcPr>
          <w:p w14:paraId="3DD3B521" w14:textId="77777777" w:rsidR="009B3BB0" w:rsidRPr="0024409C" w:rsidRDefault="009B3BB0" w:rsidP="00A2582E">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78.7%</w:t>
            </w:r>
          </w:p>
        </w:tc>
      </w:tr>
      <w:tr w:rsidR="009B3BB0" w:rsidRPr="0024409C" w14:paraId="1E906653" w14:textId="77777777" w:rsidTr="00A2582E">
        <w:trPr>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766EC065"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new casual partner at outset of relationship</w:t>
            </w:r>
          </w:p>
        </w:tc>
        <w:tc>
          <w:tcPr>
            <w:tcW w:w="1110" w:type="dxa"/>
            <w:vAlign w:val="center"/>
          </w:tcPr>
          <w:p w14:paraId="11D7CAEB" w14:textId="77777777" w:rsidR="009B3BB0" w:rsidRPr="0024409C" w:rsidRDefault="009B3BB0" w:rsidP="00A2582E">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67.8%</w:t>
            </w:r>
          </w:p>
        </w:tc>
      </w:tr>
      <w:tr w:rsidR="009B3BB0" w:rsidRPr="0024409C" w14:paraId="0F3DC8C8" w14:textId="77777777" w:rsidTr="00A2582E">
        <w:trPr>
          <w:cnfStyle w:val="000000100000" w:firstRow="0" w:lastRow="0" w:firstColumn="0" w:lastColumn="0" w:oddVBand="0" w:evenVBand="0" w:oddHBand="1" w:evenHBand="0" w:firstRowFirstColumn="0" w:firstRowLastColumn="0" w:lastRowFirstColumn="0" w:lastRowLastColumn="0"/>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24B24689"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one-time contact</w:t>
            </w:r>
          </w:p>
        </w:tc>
        <w:tc>
          <w:tcPr>
            <w:tcW w:w="1110" w:type="dxa"/>
            <w:vAlign w:val="center"/>
          </w:tcPr>
          <w:p w14:paraId="6648BB14" w14:textId="77777777" w:rsidR="009B3BB0" w:rsidRPr="0024409C" w:rsidRDefault="009B3BB0" w:rsidP="00A2582E">
            <w:pPr>
              <w:jc w:val="center"/>
              <w:cnfStyle w:val="000000100000" w:firstRow="0" w:lastRow="0" w:firstColumn="0" w:lastColumn="0" w:oddVBand="0" w:evenVBand="0" w:oddHBand="1"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56.8%</w:t>
            </w:r>
          </w:p>
        </w:tc>
      </w:tr>
      <w:tr w:rsidR="009B3BB0" w:rsidRPr="0024409C" w14:paraId="36A70DF4" w14:textId="77777777" w:rsidTr="00A2582E">
        <w:trPr>
          <w:trHeight w:val="389"/>
          <w:jc w:val="center"/>
        </w:trPr>
        <w:tc>
          <w:tcPr>
            <w:cnfStyle w:val="001000000000" w:firstRow="0" w:lastRow="0" w:firstColumn="1" w:lastColumn="0" w:oddVBand="0" w:evenVBand="0" w:oddHBand="0" w:evenHBand="0" w:firstRowFirstColumn="0" w:firstRowLastColumn="0" w:lastRowFirstColumn="0" w:lastRowLastColumn="0"/>
            <w:tcW w:w="5731" w:type="dxa"/>
            <w:vAlign w:val="center"/>
          </w:tcPr>
          <w:p w14:paraId="504C6451" w14:textId="77777777" w:rsidR="009B3BB0" w:rsidRPr="0024409C" w:rsidRDefault="009B3BB0" w:rsidP="00A2582E">
            <w:pPr>
              <w:rPr>
                <w:rFonts w:ascii="Helvetica Neue" w:hAnsi="Helvetica Neue"/>
                <w:b w:val="0"/>
                <w:sz w:val="18"/>
                <w:szCs w:val="20"/>
              </w:rPr>
            </w:pPr>
            <w:r w:rsidRPr="0024409C">
              <w:rPr>
                <w:rFonts w:ascii="Helvetica Neue" w:hAnsi="Helvetica Neue"/>
                <w:b w:val="0"/>
                <w:sz w:val="18"/>
                <w:szCs w:val="20"/>
              </w:rPr>
              <w:t xml:space="preserve">   to ongoing partner if diagnosis occurs during relationship</w:t>
            </w:r>
          </w:p>
        </w:tc>
        <w:tc>
          <w:tcPr>
            <w:tcW w:w="1110" w:type="dxa"/>
            <w:vAlign w:val="center"/>
          </w:tcPr>
          <w:p w14:paraId="1DB15217" w14:textId="77777777" w:rsidR="009B3BB0" w:rsidRPr="0024409C" w:rsidRDefault="009B3BB0" w:rsidP="00A2582E">
            <w:pPr>
              <w:jc w:val="center"/>
              <w:cnfStyle w:val="000000000000" w:firstRow="0" w:lastRow="0" w:firstColumn="0" w:lastColumn="0" w:oddVBand="0" w:evenVBand="0" w:oddHBand="0" w:evenHBand="0" w:firstRowFirstColumn="0" w:firstRowLastColumn="0" w:lastRowFirstColumn="0" w:lastRowLastColumn="0"/>
              <w:rPr>
                <w:rFonts w:ascii="Helvetica Neue" w:hAnsi="Helvetica Neue"/>
                <w:sz w:val="18"/>
                <w:szCs w:val="20"/>
              </w:rPr>
            </w:pPr>
            <w:r w:rsidRPr="0024409C">
              <w:rPr>
                <w:rFonts w:ascii="Helvetica Neue" w:hAnsi="Helvetica Neue"/>
                <w:sz w:val="18"/>
                <w:szCs w:val="20"/>
              </w:rPr>
              <w:t>100%</w:t>
            </w:r>
          </w:p>
        </w:tc>
      </w:tr>
    </w:tbl>
    <w:p w14:paraId="41CF1C10" w14:textId="08FDA1D1" w:rsidR="009B3BB0" w:rsidRPr="0024409C" w:rsidRDefault="00273CDD" w:rsidP="009B3BB0">
      <w:pPr>
        <w:pStyle w:val="Heading2"/>
        <w:spacing w:before="300"/>
        <w:rPr>
          <w:rFonts w:ascii="Helvetica Neue" w:hAnsi="Helvetica Neue"/>
          <w:szCs w:val="22"/>
        </w:rPr>
      </w:pPr>
      <w:bookmarkStart w:id="9" w:name="_Toc2361369"/>
      <w:r w:rsidRPr="0024409C">
        <w:rPr>
          <w:rFonts w:ascii="Helvetica Neue" w:hAnsi="Helvetica Neue"/>
          <w:szCs w:val="22"/>
        </w:rPr>
        <w:lastRenderedPageBreak/>
        <w:t>3</w:t>
      </w:r>
      <w:r w:rsidR="009B3BB0" w:rsidRPr="0024409C">
        <w:rPr>
          <w:rFonts w:ascii="Helvetica Neue" w:hAnsi="Helvetica Neue"/>
          <w:szCs w:val="22"/>
        </w:rPr>
        <w:t xml:space="preserve">.2 </w:t>
      </w:r>
      <w:r w:rsidR="009B3BB0" w:rsidRPr="0024409C">
        <w:rPr>
          <w:rFonts w:ascii="Helvetica Neue" w:hAnsi="Helvetica Neue"/>
          <w:szCs w:val="22"/>
        </w:rPr>
        <w:tab/>
        <w:t>Number of AI Acts</w:t>
      </w:r>
      <w:bookmarkEnd w:id="9"/>
    </w:p>
    <w:p w14:paraId="41746429" w14:textId="77777777" w:rsidR="009B3BB0" w:rsidRPr="0024409C" w:rsidRDefault="009B3BB0" w:rsidP="009B3BB0">
      <w:pPr>
        <w:spacing w:after="180" w:line="360" w:lineRule="auto"/>
        <w:rPr>
          <w:rFonts w:ascii="Helvetica Neue" w:hAnsi="Helvetica Neue"/>
        </w:rPr>
      </w:pPr>
      <w:r w:rsidRPr="0024409C">
        <w:rPr>
          <w:rFonts w:ascii="Helvetica Neue" w:hAnsi="Helvetica Neue"/>
        </w:rPr>
        <w:t xml:space="preserve">The number of anal sex acts per week for each ongoing relationship is determined from a Poisson draw, with mean specific to the relational type. For one-time contacts, the number is set deterministically to 1 for the time step in which it occurs. </w:t>
      </w:r>
    </w:p>
    <w:tbl>
      <w:tblPr>
        <w:tblStyle w:val="TableGrid"/>
        <w:tblW w:w="4770" w:type="dxa"/>
        <w:jc w:val="center"/>
        <w:tblLook w:val="04A0" w:firstRow="1" w:lastRow="0" w:firstColumn="1" w:lastColumn="0" w:noHBand="0" w:noVBand="1"/>
      </w:tblPr>
      <w:tblGrid>
        <w:gridCol w:w="3420"/>
        <w:gridCol w:w="1350"/>
      </w:tblGrid>
      <w:tr w:rsidR="009B3BB0" w:rsidRPr="0024409C" w14:paraId="56637996" w14:textId="77777777" w:rsidTr="00A2582E">
        <w:trPr>
          <w:trHeight w:val="389"/>
          <w:jc w:val="center"/>
        </w:trPr>
        <w:tc>
          <w:tcPr>
            <w:tcW w:w="3420" w:type="dxa"/>
            <w:shd w:val="clear" w:color="auto" w:fill="D9D9D9" w:themeFill="background1" w:themeFillShade="D9"/>
            <w:vAlign w:val="center"/>
          </w:tcPr>
          <w:p w14:paraId="29334446" w14:textId="77777777" w:rsidR="009B3BB0" w:rsidRPr="0024409C" w:rsidRDefault="009B3BB0" w:rsidP="00A2582E">
            <w:pPr>
              <w:rPr>
                <w:rFonts w:ascii="Helvetica Neue" w:hAnsi="Helvetica Neue"/>
                <w:b/>
                <w:sz w:val="18"/>
              </w:rPr>
            </w:pPr>
            <w:r w:rsidRPr="0024409C">
              <w:rPr>
                <w:rFonts w:ascii="Helvetica Neue" w:hAnsi="Helvetica Neue"/>
                <w:b/>
                <w:sz w:val="18"/>
              </w:rPr>
              <w:t>AI Acts/Week/Partnership</w:t>
            </w:r>
          </w:p>
        </w:tc>
        <w:tc>
          <w:tcPr>
            <w:tcW w:w="1350" w:type="dxa"/>
            <w:shd w:val="clear" w:color="auto" w:fill="D9D9D9" w:themeFill="background1" w:themeFillShade="D9"/>
            <w:vAlign w:val="center"/>
          </w:tcPr>
          <w:p w14:paraId="2ECF00EE"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Frequency</w:t>
            </w:r>
          </w:p>
        </w:tc>
      </w:tr>
      <w:tr w:rsidR="009B3BB0" w:rsidRPr="0024409C" w14:paraId="15512C1D" w14:textId="77777777" w:rsidTr="00A2582E">
        <w:trPr>
          <w:trHeight w:val="389"/>
          <w:jc w:val="center"/>
        </w:trPr>
        <w:tc>
          <w:tcPr>
            <w:tcW w:w="3420" w:type="dxa"/>
            <w:vAlign w:val="center"/>
          </w:tcPr>
          <w:p w14:paraId="413C4223" w14:textId="77777777" w:rsidR="009B3BB0" w:rsidRPr="0024409C" w:rsidRDefault="009B3BB0" w:rsidP="00A2582E">
            <w:pPr>
              <w:rPr>
                <w:rFonts w:ascii="Helvetica Neue" w:hAnsi="Helvetica Neue"/>
                <w:sz w:val="18"/>
              </w:rPr>
            </w:pPr>
            <w:r w:rsidRPr="0024409C">
              <w:rPr>
                <w:rFonts w:ascii="Helvetica Neue" w:hAnsi="Helvetica Neue"/>
                <w:sz w:val="18"/>
              </w:rPr>
              <w:t>Main partnerships</w:t>
            </w:r>
          </w:p>
        </w:tc>
        <w:tc>
          <w:tcPr>
            <w:tcW w:w="1350" w:type="dxa"/>
            <w:vAlign w:val="center"/>
          </w:tcPr>
          <w:p w14:paraId="3FC21FF7" w14:textId="77777777" w:rsidR="009B3BB0" w:rsidRPr="0024409C" w:rsidRDefault="009B3BB0" w:rsidP="00A2582E">
            <w:pPr>
              <w:jc w:val="center"/>
              <w:rPr>
                <w:rFonts w:ascii="Helvetica Neue" w:hAnsi="Helvetica Neue"/>
                <w:sz w:val="18"/>
              </w:rPr>
            </w:pPr>
            <w:r w:rsidRPr="0024409C">
              <w:rPr>
                <w:rFonts w:ascii="Helvetica Neue" w:hAnsi="Helvetica Neue"/>
                <w:sz w:val="18"/>
              </w:rPr>
              <w:t>1.54</w:t>
            </w:r>
          </w:p>
        </w:tc>
      </w:tr>
      <w:tr w:rsidR="009B3BB0" w:rsidRPr="0024409C" w14:paraId="4E732DAD" w14:textId="77777777" w:rsidTr="00A2582E">
        <w:trPr>
          <w:trHeight w:val="389"/>
          <w:jc w:val="center"/>
        </w:trPr>
        <w:tc>
          <w:tcPr>
            <w:tcW w:w="3420" w:type="dxa"/>
            <w:vAlign w:val="center"/>
          </w:tcPr>
          <w:p w14:paraId="6615FECB"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partnerships</w:t>
            </w:r>
          </w:p>
        </w:tc>
        <w:tc>
          <w:tcPr>
            <w:tcW w:w="1350" w:type="dxa"/>
            <w:vAlign w:val="center"/>
          </w:tcPr>
          <w:p w14:paraId="74DC9CAA" w14:textId="77777777" w:rsidR="009B3BB0" w:rsidRPr="0024409C" w:rsidRDefault="009B3BB0" w:rsidP="00A2582E">
            <w:pPr>
              <w:jc w:val="center"/>
              <w:rPr>
                <w:rFonts w:ascii="Helvetica Neue" w:hAnsi="Helvetica Neue"/>
                <w:sz w:val="18"/>
              </w:rPr>
            </w:pPr>
            <w:r w:rsidRPr="0024409C">
              <w:rPr>
                <w:rFonts w:ascii="Helvetica Neue" w:hAnsi="Helvetica Neue"/>
                <w:sz w:val="18"/>
              </w:rPr>
              <w:t>0.96</w:t>
            </w:r>
          </w:p>
        </w:tc>
      </w:tr>
    </w:tbl>
    <w:p w14:paraId="33AC32DF" w14:textId="043B5600" w:rsidR="009B3BB0" w:rsidRPr="0024409C" w:rsidRDefault="009B3BB0" w:rsidP="009B3BB0">
      <w:pPr>
        <w:spacing w:before="240" w:line="360" w:lineRule="auto"/>
        <w:rPr>
          <w:rFonts w:ascii="Helvetica Neue" w:hAnsi="Helvetica Neue"/>
        </w:rPr>
      </w:pPr>
      <w:r w:rsidRPr="0024409C">
        <w:rPr>
          <w:rFonts w:ascii="Helvetica Neue" w:hAnsi="Helvetica Neue"/>
        </w:rPr>
        <w:t xml:space="preserve">These rates were calculated based on the two Atlanta studies, derived from questions asking </w:t>
      </w:r>
      <w:r w:rsidR="00E62A7A" w:rsidRPr="0024409C">
        <w:rPr>
          <w:rFonts w:ascii="Helvetica Neue" w:hAnsi="Helvetica Neue"/>
        </w:rPr>
        <w:t xml:space="preserve">about </w:t>
      </w:r>
      <w:r w:rsidRPr="0024409C">
        <w:rPr>
          <w:rFonts w:ascii="Helvetica Neue" w:hAnsi="Helvetica Neue"/>
        </w:rPr>
        <w:t>the number of coital acts per partnership during the recall periods.</w:t>
      </w:r>
      <w:r w:rsidRPr="0024409C">
        <w:rPr>
          <w:rFonts w:ascii="Helvetica Neue" w:hAnsi="Helvetica Neue"/>
          <w:noProof/>
          <w:vertAlign w:val="superscript"/>
        </w:rPr>
        <w:t>10,11</w:t>
      </w:r>
      <w:r w:rsidR="00140356" w:rsidRPr="0024409C">
        <w:rPr>
          <w:rFonts w:ascii="Helvetica Neue" w:hAnsi="Helvetica Neue"/>
        </w:rPr>
        <w:t xml:space="preserve"> </w:t>
      </w:r>
      <w:proofErr w:type="gramStart"/>
      <w:r w:rsidRPr="0024409C">
        <w:rPr>
          <w:rFonts w:ascii="Helvetica Neue" w:hAnsi="Helvetica Neue"/>
        </w:rPr>
        <w:t>These</w:t>
      </w:r>
      <w:proofErr w:type="gramEnd"/>
      <w:r w:rsidRPr="0024409C">
        <w:rPr>
          <w:rFonts w:ascii="Helvetica Neue" w:hAnsi="Helvetica Neue"/>
        </w:rPr>
        <w:t xml:space="preserve"> were then rescaled from the length of the recall period into the weekly rates listed in the table above.</w:t>
      </w:r>
    </w:p>
    <w:p w14:paraId="70285380" w14:textId="53BA1642" w:rsidR="009B3BB0" w:rsidRPr="0024409C" w:rsidRDefault="00273CDD" w:rsidP="009B3BB0">
      <w:pPr>
        <w:pStyle w:val="Heading2"/>
        <w:rPr>
          <w:rFonts w:ascii="Helvetica Neue" w:hAnsi="Helvetica Neue"/>
          <w:szCs w:val="22"/>
        </w:rPr>
      </w:pPr>
      <w:bookmarkStart w:id="10" w:name="_Toc2361370"/>
      <w:r w:rsidRPr="0024409C">
        <w:rPr>
          <w:rFonts w:ascii="Helvetica Neue" w:hAnsi="Helvetica Neue"/>
          <w:szCs w:val="22"/>
        </w:rPr>
        <w:t>3</w:t>
      </w:r>
      <w:r w:rsidR="007A6506" w:rsidRPr="0024409C">
        <w:rPr>
          <w:rFonts w:ascii="Helvetica Neue" w:hAnsi="Helvetica Neue"/>
          <w:szCs w:val="22"/>
        </w:rPr>
        <w:t xml:space="preserve">.3 </w:t>
      </w:r>
      <w:r w:rsidR="007A6506" w:rsidRPr="0024409C">
        <w:rPr>
          <w:rFonts w:ascii="Helvetica Neue" w:hAnsi="Helvetica Neue"/>
          <w:szCs w:val="22"/>
        </w:rPr>
        <w:tab/>
        <w:t>Condom U</w:t>
      </w:r>
      <w:r w:rsidR="009B3BB0" w:rsidRPr="0024409C">
        <w:rPr>
          <w:rFonts w:ascii="Helvetica Neue" w:hAnsi="Helvetica Neue"/>
          <w:szCs w:val="22"/>
        </w:rPr>
        <w:t>se</w:t>
      </w:r>
      <w:bookmarkEnd w:id="10"/>
    </w:p>
    <w:p w14:paraId="56184212" w14:textId="138A16F8" w:rsidR="009B3BB0" w:rsidRPr="0024409C" w:rsidRDefault="009B3BB0" w:rsidP="009B3BB0">
      <w:pPr>
        <w:spacing w:line="360" w:lineRule="auto"/>
        <w:rPr>
          <w:rFonts w:ascii="Helvetica Neue" w:hAnsi="Helvetica Neue"/>
        </w:rPr>
      </w:pPr>
      <w:r w:rsidRPr="0024409C">
        <w:rPr>
          <w:rFonts w:ascii="Helvetica Neue" w:hAnsi="Helvetica Neue"/>
        </w:rPr>
        <w:t>We conducted logistic regressions to identify the significant predictors of condom use within HIV-discordant relationships (whether diagnosed or not) in our data. Respondents were asked if they had had unprotected anal sex with each partner during the recall periods.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{"citationItems":[{"id":"ITEM-1","itemData":{"ISSN":"10472797","abstract":"PURPOSE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4.2–9.7) than white MSM (1.7/100 PY; CI: 0.7–3.3) and highest among young (18–24 years) black MSM (10.9/100 PY; CI: 6.2–17.6). The unadjusted hazard of HIV infection for black MSM was 2.9 (CI: 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MSM.","author":[{"dropping-particle":"","family":"Sullivan","given":"Patrick S.","non-dropping-particle":"","parse-names":false,"suffix":""},{"dropping-particle":"","family":"Rosenberg","given":"Eli S.","non-dropping-particle":"","parse-names":false,"suffix":""},{"dropping-particle":"","family":"Sanchez","given":"Travis H.","non-dropping-particle":"","parse-names":false,"suffix":""},{"dropping-particle":"","family":"Kelley","given":"Colleen F.","non-dropping-particle":"","parse-names":false,"suffix":""},{"dropping-particle":"","family":"Luisi","given":"Nicole","non-dropping-particle":"","parse-names":false,"suffix":""},{"dropping-particle":"","family":"Cooper","given":"Hannah L.","non-dropping-particle":"","parse-names":false,"suffix":""},{"dropping-particle":"","family":"Diclemente","given":"Ralph J.","non-dropping-particle":"","parse-names":false,"suffix":""},{"dropping-particle":"","family":"Wingood","given":"Gina M.","non-dropping-particle":"","parse-names":false,"suffix":""},{"dropping-particle":"","family":"Frew","given":"Paula M.","non-dropping-particle":"","parse-names":false,"suffix":""},{"dropping-particle":"","family":"Salazar","given":"Laura F.","non-dropping-particle":"","parse-names":false,"suffix":""},{"dropping-particle":"","family":"Rio","given":"Carlos","non-dropping-particle":"del","parse-names":false,"suffix":""},{"dropping-particle":"","family":"Mulligan","given":"Mark J.","non-dropping-particle":"","parse-names":false,"suffix":""},{"dropping-particle":"","family":"Peterson","given":"John L.","non-dropping-particle":"","parse-names":false,"suffix":""}],"container-title":"Ann Epidemiol","id":"ITEM-1","issue":"6","issued":{"date-parts":[["2015"]]},"page":"445-454","title":"Explaining racial disparities in HIV incidence in black and white men who have sex with men in Atlanta, GA: a prospective observational cohort study","type":"article-journal","volume":"25"},"uris":["http://www.mendeley.com/documents/?uuid=0ca47ab6-493a-43f9-b1d0-48e2041b9866"]},{"id":"ITEM-2","itemData":{"author":[{"dropping-particle":"","family":"Grey","given":"Jeremy Alexander","non-dropping-particle":"","parse-names":false,"suffix":""},{"dropping-particle":"","family":"Rothenberg","given":"Richard B.","non-dropping-particle":"","parse-names":false,"suffix":""},{"dropping-particle":"","family":"Sullivan","given":"Patrick Sean","non-dropping-particle":"","parse-names":false,"suffix":""},{"dropping-particle":"","family":"Rosenberg","given":"Eli Samuel","non-dropping-particle":"","parse-names":false,"suffix":""},{"dropping-particle":"","family":"Zhu","given":"Y","non-dropping-particle":"","parse-names":false,"suffix":""},{"dropping-particle":"","family":"Weiss","given":"RE","non-dropping-particle":"","parse-names":false,"suffix":""},{"dropping-particle":"","family":"Balaji","given":"AB","non-dropping-particle":"","parse-names":false,"suffix":""},{"dropping-particle":"","family":"Bowles","given":"KE","non-dropping-particle":"","parse-names":false,"suffix":""},{"dropping-particle":"","family":"Le","given":"BC","non-dropping-particle":"","parse-names":false,"suffix":""},{"dropping-particle":"","family":"Paz-Bailey","given":"G","non-dropping-particle":"","parse-names":false,"suffix":""},{"dropping-particle":"","family":"Oster","given":"AM","non-dropping-particle":"","parse-names":false,"suffix":""},{"dropping-particle":"","family":"Millett","given":"GA","non-dropping-particle":"","parse-names":false,"suffix":""},{"dropping-particle":"","family":"Flores","given":"SA","non-dropping-particle":"","parse-names":false,"suffix":""},{"dropping-particle":"","family":"Peterson","given":"JL","non-dropping-particle":"","parse-names":false,"suffix":""},{"dropping-particle":"","family":"Bakeman","given":"R","non-dropping-particle":"","parse-names":false,"suffix":""},{"dropping-particle":"","family":"Millett","given":"GA","non-dropping-particle":"","parse-names":false,"suffix":""},{"dropping-particle":"","family":"Peterson","given":"JL","non-dropping-particle":"","parse-names":false,"suffix":""},{"dropping-particle":"","family":"Flores","given":"SA","non-dropping-particle":"","parse-names":false,"suffix":""},{"dropping-particle":"","family":"Hart","given":"TA","non-dropping-particle":"","parse-names":false,"suffix":""},{"dropping-particle":"","family":"Jeffries","given":"W","non-dropping-particle":"","parse-names":false,"suffix":""},{"dropping-particle":"","family":"Wilson","given":"PA","non-dropping-particle":"","parse-names":false,"suffix":""},{"dropping-particle":"","family":"Millett","given":"GA","non-dropping-particle":"","parse-names":false,"suffix":""},{"dropping-particle":"","family":"Peterson","given":"JL","non-dropping-particle":"","parse-names":false,"suffix":""},{"dropping-particle":"","family":"Wolitski","given":"RJ","non-dropping-particle":"","parse-names":false,"suffix":""},{"dropping-particle":"","family":"Stall","given":"R","non-dropping-particle":"","parse-names":false,"suffix":""},{"dropping-particle":"","family":"Oster","given":"AM","non-dropping-particle":"","parse-names":false,"suffix":""},{"dropping-particle":"","family":"Wiegand","given":"RE","non-dropping-particle":"","parse-names":false,"suffix":""},{"dropping-particle":"","family":"Sionean","given":"C","non-dropping-particle":"","parse-names":false,"suffix":""},{"dropping-particle":"","family":"Miles","given":"IJ","non-dropping-particle":"","parse-names":false,"suffix":""},{"dropping-particle":"","family":"Thomas","given":"PE","non-dropping-particle":"","parse-names":false,"suffix":""},{"dropping-particle":"","family":"Melendez-Morales","given":"L","non-dropping-particle":"","parse-names":false,"suffix":""},{"dropping-particle":"","family":"Maulsby","given":"C","non-dropping-particle":"","parse-names":false,"suffix":""},{"dropping-particle":"","family":"Millett","given":"G","non-dropping-particle":"","parse-names":false,"suffix":""},{"dropping-particle":"","family":"Lindsey","given":"K","non-dropping-particle":"","parse-names":false,"suffix":""},{"dropping-particle":"","family":"Kelley","given":"R","non-dropping-particle":"","parse-names":false,"suffix":""},{"dropping-particle":"","family":"Johnson","given":"K","non-dropping-particle":"","parse-names":false,"suffix":""},{"dropping-particle":"","family":"Montoya","given":"D","non-dropping-particle":"","parse-names":false,"suffix":""},{"dropping-particle":"","family":"Mustanski","given":"B","non-dropping-particle":"","parse-names":false,"suffix":""},{"dropping-particle":"","family":"Newcomb","given":"ME","non-dropping-particle":"","parse-names":false,"suffix":""},{"dropping-particle":"","family":"Laumann","given":"EO","non-dropping-particle":"","parse-names":false,"suffix":""},{"dropping-particle":"","family":"Youm","given":"Y","non-dropping-particle":"","parse-names":false,"suffix":""},{"dropping-particle":"","family":"Blower","given":"SM","non-dropping-particle":"","parse-names":false,"suffix":""},{"dropping-particle":"","family":"Service","given":"SK","non-dropping-particle":"","parse-names":false,"suffix":""},{"dropping-particle":"","family":"Osmond","given":"D","non-dropping-particle":"","parse-names":false,"suffix":""},{"dropping-particle":"","family":"Service","given":"SK","non-dropping-particle":"","parse-names":false,"suffix":""},{"dropping-particle":"","family":"Blower","given":"SM","non-dropping-particle":"","parse-names":false,"suffix":""},{"dropping-particle":"","family":"Service","given":"SK","non-dropping-particle":"","parse-names":false,"suffix":""},{"dropping-particle":"","family":"Blower","given":"SM","non-dropping-particle":"","parse-names":false,"suffix":""},{"dropping-particle":"","family":"Sullivan","given":"PS","non-dropping-particle":"","parse-names":false,"suffix":""},{"dropping-particle":"","family":"Khosropour","given":"CM","non-dropping-particle":"","parse-names":false,"suffix":""},{"dropping-particle":"","family":"Luisi","given":"N","non-dropping-particle":"","parse-names":false,"suffix":""},{"dropping-particle":"","family":"Amsden","given":"M","non-dropping-particle":"","parse-names":false,"suffix":""},{"dropping-particle":"","family":"Coggia","given":"T","non-dropping-particle":"","parse-names":false,"suffix":""},{"dropping-particle":"","family":"Wingood","given":"G","non-dropping-particle":"","parse-names":false,"suffix":""},{"dropping-particle":"","family":"Khosropour","given":"CM","non-dropping-particle":"","parse-names":false,"suffix":""},{"dropping-particle":"","family":"Sullivan","given":"PS","non-dropping-particle":"","parse-names":false,"suffix":""},{"dropping-particle":"","family":"Kelley","given":"CF","non-dropping-particle":"","parse-names":false,"suffix":""},{"dropping-particle":"","family":"Rosenberg","given":"ES","non-dropping-particle":"","parse-names":false,"suffix":""},{"dropping-particle":"","family":"O'Hara","given":"BM","non-dropping-particle":"","parse-names":false,"suffix":""},{"dropping-particle":"","family":"Frew","given":"PM","non-dropping-particle":"","parse-names":false,"suffix":""},{"dropping-particle":"","family":"Sanchez","given":"T","non-dropping-particle":"","parse-names":false,"suffix":""},{"dropping-particle":"","family":"Peterson","given":"JL","non-dropping-particle":"","parse-names":false,"suffix":""},{"dropping-particle":"","family":"Sullivan","given":"PS","non-dropping-particle":"","parse-names":false,"suffix":""},{"dropping-particle":"","family":"Peterson","given":"JR","non-dropping-particle":"","parse-names":false,"suffix":""},{"dropping-particle":"","family":"Rosenberg","given":"ES","non-dropping-particle":"","parse-names":false,"suffix":""},{"dropping-particle":"","family":"Kelley","given":"C","non-dropping-particle":"","parse-names":false,"suffix":""},{"dropping-particle":"","family":"Cooper","given":"H","non-dropping-particle":"","parse-names":false,"suffix":""},{"dropping-particle":"","family":"Vaughan","given":"A","non-dropping-particle":"","parse-names":false,"suffix":""},{"dropping-particle":"","family":"Rosenberg","given":"ES","non-dropping-particle":"","parse-names":false,"suffix":""},{"dropping-particle":"","family":"Staple","given":"T","non-dropping-particle":"","parse-names":false,"suffix":""},{"dropping-particle":"","family":"Rothenberg","given":"R","non-dropping-particle":"","parse-names":false,"suffix":""},{"dropping-particle":"","family":"Sullivan","given":"P","non-dropping-particle":"","parse-names":false,"suffix":""},{"dropping-particle":"","family":"MacKellar","given":"DA","non-dropping-particle":"","parse-names":false,"suffix":""},{"dropping-particle":"","family":"Gallagher","given":"KM","non-dropping-particle":"","parse-names":false,"suffix":""},{"dropping-particle":"","family":"Finlayson","given":"T","non-dropping-particle":"","parse-names":false,"suffix":""},{"dropping-particle":"","family":"Sanchez","given":"T","non-dropping-particle":"","parse-names":false,"suffix":""},{"dropping-particle":"","family":"Lansky","given":"A","non-dropping-particle":"","parse-names":false,"suffix":""},{"dropping-particle":"","family":"Sullivan","given":"PS","non-dropping-particle":"","parse-names":false,"suffix":""},{"dropping-particle":"","family":"Rosenberg","given":"ES","non-dropping-particle":"","parse-names":false,"suffix":""},{"dropping-particle":"","family":"Rothenberg","given":"RB","non-dropping-particle":"","parse-names":false,"suffix":""},{"dropping-particle":"","family":"Kleinbaum","given":"DG","non-dropping-particle":"","parse-names":false,"suffix":""},{"dropping-particle":"","family":"Stephenson","given":"RB","non-dropping-particle":"","parse-names":false,"suffix":""},{"dropping-particle":"","family":"Sullivan","given":"PS","non-dropping-particle":"","parse-names":false,"suffix":""},{"dropping-particle":"","family":"Aral","given":"SO","non-dropping-particle":"","parse-names":false,"suffix":""},{"dropping-particle":"","family":"Lin","given":"LI","non-dropping-particle":"","parse-names":false,"suffix":""},{"dropping-particle":"","family":"Morris","given":"M","non-dropping-particle":"","parse-names":false,"suffix":""},{"dropping-particle":"","family":"Finlayson","given":"TJ","non-dropping-particle":"","parse-names":false,"suffix":""},{"dropping-particle":"","family":"Le","given":"B","non-dropping-particle":"","parse-names":false,"suffix":""},{"dropping-particle":"","family":"Smith","given":"A","non-dropping-particle":"","parse-names":false,"suffix":""},{"dropping-particle":"","family":"Bowles","given":"K","non-dropping-particle":"","parse-names":false,"suffix":""},{"dropping-particle":"","family":"Cribbin","given":"M","non-dropping-particle":"","parse-names":false,"suffix":""},{"dropping-particle":"","family":"Miles","given":"I","non-dropping-particle":"","parse-names":false,"suffix":""},{"dropping-particle":"","family":"Wejnert","given":"C","non-dropping-particle":"","parse-names":false,"suffix":""},{"dropping-particle":"","family":"Le","given":"B","non-dropping-particle":"","parse-names":false,"suffix":""},{"dropping-particle":"","family":"Rose","given":"CE","non-dropping-particle":"","parse-names":false,"suffix":""},{"dropping-particle":"","family":"Oster","given":"AM","non-dropping-particle":"","parse-names":false,"suffix":""},{"dropping-particle":"","family":"Smith","given":"AJ","non-dropping-particle":"","parse-names":false,"suffix":""},{"dropping-particle":"","family":"Zhu","given":"J","non-dropping-particle":"","parse-names":false,"suffix":""},{"dropping-particle":"","family":"Hurt","given":"CB","non-dropping-particle":"","parse-names":false,"suffix":""},{"dropping-particle":"","family":"Matthews","given":"DD","non-dropping-particle":"","parse-names":false,"suffix":""},{"dropping-particle":"","family":"Calabria","given":"MS","non-dropping-particle":"","parse-names":false,"suffix":""},{"dropping-particle":"","family":"Green","given":"KA","non-dropping-particle":"","parse-names":false,"suffix":""},{"dropping-particle":"","family":"Adimora","given":"AA","non-dropping-particle":"","parse-names":false,"suffix":""},{"dropping-particle":"","family":"Golin","given":"CE","non-dropping-particle":"","parse-names":false,"suffix":""},{"dropping-particle":"","family":"Berry","given":"M","non-dropping-particle":"","parse-names":false,"suffix":""},{"dropping-particle":"","family":"Raymond","given":"HF","non-dropping-particle":"","parse-names":false,"suffix":""},{"dropping-particle":"","family":"McFarland","given":"W","non-dropping-particle":"","parse-names":false,"suffix":""},{"dropping-particle":"","family":"Garofalo","given":"R","non-dropping-particle":"","parse-names":false,"suffix":""},{"dropping-particle":"","family":"Mustanski","given":"B","non-dropping-particle":"","parse-names":false,"suffix":""},{"dropping-particle":"","family":"Johnson","given":"A","non-dropping-particle":"","parse-names":false,"suffix":""},{"dropping-particle":"","family":"Emerson","given":"E","non-dropping-particle":"","parse-names":false,"suffix":""},{"dropping-particle":"","family":"Kleinbaum","given":"DG","non-dropping-particle":"","parse-names":false,"suffix":""},{"dropping-particle":"","family":"Klein","given":"M","non-dropping-particle":"","parse-names":false,"suffix":""},{"dropping-particle":"","family":"Prestage","given":"G","non-dropping-particle":"","parse-names":false,"suffix":""},{"dropping-particle":"","family":"Jin","given":"F","non-dropping-particle":"","parse-names":false,"suffix":""},{"dropping-particle":"","family":"Bavinton","given":"B","non-dropping-particle":"","parse-names":false,"suffix":""},{"dropping-particle":"","family":"Scott","given":"SA","non-dropping-particle":"","parse-names":false,"suffix":""},{"dropping-particle":"","family":"Hurley","given":"M","non-dropping-particle":"","parse-names":false,"suffix":""},{"dropping-particle":"","family":"Morris","given":"M","non-dropping-particle":"","parse-names":false,"suffix":""},{"dropping-particle":"","family":"Zavisca","given":"J","non-dropping-particle":"","parse-names":false,"suffix":""},{"dropping-particle":"","family":"Dean","given":"L","non-dropping-particle":"","parse-names":false,"suffix":""},{"dropping-particle":"","family":"Jin","given":"F","non-dropping-particle":"","parse-names":false,"suffix":""},{"dropping-particle":"","family":"Grulich","given":"AE","non-dropping-particle":"","parse-names":false,"suffix":""},{"dropping-particle":"","family":"Mao","given":"L","non-dropping-particle":"","parse-names":false,"suffix":""},{"dropping-particle":"","family":"Zablotska","given":"I","non-dropping-particle":"","parse-names":false,"suffix":""},{"dropping-particle":"","family":"O'Dwyer","given":"M","non-dropping-particle":"","parse-names":false,"suffix":""},{"dropping-particle":"","family":"Poynten","given":"M","non-dropping-particle":"","parse-names":false,"suffix":""},{"dropping-particle":"","family":"Joseph","given":"HA","non-dropping-particle":"","parse-names":false,"suffix":""},{"dropping-particle":"","family":"Marks","given":"G","non-dropping-particle":"","parse-names":false,"suffix":""},{"dropping-particle":"","family":"Belcher","given":"L","non-dropping-particle":"","parse-names":false,"suffix":""},{"dropping-particle":"","family":"Millett","given":"GA","non-dropping-particle":"","parse-names":false,"suffix":""},{"dropping-particle":"","family":"Stueve","given":"A","non-dropping-particle":"","parse-names":false,"suffix":""},{"dropping-particle":"","family":"Bingham","given":"TA","non-dropping-particle":"","parse-names":false,"suffix":""},{"dropping-particle":"","family":"Sullivan","given":"PS","non-dropping-particle":"","parse-names":false,"suffix":""},{"dropping-particle":"","family":"Salazar","given":"L","non-dropping-particle":"","parse-names":false,"suffix":""},{"dropping-particle":"","family":"Buchbinder","given":"S","non-dropping-particle":"","parse-names":false,"suffix":""},{"dropping-particle":"","family":"Sanchez","given":"TH","non-dropping-particle":"","parse-names":false,"suffix":""},{"dropping-particle":"","family":"Xia","given":"Q","non-dropping-particle":"","parse-names":false,"suffix":""},{"dropping-particle":"","family":"Molitor","given":"F","non-dropping-particle":"","parse-names":false,"suffix":""},{"dropping-particle":"","family":"Osmond","given":"DH","non-dropping-particle":"","parse-names":false,"suffix":""},{"dropping-particle":"","family":"Tholandi","given":"M","non-dropping-particle":"","parse-names":false,"suffix":""},{"dropping-particle":"","family":"Pollack","given":"LM","non-dropping-particle":"","parse-names":false,"suffix":""},{"dropping-particle":"","family":"Ruiz","given":"JD","non-dropping-particle":"","parse-names":false,"suffix":""},{"dropping-particle":"","family":"Bingham","given":"TA","non-dropping-particle":"","parse-names":false,"suffix":""},{"dropping-particle":"","family":"Harawa","given":"NT","non-dropping-particle":"","parse-names":false,"suffix":""},{"dropping-particle":"","family":"Johnson","given":"DF","non-dropping-particle":"","parse-names":false,"suffix":""},{"dropping-particle":"","family":"Secura","given":"GM","non-dropping-particle":"","parse-names":false,"suffix":""},{"dropping-particle":"","family":"MacKellar","given":"DA","non-dropping-particle":"","parse-names":false,"suffix":""},{"dropping-particle":"","family":"Valleroy","given":"LA","non-dropping-particle":"","parse-names":false,"suffix":""},{"dropping-particle":"","family":"Newcomb","given":"ME","non-dropping-particle":"","parse-names":false,"suffix":""},{"dropping-particle":"","family":"Mustanski","given":"B","non-dropping-particle":"","parse-names":false,"suffix":""},{"dropping-particle":"","family":"Prejean","given":"J","non-dropping-particle":"","parse-names":false,"suffix":""},{"dropping-particle":"","family":"Tang","given":"T","non-dropping-particle":"","parse-names":false,"suffix":""},{"dropping-particle":"","family":"Hall","given":"HI","non-dropping-particle":"","parse-names":false,"suffix":""}],"container-title":"PLOS ONE","editor":[{"dropping-particle":"","family":"Prestage","given":"Garrett","non-dropping-particle":"","parse-names":false,"suffix":""}],"id":"ITEM-2","issue":"6","issued":{"date-parts":[["2015","6"]]},"page":"e0129877","publisher":"Public Library of Science","title":"Disassortative Age-Mixing Does Not Explain Differences in HIV Prevalence between Young White and Black MSM: Findings from Four Studies","type":"article-journal","volume":"10"},"uris":["http://www.mendeley.com/documents/?uuid=d4c91b37-fafc-355c-85f4-29d534e86c56","http://www.mendeley.com/documents/?uuid=ca240fba-f681-4fba-953d-056423f9cc5f"]}],"mendeley":{"formattedCitation":"&lt;sup&gt;12,13&lt;/sup&gt;","plainTextFormattedCitation":"12,13","previouslyFormattedCitation":"&lt;sup&gt;12,13&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12,13</w:t>
      </w:r>
      <w:r w:rsidRPr="0024409C">
        <w:rPr>
          <w:rFonts w:ascii="Helvetica Neue" w:hAnsi="Helvetica Neue"/>
          <w:noProof/>
          <w:vertAlign w:val="superscript"/>
        </w:rPr>
        <w:fldChar w:fldCharType="end"/>
      </w:r>
      <w:r w:rsidRPr="0024409C">
        <w:rPr>
          <w:rFonts w:ascii="Helvetica Neue" w:hAnsi="Helvetica Neue"/>
        </w:rPr>
        <w:t xml:space="preserve"> Predictors included the type of relationship, the HIV diagnosis status of the HIV+ partner (i.e. whether or not he himself knew that he was HIV+), and the disclosure status of the HIV+ partner (whether he had told his partner he was HIV+). Predictors that dropped out of the model included sexual position and perceived monogamy of the partnership.</w:t>
      </w:r>
    </w:p>
    <w:p w14:paraId="32D28063" w14:textId="68E556F1" w:rsidR="00551434" w:rsidRPr="0024409C" w:rsidRDefault="009B3BB0" w:rsidP="009B3BB0">
      <w:pPr>
        <w:spacing w:before="120" w:after="180" w:line="360" w:lineRule="auto"/>
        <w:rPr>
          <w:rFonts w:ascii="Helvetica Neue" w:hAnsi="Helvetica Neue"/>
        </w:rPr>
      </w:pPr>
      <w:r w:rsidRPr="0024409C">
        <w:rPr>
          <w:rFonts w:ascii="Helvetica Neue" w:hAnsi="Helvetica Neue"/>
        </w:rPr>
        <w:t xml:space="preserve">Base model coefficients for the nine race/partnership types were defined as </w:t>
      </w:r>
      <w:proofErr w:type="spellStart"/>
      <w:proofErr w:type="gramStart"/>
      <w:r w:rsidRPr="0024409C">
        <w:rPr>
          <w:rFonts w:ascii="Helvetica Neue" w:hAnsi="Helvetica Neue"/>
          <w:i/>
        </w:rPr>
        <w:t>logit</w:t>
      </w:r>
      <w:proofErr w:type="spellEnd"/>
      <w:r w:rsidRPr="0024409C">
        <w:rPr>
          <w:rFonts w:ascii="Helvetica Neue" w:hAnsi="Helvetica Neue"/>
        </w:rPr>
        <w:t>(</w:t>
      </w:r>
      <w:proofErr w:type="gramEnd"/>
      <w:r w:rsidR="005968E9" w:rsidRPr="0024409C">
        <w:rPr>
          <w:rFonts w:ascii="Helvetica Neue" w:hAnsi="Helvetica Neue"/>
        </w:rPr>
        <w:t>P(condom use</w:t>
      </w:r>
      <w:r w:rsidR="00E747A6" w:rsidRPr="0024409C">
        <w:rPr>
          <w:rFonts w:ascii="Helvetica Neue" w:hAnsi="Helvetica Neue"/>
        </w:rPr>
        <w:t xml:space="preserve"> </w:t>
      </w:r>
      <w:r w:rsidR="005968E9" w:rsidRPr="0024409C">
        <w:rPr>
          <w:rFonts w:ascii="Helvetica Neue" w:hAnsi="Helvetica Neue"/>
        </w:rPr>
        <w:t>|</w:t>
      </w:r>
      <w:r w:rsidR="00E747A6" w:rsidRPr="0024409C">
        <w:rPr>
          <w:rFonts w:ascii="Helvetica Neue" w:hAnsi="Helvetica Neue"/>
        </w:rPr>
        <w:t xml:space="preserve"> </w:t>
      </w:r>
      <w:r w:rsidR="005968E9" w:rsidRPr="0024409C">
        <w:rPr>
          <w:rFonts w:ascii="Helvetica Neue" w:hAnsi="Helvetica Neue"/>
        </w:rPr>
        <w:t>anal intercourse):</w:t>
      </w:r>
      <w:r w:rsidRPr="0024409C">
        <w:rPr>
          <w:rFonts w:ascii="Helvetica Neue" w:hAnsi="Helvetica Neue"/>
        </w:rPr>
        <w:t xml:space="preserve"> </w:t>
      </w:r>
    </w:p>
    <w:p w14:paraId="414558C2" w14:textId="77777777" w:rsidR="00F258D5" w:rsidRPr="0024409C" w:rsidRDefault="00F258D5" w:rsidP="009B3BB0">
      <w:pPr>
        <w:spacing w:before="120" w:after="180" w:line="360" w:lineRule="auto"/>
        <w:rPr>
          <w:rFonts w:ascii="Helvetica Neue" w:hAnsi="Helvetica Neue"/>
        </w:rPr>
      </w:pPr>
    </w:p>
    <w:tbl>
      <w:tblPr>
        <w:tblStyle w:val="TableGrid"/>
        <w:tblW w:w="3600" w:type="dxa"/>
        <w:jc w:val="center"/>
        <w:tblLook w:val="04A0" w:firstRow="1" w:lastRow="0" w:firstColumn="1" w:lastColumn="0" w:noHBand="0" w:noVBand="1"/>
      </w:tblPr>
      <w:tblGrid>
        <w:gridCol w:w="2250"/>
        <w:gridCol w:w="1350"/>
      </w:tblGrid>
      <w:tr w:rsidR="009B3BB0" w:rsidRPr="0024409C" w14:paraId="5FDD9840" w14:textId="77777777" w:rsidTr="00A2582E">
        <w:trPr>
          <w:trHeight w:val="389"/>
          <w:jc w:val="center"/>
        </w:trPr>
        <w:tc>
          <w:tcPr>
            <w:tcW w:w="2250" w:type="dxa"/>
            <w:shd w:val="clear" w:color="auto" w:fill="D9D9D9" w:themeFill="background1" w:themeFillShade="D9"/>
            <w:vAlign w:val="center"/>
          </w:tcPr>
          <w:p w14:paraId="7F743BB7" w14:textId="77777777" w:rsidR="009B3BB0" w:rsidRPr="0024409C" w:rsidRDefault="009B3BB0" w:rsidP="00A2582E">
            <w:pPr>
              <w:rPr>
                <w:rFonts w:ascii="Helvetica Neue" w:hAnsi="Helvetica Neue"/>
                <w:sz w:val="18"/>
              </w:rPr>
            </w:pPr>
          </w:p>
        </w:tc>
        <w:tc>
          <w:tcPr>
            <w:tcW w:w="1350" w:type="dxa"/>
            <w:shd w:val="clear" w:color="auto" w:fill="D9D9D9" w:themeFill="background1" w:themeFillShade="D9"/>
            <w:vAlign w:val="center"/>
          </w:tcPr>
          <w:p w14:paraId="2923DCE2" w14:textId="77777777" w:rsidR="009B3BB0" w:rsidRPr="0024409C" w:rsidRDefault="009B3BB0" w:rsidP="00A2582E">
            <w:pPr>
              <w:jc w:val="center"/>
              <w:rPr>
                <w:rFonts w:ascii="Helvetica Neue" w:hAnsi="Helvetica Neue"/>
                <w:b/>
                <w:sz w:val="18"/>
              </w:rPr>
            </w:pPr>
            <w:r w:rsidRPr="0024409C">
              <w:rPr>
                <w:rFonts w:ascii="Helvetica Neue" w:hAnsi="Helvetica Neue"/>
                <w:b/>
                <w:sz w:val="18"/>
              </w:rPr>
              <w:t>Coefficient</w:t>
            </w:r>
          </w:p>
        </w:tc>
      </w:tr>
      <w:tr w:rsidR="009B3BB0" w:rsidRPr="0024409C" w14:paraId="46B7D7AD" w14:textId="77777777" w:rsidTr="00A2582E">
        <w:trPr>
          <w:trHeight w:val="389"/>
          <w:jc w:val="center"/>
        </w:trPr>
        <w:tc>
          <w:tcPr>
            <w:tcW w:w="2250" w:type="dxa"/>
            <w:vAlign w:val="center"/>
          </w:tcPr>
          <w:p w14:paraId="5326BA66" w14:textId="77777777" w:rsidR="009B3BB0" w:rsidRPr="0024409C" w:rsidRDefault="009B3BB0" w:rsidP="00A2582E">
            <w:pPr>
              <w:rPr>
                <w:rFonts w:ascii="Helvetica Neue" w:hAnsi="Helvetica Neue"/>
                <w:sz w:val="18"/>
              </w:rPr>
            </w:pPr>
            <w:r w:rsidRPr="0024409C">
              <w:rPr>
                <w:rFonts w:ascii="Helvetica Neue" w:hAnsi="Helvetica Neue"/>
                <w:sz w:val="18"/>
              </w:rPr>
              <w:t>Main partnership</w:t>
            </w:r>
          </w:p>
        </w:tc>
        <w:tc>
          <w:tcPr>
            <w:tcW w:w="1350" w:type="dxa"/>
            <w:vAlign w:val="center"/>
          </w:tcPr>
          <w:p w14:paraId="0FC9AB28" w14:textId="77777777" w:rsidR="009B3BB0" w:rsidRPr="0024409C" w:rsidRDefault="009B3BB0" w:rsidP="00A2582E">
            <w:pPr>
              <w:jc w:val="center"/>
              <w:rPr>
                <w:rFonts w:ascii="Helvetica Neue" w:hAnsi="Helvetica Neue"/>
                <w:sz w:val="18"/>
              </w:rPr>
            </w:pPr>
            <w:r w:rsidRPr="0024409C">
              <w:rPr>
                <w:rFonts w:ascii="Helvetica Neue" w:hAnsi="Helvetica Neue"/>
                <w:sz w:val="18"/>
              </w:rPr>
              <w:t>-1.325</w:t>
            </w:r>
          </w:p>
        </w:tc>
      </w:tr>
      <w:tr w:rsidR="009B3BB0" w:rsidRPr="0024409C" w14:paraId="553BC2AF" w14:textId="77777777" w:rsidTr="00A2582E">
        <w:trPr>
          <w:trHeight w:val="389"/>
          <w:jc w:val="center"/>
        </w:trPr>
        <w:tc>
          <w:tcPr>
            <w:tcW w:w="2250" w:type="dxa"/>
            <w:vAlign w:val="center"/>
          </w:tcPr>
          <w:p w14:paraId="15D9DFE4" w14:textId="77777777" w:rsidR="009B3BB0" w:rsidRPr="0024409C" w:rsidRDefault="009B3BB0" w:rsidP="00A2582E">
            <w:pPr>
              <w:rPr>
                <w:rFonts w:ascii="Helvetica Neue" w:hAnsi="Helvetica Neue"/>
                <w:sz w:val="18"/>
              </w:rPr>
            </w:pPr>
            <w:r w:rsidRPr="0024409C">
              <w:rPr>
                <w:rFonts w:ascii="Helvetica Neue" w:hAnsi="Helvetica Neue"/>
                <w:sz w:val="18"/>
              </w:rPr>
              <w:t>Casual partnership</w:t>
            </w:r>
          </w:p>
        </w:tc>
        <w:tc>
          <w:tcPr>
            <w:tcW w:w="1350" w:type="dxa"/>
            <w:vAlign w:val="center"/>
          </w:tcPr>
          <w:p w14:paraId="626EF1B6" w14:textId="77777777" w:rsidR="009B3BB0" w:rsidRPr="0024409C" w:rsidRDefault="009B3BB0" w:rsidP="00A2582E">
            <w:pPr>
              <w:jc w:val="center"/>
              <w:rPr>
                <w:rFonts w:ascii="Helvetica Neue" w:hAnsi="Helvetica Neue"/>
                <w:sz w:val="18"/>
              </w:rPr>
            </w:pPr>
            <w:r w:rsidRPr="0024409C">
              <w:rPr>
                <w:rFonts w:ascii="Helvetica Neue" w:hAnsi="Helvetica Neue"/>
                <w:sz w:val="18"/>
              </w:rPr>
              <w:t>-1.046</w:t>
            </w:r>
          </w:p>
        </w:tc>
      </w:tr>
      <w:tr w:rsidR="009B3BB0" w:rsidRPr="0024409C" w14:paraId="65D8DF43" w14:textId="77777777" w:rsidTr="00A2582E">
        <w:trPr>
          <w:trHeight w:val="389"/>
          <w:jc w:val="center"/>
        </w:trPr>
        <w:tc>
          <w:tcPr>
            <w:tcW w:w="2250" w:type="dxa"/>
            <w:vAlign w:val="center"/>
          </w:tcPr>
          <w:p w14:paraId="70A89F2B" w14:textId="77777777" w:rsidR="009B3BB0" w:rsidRPr="0024409C" w:rsidRDefault="009B3BB0" w:rsidP="00A2582E">
            <w:pPr>
              <w:rPr>
                <w:rFonts w:ascii="Helvetica Neue" w:hAnsi="Helvetica Neue"/>
                <w:sz w:val="18"/>
              </w:rPr>
            </w:pPr>
            <w:r w:rsidRPr="0024409C">
              <w:rPr>
                <w:rFonts w:ascii="Helvetica Neue" w:hAnsi="Helvetica Neue"/>
                <w:sz w:val="18"/>
              </w:rPr>
              <w:t>One-time contact</w:t>
            </w:r>
          </w:p>
        </w:tc>
        <w:tc>
          <w:tcPr>
            <w:tcW w:w="1350" w:type="dxa"/>
            <w:vAlign w:val="center"/>
          </w:tcPr>
          <w:p w14:paraId="0FEF2E88" w14:textId="77777777" w:rsidR="009B3BB0" w:rsidRPr="0024409C" w:rsidRDefault="009B3BB0" w:rsidP="00A2582E">
            <w:pPr>
              <w:jc w:val="center"/>
              <w:rPr>
                <w:rFonts w:ascii="Helvetica Neue" w:hAnsi="Helvetica Neue"/>
                <w:sz w:val="18"/>
              </w:rPr>
            </w:pPr>
            <w:r w:rsidRPr="0024409C">
              <w:rPr>
                <w:rFonts w:ascii="Helvetica Neue" w:hAnsi="Helvetica Neue"/>
                <w:sz w:val="18"/>
              </w:rPr>
              <w:t>-1.008</w:t>
            </w:r>
          </w:p>
        </w:tc>
      </w:tr>
    </w:tbl>
    <w:p w14:paraId="4BF9EE99" w14:textId="77777777" w:rsidR="009B3BB0" w:rsidRPr="0024409C" w:rsidRDefault="009B3BB0" w:rsidP="009B3BB0">
      <w:pPr>
        <w:spacing w:before="240" w:after="180" w:line="360" w:lineRule="auto"/>
        <w:rPr>
          <w:rFonts w:ascii="Helvetica Neue" w:hAnsi="Helvetica Neue"/>
        </w:rPr>
      </w:pPr>
      <w:proofErr w:type="gramStart"/>
      <w:r w:rsidRPr="0024409C">
        <w:rPr>
          <w:rFonts w:ascii="Helvetica Neue" w:hAnsi="Helvetica Neue"/>
        </w:rPr>
        <w:lastRenderedPageBreak/>
        <w:t>Note that for these, the reference category is the case in which the HIV+ man is undiagnosed, hence the relatively low values of condom use.</w:t>
      </w:r>
      <w:proofErr w:type="gramEnd"/>
      <w:r w:rsidRPr="0024409C">
        <w:rPr>
          <w:rFonts w:ascii="Helvetica Neue" w:hAnsi="Helvetica Neue"/>
        </w:rPr>
        <w:t xml:space="preserve"> Modifiers for these </w:t>
      </w:r>
      <w:proofErr w:type="spellStart"/>
      <w:r w:rsidRPr="0024409C">
        <w:rPr>
          <w:rFonts w:ascii="Helvetica Neue" w:hAnsi="Helvetica Neue"/>
        </w:rPr>
        <w:t>logit</w:t>
      </w:r>
      <w:proofErr w:type="spellEnd"/>
      <w:r w:rsidRPr="0024409C">
        <w:rPr>
          <w:rFonts w:ascii="Helvetica Neue" w:hAnsi="Helvetica Neue"/>
        </w:rPr>
        <w:t xml:space="preserve"> coefficients are:</w:t>
      </w:r>
    </w:p>
    <w:tbl>
      <w:tblPr>
        <w:tblStyle w:val="TableGrid"/>
        <w:tblW w:w="3849" w:type="dxa"/>
        <w:jc w:val="center"/>
        <w:tblLook w:val="04A0" w:firstRow="1" w:lastRow="0" w:firstColumn="1" w:lastColumn="0" w:noHBand="0" w:noVBand="1"/>
      </w:tblPr>
      <w:tblGrid>
        <w:gridCol w:w="2816"/>
        <w:gridCol w:w="1033"/>
      </w:tblGrid>
      <w:tr w:rsidR="009B3BB0" w:rsidRPr="0024409C" w14:paraId="0817B394" w14:textId="77777777" w:rsidTr="00A2582E">
        <w:trPr>
          <w:trHeight w:val="389"/>
          <w:jc w:val="center"/>
        </w:trPr>
        <w:tc>
          <w:tcPr>
            <w:tcW w:w="2970" w:type="dxa"/>
            <w:shd w:val="clear" w:color="auto" w:fill="D9D9D9" w:themeFill="background1" w:themeFillShade="D9"/>
            <w:vAlign w:val="center"/>
          </w:tcPr>
          <w:p w14:paraId="4E433494" w14:textId="77777777" w:rsidR="009B3BB0" w:rsidRPr="0024409C" w:rsidRDefault="009B3BB0" w:rsidP="00A2582E">
            <w:pPr>
              <w:ind w:right="342"/>
              <w:rPr>
                <w:rFonts w:ascii="Helvetica Neue" w:hAnsi="Helvetica Neue"/>
                <w:b/>
                <w:sz w:val="18"/>
                <w:szCs w:val="20"/>
              </w:rPr>
            </w:pPr>
            <w:r w:rsidRPr="0024409C">
              <w:rPr>
                <w:rFonts w:ascii="Helvetica Neue" w:hAnsi="Helvetica Neue"/>
                <w:b/>
                <w:sz w:val="18"/>
                <w:szCs w:val="20"/>
              </w:rPr>
              <w:t>Condition</w:t>
            </w:r>
          </w:p>
        </w:tc>
        <w:tc>
          <w:tcPr>
            <w:tcW w:w="879" w:type="dxa"/>
            <w:shd w:val="clear" w:color="auto" w:fill="D9D9D9" w:themeFill="background1" w:themeFillShade="D9"/>
            <w:vAlign w:val="center"/>
          </w:tcPr>
          <w:p w14:paraId="0344F92C" w14:textId="77777777" w:rsidR="009B3BB0" w:rsidRPr="0024409C" w:rsidRDefault="009B3BB0" w:rsidP="00A2582E">
            <w:pPr>
              <w:jc w:val="center"/>
              <w:rPr>
                <w:rFonts w:ascii="Helvetica Neue" w:hAnsi="Helvetica Neue"/>
                <w:b/>
                <w:sz w:val="18"/>
                <w:szCs w:val="20"/>
              </w:rPr>
            </w:pPr>
            <w:r w:rsidRPr="0024409C">
              <w:rPr>
                <w:rFonts w:ascii="Helvetica Neue" w:hAnsi="Helvetica Neue"/>
                <w:b/>
                <w:sz w:val="18"/>
                <w:szCs w:val="20"/>
              </w:rPr>
              <w:t>Coefficient</w:t>
            </w:r>
          </w:p>
        </w:tc>
      </w:tr>
      <w:tr w:rsidR="009B3BB0" w:rsidRPr="0024409C" w14:paraId="026E675B" w14:textId="77777777" w:rsidTr="00A2582E">
        <w:trPr>
          <w:trHeight w:val="389"/>
          <w:jc w:val="center"/>
        </w:trPr>
        <w:tc>
          <w:tcPr>
            <w:tcW w:w="2970" w:type="dxa"/>
            <w:vAlign w:val="center"/>
          </w:tcPr>
          <w:p w14:paraId="1050D6CA" w14:textId="77777777" w:rsidR="009B3BB0" w:rsidRPr="0024409C" w:rsidRDefault="009B3BB0" w:rsidP="00A2582E">
            <w:pPr>
              <w:ind w:right="342"/>
              <w:rPr>
                <w:rFonts w:ascii="Helvetica Neue" w:hAnsi="Helvetica Neue"/>
                <w:sz w:val="18"/>
                <w:szCs w:val="20"/>
              </w:rPr>
            </w:pPr>
            <w:r w:rsidRPr="0024409C">
              <w:rPr>
                <w:rFonts w:ascii="Helvetica Neue" w:hAnsi="Helvetica Neue"/>
                <w:sz w:val="18"/>
                <w:szCs w:val="20"/>
              </w:rPr>
              <w:t>HIV+ diagnosis</w:t>
            </w:r>
          </w:p>
        </w:tc>
        <w:tc>
          <w:tcPr>
            <w:tcW w:w="879" w:type="dxa"/>
            <w:vAlign w:val="center"/>
          </w:tcPr>
          <w:p w14:paraId="084CB953" w14:textId="77777777" w:rsidR="009B3BB0" w:rsidRPr="0024409C" w:rsidRDefault="009B3BB0" w:rsidP="00A2582E">
            <w:pPr>
              <w:jc w:val="center"/>
              <w:rPr>
                <w:rFonts w:ascii="Helvetica Neue" w:hAnsi="Helvetica Neue"/>
                <w:sz w:val="18"/>
                <w:szCs w:val="20"/>
              </w:rPr>
            </w:pPr>
            <w:r w:rsidRPr="0024409C">
              <w:rPr>
                <w:rFonts w:ascii="Helvetica Neue" w:hAnsi="Helvetica Neue"/>
                <w:sz w:val="18"/>
                <w:szCs w:val="20"/>
              </w:rPr>
              <w:t>0.670</w:t>
            </w:r>
          </w:p>
        </w:tc>
      </w:tr>
      <w:tr w:rsidR="009B3BB0" w:rsidRPr="0024409C" w14:paraId="7859658D" w14:textId="77777777" w:rsidTr="00A2582E">
        <w:trPr>
          <w:trHeight w:val="389"/>
          <w:jc w:val="center"/>
        </w:trPr>
        <w:tc>
          <w:tcPr>
            <w:tcW w:w="2970" w:type="dxa"/>
            <w:vAlign w:val="center"/>
          </w:tcPr>
          <w:p w14:paraId="607FC0BF" w14:textId="77777777" w:rsidR="009B3BB0" w:rsidRPr="0024409C" w:rsidRDefault="009B3BB0" w:rsidP="00A2582E">
            <w:pPr>
              <w:ind w:right="342"/>
              <w:rPr>
                <w:rFonts w:ascii="Helvetica Neue" w:hAnsi="Helvetica Neue"/>
                <w:sz w:val="18"/>
                <w:szCs w:val="20"/>
              </w:rPr>
            </w:pPr>
            <w:r w:rsidRPr="0024409C">
              <w:rPr>
                <w:rFonts w:ascii="Helvetica Neue" w:hAnsi="Helvetica Neue"/>
                <w:sz w:val="18"/>
                <w:szCs w:val="20"/>
              </w:rPr>
              <w:t>HIV+ status disclosure</w:t>
            </w:r>
          </w:p>
        </w:tc>
        <w:tc>
          <w:tcPr>
            <w:tcW w:w="879" w:type="dxa"/>
            <w:vAlign w:val="center"/>
          </w:tcPr>
          <w:p w14:paraId="201247CE" w14:textId="77777777" w:rsidR="009B3BB0" w:rsidRPr="0024409C" w:rsidRDefault="009B3BB0" w:rsidP="00A2582E">
            <w:pPr>
              <w:jc w:val="center"/>
              <w:rPr>
                <w:rFonts w:ascii="Helvetica Neue" w:hAnsi="Helvetica Neue"/>
                <w:sz w:val="18"/>
                <w:szCs w:val="20"/>
              </w:rPr>
            </w:pPr>
            <w:r w:rsidRPr="0024409C">
              <w:rPr>
                <w:rFonts w:ascii="Helvetica Neue" w:hAnsi="Helvetica Neue"/>
                <w:sz w:val="18"/>
                <w:szCs w:val="20"/>
              </w:rPr>
              <w:t>0.850</w:t>
            </w:r>
          </w:p>
        </w:tc>
      </w:tr>
    </w:tbl>
    <w:p w14:paraId="1899C983" w14:textId="5B7A70D4" w:rsidR="009B3BB0" w:rsidRPr="0024409C" w:rsidRDefault="009B3BB0" w:rsidP="009B3BB0">
      <w:pPr>
        <w:spacing w:before="240" w:line="360" w:lineRule="auto"/>
        <w:rPr>
          <w:rFonts w:ascii="Helvetica Neue" w:hAnsi="Helvetica Neue"/>
        </w:rPr>
      </w:pPr>
      <w:r w:rsidRPr="0024409C">
        <w:rPr>
          <w:rFonts w:ascii="Helvetica Neue" w:hAnsi="Helvetica Neue"/>
        </w:rPr>
        <w:t>Together, these values, in combination with the frequencies with which AI occurs in all types of situations,</w:t>
      </w:r>
      <w:r w:rsidR="00D2486C" w:rsidRPr="0024409C">
        <w:rPr>
          <w:rFonts w:ascii="Helvetica Neue" w:hAnsi="Helvetica Neue"/>
        </w:rPr>
        <w:t xml:space="preserve"> impl</w:t>
      </w:r>
      <w:r w:rsidR="00092E55" w:rsidRPr="0024409C">
        <w:rPr>
          <w:rFonts w:ascii="Helvetica Neue" w:hAnsi="Helvetica Neue"/>
        </w:rPr>
        <w:t>y</w:t>
      </w:r>
      <w:r w:rsidRPr="0024409C">
        <w:rPr>
          <w:rFonts w:ascii="Helvetica Neue" w:hAnsi="Helvetica Neue"/>
        </w:rPr>
        <w:t xml:space="preserve"> an overall rate of condom use of approximately 50% across all acts.</w:t>
      </w:r>
      <w:r w:rsidR="00AF456C" w:rsidRPr="0024409C">
        <w:rPr>
          <w:rFonts w:ascii="Helvetica Neue" w:hAnsi="Helvetica Neue"/>
        </w:rPr>
        <w:t xml:space="preserve"> The rates of condom use were assumed to be stable over the course of a given partnership, but condom usage was stochastic at each time step within that partnership.</w:t>
      </w:r>
      <w:r w:rsidR="00EE14D5" w:rsidRPr="0024409C">
        <w:rPr>
          <w:rFonts w:ascii="Helvetica Neue" w:hAnsi="Helvetica Neue"/>
        </w:rPr>
        <w:t xml:space="preserve"> Differential condom usage rates by partnership type may capture effects of lower condom use that may occur in longer-term partnerships, but </w:t>
      </w:r>
      <w:r w:rsidR="008C5199" w:rsidRPr="0024409C">
        <w:rPr>
          <w:rFonts w:ascii="Helvetica Neue" w:hAnsi="Helvetica Neue"/>
        </w:rPr>
        <w:t>subsequent models will extend this model framework to incorporate network-related data to capture temporal trends in condom usage within each type of partnership.</w:t>
      </w:r>
    </w:p>
    <w:p w14:paraId="5ED460A8" w14:textId="5B157B43" w:rsidR="009B3BB0" w:rsidRPr="0024409C" w:rsidRDefault="00273CDD" w:rsidP="009B3BB0">
      <w:pPr>
        <w:pStyle w:val="Heading2"/>
        <w:rPr>
          <w:rFonts w:ascii="Helvetica Neue" w:hAnsi="Helvetica Neue"/>
          <w:szCs w:val="22"/>
        </w:rPr>
      </w:pPr>
      <w:bookmarkStart w:id="11" w:name="_Toc2361371"/>
      <w:r w:rsidRPr="0024409C">
        <w:rPr>
          <w:rFonts w:ascii="Helvetica Neue" w:hAnsi="Helvetica Neue"/>
          <w:szCs w:val="22"/>
        </w:rPr>
        <w:t>3</w:t>
      </w:r>
      <w:r w:rsidR="009B3BB0" w:rsidRPr="0024409C">
        <w:rPr>
          <w:rFonts w:ascii="Helvetica Neue" w:hAnsi="Helvetica Neue"/>
          <w:szCs w:val="22"/>
        </w:rPr>
        <w:t xml:space="preserve">.4 </w:t>
      </w:r>
      <w:r w:rsidR="009B3BB0" w:rsidRPr="0024409C">
        <w:rPr>
          <w:rFonts w:ascii="Helvetica Neue" w:hAnsi="Helvetica Neue"/>
          <w:szCs w:val="22"/>
        </w:rPr>
        <w:tab/>
        <w:t xml:space="preserve">Sexual </w:t>
      </w:r>
      <w:r w:rsidR="007A6506" w:rsidRPr="0024409C">
        <w:rPr>
          <w:rFonts w:ascii="Helvetica Neue" w:hAnsi="Helvetica Neue"/>
          <w:szCs w:val="22"/>
        </w:rPr>
        <w:t>R</w:t>
      </w:r>
      <w:r w:rsidR="009B3BB0" w:rsidRPr="0024409C">
        <w:rPr>
          <w:rFonts w:ascii="Helvetica Neue" w:hAnsi="Helvetica Neue"/>
          <w:szCs w:val="22"/>
        </w:rPr>
        <w:t>ole</w:t>
      </w:r>
      <w:bookmarkEnd w:id="11"/>
    </w:p>
    <w:p w14:paraId="148D0478" w14:textId="4BF4E630" w:rsidR="009B3BB0" w:rsidRPr="0024409C" w:rsidRDefault="009B3BB0" w:rsidP="009B3BB0">
      <w:pPr>
        <w:spacing w:line="360" w:lineRule="auto"/>
        <w:rPr>
          <w:rFonts w:ascii="Helvetica Neue" w:hAnsi="Helvetica Neue"/>
        </w:rPr>
      </w:pPr>
      <w:r w:rsidRPr="0024409C">
        <w:rPr>
          <w:rFonts w:ascii="Helvetica Neue" w:hAnsi="Helvetica Neue"/>
        </w:rPr>
        <w:t xml:space="preserve">Men are assigned an individual sexual role preference (exclusively </w:t>
      </w:r>
      <w:proofErr w:type="spellStart"/>
      <w:r w:rsidRPr="0024409C">
        <w:rPr>
          <w:rFonts w:ascii="Helvetica Neue" w:hAnsi="Helvetica Neue"/>
        </w:rPr>
        <w:t>insertive</w:t>
      </w:r>
      <w:proofErr w:type="spellEnd"/>
      <w:r w:rsidRPr="0024409C">
        <w:rPr>
          <w:rFonts w:ascii="Helvetica Neue" w:hAnsi="Helvetica Neue"/>
        </w:rPr>
        <w:t xml:space="preserve">, exclusively receptive, or versatile) as described in Section </w:t>
      </w:r>
      <w:r w:rsidR="00C5656A" w:rsidRPr="0024409C">
        <w:rPr>
          <w:rFonts w:ascii="Helvetica Neue" w:hAnsi="Helvetica Neue"/>
        </w:rPr>
        <w:t>2</w:t>
      </w:r>
      <w:r w:rsidRPr="0024409C">
        <w:rPr>
          <w:rFonts w:ascii="Helvetica Neue" w:hAnsi="Helvetica Neue"/>
        </w:rPr>
        <w:t>.1.</w:t>
      </w:r>
      <w:r w:rsidR="00FC3BA6" w:rsidRPr="0024409C">
        <w:rPr>
          <w:rFonts w:ascii="Helvetica Neue" w:hAnsi="Helvetica Neue"/>
        </w:rPr>
        <w:t>5</w:t>
      </w:r>
      <w:r w:rsidRPr="0024409C">
        <w:rPr>
          <w:rFonts w:ascii="Helvetica Neue" w:hAnsi="Helvetica Neue"/>
        </w:rPr>
        <w:t xml:space="preserve">. Relationships between two exclusively </w:t>
      </w:r>
      <w:proofErr w:type="spellStart"/>
      <w:r w:rsidRPr="0024409C">
        <w:rPr>
          <w:rFonts w:ascii="Helvetica Neue" w:hAnsi="Helvetica Neue"/>
        </w:rPr>
        <w:t>insertive</w:t>
      </w:r>
      <w:proofErr w:type="spellEnd"/>
      <w:r w:rsidRPr="0024409C">
        <w:rPr>
          <w:rFonts w:ascii="Helvetica Neue" w:hAnsi="Helvetica Neue"/>
        </w:rPr>
        <w:t xml:space="preserve"> or two exclusively receptive men are prohibited via the ERGM and STERGM models. Versatile men are further assigned a</w:t>
      </w:r>
      <w:r w:rsidR="007215FC">
        <w:rPr>
          <w:rFonts w:ascii="Helvetica Neue" w:hAnsi="Helvetica Neue"/>
        </w:rPr>
        <w:t xml:space="preserve"> </w:t>
      </w:r>
      <w:r w:rsidRPr="0024409C">
        <w:rPr>
          <w:rFonts w:ascii="Helvetica Neue" w:hAnsi="Helvetica Neue"/>
        </w:rPr>
        <w:t xml:space="preserve">preference </w:t>
      </w:r>
      <w:r w:rsidR="007215FC">
        <w:rPr>
          <w:rFonts w:ascii="Helvetica Neue" w:hAnsi="Helvetica Neue"/>
        </w:rPr>
        <w:t xml:space="preserve">for </w:t>
      </w:r>
      <w:proofErr w:type="spellStart"/>
      <w:r w:rsidR="007215FC">
        <w:rPr>
          <w:rFonts w:ascii="Helvetica Neue" w:hAnsi="Helvetica Neue"/>
        </w:rPr>
        <w:t>insertive</w:t>
      </w:r>
      <w:proofErr w:type="spellEnd"/>
      <w:r w:rsidR="007215FC">
        <w:rPr>
          <w:rFonts w:ascii="Helvetica Neue" w:hAnsi="Helvetica Neue"/>
        </w:rPr>
        <w:t xml:space="preserve"> behavior </w:t>
      </w:r>
      <w:r w:rsidRPr="0024409C">
        <w:rPr>
          <w:rFonts w:ascii="Helvetica Neue" w:hAnsi="Helvetica Neue"/>
        </w:rPr>
        <w:t xml:space="preserve">drawn from a uniform distribution between 0 and 1. When two versatile men are determined to have an AI act, their sexual positions must be determined (all other combinations have only one feasible combination). One option is for men to engage in intra-event versatility (IEV; i.e. both engage in </w:t>
      </w:r>
      <w:proofErr w:type="spellStart"/>
      <w:r w:rsidRPr="0024409C">
        <w:rPr>
          <w:rFonts w:ascii="Helvetica Neue" w:hAnsi="Helvetica Neue"/>
        </w:rPr>
        <w:t>insertive</w:t>
      </w:r>
      <w:proofErr w:type="spellEnd"/>
      <w:r w:rsidRPr="0024409C">
        <w:rPr>
          <w:rFonts w:ascii="Helvetica Neue" w:hAnsi="Helvetica Neue"/>
        </w:rPr>
        <w:t xml:space="preserve"> and receptive AI during the act). The probability of this is </w:t>
      </w:r>
      <w:r w:rsidR="00AE21F6" w:rsidRPr="0024409C">
        <w:rPr>
          <w:rFonts w:ascii="Helvetica Neue" w:hAnsi="Helvetica Neue"/>
        </w:rPr>
        <w:t>49% and</w:t>
      </w:r>
      <w:r w:rsidRPr="0024409C">
        <w:rPr>
          <w:rFonts w:ascii="Helvetica Neue" w:hAnsi="Helvetica Neue"/>
        </w:rPr>
        <w:t xml:space="preserve"> is derived from the partner-specific role data described in Section </w:t>
      </w:r>
      <w:r w:rsidR="006B3C35" w:rsidRPr="0024409C">
        <w:rPr>
          <w:rFonts w:ascii="Helvetica Neue" w:hAnsi="Helvetica Neue"/>
        </w:rPr>
        <w:t>2</w:t>
      </w:r>
      <w:r w:rsidRPr="0024409C">
        <w:rPr>
          <w:rFonts w:ascii="Helvetica Neue" w:hAnsi="Helvetica Neue"/>
        </w:rPr>
        <w:t>.1.</w:t>
      </w:r>
      <w:r w:rsidR="006B3C35" w:rsidRPr="0024409C">
        <w:rPr>
          <w:rFonts w:ascii="Helvetica Neue" w:hAnsi="Helvetica Neue"/>
        </w:rPr>
        <w:t>5</w:t>
      </w:r>
      <w:r w:rsidRPr="0024409C">
        <w:rPr>
          <w:rFonts w:ascii="Helvetica Neue" w:hAnsi="Helvetica Neue"/>
        </w:rPr>
        <w:t xml:space="preserve">. If IEV does not occur, then each man’s probability of being the </w:t>
      </w:r>
      <w:proofErr w:type="spellStart"/>
      <w:r w:rsidRPr="0024409C">
        <w:rPr>
          <w:rFonts w:ascii="Helvetica Neue" w:hAnsi="Helvetica Neue"/>
        </w:rPr>
        <w:t>insertive</w:t>
      </w:r>
      <w:proofErr w:type="spellEnd"/>
      <w:r w:rsidRPr="0024409C">
        <w:rPr>
          <w:rFonts w:ascii="Helvetica Neue" w:hAnsi="Helvetica Neue"/>
        </w:rPr>
        <w:t xml:space="preserve"> partner equals his </w:t>
      </w:r>
      <w:proofErr w:type="spellStart"/>
      <w:r w:rsidRPr="0024409C">
        <w:rPr>
          <w:rFonts w:ascii="Helvetica Neue" w:hAnsi="Helvetica Neue"/>
        </w:rPr>
        <w:t>insertivity</w:t>
      </w:r>
      <w:proofErr w:type="spellEnd"/>
      <w:r w:rsidRPr="0024409C">
        <w:rPr>
          <w:rFonts w:ascii="Helvetica Neue" w:hAnsi="Helvetica Neue"/>
        </w:rPr>
        <w:t xml:space="preserve"> quotient divided by the sum of the two men’s </w:t>
      </w:r>
      <w:proofErr w:type="spellStart"/>
      <w:r w:rsidRPr="0024409C">
        <w:rPr>
          <w:rFonts w:ascii="Helvetica Neue" w:hAnsi="Helvetica Neue"/>
        </w:rPr>
        <w:t>insertivity</w:t>
      </w:r>
      <w:proofErr w:type="spellEnd"/>
      <w:r w:rsidRPr="0024409C">
        <w:rPr>
          <w:rFonts w:ascii="Helvetica Neue" w:hAnsi="Helvetica Neue"/>
        </w:rPr>
        <w:t xml:space="preserve"> quotients.</w:t>
      </w:r>
    </w:p>
    <w:p w14:paraId="40EED7C7" w14:textId="66DD4220" w:rsidR="009B3BB0" w:rsidRPr="0024409C" w:rsidRDefault="00273CDD" w:rsidP="002232EA">
      <w:pPr>
        <w:pStyle w:val="Heading1"/>
        <w:spacing w:before="300"/>
        <w:rPr>
          <w:rFonts w:ascii="Helvetica Neue" w:hAnsi="Helvetica Neue"/>
        </w:rPr>
      </w:pPr>
      <w:bookmarkStart w:id="12" w:name="_Toc2361372"/>
      <w:r w:rsidRPr="0024409C">
        <w:rPr>
          <w:rFonts w:ascii="Helvetica Neue" w:hAnsi="Helvetica Neue"/>
        </w:rPr>
        <w:lastRenderedPageBreak/>
        <w:t>4</w:t>
      </w:r>
      <w:r w:rsidR="009B3BB0" w:rsidRPr="0024409C">
        <w:rPr>
          <w:rFonts w:ascii="Helvetica Neue" w:hAnsi="Helvetica Neue"/>
        </w:rPr>
        <w:tab/>
        <w:t>DEMOGRAPHY</w:t>
      </w:r>
      <w:bookmarkEnd w:id="12"/>
    </w:p>
    <w:p w14:paraId="25D8B60D" w14:textId="0F9380D8"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In this model, there are three demographic processes: entries, exits, and aging. Entries and exits are conceptualized as flows to and from the sexually active population of interest: MSM aged 18 to 40 years old. Entry into this population represents the time at which persons become at risk of infection via male-to-male sexual intercourse, and we model these flows as starting at an age after birth (age 18) and ending at an age potentially before death (age 40).</w:t>
      </w:r>
    </w:p>
    <w:p w14:paraId="05CCDDFA" w14:textId="4A4C119C" w:rsidR="009B3BB0" w:rsidRPr="0024409C" w:rsidRDefault="00273CDD" w:rsidP="009B3BB0">
      <w:pPr>
        <w:pStyle w:val="Heading2"/>
        <w:rPr>
          <w:rFonts w:ascii="Helvetica Neue" w:hAnsi="Helvetica Neue"/>
          <w:szCs w:val="22"/>
        </w:rPr>
      </w:pPr>
      <w:bookmarkStart w:id="13" w:name="_Toc2361373"/>
      <w:r w:rsidRPr="0024409C">
        <w:rPr>
          <w:rFonts w:ascii="Helvetica Neue" w:hAnsi="Helvetica Neue"/>
          <w:szCs w:val="22"/>
        </w:rPr>
        <w:t>4</w:t>
      </w:r>
      <w:r w:rsidR="009B3BB0" w:rsidRPr="0024409C">
        <w:rPr>
          <w:rFonts w:ascii="Helvetica Neue" w:hAnsi="Helvetica Neue"/>
          <w:szCs w:val="22"/>
        </w:rPr>
        <w:t>.1</w:t>
      </w:r>
      <w:r w:rsidR="009B3BB0" w:rsidRPr="0024409C">
        <w:rPr>
          <w:rFonts w:ascii="Helvetica Neue" w:hAnsi="Helvetica Neue"/>
          <w:szCs w:val="22"/>
        </w:rPr>
        <w:tab/>
        <w:t>Entry at Sexual Onset</w:t>
      </w:r>
      <w:bookmarkEnd w:id="13"/>
    </w:p>
    <w:p w14:paraId="1F6C7DB7"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All persons enter the network at age 18, which was the lower age boundary of our two main source studies. The number of new entries at each time step is based on a fixed rate (3 per 10,000 persons per weekly time step) that keeps the overall network size in a stable state over the time series of the simulations. The model parameter governing this rate was calibrated iteratively in order to generate simulations with a population size at equilibrium, given the inherent variability in population flows related to background mortality, sexual maturation (i.e., reaching the upper age limit of 40), and disease-induced mortality. At each time step, the exact number of men entering the population was simulated by drawing from a Poisson distribution with the rate parameter.</w:t>
      </w:r>
    </w:p>
    <w:p w14:paraId="201F8A4F" w14:textId="63FE54BF" w:rsidR="009B3BB0" w:rsidRPr="0024409C" w:rsidRDefault="00273CDD" w:rsidP="009B3BB0">
      <w:pPr>
        <w:pStyle w:val="Heading2"/>
        <w:rPr>
          <w:rFonts w:ascii="Helvetica Neue" w:hAnsi="Helvetica Neue"/>
          <w:szCs w:val="22"/>
        </w:rPr>
      </w:pPr>
      <w:bookmarkStart w:id="14" w:name="_Toc2361374"/>
      <w:r w:rsidRPr="0024409C">
        <w:rPr>
          <w:rFonts w:ascii="Helvetica Neue" w:hAnsi="Helvetica Neue"/>
          <w:szCs w:val="22"/>
        </w:rPr>
        <w:t>4</w:t>
      </w:r>
      <w:r w:rsidR="009B3BB0" w:rsidRPr="0024409C">
        <w:rPr>
          <w:rFonts w:ascii="Helvetica Neue" w:hAnsi="Helvetica Neue"/>
          <w:szCs w:val="22"/>
        </w:rPr>
        <w:t xml:space="preserve">.2 </w:t>
      </w:r>
      <w:r w:rsidR="009B3BB0" w:rsidRPr="0024409C">
        <w:rPr>
          <w:rFonts w:ascii="Helvetica Neue" w:hAnsi="Helvetica Neue"/>
          <w:szCs w:val="22"/>
        </w:rPr>
        <w:tab/>
        <w:t>Initialization of Attributes</w:t>
      </w:r>
      <w:bookmarkEnd w:id="14"/>
    </w:p>
    <w:p w14:paraId="7509AE58"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 xml:space="preserve">Persons entering the population were assigned attributes, some of which remained fixed by definition (e.g., race), others fixed by assumption (e.g., </w:t>
      </w:r>
      <w:proofErr w:type="spellStart"/>
      <w:r w:rsidRPr="0024409C">
        <w:rPr>
          <w:rFonts w:ascii="Helvetica Neue" w:hAnsi="Helvetica Neue"/>
        </w:rPr>
        <w:t>insertive</w:t>
      </w:r>
      <w:proofErr w:type="spellEnd"/>
      <w:r w:rsidRPr="0024409C">
        <w:rPr>
          <w:rFonts w:ascii="Helvetica Neue" w:hAnsi="Helvetica Neue"/>
        </w:rPr>
        <w:t xml:space="preserve"> versus receptive sexual role), and yet others allowed to vary over time (e.g., age and disease status). Here we describe three attributes in the first category:</w:t>
      </w:r>
    </w:p>
    <w:p w14:paraId="0F726846" w14:textId="41C0130B" w:rsidR="009B3BB0" w:rsidRPr="0024409C" w:rsidRDefault="009B3BB0" w:rsidP="009B3BB0">
      <w:pPr>
        <w:pStyle w:val="ListParagraph"/>
        <w:numPr>
          <w:ilvl w:val="0"/>
          <w:numId w:val="9"/>
        </w:numPr>
        <w:tabs>
          <w:tab w:val="left" w:pos="540"/>
        </w:tabs>
        <w:spacing w:line="360" w:lineRule="auto"/>
        <w:ind w:left="540"/>
        <w:rPr>
          <w:rFonts w:ascii="Helvetica Neue" w:hAnsi="Helvetica Neue"/>
        </w:rPr>
      </w:pPr>
      <w:r w:rsidRPr="0024409C">
        <w:rPr>
          <w:rFonts w:ascii="Helvetica Neue" w:hAnsi="Helvetica Neue"/>
        </w:rPr>
        <w:t xml:space="preserve">For </w:t>
      </w:r>
      <w:r w:rsidRPr="0024409C">
        <w:rPr>
          <w:rFonts w:ascii="Helvetica Neue" w:hAnsi="Helvetica Neue"/>
          <w:b/>
        </w:rPr>
        <w:t>race/ethnicity</w:t>
      </w:r>
      <w:r w:rsidRPr="0024409C">
        <w:rPr>
          <w:rFonts w:ascii="Helvetica Neue" w:hAnsi="Helvetica Neue"/>
        </w:rPr>
        <w:t xml:space="preserve">, this model was based on a population composition that was 50% black MSM and 50% white MSM. As noted, we did not explicitly model race within this study, and set all race-specific parameters to averages across stratified estimates. Subsequent models will extend this model framework to explore racial disparities </w:t>
      </w:r>
      <w:r w:rsidRPr="0024409C">
        <w:rPr>
          <w:rFonts w:ascii="Helvetica Neue" w:hAnsi="Helvetica Neue"/>
        </w:rPr>
        <w:lastRenderedPageBreak/>
        <w:t xml:space="preserve">related to </w:t>
      </w:r>
      <w:proofErr w:type="spellStart"/>
      <w:r w:rsidRPr="0024409C">
        <w:rPr>
          <w:rFonts w:ascii="Helvetica Neue" w:hAnsi="Helvetica Neue"/>
        </w:rPr>
        <w:t>PrEP</w:t>
      </w:r>
      <w:proofErr w:type="spellEnd"/>
      <w:r w:rsidRPr="0024409C">
        <w:rPr>
          <w:rFonts w:ascii="Helvetica Neue" w:hAnsi="Helvetica Neue"/>
        </w:rPr>
        <w:t xml:space="preserve"> uptake among MSM. This 1:1 ratio comes close to that for the Atlanta metropolitan area </w:t>
      </w:r>
      <w:r w:rsidR="00E64135" w:rsidRPr="0024409C">
        <w:rPr>
          <w:rFonts w:ascii="Helvetica Neue" w:hAnsi="Helvetica Neue"/>
        </w:rPr>
        <w:t>and</w:t>
      </w:r>
      <w:r w:rsidRPr="0024409C">
        <w:rPr>
          <w:rFonts w:ascii="Helvetica Neue" w:hAnsi="Helvetica Neue"/>
        </w:rPr>
        <w:t xml:space="preserve"> provides analytical clarity. </w:t>
      </w:r>
    </w:p>
    <w:p w14:paraId="3316F41C" w14:textId="70BC259E" w:rsidR="009B3BB0" w:rsidRPr="0024409C" w:rsidRDefault="009B3BB0" w:rsidP="009B3BB0">
      <w:pPr>
        <w:pStyle w:val="ListParagraph"/>
        <w:numPr>
          <w:ilvl w:val="0"/>
          <w:numId w:val="9"/>
        </w:numPr>
        <w:tabs>
          <w:tab w:val="left" w:pos="540"/>
        </w:tabs>
        <w:spacing w:before="60" w:line="360" w:lineRule="auto"/>
        <w:ind w:left="547"/>
        <w:contextualSpacing w:val="0"/>
        <w:rPr>
          <w:rFonts w:ascii="Helvetica Neue" w:hAnsi="Helvetica Neue"/>
        </w:rPr>
      </w:pPr>
      <w:r w:rsidRPr="0024409C">
        <w:rPr>
          <w:rFonts w:ascii="Helvetica Neue" w:hAnsi="Helvetica Neue"/>
          <w:b/>
        </w:rPr>
        <w:t>Circumcision</w:t>
      </w:r>
      <w:r w:rsidRPr="0024409C">
        <w:rPr>
          <w:rFonts w:ascii="Helvetica Neue" w:hAnsi="Helvetica Neue"/>
        </w:rPr>
        <w:t xml:space="preserve"> status was randomly assigned to incoming men. Based on empirical data from Atlanta MSM,</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{"citationItems":[{"id":"ITEM-1","itemData":{"ISSN":"10472797","abstract":"PURPOSE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4.2–9.7) than white MSM (1.7/100 PY; CI: 0.7–3.3) and highest among young (18–24 years) black MSM (10.9/100 PY; CI: 6.2–17.6). The unadjusted hazard of HIV infection for black MSM was 2.9 (CI: 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MSM.","author":[{"dropping-particle":"","family":"Sullivan","given":"Patrick S.","non-dropping-particle":"","parse-names":false,"suffix":""},{"dropping-particle":"","family":"Rosenberg","given":"Eli S.","non-dropping-particle":"","parse-names":false,"suffix":""},{"dropping-particle":"","family":"Sanchez","given":"Travis H.","non-dropping-particle":"","parse-names":false,"suffix":""},{"dropping-particle":"","family":"Kelley","given":"Colleen F.","non-dropping-particle":"","parse-names":false,"suffix":""},{"dropping-particle":"","family":"Luisi","given":"Nicole","non-dropping-particle":"","parse-names":false,"suffix":""},{"dropping-particle":"","family":"Cooper","given":"Hannah L.","non-dropping-particle":"","parse-names":false,"suffix":""},{"dropping-particle":"","family":"Diclemente","given":"Ralph J.","non-dropping-particle":"","parse-names":false,"suffix":""},{"dropping-particle":"","family":"Wingood","given":"Gina M.","non-dropping-particle":"","parse-names":false,"suffix":""},{"dropping-particle":"","family":"Frew","given":"Paula M.","non-dropping-particle":"","parse-names":false,"suffix":""},{"dropping-particle":"","family":"Salazar","given":"Laura F.","non-dropping-particle":"","parse-names":false,"suffix":""},{"dropping-particle":"","family":"Rio","given":"Carlos","non-dropping-particle":"del","parse-names":false,"suffix":""},{"dropping-particle":"","family":"Mulligan","given":"Mark J.","non-dropping-particle":"","parse-names":false,"suffix":""},{"dropping-particle":"","family":"Peterson","given":"John L.","non-dropping-particle":"","parse-names":false,"suffix":""}],"container-title":"Ann Epidemiol","id":"ITEM-1","issue":"6","issued":{"date-parts":[["2015"]]},"page":"445-454","title":"Explaining racial disparities in HIV incidence in black and white men who have sex with men in Atlanta, GA: a prospective observational cohort study","type":"article-journal","volume":"25"},"uris":["http://www.mendeley.com/documents/?uuid=0ca47ab6-493a-43f9-b1d0-48e2041b9866"]}],"mendeley":{"formattedCitation":"&lt;sup&gt;12&lt;/sup&gt;","plainTextFormattedCitation":"12","previouslyFormattedCitation":"&lt;sup&gt;12&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89.6% of men were circumcised before sexual onset. Circumcision was associated with a 60% reduction in the per-act probability of infection for HIV- males for </w:t>
      </w:r>
      <w:proofErr w:type="spellStart"/>
      <w:r w:rsidRPr="0024409C">
        <w:rPr>
          <w:rFonts w:ascii="Helvetica Neue" w:hAnsi="Helvetica Neue"/>
        </w:rPr>
        <w:t>insertive</w:t>
      </w:r>
      <w:proofErr w:type="spellEnd"/>
      <w:r w:rsidRPr="0024409C">
        <w:rPr>
          <w:rFonts w:ascii="Helvetica Neue" w:hAnsi="Helvetica Neue"/>
        </w:rPr>
        <w:t xml:space="preserve"> anal intercourse only (i.e., circumcision did not lower the </w:t>
      </w:r>
      <w:r w:rsidRPr="0024409C">
        <w:rPr>
          <w:rFonts w:ascii="Helvetica Neue" w:hAnsi="Helvetica Neue"/>
          <w:i/>
        </w:rPr>
        <w:t>transmission</w:t>
      </w:r>
      <w:r w:rsidRPr="0024409C">
        <w:rPr>
          <w:rFonts w:ascii="Helvetica Neue" w:hAnsi="Helvetica Neue"/>
        </w:rPr>
        <w:t xml:space="preserve"> probability if the HIV+ partner was </w:t>
      </w:r>
      <w:proofErr w:type="spellStart"/>
      <w:r w:rsidRPr="0024409C">
        <w:rPr>
          <w:rFonts w:ascii="Helvetica Neue" w:hAnsi="Helvetica Neue"/>
        </w:rPr>
        <w:t>insertive</w:t>
      </w:r>
      <w:proofErr w:type="spellEnd"/>
      <w:r w:rsidRPr="0024409C">
        <w:rPr>
          <w:rFonts w:ascii="Helvetica Neue" w:hAnsi="Helvetica Neue"/>
        </w:rPr>
        <w:t>).</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{"citationItems":[{"id":"ITEM-1","itemData":{"ISSN":"01406736","author":[{"dropping-particle":"","family":"Gray","given":"Ronald H","non-dropping-particle":"","parse-names":false,"suffix":""},{"dropping-particle":"","family":"Kigozi","given":"Godfrey","non-dropping-particle":"","parse-names":false,"suffix":""},{"dropping-particle":"","family":"Serwadda","given":"David","non-dropping-particle":"","parse-names":false,"suffix":""},{"dropping-particle":"","family":"Makumbi","given":"Frederick","non-dropping-particle":"","parse-names":false,"suffix":""},{"dropping-particle":"","family":"Watya","given":"Stephen","non-dropping-particle":"","parse-names":false,"suffix":""},{"dropping-particle":"","family":"Nalugoda","given":"Fred","non-dropping-particle":"","parse-names":false,"suffix":""},{"dropping-particle":"","family":"Kiwanuka","given":"Noah","non-dropping-particle":"","parse-names":false,"suffix":""},{"dropping-particle":"","family":"Moulton","given":"Lawrence H","non-dropping-particle":"","parse-names":false,"suffix":""},{"dropping-particle":"","family":"Chaudhary","given":"Mohammad A","non-dropping-particle":"","parse-names":false,"suffix":""},{"dropping-particle":"","family":"Chen","given":"Michael Z","non-dropping-particle":"","parse-names":false,"suffix":""},{"dropping-particle":"","family":"Sewankambo","given":"Nelson K","non-dropping-particle":"","parse-names":false,"suffix":""},{"dropping-particle":"","family":"Wabwire-Mangen","given":"Fred","non-dropping-particle":"","parse-names":false,"suffix":""},{"dropping-particle":"","family":"Bacon","given":"Melanie C","non-dropping-particle":"","parse-names":false,"suffix":""},{"dropping-particle":"","family":"Williams","given":"Carolyn FM","non-dropping-particle":"","parse-names":false,"suffix":""},{"dropping-particle":"","family":"Opendi","given":"Pius","non-dropping-particle":"","parse-names":false,"suffix":""},{"dropping-particle":"","family":"Reynolds","given":"Steven J","non-dropping-particle":"","parse-names":false,"suffix":""},{"dropping-particle":"","family":"Laeyendecker","given":"Oliver","non-dropping-particle":"","parse-names":false,"suffix":""},{"dropping-particle":"","family":"Quinn","given":"Thomas C","non-dropping-particle":"","parse-names":false,"suffix":""},{"dropping-particle":"","family":"Wawer","given":"Maria J","non-dropping-particle":"","parse-names":false,"suffix":""},{"dropping-particle":"","family":"Weiss","given":"HA","non-dropping-particle":"","parse-names":false,"suffix":""},{"dropping-particle":"","family":"Quigley","given":"MA","non-dropping-particle":"","parse-names":false,"suffix":""},{"dropping-particle":"","family":"Hayes","given":"RJ","non-dropping-particle":"","parse-names":false,"suffix":""},{"dropping-particle":"","family":"Gray","given":"RH","non-dropping-particle":"","parse-names":false,"suffix":""},{"dropping-particle":"","family":"Kiwanuka","given":"N","non-dropping-particle":"","parse-names":false,"suffix":""},{"dropping-particle":"","family":"Quinn","given":"TC","non-dropping-particle":"","parse-names":false,"suffix":""},{"dropping-particle":"","family":"Al.","given":"Et","non-dropping-particle":"","parse-names":false,"suffix":""},{"dropping-particle":"","family":"Reynolds","given":"SJ","non-dropping-particle":"","parse-names":false,"suffix":""},{"dropping-particle":"","family":"Shepherd","given":"ME","non-dropping-particle":"","parse-names":false,"suffix":""},{"dropping-particle":"","family":"Risbud","given":"AR","non-dropping-particle":"","parse-names":false,"suffix":""},{"dropping-particle":"","family":"Al.","given":"Et","non-dropping-particle":"","parse-names":false,"suffix":""},{"dropping-particle":"","family":"Lavreys","given":"L","non-dropping-particle":"","parse-names":false,"suffix":""},{"dropping-particle":"","family":"Rakwar","given":"JP","non-dropping-particle":"","parse-names":false,"suffix":""},{"dropping-particle":"","family":"Thompson","given":"ML","non-dropping-particle":"","parse-names":false,"suffix":""},{"dropping-particle":"","family":"Al.","given":"Et","non-dropping-particle":"","parse-names":false,"suffix":""},{"dropping-particle":"","family":"Baeten","given":"JM","non-dropping-particle":"","parse-names":false,"suffix":""},{"dropping-particle":"","family":"Richardson","given":"BA","non-dropping-particle":"","parse-names":false,"suffix":""},{"dropping-particle":"","family":"Lavreys","given":"L","non-dropping-particle":"","parse-names":false,"suffix":""},{"dropping-particle":"","family":"Al.","given":"Et","non-dropping-particle":"","parse-names":false,"suffix":""},{"dropping-particle":"","family":"Auvert","given":"B","non-dropping-particle":"","parse-names":false,"suffix":""},{"dropping-particle":"","family":"Taljaard","given":"D","non-dropping-particle":"","parse-names":false,"suffix":""},{"dropping-particle":"","family":"Lagarde","given":"E","non-dropping-particle":"","parse-names":false,"suffix":""},{"dropping-particle":"","family":"Sobngwi-Tambekou","given":"J","non-dropping-particle":"","parse-names":false,"suffix":""},{"dropping-particle":"","family":"Sitta","given":"R","non-dropping-particle":"","parse-names":false,"suffix":""},{"dropping-particle":"","family":"Puren","given":"A","non-dropping-particle":"","parse-names":false,"suffix":""},{"dropping-particle":"","family":"Zablotska","given":"IB","non-dropping-particle":"","parse-names":false,"suffix":""},{"dropping-particle":"","family":"Gray","given":"RH","non-dropping-particle":"","parse-names":false,"suffix":""},{"dropping-particle":"","family":"Serwadda","given":"D","non-dropping-particle":"","parse-names":false,"suffix":""},{"dropping-particle":"","family":"Al.","given":"Et","non-dropping-particle":"","parse-names":false,"suffix":""},{"dropping-particle":"","family":"Lan","given":"KK","non-dropping-particle":"","parse-names":false,"suffix":""},{"dropping-particle":"","family":"DeMets","given":"DL","non-dropping-particle":"","parse-names":false,"suffix":""},{"dropping-particle":"","family":"O'Brien","given":"PC","non-dropping-particle":"","parse-names":false,"suffix":""},{"dropping-particle":"","family":"Fleming","given":"TR","non-dropping-particle":"","parse-names":false,"suffix":""},{"dropping-particle":"","family":"Bailey","given":"RC","non-dropping-particle":"","parse-names":false,"suffix":""},{"dropping-particle":"","family":"Moses","given":"S","non-dropping-particle":"","parse-names":false,"suffix":""},{"dropping-particle":"","family":"Parker","given":"CB","non-dropping-particle":"","parse-names":false,"suffix":""},{"dropping-particle":"","family":"Al.","given":"Et","non-dropping-particle":"","parse-names":false,"suffix":""},{"dropping-particle":"","family":"Weiss","given":"HA","non-dropping-particle":"","parse-names":false,"suffix":""},{"dropping-particle":"","family":"Thomas","given":"SL","non-dropping-particle":"","parse-names":false,"suffix":""},{"dropping-particle":"","family":"Munabi","given":"SK","non-dropping-particle":"","parse-names":false,"suffix":""},{"dropping-particle":"","family":"Hayes","given":"RJ","non-dropping-particle":"","parse-names":false,"suffix":""},{"dropping-particle":"","family":"Freeman","given":"EE","non-dropping-particle":"","parse-names":false,"suffix":""},{"dropping-particle":"","family":"Weiss","given":"HA","non-dropping-particle":"","parse-names":false,"suffix":""},{"dropping-particle":"","family":"Glynn","given":"JR","non-dropping-particle":"","parse-names":false,"suffix":""},{"dropping-particle":"","family":"Cross","given":"PL","non-dropping-particle":"","parse-names":false,"suffix":""},{"dropping-particle":"","family":"Whitworth","given":"JA","non-dropping-particle":"","parse-names":false,"suffix":""},{"dropping-particle":"","family":"Hayes","given":"RJ","non-dropping-particle":"","parse-names":false,"suffix":""},{"dropping-particle":"","family":"Reynolds","given":"SJ","non-dropping-particle":"","parse-names":false,"suffix":""},{"dropping-particle":"","family":"Risbud","given":"AR","non-dropping-particle":"","parse-names":false,"suffix":""},{"dropping-particle":"","family":"Shepherd","given":"ME","non-dropping-particle":"","parse-names":false,"suffix":""},{"dropping-particle":"","family":"Al.","given":"Et","non-dropping-particle":"","parse-names":false,"suffix":""},{"dropping-particle":"","family":"Rottingen","given":"JA","non-dropping-particle":"","parse-names":false,"suffix":""},{"dropping-particle":"","family":"Cameron","given":"DW","non-dropping-particle":"","parse-names":false,"suffix":""},{"dropping-particle":"","family":"Garnett","given":"GP","non-dropping-particle":"","parse-names":false,"suffix":""},{"dropping-particle":"","family":"Gray","given":"RH","non-dropping-particle":"","parse-names":false,"suffix":""},{"dropping-particle":"","family":"Azire","given":"J","non-dropping-particle":"","parse-names":false,"suffix":""},{"dropping-particle":"","family":"Serwadda","given":"D","non-dropping-particle":"","parse-names":false,"suffix":""},{"dropping-particle":"","family":"Al.","given":"Et","non-dropping-particle":"","parse-names":false,"suffix":""},{"dropping-particle":"","family":"Hussain","given":"LA","non-dropping-particle":"","parse-names":false,"suffix":""},{"dropping-particle":"","family":"Lehner","given":"T","non-dropping-particle":"","parse-names":false,"suffix":""},{"dropping-particle":"","family":"Donoval","given":"BA","non-dropping-particle":"","parse-names":false,"suffix":""},{"dropping-particle":"","family":"Landay","given":"AL","non-dropping-particle":"","parse-names":false,"suffix":""},{"dropping-particle":"","family":"Moses","given":"S","non-dropping-particle":"","parse-names":false,"suffix":""},{"dropping-particle":"","family":"Al.","given":"Et","non-dropping-particle":"","parse-names":false,"suffix":""},{"dropping-particle":"","family":"McCoombe","given":"SG","non-dropping-particle":"","parse-names":false,"suffix":""},{"dropping-particle":"","family":"Short","given":"RV","non-dropping-particle":"","parse-names":false,"suffix":""},{"dropping-particle":"","family":"Patterson","given":"BK","non-dropping-particle":"","parse-names":false,"suffix":""},{"dropping-particle":"","family":"Landay","given":"A","non-dropping-particle":"","parse-names":false,"suffix":""},{"dropping-particle":"","family":"Siegel","given":"JN","non-dropping-particle":"","parse-names":false,"suffix":""},{"dropping-particle":"","family":"Al.","given":"Et","non-dropping-particle":"","parse-names":false,"suffix":""},{"dropping-particle":"","family":"Szabo","given":"R","non-dropping-particle":"","parse-names":false,"suffix":""},{"dropping-particle":"","family":"Short","given":"RV","non-dropping-particle":"","parse-names":false,"suffix":""},{"dropping-particle":"","family":"Kahn","given":"JG","non-dropping-particle":"","parse-names":false,"suffix":""},{"dropping-particle":"","family":"Marseille","given":"E","non-dropping-particle":"","parse-names":false,"suffix":""},{"dropping-particle":"","family":"Auvert","given":"B","non-dropping-particle":"","parse-names":false,"suffix":""},{"dropping-particle":"","family":"Bailey","given":"RC","non-dropping-particle":"","parse-names":false,"suffix":""},{"dropping-particle":"","family":"Egesah","given":"O","non-dropping-particle":"","parse-names":false,"suffix":""},{"dropping-particle":"","family":"Kabra","given":"SG","non-dropping-particle":"","parse-names":false,"suffix":""},{"dropping-particle":"","family":"Narayanan","given":"R","non-dropping-particle":"","parse-names":false,"suffix":""},{"dropping-particle":"","family":"Kumar","given":"S","non-dropping-particle":"","parse-names":false,"suffix":""},{"dropping-particle":"","family":"Montori","given":"VM","non-dropping-particle":"","parse-names":false,"suffix":""},{"dropping-particle":"","family":"Devereaux","given":"PJ","non-dropping-particle":"","parse-names":false,"suffix":""},{"dropping-particle":"","family":"Adhikari","given":"NK","non-dropping-particle":"","parse-names":false,"suffix":""},{"dropping-particle":"","family":"Al.","given":"Et","non-dropping-particle":"","parse-names":false,"suffix":""}],"container-title":"Lancet","id":"ITEM-1","issue":"9562","issued":{"date-parts":[["2007","2"]]},"page":"657-666","publisher":"Elsevier","title":"Male circumcision for HIV prevention in men in Rakai, Uganda: a randomised trial","type":"article-journal","volume":"369"},"uris":["http://www.mendeley.com/documents/?uuid=cb5d0a1f-ffe3-3a80-815b-c4991921b1a8","http://www.mendeley.com/documents/?uuid=57591567-8a6c-482a-b017-b84fef4d9dfb"]},{"id":"ITEM-2","itemData":{"ISSN":"1932-6203","PMID":"25076493","abstract":"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w:instrText>
      </w:r>
      <w:r w:rsidR="00665BF2">
        <w:rPr>
          <w:rFonts w:ascii="Cambria Math" w:hAnsi="Cambria Math" w:cs="Cambria Math"/>
          <w:noProof/>
          <w:vertAlign w:val="superscript"/>
        </w:rPr>
        <w:instrText>∼</w:instrText>
      </w:r>
      <w:r w:rsidR="00665BF2">
        <w:rPr>
          <w:rFonts w:ascii="Helvetica Neue" w:hAnsi="Helvetica Neue"/>
          <w:noProof/>
          <w:vertAlign w:val="superscript"/>
        </w:rPr>
        <w:instrText>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R","non-dropping-particle":"","parse-names":false,"suffix":""},{"dropping-particle":"","family":"Fuchs","given":"Jonathan D","non-dropping-particle":"","parse-names":false,"suffix":""},{"dropping-particle":"","family":"Sanchez","given":"Jorge","non-dropping-particle":"","parse-names":false,"suffix":""},{"dropping-particle":"","family":"Buchbinder","given":"Susan P","non-dropping-particle":"","parse-names":false,"suffix":""}],"container-title":"PloS One","id":"ITEM-2","issue":"7","issued":{"date-parts":[["2014"]]},"page":"e102960","title":"Can male circumcision have an impact on the HIV epidemic in men who have sex with men?","type":"article-journal","volume":"9"},"uris":["http://www.mendeley.com/documents/?uuid=4655d172-cbf9-44a1-bca9-5231aaa7a93e"]}],"mendeley":{"formattedCitation":"&lt;sup&gt;2,14&lt;/sup&gt;","plainTextFormattedCitation":"2,14","previouslyFormattedCitation":"&lt;sup&gt;2,14&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2,14</w:t>
      </w:r>
      <w:r w:rsidRPr="0024409C">
        <w:rPr>
          <w:rFonts w:ascii="Helvetica Neue" w:hAnsi="Helvetica Neue"/>
          <w:noProof/>
          <w:vertAlign w:val="superscript"/>
        </w:rPr>
        <w:fldChar w:fldCharType="end"/>
      </w:r>
    </w:p>
    <w:p w14:paraId="129FB63C" w14:textId="2EFA988E" w:rsidR="009B3BB0" w:rsidRPr="0024409C" w:rsidRDefault="009B3BB0" w:rsidP="009B3BB0">
      <w:pPr>
        <w:pStyle w:val="ListParagraph"/>
        <w:numPr>
          <w:ilvl w:val="0"/>
          <w:numId w:val="9"/>
        </w:numPr>
        <w:tabs>
          <w:tab w:val="left" w:pos="540"/>
        </w:tabs>
        <w:spacing w:before="60" w:line="360" w:lineRule="auto"/>
        <w:ind w:left="547"/>
        <w:contextualSpacing w:val="0"/>
        <w:rPr>
          <w:rFonts w:ascii="Helvetica Neue" w:hAnsi="Helvetica Neue"/>
        </w:rPr>
      </w:pPr>
      <w:r w:rsidRPr="0024409C">
        <w:rPr>
          <w:rFonts w:ascii="Helvetica Neue" w:hAnsi="Helvetica Neue"/>
        </w:rPr>
        <w:t xml:space="preserve">The </w:t>
      </w:r>
      <w:r w:rsidRPr="0024409C">
        <w:rPr>
          <w:rFonts w:ascii="Helvetica Neue" w:hAnsi="Helvetica Neue"/>
          <w:b/>
          <w:u w:color="000000"/>
        </w:rPr>
        <w:t>CCR5-</w:t>
      </w:r>
      <w:r w:rsidRPr="0024409C">
        <w:rPr>
          <w:rFonts w:ascii="Helvetica Neue" w:hAnsi="Helvetica Neue"/>
          <w:b/>
          <w:u w:color="000000"/>
        </w:rPr>
        <w:sym w:font="Symbol" w:char="F044"/>
      </w:r>
      <w:r w:rsidRPr="0024409C">
        <w:rPr>
          <w:rFonts w:ascii="Helvetica Neue" w:hAnsi="Helvetica Neue"/>
          <w:b/>
          <w:u w:color="000000"/>
        </w:rPr>
        <w:t>32 genetic allele</w:t>
      </w:r>
      <w:r w:rsidRPr="0024409C">
        <w:rPr>
          <w:rFonts w:ascii="Helvetica Neue" w:hAnsi="Helvetica Neue"/>
          <w:u w:color="000000"/>
        </w:rPr>
        <w:t xml:space="preserve"> was modeled by assigning a mutation for zero, one, or two chromosomes. Compared to men without a CCR5 mutation, heterozygous men (those with one mutation) were 70% less likely to become infected and homozygous men (those with two mutations) were fully immune from infection.</w:t>
      </w:r>
      <w:r w:rsidRPr="0024409C">
        <w:rPr>
          <w:rFonts w:ascii="Helvetica Neue" w:hAnsi="Helvetica Neue"/>
          <w:noProof/>
          <w:u w:color="000000"/>
          <w:vertAlign w:val="superscript"/>
        </w:rPr>
        <w:fldChar w:fldCharType="begin" w:fldLock="1"/>
      </w:r>
      <w:r w:rsidR="00665BF2">
        <w:rPr>
          <w:rFonts w:ascii="Helvetica Neue" w:hAnsi="Helvetica Neue"/>
          <w:noProof/>
          <w:u w:color="000000"/>
          <w:vertAlign w:val="superscript"/>
        </w:rPr>
        <w:instrText>ADDIN CSL_CITATION {"citationItems":[{"id":"ITEM-1","itemData":{"abstract":"OBJECTIVE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HI…","author":[{"dropping-particle":"","family":"Marmor","given":"M","non-dropping-particle":"","parse-names":false,"suffix":""},{"dropping-particle":"","family":"Sheppard","given":"H W","non-dropping-particle":"","parse-names":false,"suffix":""},{"dropping-particle":"","family":"Donnell","given":"D","non-dropping-particle":"","parse-names":false,"suffix":""},{"dropping-particle":"","family":"Bozeman","given":"S","non-dropping-particle":"","parse-names":false,"suffix":""},{"dropping-particle":"","family":"Celum","given":"C","non-dropping-particle":"","parse-names":false,"suffix":""},{"dropping-particle":"","family":"Buchbinder","given":"S","non-dropping-particle":"","parse-names":false,"suffix":""},{"dropping-particle":"","family":"Koblin","given":"B","non-dropping-particle":"","parse-names":false,"suffix":""},{"dropping-particle":"","family":"Seage","given":"G R","non-dropping-particle":"","parse-names":false,"suffix":""},{"dropping-particle":"","family":"HIV Network for Prevention Trials Vaccine Preparedness Protocol Team","given":"","non-dropping-particle":"","parse-names":false,"suffix":""}],"container-title":"Journal of Acquired Immune Deficiency Syndromes","id":"ITEM-1","issue":"5","issued":{"date-parts":[["2001","8"]]},"page":"472-81","title":"Homozygous and heterozygous CCR5-Delta32 genotypes are associated with resistance to HIV infection.","type":"article-journal","volume":"27"},"uris":["http://www.mendeley.com/documents/?uuid=ba7c2225-2f76-30e5-8354-8ba09b0dcf3e","http://www.mendeley.com/documents/?uuid=244a1c44-5046-426d-b400-fb1a97f32631"]},{"id":"ITEM-2","itemData":{"abstract":"BACKGROUND CC chemokine receptor 5 (CCR5) is a cell entry cofactor for macrophage-tropic isolates of human immunodeficiency virus-1 (HIV-1). Recently, an inactive CCR5 allele (designated here as CCR5-2) was identified that confers resistance to HIV-1 infection in homozygotes and slows the rate of progression to AIDS in heterozygotes. The reports conflict on the effect of heterozygous CCR5-2 on HIV-1 susceptibility, and race and risk levels have not yet been fully analyzed. Here we report our independent identification of CCR5-2 and test its effects on HIV-1 pathogenesis in individuals with contrasting clinical outcomes, defined race, and quantified risk. MATERIALS AND METHODS Mutant CCR5 alleles were sought by directed heteroduplex analysis of genomic DNA from random blood donors. Genotypic frequencies were then determined in (1) random blood donors from North America, Asia, and Africa; (2) HIV-1+ individuals; and (3) highly exposed-seronegative homosexuals with quantified risk. RESULTS CCR5-2 was the only mutant allele found. It was common in Caucasians, less common in other North American racial groups, and not detected in West Africans or Tamil Indians. Homozygous CCR5-2 frequencies differed reciprocally in highly exposed-seronegative (4.5%, n = 111) and HIV-1-seropositive (0%, n = 614) Caucasians relative to Caucasian random blood donors (0.8%, n = 387). This difference was highly significant (p &lt; 0.0001). By contrast, heterozygous CCR5-2 frequencies did not differ significantly in the same three groups (21.6, 22.6, and 21.7%, respectively). A 55% increase in the frequency of heterozygous CCR5-2 was observed in both of two cohorts of Caucasian homosexual male, long-term nonprogressors compared with other HIV-1+ Caucasian homosexuals (p = 0.006) and compared with Caucasian random blood donors. Moreover, Kaplan-Meier estimates indicated that CCR5-2 heterozygous seroconvertors had a 52.6% lower risk of developing AIDS than homozygous wild-type seroconvertors. CONCLUSIONS The data suggest that homozygous CCR5-2 is an HIV-1 resistance factor in Caucasians with complete penetrance, and that heterozygous CCR5-2 slows the rate of disease progression in infected Caucasian homosexuals. Since the majority (approximately 96%) of highly exposed-seronegative individuals tested are not homozygous for CCR5-2, other resistance factors must exist. Since CCR5-2 homozygotes have no obvious clinical problems, CCR5 may be a good target for the development of novel antire…","author":[{"dropping-particle":"","family":"Zimmerman","given":"P A","non-dropping-particle":"","parse-names":false,"suffix":""},{"dropping-particle":"","family":"Buckler-White","given":"A","non-dropping-particle":"","parse-names":false,"suffix":""},{"dropping-particle":"","family":"Alkhatib","given":"G","non-dropping-particle":"","parse-names":false,"suffix":""},{"dropping-particle":"","family":"Spalding","given":"T","non-dropping-particle":"","parse-names":false,"suffix":""},{"dropping-particle":"","family":"Kubofcik","given":"J","non-dropping-particle":"","parse-names":false,"suffix":""},{"dropping-particle":"","family":"Combadiere","given":"C","non-dropping-particle":"","parse-names":false,"suffix":""},{"dropping-particle":"","family":"Weissman","given":"D","non-dropping-particle":"","parse-names":false,"suffix":""},{"dropping-particle":"","family":"Cohen","given":"O","non-dropping-particle":"","parse-names":false,"suffix":""},{"dropping-particle":"","family":"Rubbert","given":"A","non-dropping-particle":"","parse-names":false,"suffix":""},{"dropping-particle":"","family":"Lam","given":"G","non-dropping-particle":"","parse-names":false,"suffix":""},{"dropping-particle":"","family":"Vaccarezza","given":"M","non-dropping-particle":"","parse-names":false,"suffix":""},{"dropping-particle":"","family":"Kennedy","given":"P E","non-dropping-particle":"","parse-names":false,"suffix":""},{"dropping-particle":"","family":"Kumaraswami","given":"V","non-dropping-particle":"","parse-names":false,"suffix":""},{"dropping-particle":"V","family":"Giorgi","given":"J","non-dropping-particle":"","parse-names":false,"suffix":""},{"dropping-particle":"","family":"Detels","given":"R","non-dropping-particle":"","parse-names":false,"suffix":""},{"dropping-particle":"","family":"Hunter","given":"J","non-dropping-particle":"","parse-names":false,"suffix":""},{"dropping-particle":"","family":"Chopek","given":"M","non-dropping-particle":"","parse-names":false,"suffix":""},{"dropping-particle":"","family":"Berger","given":"E A","non-dropping-particle":"","parse-names":false,"suffix":""},{"dropping-particle":"","family":"Fauci","given":"A S","non-dropping-particle":"","parse-names":false,"suffix":""},{"dropping-particle":"","family":"Nutman","given":"T B","non-dropping-particle":"","parse-names":false,"suffix":""},{"dropping-particle":"","family":"Murphy","given":"P M","non-dropping-particle":"","parse-names":false,"suffix":""}],"container-title":"Molecular medicine","id":"ITEM-2","issue":"1","issued":{"date-parts":[["1997","1"]]},"page":"23-36","publisher":"The Feinstein Institute for Medical Research","title":"Inherited resistance to HIV-1 conferred by an inactivating mutation in CC chemokine receptor 5: studies in populations with contrasting clinical phenotypes, defined racial background, and quantified risk.","type":"article-journal","volume":"3"},"uris":["http://www.mendeley.com/documents/?uuid=c719089d-0cda-329a-b4e8-e5fe89152743","http://www.mendeley.com/documents/?uuid=59fac9e5-3baf-4a1b-afba-2b507de9e339"]}],"mendeley":{"formattedCitation":"&lt;sup&gt;15,16&lt;/sup&gt;","plainTextFormattedCitation":"15,16","previouslyFormattedCitation":"&lt;sup&gt;15,16&lt;/sup&gt;"},"properties":{"noteIndex":0},"schema":"https://github.com/citation-style-language/schema/raw/master/csl-citation.json"}</w:instrText>
      </w:r>
      <w:r w:rsidRPr="0024409C">
        <w:rPr>
          <w:rFonts w:ascii="Helvetica Neue" w:hAnsi="Helvetica Neue"/>
          <w:noProof/>
          <w:u w:color="000000"/>
          <w:vertAlign w:val="superscript"/>
        </w:rPr>
        <w:fldChar w:fldCharType="separate"/>
      </w:r>
      <w:r w:rsidR="00E52119" w:rsidRPr="0024409C">
        <w:rPr>
          <w:rFonts w:ascii="Helvetica Neue" w:hAnsi="Helvetica Neue"/>
          <w:noProof/>
          <w:u w:color="000000"/>
          <w:vertAlign w:val="superscript"/>
        </w:rPr>
        <w:t>15,16</w:t>
      </w:r>
      <w:r w:rsidRPr="0024409C">
        <w:rPr>
          <w:rFonts w:ascii="Helvetica Neue" w:hAnsi="Helvetica Neue"/>
          <w:noProof/>
          <w:u w:color="000000"/>
          <w:vertAlign w:val="superscript"/>
        </w:rPr>
        <w:fldChar w:fldCharType="end"/>
      </w:r>
      <w:r w:rsidRPr="0024409C">
        <w:rPr>
          <w:rFonts w:ascii="Helvetica Neue" w:hAnsi="Helvetica Neue"/>
          <w:u w:color="000000"/>
        </w:rPr>
        <w:t xml:space="preserve"> The population distribution of CCR5 was differential by race, with 0% of black men and 3.4% of white men expressing as homozygous, and 2.1% of black men and 17.6% of white men expressing as heterozygous.</w:t>
      </w:r>
      <w:r w:rsidRPr="0024409C">
        <w:rPr>
          <w:rFonts w:ascii="Helvetica Neue" w:hAnsi="Helvetica Neue"/>
          <w:noProof/>
          <w:u w:color="000000"/>
          <w:vertAlign w:val="superscript"/>
        </w:rPr>
        <w:fldChar w:fldCharType="begin" w:fldLock="1"/>
      </w:r>
      <w:r w:rsidR="00665BF2">
        <w:rPr>
          <w:rFonts w:ascii="Helvetica Neue" w:hAnsi="Helvetica Neue"/>
          <w:noProof/>
          <w:u w:color="000000"/>
          <w:vertAlign w:val="superscript"/>
        </w:rPr>
        <w:instrText>ADDIN CSL_CITATION {"citationItems":[{"id":"ITEM-1","itemData":{"abstract":"OBJECTIVE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HI…","author":[{"dropping-particle":"","family":"Marmor","given":"M","non-dropping-particle":"","parse-names":false,"suffix":""},{"dropping-particle":"","family":"Sheppard","given":"H W","non-dropping-particle":"","parse-names":false,"suffix":""},{"dropping-particle":"","family":"Donnell","given":"D","non-dropping-particle":"","parse-names":false,"suffix":""},{"dropping-particle":"","family":"Bozeman","given":"S","non-dropping-particle":"","parse-names":false,"suffix":""},{"dropping-particle":"","family":"Celum","given":"C","non-dropping-particle":"","parse-names":false,"suffix":""},{"dropping-particle":"","family":"Buchbinder","given":"S","non-dropping-particle":"","parse-names":false,"suffix":""},{"dropping-particle":"","family":"Koblin","given":"B","non-dropping-particle":"","parse-names":false,"suffix":""},{"dropping-particle":"","family":"Seage","given":"G R","non-dropping-particle":"","parse-names":false,"suffix":""},{"dropping-particle":"","family":"HIV Network for Prevention Trials Vaccine Preparedness Protocol Team","given":"","non-dropping-particle":"","parse-names":false,"suffix":""}],"container-title":"Journal of Acquired Immune Deficiency Syndromes","id":"ITEM-1","issue":"5","issued":{"date-parts":[["2001","8"]]},"page":"472-81","title":"Homozygous and heterozygous CCR5-Delta32 genotypes are associated with resistance to HIV infection.","type":"article-journal","volume":"27"},"uris":["http://www.mendeley.com/documents/?uuid=244a1c44-5046-426d-b400-fb1a97f32631","http://www.mendeley.com/documents/?uuid=ba7c2225-2f76-30e5-8354-8ba09b0dcf3e"]}],"mendeley":{"formattedCitation":"&lt;sup&gt;15&lt;/sup&gt;","plainTextFormattedCitation":"15","previouslyFormattedCitation":"&lt;sup&gt;15&lt;/sup&gt;"},"properties":{"noteIndex":0},"schema":"https://github.com/citation-style-language/schema/raw/master/csl-citation.json"}</w:instrText>
      </w:r>
      <w:r w:rsidRPr="0024409C">
        <w:rPr>
          <w:rFonts w:ascii="Helvetica Neue" w:hAnsi="Helvetica Neue"/>
          <w:noProof/>
          <w:u w:color="000000"/>
          <w:vertAlign w:val="superscript"/>
        </w:rPr>
        <w:fldChar w:fldCharType="separate"/>
      </w:r>
      <w:r w:rsidR="00E52119" w:rsidRPr="0024409C">
        <w:rPr>
          <w:rFonts w:ascii="Helvetica Neue" w:hAnsi="Helvetica Neue"/>
          <w:noProof/>
          <w:u w:color="000000"/>
          <w:vertAlign w:val="superscript"/>
        </w:rPr>
        <w:t>15</w:t>
      </w:r>
      <w:r w:rsidRPr="0024409C">
        <w:rPr>
          <w:rFonts w:ascii="Helvetica Neue" w:hAnsi="Helvetica Neue"/>
          <w:noProof/>
          <w:u w:color="000000"/>
          <w:vertAlign w:val="superscript"/>
        </w:rPr>
        <w:fldChar w:fldCharType="end"/>
      </w:r>
      <w:r w:rsidRPr="0024409C">
        <w:rPr>
          <w:rFonts w:ascii="Helvetica Neue" w:hAnsi="Helvetica Neue"/>
          <w:u w:color="000000"/>
        </w:rPr>
        <w:t xml:space="preserve"> But because race was not explicitly represented in these models, we averaged each set of proportions: 1.7% homozygous and 9.9% heterozygous overall.</w:t>
      </w:r>
    </w:p>
    <w:p w14:paraId="141ECA08" w14:textId="1420E820" w:rsidR="009B3BB0" w:rsidRPr="0024409C" w:rsidRDefault="00273CDD" w:rsidP="009B3BB0">
      <w:pPr>
        <w:pStyle w:val="Heading2"/>
        <w:rPr>
          <w:rFonts w:ascii="Helvetica Neue" w:hAnsi="Helvetica Neue"/>
          <w:szCs w:val="22"/>
        </w:rPr>
      </w:pPr>
      <w:bookmarkStart w:id="15" w:name="_Toc2361375"/>
      <w:r w:rsidRPr="0024409C">
        <w:rPr>
          <w:rFonts w:ascii="Helvetica Neue" w:hAnsi="Helvetica Neue"/>
          <w:szCs w:val="22"/>
        </w:rPr>
        <w:t>4</w:t>
      </w:r>
      <w:r w:rsidR="009B3BB0" w:rsidRPr="0024409C">
        <w:rPr>
          <w:rFonts w:ascii="Helvetica Neue" w:hAnsi="Helvetica Neue"/>
          <w:szCs w:val="22"/>
        </w:rPr>
        <w:t>.3</w:t>
      </w:r>
      <w:r w:rsidR="009B3BB0" w:rsidRPr="0024409C">
        <w:rPr>
          <w:rFonts w:ascii="Helvetica Neue" w:hAnsi="Helvetica Neue"/>
          <w:szCs w:val="22"/>
        </w:rPr>
        <w:tab/>
        <w:t>Exits from the Network</w:t>
      </w:r>
      <w:bookmarkEnd w:id="15"/>
    </w:p>
    <w:p w14:paraId="7C394B27" w14:textId="66B9A446" w:rsidR="009B3BB0" w:rsidRPr="0024409C" w:rsidRDefault="009B3BB0" w:rsidP="003604D9">
      <w:pPr>
        <w:tabs>
          <w:tab w:val="left" w:pos="540"/>
        </w:tabs>
        <w:spacing w:after="120" w:line="360" w:lineRule="auto"/>
        <w:rPr>
          <w:rFonts w:ascii="Helvetica Neue" w:hAnsi="Helvetica Neue"/>
        </w:rPr>
      </w:pPr>
      <w:r w:rsidRPr="0024409C">
        <w:rPr>
          <w:rFonts w:ascii="Helvetica Neue" w:hAnsi="Helvetica Neue"/>
        </w:rPr>
        <w:t>All persons exited the network by age 40, either from mortality or reaching the upper age bound of the MSM target population of interest. This upper limit of 40 was modeled deterministically (probability = 1), but other exits due to mortality were modeled stochastically. Mortality included both natural (non-HIV) and disease-induced mortality causes before age 40. Background mortality rates were based on US all-cause mortality rates specific to age and race from the National Vital Statistics life tables.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{"citationItems":[{"id":"ITEM-1","itemData":{"author":[{"dropping-particle":"","family":"U.S. Census Bureau","given":"","non-dropping-particle":"","parse-names":false,"suffix":""}],"id":"ITEM-1","issued":{"date-parts":[["2012"]]},"title":"National Mortality Data","type":"article-journal"},"uris":["http://www.mendeley.com/documents/?uuid=8339966f-bd01-3a46-9cfb-948e4ea2aa9e","http://www.mendeley.com/documents/?uuid=7955fc48-6457-42fb-85e1-c98cafebbc99"]}],"mendeley":{"formattedCitation":"&lt;sup&gt;17&lt;/sup&gt;","plainTextFormattedCitation":"17","previouslyFormattedCitation":"&lt;sup&gt;17&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17</w:t>
      </w:r>
      <w:r w:rsidRPr="0024409C">
        <w:rPr>
          <w:rFonts w:ascii="Helvetica Neue" w:hAnsi="Helvetica Neue"/>
          <w:noProof/>
          <w:vertAlign w:val="superscript"/>
        </w:rPr>
        <w:fldChar w:fldCharType="end"/>
      </w:r>
      <w:r w:rsidRPr="0024409C">
        <w:rPr>
          <w:rFonts w:ascii="Helvetica Neue" w:hAnsi="Helvetica Neue"/>
        </w:rPr>
        <w:t xml:space="preserve"> The following table shows the probability of mortality per year by age and race.</w:t>
      </w:r>
    </w:p>
    <w:tbl>
      <w:tblPr>
        <w:tblStyle w:val="TableGrid"/>
        <w:tblW w:w="0" w:type="auto"/>
        <w:jc w:val="center"/>
        <w:tblLook w:val="04A0" w:firstRow="1" w:lastRow="0" w:firstColumn="1" w:lastColumn="0" w:noHBand="0" w:noVBand="1"/>
      </w:tblPr>
      <w:tblGrid>
        <w:gridCol w:w="1276"/>
        <w:gridCol w:w="1720"/>
        <w:gridCol w:w="1722"/>
      </w:tblGrid>
      <w:tr w:rsidR="009B3BB0" w:rsidRPr="0024409C" w14:paraId="67FD5F3F" w14:textId="77777777" w:rsidTr="00A2582E">
        <w:trPr>
          <w:trHeight w:val="389"/>
          <w:jc w:val="center"/>
        </w:trPr>
        <w:tc>
          <w:tcPr>
            <w:tcW w:w="1276" w:type="dxa"/>
            <w:shd w:val="clear" w:color="auto" w:fill="D9D9D9" w:themeFill="background1" w:themeFillShade="D9"/>
            <w:vAlign w:val="center"/>
          </w:tcPr>
          <w:p w14:paraId="3D05047D" w14:textId="77777777" w:rsidR="009B3BB0" w:rsidRPr="0024409C" w:rsidRDefault="009B3BB0" w:rsidP="00A2582E">
            <w:pPr>
              <w:tabs>
                <w:tab w:val="left" w:pos="540"/>
              </w:tabs>
              <w:ind w:left="157" w:hanging="157"/>
              <w:rPr>
                <w:rFonts w:ascii="Helvetica Neue" w:hAnsi="Helvetica Neue"/>
                <w:sz w:val="18"/>
              </w:rPr>
            </w:pPr>
            <w:r w:rsidRPr="0024409C">
              <w:rPr>
                <w:rFonts w:ascii="Helvetica Neue" w:hAnsi="Helvetica Neue"/>
                <w:b/>
                <w:sz w:val="18"/>
              </w:rPr>
              <w:t>Age</w:t>
            </w:r>
          </w:p>
        </w:tc>
        <w:tc>
          <w:tcPr>
            <w:tcW w:w="1720" w:type="dxa"/>
            <w:shd w:val="clear" w:color="auto" w:fill="D9D9D9" w:themeFill="background1" w:themeFillShade="D9"/>
            <w:vAlign w:val="center"/>
          </w:tcPr>
          <w:p w14:paraId="048A09DA"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White</w:t>
            </w:r>
          </w:p>
        </w:tc>
        <w:tc>
          <w:tcPr>
            <w:tcW w:w="1722" w:type="dxa"/>
            <w:shd w:val="clear" w:color="auto" w:fill="D9D9D9" w:themeFill="background1" w:themeFillShade="D9"/>
            <w:vAlign w:val="center"/>
          </w:tcPr>
          <w:p w14:paraId="3EA8ACE3"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Black</w:t>
            </w:r>
          </w:p>
        </w:tc>
      </w:tr>
      <w:tr w:rsidR="009B3BB0" w:rsidRPr="0024409C" w14:paraId="6BBAD099" w14:textId="77777777" w:rsidTr="00A2582E">
        <w:trPr>
          <w:trHeight w:val="389"/>
          <w:jc w:val="center"/>
        </w:trPr>
        <w:tc>
          <w:tcPr>
            <w:tcW w:w="1276" w:type="dxa"/>
            <w:vAlign w:val="center"/>
          </w:tcPr>
          <w:p w14:paraId="7E3BEB78"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18–24</w:t>
            </w:r>
          </w:p>
        </w:tc>
        <w:tc>
          <w:tcPr>
            <w:tcW w:w="1720" w:type="dxa"/>
            <w:vAlign w:val="center"/>
          </w:tcPr>
          <w:p w14:paraId="5BC556E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0.00103</w:t>
            </w:r>
          </w:p>
        </w:tc>
        <w:tc>
          <w:tcPr>
            <w:tcW w:w="1722" w:type="dxa"/>
            <w:vAlign w:val="center"/>
          </w:tcPr>
          <w:p w14:paraId="3CA39C9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0.00159</w:t>
            </w:r>
          </w:p>
        </w:tc>
      </w:tr>
      <w:tr w:rsidR="009B3BB0" w:rsidRPr="0024409C" w14:paraId="6E532AE0" w14:textId="77777777" w:rsidTr="00A2582E">
        <w:trPr>
          <w:trHeight w:val="389"/>
          <w:jc w:val="center"/>
        </w:trPr>
        <w:tc>
          <w:tcPr>
            <w:tcW w:w="1276" w:type="dxa"/>
            <w:vAlign w:val="center"/>
          </w:tcPr>
          <w:p w14:paraId="78E180E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lastRenderedPageBreak/>
              <w:t>25–34</w:t>
            </w:r>
          </w:p>
        </w:tc>
        <w:tc>
          <w:tcPr>
            <w:tcW w:w="1720" w:type="dxa"/>
            <w:vAlign w:val="center"/>
          </w:tcPr>
          <w:p w14:paraId="7E1C145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0.00133</w:t>
            </w:r>
          </w:p>
        </w:tc>
        <w:tc>
          <w:tcPr>
            <w:tcW w:w="1722" w:type="dxa"/>
            <w:vAlign w:val="center"/>
          </w:tcPr>
          <w:p w14:paraId="1644F40C"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0.00225</w:t>
            </w:r>
          </w:p>
        </w:tc>
      </w:tr>
      <w:tr w:rsidR="009B3BB0" w:rsidRPr="0024409C" w14:paraId="0A6EBF19" w14:textId="77777777" w:rsidTr="00A2582E">
        <w:trPr>
          <w:trHeight w:val="389"/>
          <w:jc w:val="center"/>
        </w:trPr>
        <w:tc>
          <w:tcPr>
            <w:tcW w:w="1276" w:type="dxa"/>
            <w:vAlign w:val="center"/>
          </w:tcPr>
          <w:p w14:paraId="07A0CE4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35–39</w:t>
            </w:r>
          </w:p>
        </w:tc>
        <w:tc>
          <w:tcPr>
            <w:tcW w:w="1720" w:type="dxa"/>
            <w:vAlign w:val="center"/>
          </w:tcPr>
          <w:p w14:paraId="3F158F9F"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0.00214</w:t>
            </w:r>
          </w:p>
        </w:tc>
        <w:tc>
          <w:tcPr>
            <w:tcW w:w="1722" w:type="dxa"/>
            <w:vAlign w:val="center"/>
          </w:tcPr>
          <w:p w14:paraId="393391D7"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0.00348</w:t>
            </w:r>
          </w:p>
        </w:tc>
      </w:tr>
    </w:tbl>
    <w:p w14:paraId="55A5DB54" w14:textId="46030A00" w:rsidR="009B3BB0"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t>Natural mortality was applied to persons within the population at each time step stochastically by drawing from a binomial distribution for each eligible person with a probability parameter corresponding to that person’s risk of death tied to his age. Disease-related mortality, in contrast, was modeled based on clinical disease progre</w:t>
      </w:r>
      <w:r w:rsidR="00F853FB" w:rsidRPr="0024409C">
        <w:rPr>
          <w:rFonts w:ascii="Helvetica Neue" w:hAnsi="Helvetica Neue"/>
        </w:rPr>
        <w:t xml:space="preserve">ssion, as described in Section </w:t>
      </w:r>
      <w:r w:rsidR="003C114A" w:rsidRPr="0024409C">
        <w:rPr>
          <w:rFonts w:ascii="Helvetica Neue" w:hAnsi="Helvetica Neue"/>
        </w:rPr>
        <w:t>5</w:t>
      </w:r>
      <w:r w:rsidRPr="0024409C">
        <w:rPr>
          <w:rFonts w:ascii="Helvetica Neue" w:hAnsi="Helvetica Neue"/>
        </w:rPr>
        <w:t>.</w:t>
      </w:r>
    </w:p>
    <w:p w14:paraId="56DBF6A9" w14:textId="4F1B7CAB" w:rsidR="009B3BB0" w:rsidRPr="0024409C" w:rsidRDefault="00273CDD" w:rsidP="009B3BB0">
      <w:pPr>
        <w:pStyle w:val="Heading2"/>
        <w:rPr>
          <w:rFonts w:ascii="Helvetica Neue" w:hAnsi="Helvetica Neue"/>
          <w:szCs w:val="22"/>
        </w:rPr>
      </w:pPr>
      <w:bookmarkStart w:id="16" w:name="_Toc2361376"/>
      <w:r w:rsidRPr="0024409C">
        <w:rPr>
          <w:rFonts w:ascii="Helvetica Neue" w:hAnsi="Helvetica Neue"/>
          <w:szCs w:val="22"/>
        </w:rPr>
        <w:t>4</w:t>
      </w:r>
      <w:r w:rsidR="009B3BB0" w:rsidRPr="0024409C">
        <w:rPr>
          <w:rFonts w:ascii="Helvetica Neue" w:hAnsi="Helvetica Neue"/>
          <w:szCs w:val="22"/>
        </w:rPr>
        <w:t>.4</w:t>
      </w:r>
      <w:r w:rsidR="009B3BB0" w:rsidRPr="0024409C">
        <w:rPr>
          <w:rFonts w:ascii="Helvetica Neue" w:hAnsi="Helvetica Neue"/>
          <w:szCs w:val="22"/>
        </w:rPr>
        <w:tab/>
        <w:t>Aging</w:t>
      </w:r>
      <w:bookmarkEnd w:id="16"/>
    </w:p>
    <w:p w14:paraId="4F92A6BB" w14:textId="77777777"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 xml:space="preserve">The aging process in the population was linear by time step for all active persons. The unit of time step in these simulations was one week, and therefore, persons were aged in weekly steps between the minimum and maximum ages allow (18 and 40 years old). Evolving age impacted background mortality, age-based mixing in forming new </w:t>
      </w:r>
      <w:proofErr w:type="gramStart"/>
      <w:r w:rsidRPr="0024409C">
        <w:rPr>
          <w:rFonts w:ascii="Helvetica Neue" w:hAnsi="Helvetica Neue"/>
        </w:rPr>
        <w:t>partnerships,</w:t>
      </w:r>
      <w:proofErr w:type="gramEnd"/>
      <w:r w:rsidRPr="0024409C">
        <w:rPr>
          <w:rFonts w:ascii="Helvetica Neue" w:hAnsi="Helvetica Neue"/>
        </w:rPr>
        <w:t xml:space="preserve"> and other behavioral features of the epidemic model described below. Persons who exited the network were no longer active and their attributes such as age were no longer updated.</w:t>
      </w:r>
    </w:p>
    <w:p w14:paraId="2564F8DC" w14:textId="18872873" w:rsidR="009B3BB0" w:rsidRPr="0024409C" w:rsidRDefault="00273CDD" w:rsidP="002232EA">
      <w:pPr>
        <w:pStyle w:val="Heading1"/>
        <w:spacing w:before="300"/>
        <w:rPr>
          <w:rFonts w:ascii="Helvetica Neue" w:hAnsi="Helvetica Neue"/>
        </w:rPr>
      </w:pPr>
      <w:bookmarkStart w:id="17" w:name="_Toc2361377"/>
      <w:r w:rsidRPr="0024409C">
        <w:rPr>
          <w:rFonts w:ascii="Helvetica Neue" w:hAnsi="Helvetica Neue"/>
        </w:rPr>
        <w:t>5</w:t>
      </w:r>
      <w:r w:rsidR="009B3BB0" w:rsidRPr="0024409C">
        <w:rPr>
          <w:rFonts w:ascii="Helvetica Neue" w:hAnsi="Helvetica Neue"/>
        </w:rPr>
        <w:tab/>
      </w:r>
      <w:r w:rsidR="00277378" w:rsidRPr="0024409C">
        <w:rPr>
          <w:rFonts w:ascii="Helvetica Neue" w:hAnsi="Helvetica Neue"/>
        </w:rPr>
        <w:t xml:space="preserve">HIV </w:t>
      </w:r>
      <w:r w:rsidR="009B3BB0" w:rsidRPr="0024409C">
        <w:rPr>
          <w:rFonts w:ascii="Helvetica Neue" w:hAnsi="Helvetica Neue"/>
        </w:rPr>
        <w:t>INTRAHOST EPIDEMIOLOGY</w:t>
      </w:r>
      <w:bookmarkEnd w:id="17"/>
    </w:p>
    <w:p w14:paraId="2DABCE30" w14:textId="77777777" w:rsidR="009B3BB0" w:rsidRPr="0024409C" w:rsidRDefault="009B3BB0" w:rsidP="009B3BB0">
      <w:pPr>
        <w:tabs>
          <w:tab w:val="left" w:pos="540"/>
        </w:tabs>
        <w:spacing w:line="360" w:lineRule="auto"/>
        <w:rPr>
          <w:rFonts w:ascii="Helvetica Neue" w:hAnsi="Helvetica Neue"/>
        </w:rPr>
      </w:pPr>
      <w:proofErr w:type="spellStart"/>
      <w:r w:rsidRPr="0024409C">
        <w:rPr>
          <w:rFonts w:ascii="Helvetica Neue" w:hAnsi="Helvetica Neue"/>
        </w:rPr>
        <w:t>Intrahost</w:t>
      </w:r>
      <w:proofErr w:type="spellEnd"/>
      <w:r w:rsidRPr="0024409C">
        <w:rPr>
          <w:rFonts w:ascii="Helvetica Neue" w:hAnsi="Helvetica Neue"/>
        </w:rPr>
        <w:t xml:space="preserve"> epidemiology includes features related to the natural disease progression within HIV+ persons in the absence of clinical intervention. The main component of progression that was explicitly modeled for this study was HIV viral load. In contrast to other modeling studies that model both CD4 and viral load, our study used viral load progression to control both </w:t>
      </w:r>
      <w:proofErr w:type="spellStart"/>
      <w:r w:rsidRPr="0024409C">
        <w:rPr>
          <w:rFonts w:ascii="Helvetica Neue" w:hAnsi="Helvetica Neue"/>
        </w:rPr>
        <w:t>interhost</w:t>
      </w:r>
      <w:proofErr w:type="spellEnd"/>
      <w:r w:rsidRPr="0024409C">
        <w:rPr>
          <w:rFonts w:ascii="Helvetica Neue" w:hAnsi="Helvetica Neue"/>
        </w:rPr>
        <w:t xml:space="preserve"> epidemiology (HIV transmission rates) and disease progression eventually leading to mortality.</w:t>
      </w:r>
    </w:p>
    <w:p w14:paraId="3311DF1B" w14:textId="00B01F6B" w:rsidR="009B3BB0" w:rsidRDefault="009B3BB0" w:rsidP="00C10B8A">
      <w:pPr>
        <w:tabs>
          <w:tab w:val="left" w:pos="540"/>
        </w:tabs>
        <w:spacing w:before="120" w:after="180" w:line="360" w:lineRule="auto"/>
        <w:rPr>
          <w:rFonts w:ascii="Helvetica Neue" w:hAnsi="Helvetica Neue"/>
        </w:rPr>
      </w:pPr>
      <w:r w:rsidRPr="0024409C">
        <w:rPr>
          <w:rFonts w:ascii="Helvetica Neue" w:hAnsi="Helvetica Neue"/>
        </w:rPr>
        <w:t>Following prior approaches,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One","id":"ITEM-1","issue":"11","issued":{"date-parts":[["2012"]]},"page":"e50522","title":"What drives the US and Peruvian HIV epidemics in men who have sex with men (MSM)?","type":"article-journal","volume":"7"},"uris":["http://www.mendeley.com/documents/?uuid=95236385-1da9-4014-87d9-9bf044dc09fb"]},{"id":"ITEM-2","itemData":{"ISSN":"1932-6203","PMID":"25076493","abstract":"BACKGROUND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w:instrText>
      </w:r>
      <w:r w:rsidR="00665BF2">
        <w:rPr>
          <w:rFonts w:ascii="Cambria Math" w:hAnsi="Cambria Math" w:cs="Cambria Math"/>
          <w:noProof/>
          <w:vertAlign w:val="superscript"/>
        </w:rPr>
        <w:instrText>∼</w:instrText>
      </w:r>
      <w:r w:rsidR="00665BF2">
        <w:rPr>
          <w:rFonts w:ascii="Helvetica Neue" w:hAnsi="Helvetica Neue"/>
          <w:noProof/>
          <w:vertAlign w:val="superscript"/>
        </w:rPr>
        <w:instrText>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R","non-dropping-particle":"","parse-names":false,"suffix":""},{"dropping-particle":"","family":"Fuchs","given":"Jonathan D","non-dropping-particle":"","parse-names":false,"suffix":""},{"dropping-particle":"","family":"Sanchez","given":"Jorge","non-dropping-particle":"","parse-names":false,"suffix":""},{"dropping-particle":"","family":"Buchbinder","given":"Susan P","non-dropping-particle":"","parse-names":false,"suffix":""}],"container-title":"PloS One","id":"ITEM-2","issue":"7","issued":{"date-parts":[["2014"]]},"page":"e102960","title":"Can male circumcision have an impact on the HIV epidemic in men who have sex with men?","type":"article-journal","volume":"9"},"uris":["http://www.mendeley.com/documents/?uuid=4655d172-cbf9-44a1-bca9-5231aaa7a93e"]}],"mendeley":{"formattedCitation":"&lt;sup&gt;1,2&lt;/sup&gt;","plainTextFormattedCitation":"1,2","previouslyFormattedCitation":"&lt;sup&gt;1,2&lt;/sup&gt;"},"properties":{"noteIndex":0},"schema":"https://github.com/citation-style-language/schema/raw/master/csl-citation.json"}</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noProof/>
          <w:vertAlign w:val="superscript"/>
        </w:rPr>
        <w:t xml:space="preserve"> </w:t>
      </w:r>
      <w:r w:rsidRPr="0024409C">
        <w:rPr>
          <w:rFonts w:ascii="Helvetica Neue" w:hAnsi="Helvetica Neue"/>
        </w:rPr>
        <w:t>we modeled changes in HIV viral load to account for the heighte</w:t>
      </w:r>
      <w:r w:rsidR="00AB2579">
        <w:rPr>
          <w:rFonts w:ascii="Helvetica Neue" w:hAnsi="Helvetica Neue"/>
        </w:rPr>
        <w:t>ne</w:t>
      </w:r>
      <w:r w:rsidRPr="0024409C">
        <w:rPr>
          <w:rFonts w:ascii="Helvetica Neue" w:hAnsi="Helvetica Neue"/>
        </w:rPr>
        <w:t xml:space="preserve">d </w:t>
      </w:r>
      <w:proofErr w:type="spellStart"/>
      <w:r w:rsidRPr="0024409C">
        <w:rPr>
          <w:rFonts w:ascii="Helvetica Neue" w:hAnsi="Helvetica Neue"/>
        </w:rPr>
        <w:t>viremia</w:t>
      </w:r>
      <w:proofErr w:type="spellEnd"/>
      <w:r w:rsidRPr="0024409C">
        <w:rPr>
          <w:rFonts w:ascii="Helvetica Neue" w:hAnsi="Helvetica Neue"/>
        </w:rPr>
        <w:t xml:space="preserve"> during acute-stage infection, viral set point during the long chronic stage of infection, and subsequent rise of VL at clinical AIDS towards disease-related mortality. A starting viral load of 0 is assigned to all persons upon infection. From there, the natural viral load curve is fit with the following parameters. The HIV viral load has a crucial impact on </w:t>
      </w:r>
      <w:r w:rsidRPr="0024409C">
        <w:rPr>
          <w:rFonts w:ascii="Helvetica Neue" w:hAnsi="Helvetica Neue"/>
        </w:rPr>
        <w:lastRenderedPageBreak/>
        <w:t xml:space="preserve">the rates of HIV transmission within </w:t>
      </w:r>
      <w:proofErr w:type="spellStart"/>
      <w:r w:rsidRPr="0024409C">
        <w:rPr>
          <w:rFonts w:ascii="Helvetica Neue" w:hAnsi="Helvetica Neue"/>
        </w:rPr>
        <w:t>serodiscordant</w:t>
      </w:r>
      <w:proofErr w:type="spellEnd"/>
      <w:r w:rsidRPr="0024409C">
        <w:rPr>
          <w:rFonts w:ascii="Helvetica Neue" w:hAnsi="Helvetica Neue"/>
        </w:rPr>
        <w:t xml:space="preserve"> couples in the model, and this interaction is detailed in Section </w:t>
      </w:r>
      <w:r w:rsidR="00730BCC" w:rsidRPr="0024409C">
        <w:rPr>
          <w:rFonts w:ascii="Helvetica Neue" w:hAnsi="Helvetica Neue"/>
        </w:rPr>
        <w:t>7</w:t>
      </w:r>
      <w:r w:rsidRPr="0024409C">
        <w:rPr>
          <w:rFonts w:ascii="Helvetica Neue" w:hAnsi="Helvetica Neue"/>
        </w:rPr>
        <w:t>. The parameters governing these processes are provided in the table below.</w:t>
      </w:r>
    </w:p>
    <w:p w14:paraId="4178A52C" w14:textId="77777777" w:rsidR="004A160D" w:rsidRPr="0024409C" w:rsidRDefault="004A160D" w:rsidP="00C10B8A">
      <w:pPr>
        <w:tabs>
          <w:tab w:val="left" w:pos="540"/>
        </w:tabs>
        <w:spacing w:before="120" w:after="180" w:line="360" w:lineRule="auto"/>
        <w:rPr>
          <w:rFonts w:ascii="Helvetica Neue" w:hAnsi="Helvetica Neue"/>
        </w:rPr>
      </w:pPr>
    </w:p>
    <w:tbl>
      <w:tblPr>
        <w:tblStyle w:val="TableGrid"/>
        <w:tblW w:w="8905" w:type="dxa"/>
        <w:jc w:val="center"/>
        <w:tblLook w:val="04A0" w:firstRow="1" w:lastRow="0" w:firstColumn="1" w:lastColumn="0" w:noHBand="0" w:noVBand="1"/>
      </w:tblPr>
      <w:tblGrid>
        <w:gridCol w:w="4188"/>
        <w:gridCol w:w="1337"/>
        <w:gridCol w:w="3380"/>
      </w:tblGrid>
      <w:tr w:rsidR="009B3BB0" w:rsidRPr="0024409C" w14:paraId="37B864F6" w14:textId="77777777" w:rsidTr="00277378">
        <w:trPr>
          <w:trHeight w:val="389"/>
          <w:jc w:val="center"/>
        </w:trPr>
        <w:tc>
          <w:tcPr>
            <w:tcW w:w="4188" w:type="dxa"/>
            <w:shd w:val="clear" w:color="auto" w:fill="D9D9D9" w:themeFill="background1" w:themeFillShade="D9"/>
            <w:vAlign w:val="center"/>
          </w:tcPr>
          <w:p w14:paraId="4FA8D637"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w:t>
            </w:r>
          </w:p>
        </w:tc>
        <w:tc>
          <w:tcPr>
            <w:tcW w:w="1337" w:type="dxa"/>
            <w:shd w:val="clear" w:color="auto" w:fill="D9D9D9" w:themeFill="background1" w:themeFillShade="D9"/>
            <w:vAlign w:val="center"/>
          </w:tcPr>
          <w:p w14:paraId="1B2ED9CB"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Value</w:t>
            </w:r>
          </w:p>
        </w:tc>
        <w:tc>
          <w:tcPr>
            <w:tcW w:w="3380" w:type="dxa"/>
            <w:shd w:val="clear" w:color="auto" w:fill="D9D9D9" w:themeFill="background1" w:themeFillShade="D9"/>
            <w:vAlign w:val="center"/>
          </w:tcPr>
          <w:p w14:paraId="6F66041B"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Reference</w:t>
            </w:r>
          </w:p>
        </w:tc>
      </w:tr>
      <w:tr w:rsidR="009B3BB0" w:rsidRPr="0024409C" w14:paraId="511EF258" w14:textId="77777777" w:rsidTr="00277378">
        <w:trPr>
          <w:trHeight w:val="389"/>
          <w:jc w:val="center"/>
        </w:trPr>
        <w:tc>
          <w:tcPr>
            <w:tcW w:w="4188" w:type="dxa"/>
            <w:vAlign w:val="center"/>
          </w:tcPr>
          <w:p w14:paraId="3806139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 xml:space="preserve">Time to peak </w:t>
            </w:r>
            <w:proofErr w:type="spellStart"/>
            <w:r w:rsidRPr="0024409C">
              <w:rPr>
                <w:rFonts w:ascii="Helvetica Neue" w:hAnsi="Helvetica Neue"/>
                <w:sz w:val="18"/>
              </w:rPr>
              <w:t>viremia</w:t>
            </w:r>
            <w:proofErr w:type="spellEnd"/>
            <w:r w:rsidRPr="0024409C">
              <w:rPr>
                <w:rFonts w:ascii="Helvetica Neue" w:hAnsi="Helvetica Neue"/>
                <w:sz w:val="18"/>
              </w:rPr>
              <w:t xml:space="preserve"> in acute stage</w:t>
            </w:r>
          </w:p>
        </w:tc>
        <w:tc>
          <w:tcPr>
            <w:tcW w:w="1337" w:type="dxa"/>
            <w:vAlign w:val="center"/>
          </w:tcPr>
          <w:p w14:paraId="5C2AB371"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days</w:t>
            </w:r>
          </w:p>
        </w:tc>
        <w:tc>
          <w:tcPr>
            <w:tcW w:w="3380" w:type="dxa"/>
            <w:vAlign w:val="center"/>
          </w:tcPr>
          <w:p w14:paraId="6D32CE3D" w14:textId="60B0F8FC"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D","non-dropping-particle":"","parse-names":false,"suffix":""},{"dropping-particle":"V","family":"Havlir","given":"D","non-dropping-particle":"","parse-names":false,"suffix":""}],"container-title":"The Journal of Experimental Medicine","id":"ITEM-1","issue":"6","issued":{"date-parts":[["1999","9"]]},"page":"841-50","publisher":"The Rockefeller University Press","title":"Viral dynamics of acute HIV-1 infection.","type":"article-journal","volume":"190"},"uris":["http://www.mendeley.com/documents/?uuid=03a49059-ea3f-3b5e-a202-42bfd089fcbc","http://www.mendeley.com/documents/?uuid=740206f9-55c1-4c66-9f0c-d4b24907513e"]}],"mendeley":{"formattedCitation":"&lt;sup&gt;18&lt;/sup&gt;","plainTextFormattedCitation":"18","previouslyFormattedCitation":"&lt;sup&gt;18&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3E401B37" w14:textId="77777777" w:rsidTr="00277378">
        <w:trPr>
          <w:trHeight w:val="389"/>
          <w:jc w:val="center"/>
        </w:trPr>
        <w:tc>
          <w:tcPr>
            <w:tcW w:w="4188" w:type="dxa"/>
            <w:vAlign w:val="center"/>
          </w:tcPr>
          <w:p w14:paraId="2B44014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 xml:space="preserve">Level of peak </w:t>
            </w:r>
            <w:proofErr w:type="spellStart"/>
            <w:r w:rsidRPr="0024409C">
              <w:rPr>
                <w:rFonts w:ascii="Helvetica Neue" w:hAnsi="Helvetica Neue"/>
                <w:sz w:val="18"/>
              </w:rPr>
              <w:t>viremia</w:t>
            </w:r>
            <w:proofErr w:type="spellEnd"/>
          </w:p>
        </w:tc>
        <w:tc>
          <w:tcPr>
            <w:tcW w:w="1337" w:type="dxa"/>
            <w:vAlign w:val="center"/>
          </w:tcPr>
          <w:p w14:paraId="6AF28697"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6.886 log</w:t>
            </w:r>
            <w:r w:rsidRPr="0024409C">
              <w:rPr>
                <w:rFonts w:ascii="Helvetica Neue" w:hAnsi="Helvetica Neue"/>
                <w:sz w:val="18"/>
                <w:vertAlign w:val="subscript"/>
              </w:rPr>
              <w:t>10</w:t>
            </w:r>
          </w:p>
        </w:tc>
        <w:tc>
          <w:tcPr>
            <w:tcW w:w="3380" w:type="dxa"/>
            <w:vAlign w:val="center"/>
          </w:tcPr>
          <w:p w14:paraId="752241B8" w14:textId="76AE4282"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D","non-dropping-particle":"","parse-names":false,"suffix":""},{"dropping-particle":"V","family":"Havlir","given":"D","non-dropping-particle":"","parse-names":false,"suffix":""}],"container-title":"The Journal of Experimental Medicine","id":"ITEM-1","issue":"6","issued":{"date-parts":[["1999","9"]]},"page":"841-50","publisher":"The Rockefeller University Press","title":"Viral dynamics of acute HIV-1 infection.","type":"article-journal","volume":"190"},"uris":["http://www.mendeley.com/documents/?uuid=740206f9-55c1-4c66-9f0c-d4b24907513e","http://www.mendeley.com/documents/?uuid=03a49059-ea3f-3b5e-a202-42bfd089fcbc"]}],"mendeley":{"formattedCitation":"&lt;sup&gt;18&lt;/sup&gt;","plainTextFormattedCitation":"18","previouslyFormattedCitation":"&lt;sup&gt;18&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3E32CC31" w14:textId="77777777" w:rsidTr="00277378">
        <w:trPr>
          <w:trHeight w:val="389"/>
          <w:jc w:val="center"/>
        </w:trPr>
        <w:tc>
          <w:tcPr>
            <w:tcW w:w="4188" w:type="dxa"/>
            <w:vAlign w:val="center"/>
          </w:tcPr>
          <w:p w14:paraId="3C60F20F"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 xml:space="preserve">Time from peak </w:t>
            </w:r>
            <w:proofErr w:type="spellStart"/>
            <w:r w:rsidRPr="0024409C">
              <w:rPr>
                <w:rFonts w:ascii="Helvetica Neue" w:hAnsi="Helvetica Neue"/>
                <w:sz w:val="18"/>
              </w:rPr>
              <w:t>viremia</w:t>
            </w:r>
            <w:proofErr w:type="spellEnd"/>
            <w:r w:rsidRPr="0024409C">
              <w:rPr>
                <w:rFonts w:ascii="Helvetica Neue" w:hAnsi="Helvetica Neue"/>
                <w:sz w:val="18"/>
              </w:rPr>
              <w:t xml:space="preserve"> to viral set point</w:t>
            </w:r>
          </w:p>
        </w:tc>
        <w:tc>
          <w:tcPr>
            <w:tcW w:w="1337" w:type="dxa"/>
            <w:vAlign w:val="center"/>
          </w:tcPr>
          <w:p w14:paraId="6E33048F"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days</w:t>
            </w:r>
          </w:p>
        </w:tc>
        <w:tc>
          <w:tcPr>
            <w:tcW w:w="3380" w:type="dxa"/>
            <w:vAlign w:val="center"/>
          </w:tcPr>
          <w:p w14:paraId="3642DD5B" w14:textId="616663E1"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D","non-dropping-particle":"","parse-names":false,"suffix":""},{"dropping-particle":"V","family":"Havlir","given":"D","non-dropping-particle":"","parse-names":false,"suffix":""}],"container-title":"The Journal of Experimental Medicine","id":"ITEM-1","issue":"6","issued":{"date-parts":[["1999","9"]]},"page":"841-50","publisher":"The Rockefeller University Press","title":"Viral dynamics of acute HIV-1 infection.","type":"article-journal","volume":"190"},"uris":["http://www.mendeley.com/documents/?uuid=740206f9-55c1-4c66-9f0c-d4b24907513e","http://www.mendeley.com/documents/?uuid=03a49059-ea3f-3b5e-a202-42bfd089fcbc"]}],"mendeley":{"formattedCitation":"&lt;sup&gt;18&lt;/sup&gt;","plainTextFormattedCitation":"18","previouslyFormattedCitation":"&lt;sup&gt;18&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r w:rsidRPr="0024409C">
              <w:rPr>
                <w:rFonts w:ascii="Helvetica Neue" w:hAnsi="Helvetica Neue"/>
                <w:sz w:val="18"/>
              </w:rPr>
              <w:t xml:space="preserve"> Leynaert</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{"citationItems":[{"id":"ITEM-1","itemData":{"ISSN":"0002-9262","PMID":"9663408","abstract":"Although individuals infected with human immunodeficiency virus (HIV) seem to be more infectious in the late stages of HIV infection and possibly also during the seroconversion period, most estimates of per-sexual-contact infectivity have been obtained without allowing for variability over the course of infection. In this analysis, a probabilistic model was fitted to data from a European study carried out between 1987 and 1992 that involved 499 (359 males and 140 females) HIV-infected subjects (index cases) and their regular heterosexual partners. The model used allowed infectivity (the per-sexual-contact HIV transmission probability, mu) to vary through three stages: the first 3 months following infection, the subsequent asymptomatic period, and the advanced stage (HIV-related clinical symptoms or a CD4-positive T lymphocyte count less than 200/mm3). Male-to-female infectivity through penile-anal sex was found to be higher in both the early and advanced stages of infection (mu=0.183) than in the longer intermediate period (mu=0.014) (p &lt; 0.03). Failure to demonstrate significant differences between stages for other types of contact (male-to-female penile-vaginal contacts: mu=0.0007; female-to-male transmission: mu=0.0005) may reflect insufficient power rather than a true lack of variability. Indeed, the results for penile-anal sex suggest that persons who are in the process of seroconverting may be much more infectious than asymptomatic infected persons, whatever the type of contact. Prevention education should stress the risk of HIV transmission from subjects who may be unaware of their infection.","author":[{"dropping-particle":"","family":"Leynaert","given":"B","non-dropping-particle":"","parse-names":false,"suffix":""},{"dropping-particle":"","family":"Downs","given":"A M","non-dropping-particle":"","parse-names":false,"suffix":""},{"dropping-particle":"","family":"Vincenzi","given":"I","non-dropping-particle":"de","parse-names":false,"suffix":""}],"container-title":"Am J Epidemiol","id":"ITEM-1","issue":"1","issued":{"date-parts":[["1998","7"]]},"page":"88-96","title":"Heterosexual transmission of human immunodeficiency virus: variability of infectivity throughout the course of infection. European Study Group on Heterosexual Transmission of HIV.","type":"article-journal","volume":"148"},"uris":["http://www.mendeley.com/documents/?uuid=46644b83-2c8b-3352-8435-cbbbfbcb690c","http://www.mendeley.com/documents/?uuid=a5f72fd4-2b40-4d32-9d48-0069e12e2dac"]}],"mendeley":{"formattedCitation":"&lt;sup&gt;19&lt;/sup&gt;","plainTextFormattedCitation":"19","previouslyFormattedCitation":"&lt;sup&gt;19&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19</w:t>
            </w:r>
            <w:r w:rsidRPr="0024409C">
              <w:rPr>
                <w:rFonts w:ascii="Helvetica Neue" w:hAnsi="Helvetica Neue"/>
                <w:noProof/>
                <w:sz w:val="18"/>
                <w:vertAlign w:val="superscript"/>
              </w:rPr>
              <w:fldChar w:fldCharType="end"/>
            </w:r>
          </w:p>
        </w:tc>
      </w:tr>
      <w:tr w:rsidR="009B3BB0" w:rsidRPr="0024409C" w14:paraId="41EE1478" w14:textId="77777777" w:rsidTr="00277378">
        <w:trPr>
          <w:trHeight w:val="389"/>
          <w:jc w:val="center"/>
        </w:trPr>
        <w:tc>
          <w:tcPr>
            <w:tcW w:w="4188" w:type="dxa"/>
            <w:vAlign w:val="center"/>
          </w:tcPr>
          <w:p w14:paraId="3DD04F5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Level of viral set point</w:t>
            </w:r>
          </w:p>
        </w:tc>
        <w:tc>
          <w:tcPr>
            <w:tcW w:w="1337" w:type="dxa"/>
            <w:vAlign w:val="center"/>
          </w:tcPr>
          <w:p w14:paraId="7B817B4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4.5 log</w:t>
            </w:r>
            <w:r w:rsidRPr="0024409C">
              <w:rPr>
                <w:rFonts w:ascii="Helvetica Neue" w:hAnsi="Helvetica Neue"/>
                <w:sz w:val="18"/>
                <w:vertAlign w:val="subscript"/>
              </w:rPr>
              <w:t>10</w:t>
            </w:r>
          </w:p>
        </w:tc>
        <w:tc>
          <w:tcPr>
            <w:tcW w:w="3380" w:type="dxa"/>
            <w:vAlign w:val="center"/>
          </w:tcPr>
          <w:p w14:paraId="31631A20" w14:textId="4E66118B" w:rsidR="009B3BB0" w:rsidRPr="0024409C" w:rsidRDefault="009B3BB0" w:rsidP="00E52119">
            <w:pPr>
              <w:tabs>
                <w:tab w:val="left" w:pos="540"/>
              </w:tabs>
              <w:rPr>
                <w:rFonts w:ascii="Helvetica Neue" w:hAnsi="Helvetica Neue"/>
                <w:sz w:val="18"/>
              </w:rPr>
            </w:pPr>
            <w:r w:rsidRPr="0024409C">
              <w:rPr>
                <w:rFonts w:ascii="Helvetica Neue" w:hAnsi="Helvetica Neue"/>
                <w:sz w:val="18"/>
              </w:rPr>
              <w:t>Little</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{"citationItems":[{"id":"ITEM-1","itemData":{"abstract":"Viral dynamics were intensively investigated in eight patients with acute HIV infection to define the earliest rates of change in plasma HIV RNA before and after the start of antiretroviral therapy. We report the first estimates of the basic reproductive number (R(0)), the number of cells infected by the progeny of an infected cell during its lifetime when target cells are not depleted. The mean initial viral doubling time was 10 h, and the peak of viremia occurred 21 d after reported HIV exposure. The spontaneous rate of decline (alpha) was highly variable among individuals. The phase 1 viral decay rate (delta(I) = 0.3/day) in subjects initiating potent antiretroviral therapy during acute HIV infection was similar to estimates from treated subjects with chronic HIV infection. The doubling time in two subjects who discontinued antiretroviral therapy was almost five times slower than during acute infection. The mean basic reproductive number (R(0)) of 19.3 during the logarithmic growth phase of primary HIV infection suggested that a vaccine or postexposure prophylaxis of at least 95% efficacy would be needed to extinguish productive viral infection in the absence of drug resistance or viral latency. These measurements provide a basis for comparison of vaccine and other strategies and support the validity of the simian immunodeficiency virus macaque model of acute HIV infection.","author":[{"dropping-particle":"","family":"Little","given":"S J","non-dropping-particle":"","parse-names":false,"suffix":""},{"dropping-particle":"","family":"McLean","given":"A R","non-dropping-particle":"","parse-names":false,"suffix":""},{"dropping-particle":"","family":"Spina","given":"C A","non-dropping-particle":"","parse-names":false,"suffix":""},{"dropping-particle":"","family":"Richman","given":"D D","non-dropping-particle":"","parse-names":false,"suffix":""},{"dropping-particle":"V","family":"Havlir","given":"D","non-dropping-particle":"","parse-names":false,"suffix":""}],"container-title":"The Journal of Experimental Medicine","id":"ITEM-1","issue":"6","issued":{"date-parts":[["1999","9"]]},"page":"841-50","publisher":"The Rockefeller University Press","title":"Viral dynamics of acute HIV-1 infection.","type":"article-journal","volume":"190"},"uris":["http://www.mendeley.com/documents/?uuid=740206f9-55c1-4c66-9f0c-d4b24907513e","http://www.mendeley.com/documents/?uuid=03a49059-ea3f-3b5e-a202-42bfd089fcbc"]}],"mendeley":{"formattedCitation":"&lt;sup&gt;18&lt;/sup&gt;","plainTextFormattedCitation":"18","previouslyFormattedCitation":"&lt;sup&gt;18&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18</w:t>
            </w:r>
            <w:r w:rsidRPr="0024409C">
              <w:rPr>
                <w:rFonts w:ascii="Helvetica Neue" w:hAnsi="Helvetica Neue"/>
                <w:noProof/>
                <w:sz w:val="18"/>
                <w:vertAlign w:val="superscript"/>
              </w:rPr>
              <w:fldChar w:fldCharType="end"/>
            </w:r>
          </w:p>
        </w:tc>
      </w:tr>
      <w:tr w:rsidR="009B3BB0" w:rsidRPr="0024409C" w14:paraId="0864B118" w14:textId="77777777" w:rsidTr="00277378">
        <w:trPr>
          <w:trHeight w:val="389"/>
          <w:jc w:val="center"/>
        </w:trPr>
        <w:tc>
          <w:tcPr>
            <w:tcW w:w="4188" w:type="dxa"/>
            <w:vAlign w:val="center"/>
          </w:tcPr>
          <w:p w14:paraId="6594071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Duration of chronic stage infection (no ART)</w:t>
            </w:r>
          </w:p>
        </w:tc>
        <w:tc>
          <w:tcPr>
            <w:tcW w:w="1337" w:type="dxa"/>
            <w:vAlign w:val="center"/>
          </w:tcPr>
          <w:p w14:paraId="7AE048AD"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3550 days</w:t>
            </w:r>
          </w:p>
        </w:tc>
        <w:tc>
          <w:tcPr>
            <w:tcW w:w="3380" w:type="dxa"/>
            <w:vAlign w:val="center"/>
          </w:tcPr>
          <w:p w14:paraId="095120D1" w14:textId="62BAD8F6" w:rsidR="009B3BB0" w:rsidRPr="0024409C" w:rsidRDefault="009B3BB0" w:rsidP="00E52119">
            <w:pPr>
              <w:tabs>
                <w:tab w:val="left" w:pos="540"/>
              </w:tabs>
              <w:rPr>
                <w:rFonts w:ascii="Helvetica Neue" w:hAnsi="Helvetica Neue"/>
                <w:sz w:val="18"/>
              </w:rPr>
            </w:pPr>
            <w:r w:rsidRPr="0024409C">
              <w:rPr>
                <w:rFonts w:ascii="Helvetica Neue" w:hAnsi="Helvetica Neue"/>
                <w:sz w:val="18"/>
              </w:rPr>
              <w:t>Buchbinder</w:t>
            </w:r>
            <w:r w:rsidRPr="0024409C">
              <w:rPr>
                <w:rFonts w:ascii="Helvetica Neue" w:hAnsi="Helvetica Neue"/>
                <w:sz w:val="18"/>
              </w:rPr>
              <w:fldChar w:fldCharType="begin" w:fldLock="1"/>
            </w:r>
            <w:r w:rsidR="00665BF2">
              <w:rPr>
                <w:rFonts w:ascii="Helvetica Neue" w:hAnsi="Helvetica Neue"/>
                <w:sz w:val="18"/>
              </w:rPr>
              <w:instrText>ADDIN CSL_CITATION {"citationItems":[{"id":"ITEM-1","itemData":{"abstract":"OBJECTIVE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D","non-dropping-particle":"","parse-names":false,"suffix":""}],"container-title":"AIDS","id":"ITEM-1","issue":"8","issued":{"date-parts":[["1994","8"]]},"page":"1123-8","title":"Long-term HIV-1 infection without immunologic progression.","type":"article-journal","volume":"8"},"uris":["http://www.mendeley.com/documents/?uuid=7910f6ca-c641-3068-9497-27bebfd9fb8f","http://www.mendeley.com/documents/?uuid=8509104b-ff17-4822-b2a2-c27db64d177e"]}],"mendeley":{"formattedCitation":"&lt;sup&gt;20&lt;/sup&gt;","plainTextFormattedCitation":"20","previouslyFormattedCitation":"&lt;sup&gt;20&lt;/sup&gt;"},"properties":{"noteIndex":0},"schema":"https://github.com/citation-style-language/schema/raw/master/csl-citation.json"}</w:instrText>
            </w:r>
            <w:r w:rsidRPr="0024409C">
              <w:rPr>
                <w:rFonts w:ascii="Helvetica Neue" w:hAnsi="Helvetica Neue"/>
                <w:sz w:val="18"/>
              </w:rPr>
              <w:fldChar w:fldCharType="separate"/>
            </w:r>
            <w:r w:rsidR="00E52119" w:rsidRPr="0024409C">
              <w:rPr>
                <w:rFonts w:ascii="Helvetica Neue" w:hAnsi="Helvetica Neue"/>
                <w:noProof/>
                <w:sz w:val="18"/>
                <w:vertAlign w:val="superscript"/>
              </w:rPr>
              <w:t>20</w:t>
            </w:r>
            <w:r w:rsidRPr="0024409C">
              <w:rPr>
                <w:rFonts w:ascii="Helvetica Neue" w:hAnsi="Helvetica Neue"/>
                <w:sz w:val="18"/>
              </w:rPr>
              <w:fldChar w:fldCharType="end"/>
            </w:r>
            <w:r w:rsidRPr="0024409C">
              <w:rPr>
                <w:rFonts w:ascii="Helvetica Neue" w:hAnsi="Helvetica Neue"/>
                <w:sz w:val="18"/>
              </w:rPr>
              <w:t>,Katz</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{"citationItems":[{"id":"ITEM-1","itemData":{"abstract":"Temporal changes in the lifetime occurrence of opportunistic infections and malignancies among 1115 homosexual men diagnosed with AIDS were examined. Information from the AIDS surveillance registry, hospital pathology and microbiology logs, patient chart reviews, cancer registries, and death certificates was used to calculate the frequency of specific opportunistic infections and malignancies as lifetime (initial or subsequent) diagnoses. The most common lifetime diagnoses were Pneumocystis carinii pneumonia (PCP; 66.5%), Kaposi's sarcoma (KS; 50.7%), disseminated Mycobacterium avium complex (DMAC) infection (29.6%), and cytomegalovirus (CMV) infection (19.6%). From 1981 to 1990, there was a significant decrease in the rate of KS (P = .003) and a significant increase in the rate of DMAC infection (P = .03). PCP decreased during 1985-1990 (P = .009), while CMV infection increased from 1987 through 1990 (P = .03). Thus, KS and PCP have declined over time, while DMAC and CMV are causing substantial and increasing morbidity among AIDS patients.","author":[{"dropping-particle":"","family":"Katz","given":"M H","non-dropping-particle":"","parse-names":false,"suffix":""},{"dropping-particle":"","family":"Hessol","given":"N A","non-dropping-particle":"","parse-names":false,"suffix":""},{"dropping-particle":"","family":"Buchbinder","given":"S P","non-dropping-particle":"","parse-names":false,"suffix":""},{"dropping-particle":"","family":"Hirozawa","given":"A","non-dropping-particle":"","parse-names":false,"suffix":""},{"dropping-particle":"","family":"O'Malley","given":"P","non-dropping-particle":"","parse-names":false,"suffix":""},{"dropping-particle":"","family":"Holmberg","given":"S D","non-dropping-particle":"","parse-names":false,"suffix":""}],"container-title":"The Journal of Infectious diseases","id":"ITEM-1","issue":"1","issued":{"date-parts":[["1994","7"]]},"page":"198-202","title":"Temporal trends of opportunistic infections and malignancies in homosexual men with AIDS.","type":"article-journal","volume":"170"},"uris":["http://www.mendeley.com/documents/?uuid=4853aecb-01fd-3210-95c0-61de6bef9e72","http://www.mendeley.com/documents/?uuid=a8260554-f589-44c9-8921-6efffb95d6f6"]}],"mendeley":{"formattedCitation":"&lt;sup&gt;21&lt;/sup&gt;","plainTextFormattedCitation":"21","previouslyFormattedCitation":"&lt;sup&gt;21&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21</w:t>
            </w:r>
            <w:r w:rsidRPr="0024409C">
              <w:rPr>
                <w:rFonts w:ascii="Helvetica Neue" w:hAnsi="Helvetica Neue"/>
                <w:noProof/>
                <w:sz w:val="18"/>
                <w:vertAlign w:val="superscript"/>
              </w:rPr>
              <w:fldChar w:fldCharType="end"/>
            </w:r>
          </w:p>
        </w:tc>
      </w:tr>
      <w:tr w:rsidR="009B3BB0" w:rsidRPr="0024409C" w14:paraId="0B6F065B" w14:textId="77777777" w:rsidTr="00277378">
        <w:trPr>
          <w:trHeight w:val="389"/>
          <w:jc w:val="center"/>
        </w:trPr>
        <w:tc>
          <w:tcPr>
            <w:tcW w:w="4188" w:type="dxa"/>
            <w:vAlign w:val="center"/>
          </w:tcPr>
          <w:p w14:paraId="19EA9DEB"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Duration of AIDS stage</w:t>
            </w:r>
          </w:p>
        </w:tc>
        <w:tc>
          <w:tcPr>
            <w:tcW w:w="1337" w:type="dxa"/>
            <w:vAlign w:val="center"/>
          </w:tcPr>
          <w:p w14:paraId="58B8FCB0"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728 days</w:t>
            </w:r>
          </w:p>
        </w:tc>
        <w:tc>
          <w:tcPr>
            <w:tcW w:w="3380" w:type="dxa"/>
            <w:vAlign w:val="center"/>
          </w:tcPr>
          <w:p w14:paraId="4BC2CE3E" w14:textId="5855FE45" w:rsidR="009B3BB0" w:rsidRPr="0024409C" w:rsidRDefault="009B3BB0" w:rsidP="00E52119">
            <w:pPr>
              <w:tabs>
                <w:tab w:val="left" w:pos="540"/>
              </w:tabs>
              <w:rPr>
                <w:rFonts w:ascii="Helvetica Neue" w:hAnsi="Helvetica Neue"/>
                <w:sz w:val="18"/>
              </w:rPr>
            </w:pPr>
            <w:r w:rsidRPr="0024409C">
              <w:rPr>
                <w:rFonts w:ascii="Helvetica Neue" w:hAnsi="Helvetica Neue"/>
                <w:sz w:val="18"/>
              </w:rPr>
              <w:t>Buchbinder</w:t>
            </w:r>
            <w:r w:rsidRPr="0024409C">
              <w:rPr>
                <w:rFonts w:ascii="Helvetica Neue" w:hAnsi="Helvetica Neue"/>
                <w:sz w:val="18"/>
              </w:rPr>
              <w:fldChar w:fldCharType="begin" w:fldLock="1"/>
            </w:r>
            <w:r w:rsidR="00665BF2">
              <w:rPr>
                <w:rFonts w:ascii="Helvetica Neue" w:hAnsi="Helvetica Neue"/>
                <w:sz w:val="18"/>
              </w:rPr>
              <w:instrText>ADDIN CSL_CITATION {"citationItems":[{"id":"ITEM-1","itemData":{"abstract":"OBJECTIVE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D","non-dropping-particle":"","parse-names":false,"suffix":""}],"container-title":"AIDS","id":"ITEM-1","issue":"8","issued":{"date-parts":[["1994","8"]]},"page":"1123-8","title":"Long-term HIV-1 infection without immunologic progression.","type":"article-journal","volume":"8"},"uris":["http://www.mendeley.com/documents/?uuid=8509104b-ff17-4822-b2a2-c27db64d177e","http://www.mendeley.com/documents/?uuid=7910f6ca-c641-3068-9497-27bebfd9fb8f"]}],"mendeley":{"formattedCitation":"&lt;sup&gt;20&lt;/sup&gt;","plainTextFormattedCitation":"20","previouslyFormattedCitation":"&lt;sup&gt;20&lt;/sup&gt;"},"properties":{"noteIndex":0},"schema":"https://github.com/citation-style-language/schema/raw/master/csl-citation.json"}</w:instrText>
            </w:r>
            <w:r w:rsidRPr="0024409C">
              <w:rPr>
                <w:rFonts w:ascii="Helvetica Neue" w:hAnsi="Helvetica Neue"/>
                <w:sz w:val="18"/>
              </w:rPr>
              <w:fldChar w:fldCharType="separate"/>
            </w:r>
            <w:r w:rsidR="00E52119" w:rsidRPr="0024409C">
              <w:rPr>
                <w:rFonts w:ascii="Helvetica Neue" w:hAnsi="Helvetica Neue"/>
                <w:noProof/>
                <w:sz w:val="18"/>
                <w:vertAlign w:val="superscript"/>
              </w:rPr>
              <w:t>20</w:t>
            </w:r>
            <w:r w:rsidRPr="0024409C">
              <w:rPr>
                <w:rFonts w:ascii="Helvetica Neue" w:hAnsi="Helvetica Neue"/>
                <w:sz w:val="18"/>
              </w:rPr>
              <w:fldChar w:fldCharType="end"/>
            </w:r>
          </w:p>
        </w:tc>
      </w:tr>
      <w:tr w:rsidR="009B3BB0" w:rsidRPr="0024409C" w14:paraId="7350BAA9" w14:textId="77777777" w:rsidTr="00277378">
        <w:trPr>
          <w:trHeight w:val="629"/>
          <w:jc w:val="center"/>
        </w:trPr>
        <w:tc>
          <w:tcPr>
            <w:tcW w:w="4188" w:type="dxa"/>
            <w:vAlign w:val="center"/>
          </w:tcPr>
          <w:p w14:paraId="3D537EC4"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Peak viral load during AIDS (at death)</w:t>
            </w:r>
          </w:p>
        </w:tc>
        <w:tc>
          <w:tcPr>
            <w:tcW w:w="1337" w:type="dxa"/>
            <w:vAlign w:val="center"/>
          </w:tcPr>
          <w:p w14:paraId="4732F766"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7 log</w:t>
            </w:r>
            <w:r w:rsidRPr="0024409C">
              <w:rPr>
                <w:rFonts w:ascii="Helvetica Neue" w:hAnsi="Helvetica Neue"/>
                <w:sz w:val="18"/>
                <w:vertAlign w:val="subscript"/>
              </w:rPr>
              <w:t>10</w:t>
            </w:r>
          </w:p>
        </w:tc>
        <w:tc>
          <w:tcPr>
            <w:tcW w:w="3380" w:type="dxa"/>
            <w:vAlign w:val="center"/>
          </w:tcPr>
          <w:p w14:paraId="0949E7D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Estimated from average duration of AIDS</w:t>
            </w:r>
          </w:p>
        </w:tc>
      </w:tr>
    </w:tbl>
    <w:p w14:paraId="3CC4723A" w14:textId="7CA20099" w:rsidR="00730BCC"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t xml:space="preserve">After infection, it takes 45 days to reach peak </w:t>
      </w:r>
      <w:proofErr w:type="spellStart"/>
      <w:r w:rsidRPr="0024409C">
        <w:rPr>
          <w:rFonts w:ascii="Helvetica Neue" w:hAnsi="Helvetica Neue"/>
        </w:rPr>
        <w:t>viremia</w:t>
      </w:r>
      <w:proofErr w:type="spellEnd"/>
      <w:r w:rsidRPr="0024409C">
        <w:rPr>
          <w:rFonts w:ascii="Helvetica Neue" w:hAnsi="Helvetica Neue"/>
        </w:rPr>
        <w:t xml:space="preserve">, at a level of 6.886 </w:t>
      </w:r>
      <w:proofErr w:type="gramStart"/>
      <w:r w:rsidRPr="0024409C">
        <w:rPr>
          <w:rFonts w:ascii="Helvetica Neue" w:hAnsi="Helvetica Neue"/>
        </w:rPr>
        <w:t>log</w:t>
      </w:r>
      <w:proofErr w:type="gramEnd"/>
      <w:r w:rsidRPr="0024409C">
        <w:rPr>
          <w:rFonts w:ascii="Helvetica Neue" w:hAnsi="Helvetica Neue"/>
        </w:rPr>
        <w:t xml:space="preserve"> 10. From peak </w:t>
      </w:r>
      <w:proofErr w:type="spellStart"/>
      <w:r w:rsidRPr="0024409C">
        <w:rPr>
          <w:rFonts w:ascii="Helvetica Neue" w:hAnsi="Helvetica Neue"/>
        </w:rPr>
        <w:t>viremia</w:t>
      </w:r>
      <w:proofErr w:type="spellEnd"/>
      <w:r w:rsidRPr="0024409C">
        <w:rPr>
          <w:rFonts w:ascii="Helvetica Neue" w:hAnsi="Helvetica Neue"/>
        </w:rPr>
        <w:t xml:space="preserve">, it takes another 45 days to reach viral set point, which is set at a level of 4.5 </w:t>
      </w:r>
      <w:proofErr w:type="gramStart"/>
      <w:r w:rsidRPr="0024409C">
        <w:rPr>
          <w:rFonts w:ascii="Helvetica Neue" w:hAnsi="Helvetica Neue"/>
        </w:rPr>
        <w:t>log</w:t>
      </w:r>
      <w:proofErr w:type="gramEnd"/>
      <w:r w:rsidRPr="0024409C">
        <w:rPr>
          <w:rFonts w:ascii="Helvetica Neue" w:hAnsi="Helvetica Neue"/>
        </w:rPr>
        <w:t xml:space="preserve"> 10. The total time of acute stage infection is therefore 3 months. The duration of chronic stage infection in the absence of clinical intervention is 3550 days, or 9.7 years. The total duration of pre-AIDS disease from infection is therefore approximately 10 years. At onset of AIDS, HIV viral load rises linearly from 4.5 log 10 to 7 log 10, at which point mortality is assumed to occur. The time spent in the AIDS stage is 728 days, or 2 years. This viral load trajectory is for ART-naïve persons only, and the influence of ART on disease progression is detailed in Section </w:t>
      </w:r>
      <w:r w:rsidR="00980538" w:rsidRPr="0024409C">
        <w:rPr>
          <w:rFonts w:ascii="Helvetica Neue" w:hAnsi="Helvetica Neue"/>
        </w:rPr>
        <w:t>6</w:t>
      </w:r>
      <w:r w:rsidRPr="0024409C">
        <w:rPr>
          <w:rFonts w:ascii="Helvetica Neue" w:hAnsi="Helvetica Neue"/>
        </w:rPr>
        <w:t>. These transitions are deterministic for all ART-naïve persons.</w:t>
      </w:r>
    </w:p>
    <w:p w14:paraId="069F3D8D" w14:textId="48EE8C18" w:rsidR="009B3BB0" w:rsidRPr="0024409C" w:rsidRDefault="00273CDD" w:rsidP="002232EA">
      <w:pPr>
        <w:pStyle w:val="Heading1"/>
        <w:spacing w:before="300"/>
        <w:rPr>
          <w:rFonts w:ascii="Helvetica Neue" w:hAnsi="Helvetica Neue"/>
        </w:rPr>
      </w:pPr>
      <w:bookmarkStart w:id="18" w:name="_Toc2361378"/>
      <w:r w:rsidRPr="0024409C">
        <w:rPr>
          <w:rFonts w:ascii="Helvetica Neue" w:hAnsi="Helvetica Neue"/>
        </w:rPr>
        <w:t>6</w:t>
      </w:r>
      <w:r w:rsidR="009B3BB0" w:rsidRPr="0024409C">
        <w:rPr>
          <w:rFonts w:ascii="Helvetica Neue" w:hAnsi="Helvetica Neue"/>
        </w:rPr>
        <w:tab/>
      </w:r>
      <w:r w:rsidR="00277378" w:rsidRPr="0024409C">
        <w:rPr>
          <w:rFonts w:ascii="Helvetica Neue" w:hAnsi="Helvetica Neue"/>
        </w:rPr>
        <w:t xml:space="preserve">HIV </w:t>
      </w:r>
      <w:r w:rsidR="009B3BB0" w:rsidRPr="0024409C">
        <w:rPr>
          <w:rFonts w:ascii="Helvetica Neue" w:hAnsi="Helvetica Neue"/>
        </w:rPr>
        <w:t>CLINICAL EPIDEMIOLOGY</w:t>
      </w:r>
      <w:bookmarkEnd w:id="18"/>
    </w:p>
    <w:p w14:paraId="26090438" w14:textId="0F00AF9D"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 xml:space="preserve">Clinical epidemiological processes refer to all steps along the HIV care continuum after initial infection: diagnosis, linkage to care, treatment initiation and adherence, and HIV viral load suppression. In this model, these clinical features have critical interactions with behavioral features detailed above, as well as impacts on the rates of HIV transmission, </w:t>
      </w:r>
      <w:r w:rsidRPr="0024409C">
        <w:rPr>
          <w:rFonts w:ascii="Helvetica Neue" w:hAnsi="Helvetica Neue"/>
        </w:rPr>
        <w:lastRenderedPageBreak/>
        <w:t>detailed below. The features of our model’s clinical processes generally follow the steps of the HIV care continuum, in which persons transition across states from infection to diagnosis to medical care linkage and ART initiation to HIV viral suppression.</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{"citationItems":[{"id":"ITEM-1","itemData":{"abstract":"The National HIV/AIDS Strategy and the promise of treatment as prevention have garnered considerable attention from the policy, practice, and scientific communities, with the treatment cascade becoming the sentinel image illustrating the domestic human immunodeficiency virus (HIV) epidemic. The cascade depicts prevalence estimates for sequential steps from HIV diagnosis through viral suppression, the most striking of which is that &gt;50% of persons diagnosed with HIV are not in medical care. This heterogeneous group includes individuals not linked to medical care following HIV diagnosis and those entering care who are not retained, requiring reengagement from a range of community settings. This review synthesizes the state of engagement in HIV care in the United States, focusing on research, practice, and policy considerations. Included are conceptual frameworks, a review of health implications, measurement, monitoring, and evidence-based intervention approaches, and a look to the future in addressing the greatest challenge and opportunity facing our domestic HIV epidemic.","author":[{"dropping-particle":"","family":"Mugavero","given":"M. J.","non-dropping-particle":"","parse-names":false,"suffix":""},{"dropping-particle":"","family":"Amico","given":"K. R.","non-dropping-particle":"","parse-names":false,"suffix":""},{"dropping-particle":"","family":"Horn","given":"T.","non-dropping-particle":"","parse-names":false,"suffix":""},{"dropping-particle":"","family":"Thompson","given":"M. A.","non-dropping-particle":"","parse-names":false,"suffix":""}],"container-title":"Clinical Infectious Diseases","id":"ITEM-1","issue":"8","issued":{"date-parts":[["2013","10"]]},"page":"1164-1171","title":"The State of Engagement in HIV Care in the United States: From Cascade to Continuum to Control","type":"article-journal","volume":"57"},"uris":["http://www.mendeley.com/documents/?uuid=ed07a57b-4c9b-3970-8ca1-8e292088c061","http://www.mendeley.com/documents/?uuid=ba0de15b-56a4-4ca2-b2ce-053a213baa75"]}],"mendeley":{"formattedCitation":"&lt;sup&gt;22&lt;/sup&gt;","plainTextFormattedCitation":"22","previouslyFormattedCitation":"&lt;sup&gt;22&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22</w:t>
      </w:r>
      <w:r w:rsidRPr="0024409C">
        <w:rPr>
          <w:rFonts w:ascii="Helvetica Neue" w:hAnsi="Helvetica Neue"/>
          <w:noProof/>
          <w:vertAlign w:val="superscript"/>
        </w:rPr>
        <w:fldChar w:fldCharType="end"/>
      </w:r>
    </w:p>
    <w:p w14:paraId="42F3A273" w14:textId="3883F508" w:rsidR="009B3BB0" w:rsidRPr="0024409C" w:rsidRDefault="00273CDD" w:rsidP="009B3BB0">
      <w:pPr>
        <w:pStyle w:val="Heading2"/>
        <w:rPr>
          <w:rFonts w:ascii="Helvetica Neue" w:hAnsi="Helvetica Neue"/>
          <w:szCs w:val="22"/>
        </w:rPr>
      </w:pPr>
      <w:bookmarkStart w:id="19" w:name="_Toc2361379"/>
      <w:r w:rsidRPr="0024409C">
        <w:rPr>
          <w:rFonts w:ascii="Helvetica Neue" w:hAnsi="Helvetica Neue"/>
          <w:szCs w:val="22"/>
        </w:rPr>
        <w:t>6</w:t>
      </w:r>
      <w:r w:rsidR="002768F0" w:rsidRPr="0024409C">
        <w:rPr>
          <w:rFonts w:ascii="Helvetica Neue" w:hAnsi="Helvetica Neue"/>
          <w:szCs w:val="22"/>
        </w:rPr>
        <w:t>.1</w:t>
      </w:r>
      <w:r w:rsidR="002768F0" w:rsidRPr="0024409C">
        <w:rPr>
          <w:rFonts w:ascii="Helvetica Neue" w:hAnsi="Helvetica Neue"/>
          <w:szCs w:val="22"/>
        </w:rPr>
        <w:tab/>
      </w:r>
      <w:r w:rsidR="002768F0" w:rsidRPr="0024409C">
        <w:rPr>
          <w:rFonts w:ascii="Helvetica Neue" w:hAnsi="Helvetica Neue"/>
          <w:szCs w:val="22"/>
        </w:rPr>
        <w:tab/>
      </w:r>
      <w:r w:rsidR="009B3BB0" w:rsidRPr="0024409C">
        <w:rPr>
          <w:rFonts w:ascii="Helvetica Neue" w:hAnsi="Helvetica Neue"/>
          <w:szCs w:val="22"/>
        </w:rPr>
        <w:t>HIV Diagnostic Testing</w:t>
      </w:r>
      <w:bookmarkEnd w:id="19"/>
    </w:p>
    <w:p w14:paraId="17ABE1E8" w14:textId="571EB55C"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Persons in our models were divided into non-testers (through age 40) and regular interval-based testers. Based on empirical data for Atlanta MSM,</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{"citationItems":[{"id":"ITEM-1","itemData":{"ISSN":"10472797","abstract":"PURPOSE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4.2–9.7) than white MSM (1.7/100 PY; CI: 0.7–3.3) and highest among young (18–24 years) black MSM (10.9/100 PY; CI: 6.2–17.6). The unadjusted hazard of HIV infection for black MSM was 2.9 (CI: 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MSM.","author":[{"dropping-particle":"","family":"Sullivan","given":"Patrick S.","non-dropping-particle":"","parse-names":false,"suffix":""},{"dropping-particle":"","family":"Rosenberg","given":"Eli S.","non-dropping-particle":"","parse-names":false,"suffix":""},{"dropping-particle":"","family":"Sanchez","given":"Travis H.","non-dropping-particle":"","parse-names":false,"suffix":""},{"dropping-particle":"","family":"Kelley","given":"Colleen F.","non-dropping-particle":"","parse-names":false,"suffix":""},{"dropping-particle":"","family":"Luisi","given":"Nicole","non-dropping-particle":"","parse-names":false,"suffix":""},{"dropping-particle":"","family":"Cooper","given":"Hannah L.","non-dropping-particle":"","parse-names":false,"suffix":""},{"dropping-particle":"","family":"Diclemente","given":"Ralph J.","non-dropping-particle":"","parse-names":false,"suffix":""},{"dropping-particle":"","family":"Wingood","given":"Gina M.","non-dropping-particle":"","parse-names":false,"suffix":""},{"dropping-particle":"","family":"Frew","given":"Paula M.","non-dropping-particle":"","parse-names":false,"suffix":""},{"dropping-particle":"","family":"Salazar","given":"Laura F.","non-dropping-particle":"","parse-names":false,"suffix":""},{"dropping-particle":"","family":"Rio","given":"Carlos","non-dropping-particle":"del","parse-names":false,"suffix":""},{"dropping-particle":"","family":"Mulligan","given":"Mark J.","non-dropping-particle":"","parse-names":false,"suffix":""},{"dropping-particle":"","family":"Peterson","given":"John L.","non-dropping-particle":"","parse-names":false,"suffix":""}],"container-title":"Ann Epidemiol","id":"ITEM-1","issue":"6","issued":{"date-parts":[["2015"]]},"page":"445-454","title":"Explaining racial disparities in HIV incidence in black and white men who have sex with men in Atlanta, GA: a prospective observational cohort study","type":"article-journal","volume":"25"},"uris":["http://www.mendeley.com/documents/?uuid=0ca47ab6-493a-43f9-b1d0-48e2041b9866"]}],"mendeley":{"formattedCitation":"&lt;sup&gt;12&lt;/sup&gt;","plainTextFormattedCitation":"12","previouslyFormattedCitation":"&lt;sup&gt;12&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6.5% of MSM did not receive HIV testing before age 40. This was calculated bas</w:t>
      </w:r>
      <w:r w:rsidR="00D71B66" w:rsidRPr="0024409C">
        <w:rPr>
          <w:rFonts w:ascii="Helvetica Neue" w:hAnsi="Helvetica Neue"/>
        </w:rPr>
        <w:t>ed on a survey question about never testing</w:t>
      </w:r>
      <w:r w:rsidRPr="0024409C">
        <w:rPr>
          <w:rFonts w:ascii="Helvetica Neue" w:hAnsi="Helvetica Neue"/>
        </w:rPr>
        <w:t xml:space="preserve"> prior to the study, which may overestimate the final proportion </w:t>
      </w:r>
      <w:proofErr w:type="gramStart"/>
      <w:r w:rsidRPr="0024409C">
        <w:rPr>
          <w:rFonts w:ascii="Helvetica Neue" w:hAnsi="Helvetica Neue"/>
        </w:rPr>
        <w:t>who</w:t>
      </w:r>
      <w:proofErr w:type="gramEnd"/>
      <w:r w:rsidRPr="0024409C">
        <w:rPr>
          <w:rFonts w:ascii="Helvetica Neue" w:hAnsi="Helvetica Neue"/>
        </w:rPr>
        <w:t xml:space="preserve"> would have never tested before age 40. A fixed individual attribute for HIV treatment trajectories that characterized progression through the care continuum was randomly assigned upon entry into the population, with this group of 6.5% of MSM not accessing HIV testing or other forms of post-diagnostic HIV medical services.</w:t>
      </w:r>
    </w:p>
    <w:p w14:paraId="380649BD" w14:textId="1397A8B7"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The remaining 93.5% who entered the HIV care continuum HIV tested at regular intervals, with the estimated mean time between tests for HIV-negative persons at 301 days for black MSM and 315 days for white MSM.</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{"citationItems":[{"id":"ITEM-1","itemData":{"abstract":"BACKGROUND Black/white disparities in HIV incidence and prevalence among men who have sex with men (MSM) in the United States remain largely unexplained. We examined the impact on HIV prevalence and incidence of interventions that decrease disparities in HIV care. Deciding which interventions have most impact on reducing disparities is critical. METHODS Using available US Centers for Disease Control and Prevention (CDC) estimates, we constructed HIV care continua for black and white MSM for 2009-2010. These estimates were used as parameters in a deterministic model to yield estimated race-specific transmissions, transmission rates, incidence rates, and rate-ratios (RR). We examined the impact of changes in the care continuum for black MSM on transmission and incidence rates. FINDINGS Marked disparities were found throughout the care continuum: ultimately, 16% of black and 34% of white MSM achieved viral suppression. Based on these care continua, 9,833 and 9,710 new HIV transmissions were estimated annually respectively from HIV-positive black and white MSM (transmission RR=1·36 and incidence RR=7·92). In a model where black and white MSM have identical care outcomes, transmission RR=1·00 and incidence RR=5·80. Scenarios of 95% diagnosis, 95% retention, and concurrent 95% diagnosis and 95% retention respectively yield transmission RR=1·00, 1·02, 0·56, and incidence RR=5·81, 5·93, 3·28. INTERPRETATION Disparities in HIV transmission rates may be reduced by improving the HIV care continuum outcomes, but existing racial disparities in HIV prevalence will likely continue to drive higher incidence among black MSM for decades to come.","author":[{"dropping-particle":"","family":"Rosenberg","given":"Eli S","non-dropping-particle":"","parse-names":false,"suffix":""},{"dropping-particle":"","family":"Millett","given":"Gregorio A","non-dropping-particle":"","parse-names":false,"suffix":""},{"dropping-particle":"","family":"Sullivan","given":"Patrick S","non-dropping-particle":"","parse-names":false,"suffix":""},{"dropping-particle":"","family":"Rio","given":"Carlos","non-dropping-particle":"del","parse-names":false,"suffix":""},{"dropping-particle":"","family":"Curran","given":"James W","non-dropping-particle":"","parse-names":false,"suffix":""}],"container-title":"The Lancet HIV","id":"ITEM-1","issue":"3","issued":{"date-parts":[["2014","12"]]},"page":"e112-e118","title":"Understanding the HIV disparities between black and white men who have sex with men in the USA using the HIV care continuum: a modelling study","type":"article-journal","volume":"1"},"uris":["http://www.mendeley.com/documents/?uuid=b481f7ea-f692-3cb3-8fbf-5d0d19afb4c7","http://www.mendeley.com/documents/?uuid=945942f1-bba0-46f0-9d55-6c3e692fb50c"]},{"id":"ITEM-2","itemData":{"ISSN":"10472797","abstract":"PURPOSE To describe factors associated with racial disparities in HIV (human immunodeficiency virus) incidence among men who have sex with men (MSM) in the United States. METHODS In a longitudinal cohort of black and white HIV-negative MSM in Atlanta, HIV incidence rates were compared by race. Incidence hazard ratios (HRs) between black and white MSM were estimated with an age-scaled Cox proportional hazards model. A change-in-estimate approach was used to understand mediating time-independent and -dependent factors that accounted for the elevated HR. RESULTS Thirty-two incident HIV infections occurred among 260 black and 302 white MSM during 843 person-years (PY) of follow-up. HIV incidence was higher among black MSM (6.5/100 PY; 95% confidence interval [CI]: 4.2–9.7) than white MSM (1.7/100 PY; CI: 0.7–3.3) and highest among young (18–24 years) black MSM (10.9/100 PY; CI: 6.2–17.6). The unadjusted hazard of HIV infection for black MSM was 2.9 (CI: 1.3–6.4) times that of white MSM; adjustment for health insurance status and partner race explained effectively all of the racial disparity. CONCLUSIONS Relative to white MSM in Atlanta, black MSM, particularly young black MSM, experienced higher HIV incidence that was not attributable to individual risk behaviors. In a setting where partner pool risk is a driver of disparities, it is also important to maximize care and treatment for HIV-positive MSM.","author":[{"dropping-particle":"","family":"Sullivan","given":"Patrick S.","non-dropping-particle":"","parse-names":false,"suffix":""},{"dropping-particle":"","family":"Rosenberg","given":"Eli S.","non-dropping-particle":"","parse-names":false,"suffix":""},{"dropping-particle":"","family":"Sanchez","given":"Travis H.","non-dropping-particle":"","parse-names":false,"suffix":""},{"dropping-particle":"","family":"Kelley","given":"Colleen F.","non-dropping-particle":"","parse-names":false,"suffix":""},{"dropping-particle":"","family":"Luisi","given":"Nicole","non-dropping-particle":"","parse-names":false,"suffix":""},{"dropping-particle":"","family":"Cooper","given":"Hannah L.","non-dropping-particle":"","parse-names":false,"suffix":""},{"dropping-particle":"","family":"Diclemente","given":"Ralph J.","non-dropping-particle":"","parse-names":false,"suffix":""},{"dropping-particle":"","family":"Wingood","given":"Gina M.","non-dropping-particle":"","parse-names":false,"suffix":""},{"dropping-particle":"","family":"Frew","given":"Paula M.","non-dropping-particle":"","parse-names":false,"suffix":""},{"dropping-particle":"","family":"Salazar","given":"Laura F.","non-dropping-particle":"","parse-names":false,"suffix":""},{"dropping-particle":"","family":"Rio","given":"Carlos","non-dropping-particle":"del","parse-names":false,"suffix":""},{"dropping-particle":"","family":"Mulligan","given":"Mark J.","non-dropping-particle":"","parse-names":false,"suffix":""},{"dropping-particle":"","family":"Peterson","given":"John L.","non-dropping-particle":"","parse-names":false,"suffix":""}],"container-title":"Ann Epidemiol","id":"ITEM-2","issue":"6","issued":{"date-parts":[["2015"]]},"page":"445-454","title":"Explaining racial disparities in HIV incidence in black and white men who have sex with men in Atlanta, GA: a prospective observational cohort study","type":"article-journal","volume":"25"},"uris":["http://www.mendeley.com/documents/?uuid=0ca47ab6-493a-43f9-b1d0-48e2041b9866"]}],"mendeley":{"formattedCitation":"&lt;sup&gt;12,23&lt;/sup&gt;","plainTextFormattedCitation":"12,23","previouslyFormattedCitation":"&lt;sup&gt;12,23&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12,23</w:t>
      </w:r>
      <w:r w:rsidRPr="0024409C">
        <w:rPr>
          <w:rFonts w:ascii="Helvetica Neue" w:hAnsi="Helvetica Neue"/>
          <w:noProof/>
          <w:vertAlign w:val="superscript"/>
        </w:rPr>
        <w:fldChar w:fldCharType="end"/>
      </w:r>
      <w:r w:rsidRPr="0024409C">
        <w:rPr>
          <w:rFonts w:ascii="Helvetica Neue" w:hAnsi="Helvetica Neue"/>
        </w:rPr>
        <w:t xml:space="preserve"> </w:t>
      </w:r>
      <w:proofErr w:type="gramStart"/>
      <w:r w:rsidRPr="0024409C">
        <w:rPr>
          <w:rFonts w:ascii="Helvetica Neue" w:hAnsi="Helvetica Neue"/>
        </w:rPr>
        <w:t>This</w:t>
      </w:r>
      <w:proofErr w:type="gramEnd"/>
      <w:r w:rsidRPr="0024409C">
        <w:rPr>
          <w:rFonts w:ascii="Helvetica Neue" w:hAnsi="Helvetica Neue"/>
        </w:rPr>
        <w:t xml:space="preserve"> was calculated based on time since last test in the survey, with the assumption that testing was a </w:t>
      </w:r>
      <w:proofErr w:type="spellStart"/>
      <w:r w:rsidRPr="0024409C">
        <w:rPr>
          <w:rFonts w:ascii="Helvetica Neue" w:hAnsi="Helvetica Neue"/>
        </w:rPr>
        <w:t>memoryless</w:t>
      </w:r>
      <w:proofErr w:type="spellEnd"/>
      <w:r w:rsidRPr="0024409C">
        <w:rPr>
          <w:rFonts w:ascii="Helvetica Neue" w:hAnsi="Helvetica Neue"/>
        </w:rPr>
        <w:t xml:space="preserve"> process. In this paper, we averaged over the two intervals since we did not explicitly model racial differences in the care continuum. Diagnostic testing was simulated stochastically using draws from a binomial distribution with probability parameters equal to the reciprocal of this interval. This generated a population-level geometric distribution of times since last test.</w:t>
      </w:r>
    </w:p>
    <w:p w14:paraId="6447A3EF" w14:textId="22655001"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We also modeled a 21-day window period after infection during which the tests of the truly HIV+ persons would show as negative to account for the lack of antibody response immediately after infection.</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{"citationItems":[{"id":"ITEM-1","itemData":{"abstract":"OBJECTIVES The characterization of primary HIV infection by the analysis of serial plasma samples from newly infected persons using multiple standard viral assays. DESIGN A retrospective study involving two sets of archived samples from HIV-infected plasma donors. (A) 435 samples from 51 donors detected by anti-HIV enzyme immunoassays donated during 1984-1994; (B) 145 specimens from 44 donors detected by p24 antigen screening donated during 1996-1998. SETTING Two US plasma products companies. MAIN OUTCOME MEASURES The timepoints of appearance of HIV-1 markers and viral load concentrations during primary HIV infection. RESULTS The pattern of sequential emergence of viral markers in the 'A' panels was highly consistent, allowing the definition and estimation of the duration of six sequential stages. From the 'B' panels, the viral load at p24 antigen seroconversion was estimated by regression analysis at 10 000 copies/ml (95% CI 2000-93 000) and the HIV replication rate at 0.35 log copies/ml/day, corresponding to a doubling time in the preseroconversion phase of 20.5 h (95% CI 18.2-23.4 h). Consequently, an RNA test with 50 copies/ml sensitivity would detect HIV infection approximately 7 days before a p24 antigen test, and 12 days before a sensitive anti-HIV test. CONCLUSION The sequential emergence of assay reactivity allows the classification of primary HIV-1 infection into distinct laboratory stages, which may facilitate the diagnosis of recent infection and stratification of patients enrolled in clinical trials. Quantitative analysis of preseroconversion replication rates of HIV is useful for projecting the yield and predictive value of assays targeting primary HIV infection.","author":[{"dropping-particle":"","family":"Fiebig","given":"Eberhard W","non-dropping-particle":"","parse-names":false,"suffix":""},{"dropping-particle":"","family":"Wright","given":"David J","non-dropping-particle":"","parse-names":false,"suffix":""},{"dropping-particle":"","family":"Rawal","given":"Bhupat D","non-dropping-particle":"","parse-names":false,"suffix":""},{"dropping-particle":"","family":"Garrett","given":"Patricia E","non-dropping-particle":"","parse-names":false,"suffix":""},{"dropping-particle":"","family":"Schumacher","given":"Richard T","non-dropping-particle":"","parse-names":false,"suffix":""},{"dropping-particle":"","family":"Peddada","given":"Lorraine","non-dropping-particle":"","parse-names":false,"suffix":""},{"dropping-particle":"","family":"Heldebrant","given":"Charles","non-dropping-particle":"","parse-names":false,"suffix":""},{"dropping-particle":"","family":"Smith","given":"Richard","non-dropping-particle":"","parse-names":false,"suffix":""},{"dropping-particle":"","family":"Conrad","given":"Andrew","non-dropping-particle":"","parse-names":false,"suffix":""},{"dropping-particle":"","family":"Kleinman","given":"Steven H","non-dropping-particle":"","parse-names":false,"suffix":""},{"dropping-particle":"","family":"Busch","given":"Michael P","non-dropping-particle":"","parse-names":false,"suffix":""}],"container-title":"AIDS","id":"ITEM-1","issue":"13","issued":{"date-parts":[["2003","9"]]},"page":"1871-9","title":"Dynamics of HIV viremia and antibody seroconversion in plasma donors: implications for diagnosis and staging of primary HIV infection.","type":"article-journal","volume":"17"},"uris":["http://www.mendeley.com/documents/?uuid=ef9059a3-228f-341c-9705-b09ff35db38e","http://www.mendeley.com/documents/?uuid=3e0e2419-865d-4622-92a7-6202bb64aca3"]}],"mendeley":{"formattedCitation":"&lt;sup&gt;24&lt;/sup&gt;","plainTextFormattedCitation":"24","previouslyFormattedCitation":"&lt;sup&gt;24&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24</w:t>
      </w:r>
      <w:r w:rsidRPr="0024409C">
        <w:rPr>
          <w:rFonts w:ascii="Helvetica Neue" w:hAnsi="Helvetica Neue"/>
          <w:noProof/>
          <w:vertAlign w:val="superscript"/>
        </w:rPr>
        <w:fldChar w:fldCharType="end"/>
      </w:r>
      <w:r w:rsidRPr="0024409C">
        <w:rPr>
          <w:rFonts w:ascii="Helvetica Neue" w:hAnsi="Helvetica Neue"/>
        </w:rPr>
        <w:t xml:space="preserve"> HIV+ persons who tested after this window period would be correctly diagnosed with 100% test sensitivity. Individual-level attributes for diagnosis status and time since last HIV test were recorded for all MSM.</w:t>
      </w:r>
    </w:p>
    <w:p w14:paraId="2B690495" w14:textId="1B0F867F" w:rsidR="009B3BB0" w:rsidRPr="0024409C" w:rsidRDefault="00273CDD" w:rsidP="009B3BB0">
      <w:pPr>
        <w:pStyle w:val="Heading2"/>
        <w:rPr>
          <w:rFonts w:ascii="Helvetica Neue" w:hAnsi="Helvetica Neue"/>
          <w:szCs w:val="22"/>
        </w:rPr>
      </w:pPr>
      <w:bookmarkStart w:id="20" w:name="_Toc2361380"/>
      <w:r w:rsidRPr="0024409C">
        <w:rPr>
          <w:rFonts w:ascii="Helvetica Neue" w:hAnsi="Helvetica Neue"/>
          <w:szCs w:val="22"/>
        </w:rPr>
        <w:lastRenderedPageBreak/>
        <w:t>6</w:t>
      </w:r>
      <w:r w:rsidR="009B3BB0" w:rsidRPr="0024409C">
        <w:rPr>
          <w:rFonts w:ascii="Helvetica Neue" w:hAnsi="Helvetica Neue"/>
          <w:szCs w:val="22"/>
        </w:rPr>
        <w:t>.2</w:t>
      </w:r>
      <w:r w:rsidR="009B3BB0" w:rsidRPr="0024409C">
        <w:rPr>
          <w:rFonts w:ascii="Helvetica Neue" w:hAnsi="Helvetica Neue"/>
          <w:szCs w:val="22"/>
        </w:rPr>
        <w:tab/>
      </w:r>
      <w:r w:rsidR="00BB6623" w:rsidRPr="0024409C">
        <w:rPr>
          <w:rFonts w:ascii="Helvetica Neue" w:hAnsi="Helvetica Neue"/>
          <w:szCs w:val="22"/>
        </w:rPr>
        <w:tab/>
      </w:r>
      <w:r w:rsidR="009B3BB0" w:rsidRPr="0024409C">
        <w:rPr>
          <w:rFonts w:ascii="Helvetica Neue" w:hAnsi="Helvetica Neue"/>
          <w:szCs w:val="22"/>
        </w:rPr>
        <w:t>Antiretroviral Therapy (ART) Initiation</w:t>
      </w:r>
      <w:bookmarkEnd w:id="20"/>
    </w:p>
    <w:p w14:paraId="76E18C29" w14:textId="67C474CF"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Consistent with previous models,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One","id":"ITEM-1","issue":"11","issued":{"date-parts":[["2012"]]},"page":"e50522","title":"What drives the US and Peruvian HIV epidemics in men who have sex with men (MSM)?","type":"article-journal","volume":"7"},"uris":["http://www.mendeley.com/documents/?uuid=95236385-1da9-4014-87d9-9bf044dc09fb"]},{"id":"ITEM-2","itemData":{"ISSN":"1932-6203","PMID":"25076493","abstract":"BACKGROUND Three trials have demonstrated the prophylactic effect of male circumcision (MC) for HIV acquisition among heterosexuals, and MC interventions are underway throughout sub-Saharan Africa. Similar efforts for men who have sex with men (MSM) are stymied by the potential for circumcised MSM to acquire HIV easily through receptive sex and transmit easily through insertive sex. Existing work suggests that MC for MSM should reach its maximum potential in settings where sexual role segregation is historically high and relatively stable across the lifecourse; HIV incidence among MSM is high; reported willingness for prophylactic circumcision is high; and pre-existing circumcision rates are low. We aim to identify the likely public health impact that MC interventions among MSM would have in one setting that fulfills these conditions-Peru-as a theoretical upper bound for their effectiveness among MSM generally. METHODS AND FINDINGS We use a dynamic, stochastic sexual network model based in exponential-family random graph modeling and parameterized from multiple behavioral surveys of Peruvian MSM. We consider three enrollment criteria (insertive during 100%, &gt;80% or &gt;60% of UAI) and two levels of uptake (25% and 50% of eligible men); we explore sexual role proportions from two studies and different frequencies of switching among role categories. Each scenario is simulated 10 times. We estimate that efficiency could reach one case averted per 6 circumcisions. However, the population-level impact of an optimistic MSM-MC intervention in this setting would likely be at most </w:instrText>
      </w:r>
      <w:r w:rsidR="00665BF2">
        <w:rPr>
          <w:rFonts w:ascii="Cambria Math" w:hAnsi="Cambria Math" w:cs="Cambria Math"/>
          <w:noProof/>
          <w:vertAlign w:val="superscript"/>
        </w:rPr>
        <w:instrText>∼</w:instrText>
      </w:r>
      <w:r w:rsidR="00665BF2">
        <w:rPr>
          <w:rFonts w:ascii="Helvetica Neue" w:hAnsi="Helvetica Neue"/>
          <w:noProof/>
          <w:vertAlign w:val="superscript"/>
        </w:rPr>
        <w:instrText>5-10% incidence and prevalence reductions over 25 years. CONCLUSIONS Roll-out of MC for MSM in Peru would not result in a substantial reduction in new HIV infections, despite characteristics in this population that could maximize such effects. Additional studies are needed to confirm these results for other MSM populations, and providers may consider the individual health benefits of offering MC to their MSM patients.","author":[{"dropping-particle":"","family":"Goodreau","given":"Steven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R","non-dropping-particle":"","parse-names":false,"suffix":""},{"dropping-particle":"","family":"Fuchs","given":"Jonathan D","non-dropping-particle":"","parse-names":false,"suffix":""},{"dropping-particle":"","family":"Sanchez","given":"Jorge","non-dropping-particle":"","parse-names":false,"suffix":""},{"dropping-particle":"","family":"Buchbinder","given":"Susan P","non-dropping-particle":"","parse-names":false,"suffix":""}],"container-title":"PloS One","id":"ITEM-2","issue":"7","issued":{"date-parts":[["2014"]]},"page":"e102960","title":"Can male circumcision have an impact on the HIV epidemic in men who have sex with men?","type":"article-journal","volume":"9"},"uris":["http://www.mendeley.com/documents/?uuid=4655d172-cbf9-44a1-bca9-5231aaa7a93e"]}],"mendeley":{"formattedCitation":"&lt;sup&gt;1,2&lt;/sup&gt;","plainTextFormattedCitation":"1,2","previouslyFormattedCitation":"&lt;sup&gt;1,2&lt;/sup&gt;"},"properties":{"noteIndex":0},"schema":"https://github.com/citation-style-language/schema/raw/master/csl-citation.json"}</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1,2</w:t>
      </w:r>
      <w:r w:rsidRPr="0024409C">
        <w:rPr>
          <w:rFonts w:ascii="Helvetica Neue" w:hAnsi="Helvetica Neue"/>
          <w:noProof/>
          <w:vertAlign w:val="superscript"/>
        </w:rPr>
        <w:fldChar w:fldCharType="end"/>
      </w:r>
      <w:r w:rsidRPr="0024409C">
        <w:rPr>
          <w:rFonts w:ascii="Helvetica Neue" w:hAnsi="Helvetica Neue"/>
        </w:rPr>
        <w:t xml:space="preserve"> we simulated the initiation of ART and subsequent clinical outcomes of full or partial HIV viral suppression based on men being in one of three clinical states: never tested, on treatment and partially virally suppressed, and on treatment with full viral suppression. There was insufficient empirical data to represent the patterns and rates at which individual men switch among these three states over the course of their infection, since the clinical ART landscape is constantly evolving. Therefore, we modeled men as being on one of the three fixed treatment trajectories as an individual-level attribute such that our model matched the population-level data on the prevalence of durable HIV viral suppression and treatment-naïve mortality.</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{"citationItems":[{"id":"ITEM-1","itemData":{"abstract":"OBJECTIVE To better understand why HIV incidence is substantially higher among black than white men who have sex with men (MSM), we present the first nationally representative estimates of factors that contribute to transmission - sexual behavior, antiretroviral therapy (ART) use, and viral suppression - among HIV-infected black and white MSM in the United States. DESIGN The Medical Monitoring Project (MMP) is a complex sample survey of HIV-infected adults receiving medical care in the United States. METHODS We used weighted interview and medical record data collected during June 2009 to May 2010 to estimate the prevalence of sexual behaviors, ART use, and viral suppression among sexually active HIV-infected black and white MSM. We used </w:instrText>
      </w:r>
      <w:r w:rsidR="00665BF2">
        <w:rPr>
          <w:rFonts w:ascii="Helvetica Neue" w:hAnsi="Helvetica Neue" w:hint="eastAsia"/>
          <w:noProof/>
          <w:vertAlign w:val="superscript"/>
        </w:rPr>
        <w:instrText>χ</w:instrText>
      </w:r>
      <w:r w:rsidR="00665BF2">
        <w:rPr>
          <w:rFonts w:ascii="Helvetica Neue" w:hAnsi="Helvetica Neue"/>
          <w:noProof/>
          <w:vertAlign w:val="superscript"/>
        </w:rPr>
        <w:instrText xml:space="preserve"> tests to assess significant differences between races and logistic regression models to identify factors that mediated the racial differences. RESULTS Sexual risk behaviors among black and white MSM were similar. Black MSM were significantly less likely than white MSM to take ART (80 vs. 91%) and be durably virally suppressed (48 vs. 69%). Accounting for mediators (e.g. age, insurance, poverty, education, time since diagnosis, and disease stage) reduced, but did not eliminate, disparities in ART use and rendered differences in viral suppression among those on ART insignificant. CONCLUSION Lower levels of ART use and viral suppression among HIV-infected black MSM may increase the likelihood of HIV transmission. Addressing the patient-level factors and structural inequalities that contribute to lower levels of ART use and viral suppression among this group will improve clinical outcomes and might reduce racial disparities in HIV incidence.","author":[{"dropping-particle":"","family":"Beer","given":"Linda","non-dropping-particle":"","parse-names":false,"suffix":""},{"dropping-particle":"","family":"Oster","given":"Alexandra M.","non-dropping-particle":"","parse-names":false,"suffix":""},{"dropping-particle":"","family":"Mattson","given":"Christine L.","non-dropping-particle":"","parse-names":false,"suffix":""},{"dropping-particle":"","family":"Skarbinski","given":"Jacek","non-dropping-particle":"","parse-names":false,"suffix":""},{"dropping-particle":"","family":"Medical Monitoring Project","given":"","non-dropping-particle":"","parse-names":false,"suffix":""}],"container-title":"AIDS","id":"ITEM-1","issue":"1","issued":{"date-parts":[["2014","1"]]},"page":"105-114","title":"Disparities in HIV transmission risk among HIV-infected black and white men who have sex with men, United States, 2009","type":"article-journal","volume":"28"},"uris":["http://www.mendeley.com/documents/?uuid=5060c3d0-4830-3298-b88b-1da80592e44a","http://www.mendeley.com/documents/?uuid=9e4e37ff-5b99-4590-ab1b-f3019e0aafe6"]},{"id":"ITEM-2","itemData":{"abstract":"Monitoring delayed entry to HIV medical care is needed because it signifies that opportunities to prevent HIV transmission and mitigate disease progression have been missed. A central question for population-level monitoring is whether to consider a person linked to care after receipt of one CD4 or VL test. Using HIV surveillance data, we explored two definitions for estimating the number of HIV-diagnosed persons not linked to HIV medical care. We used receipt of at least one CD4 or VL test (definition 1) and two or more CD4 or VL tests (definition 2) to define linkage to care within 12 months and within 42 months of HIV diagnosis. In five jurisdictions, persons diagnosed from 12/2006-12/2008 who had not died or moved away and who had zero, or less than two reported CD4 or VL tests by 7/31/2010 were considered not linked to care under definitions 1 and 2, respectively. Among 13,600 persons followed up for 19-42 months; 1,732 (13%) had no reported CD4 or VL tests; 2,332 persons (17%) had only one CD4 or VL test and 9,536 persons (70%) had two or more CD4 or VL tests. To summarize, after more than 19 months, 30% of persons diagnosed with HIV had less than two CD4 or VL tests; more than half of them were considered to have entered care if entering care is defined as having one CD4 or VL test. Defining linkage to care as a single CD4 or VL may overestimate entry into care, particularly for certain subgroups.","author":[{"dropping-particle":"","family":"Bertolli","given":"Jeanne","non-dropping-particle":"","parse-names":false,"suffix":""},{"dropping-particle":"","family":"Shouse","given":"R Luke","non-dropping-particle":"","parse-names":false,"suffix":""},{"dropping-particle":"","family":"Beer","given":"Linda","non-dropping-particle":"","parse-names":false,"suffix":""},{"dropping-particle":"","family":"Valverde","given":"Eduardo","non-dropping-particle":"","parse-names":false,"suffix":""},{"dropping-particle":"","family":"Fagan","given":"Jennifer","non-dropping-particle":"","parse-names":false,"suffix":""},{"dropping-particle":"","family":"Jenness","given":"Samuel M","non-dropping-particle":"","parse-names":false,"suffix":""},{"dropping-particle":"","family":"Wogayehu","given":"Afework","non-dropping-particle":"","parse-names":false,"suffix":""},{"dropping-particle":"","family":"Johnson","given":"Christopher","non-dropping-particle":"","parse-names":false,"suffix":""},{"dropping-particle":"","family":"Neaigus","given":"Alan","non-dropping-particle":"","parse-names":false,"suffix":""},{"dropping-particle":"","family":"Hillman","given":"Daniel","non-dropping-particle":"","parse-names":false,"suffix":""},{"dropping-particle":"","family":"Courogen","given":"Maria","non-dropping-particle":"","parse-names":false,"suffix":""},{"dropping-particle":"","family":"Brady","given":"Kathleen A","non-dropping-particle":"","parse-names":false,"suffix":""},{"dropping-particle":"","family":"Bolden","given":"Barbara","non-dropping-particle":"","parse-names":false,"suffix":""}],"container-title":"The open AIDS journal","id":"ITEM-2","issued":{"date-parts":[["2012"]]},"page":"131-41","publisher":"Bentham Science Publishers","title":"Using HIV surveillance data to monitor missed opportunities for linkage and engagement in HIV medical care.","type":"article-journal","volume":"6"},"uris":["http://www.mendeley.com/documents/?uuid=fbc9759f-ccc0-37b5-a554-b2d0f9633e20","http://www.mendeley.com/documents/?uuid=27e81cb9-1a48-4ca6-b5d9-fa38724fe896"]}],"mendeley":{"formattedCitation":"&lt;sup&gt;25,26&lt;/sup&gt;","plainTextFormattedCitation":"25,26","previouslyFormattedCitation":"&lt;sup&gt;25,26&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25,26</w:t>
      </w:r>
      <w:r w:rsidRPr="0024409C">
        <w:rPr>
          <w:rFonts w:ascii="Helvetica Neue" w:hAnsi="Helvetica Neue"/>
          <w:noProof/>
          <w:vertAlign w:val="superscript"/>
        </w:rPr>
        <w:fldChar w:fldCharType="end"/>
      </w:r>
    </w:p>
    <w:p w14:paraId="45CAFE66" w14:textId="6B1B6109"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Following HIV diagnosis (for the 93.5% of men who ever HIV </w:t>
      </w:r>
      <w:proofErr w:type="gramStart"/>
      <w:r w:rsidRPr="0024409C">
        <w:rPr>
          <w:rFonts w:ascii="Helvetica Neue" w:hAnsi="Helvetica Neue"/>
        </w:rPr>
        <w:t>test</w:t>
      </w:r>
      <w:proofErr w:type="gramEnd"/>
      <w:r w:rsidRPr="0024409C">
        <w:rPr>
          <w:rFonts w:ascii="Helvetica Neue" w:hAnsi="Helvetica Neue"/>
        </w:rPr>
        <w:t xml:space="preserve"> before age 40), MSM initiated treatment at a rate of 0.1095 per week. This translates into an average interval between testing and treatment initiation of 9.13 weeks, consistent with empirical data.</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{"citationItems":[{"id":"ITEM-1","itemData":{"abstract":"BACKGROUND Black/white disparities in HIV incidence and prevalence among men who have sex with men (MSM) in the United States remain largely unexplained. We examined the impact on HIV prevalence and incidence of interventions that decrease disparities in HIV care. Deciding which interventions have most impact on reducing disparities is critical. METHODS Using available US Centers for Disease Control and Prevention (CDC) estimates, we constructed HIV care continua for black and white MSM for 2009-2010. These estimates were used as parameters in a deterministic model to yield estimated race-specific transmissions, transmission rates, incidence rates, and rate-ratios (RR). We examined the impact of changes in the care continuum for black MSM on transmission and incidence rates. FINDINGS Marked disparities were found throughout the care continuum: ultimately, 16% of black and 34% of white MSM achieved viral suppression. Based on these care continua, 9,833 and 9,710 new HIV transmissions were estimated annually respectively from HIV-positive black and white MSM (transmission RR=1·36 and incidence RR=7·92). In a model where black and white MSM have identical care outcomes, transmission RR=1·00 and incidence RR=5·80. Scenarios of 95% diagnosis, 95% retention, and concurrent 95% diagnosis and 95% retention respectively yield transmission RR=1·00, 1·02, 0·56, and incidence RR=5·81, 5·93, 3·28. INTERPRETATION Disparities in HIV transmission rates may be reduced by improving the HIV care continuum outcomes, but existing racial disparities in HIV prevalence will likely continue to drive higher incidence among black MSM for decades to come.","author":[{"dropping-particle":"","family":"Rosenberg","given":"Eli S","non-dropping-particle":"","parse-names":false,"suffix":""},{"dropping-particle":"","family":"Millett","given":"Gregorio A","non-dropping-particle":"","parse-names":false,"suffix":""},{"dropping-particle":"","family":"Sullivan","given":"Patrick S","non-dropping-particle":"","parse-names":false,"suffix":""},{"dropping-particle":"","family":"Rio","given":"Carlos","non-dropping-particle":"del","parse-names":false,"suffix":""},{"dropping-particle":"","family":"Curran","given":"James W","non-dropping-particle":"","parse-names":false,"suffix":""}],"container-title":"The Lancet HIV","id":"ITEM-1","issue":"3","issued":{"date-parts":[["2014","12"]]},"page":"e112-e118","title":"Understanding the HIV disparities between black and white men who have sex with men in the USA using the HIV care continuum: a modelling study","type":"article-journal","volume":"1"},"uris":["http://www.mendeley.com/documents/?uuid=945942f1-bba0-46f0-9d55-6c3e692fb50c","http://www.mendeley.com/documents/?uuid=b481f7ea-f692-3cb3-8fbf-5d0d19afb4c7"]}],"mendeley":{"formattedCitation":"&lt;sup&gt;23&lt;/sup&gt;","plainTextFormattedCitation":"23","previouslyFormattedCitation":"&lt;sup&gt;23&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23</w:t>
      </w:r>
      <w:r w:rsidRPr="0024409C">
        <w:rPr>
          <w:rFonts w:ascii="Helvetica Neue" w:hAnsi="Helvetica Neue"/>
          <w:noProof/>
          <w:vertAlign w:val="superscript"/>
        </w:rPr>
        <w:fldChar w:fldCharType="end"/>
      </w:r>
      <w:r w:rsidRPr="0024409C">
        <w:rPr>
          <w:rFonts w:ascii="Helvetica Neue" w:hAnsi="Helvetica Neue"/>
        </w:rPr>
        <w:t xml:space="preserve"> In the absence of quantitative data, we assumed no gap between treatment entry and ART initiation.</w:t>
      </w:r>
    </w:p>
    <w:p w14:paraId="178E727D" w14:textId="5C0F8C3F" w:rsidR="009B3BB0" w:rsidRPr="0024409C" w:rsidRDefault="00273CDD" w:rsidP="009B3BB0">
      <w:pPr>
        <w:pStyle w:val="Heading2"/>
        <w:rPr>
          <w:rFonts w:ascii="Helvetica Neue" w:hAnsi="Helvetica Neue"/>
          <w:szCs w:val="22"/>
        </w:rPr>
      </w:pPr>
      <w:bookmarkStart w:id="21" w:name="_Toc2361381"/>
      <w:r w:rsidRPr="0024409C">
        <w:rPr>
          <w:rFonts w:ascii="Helvetica Neue" w:hAnsi="Helvetica Neue"/>
          <w:szCs w:val="22"/>
        </w:rPr>
        <w:t>6</w:t>
      </w:r>
      <w:r w:rsidR="009B3BB0" w:rsidRPr="0024409C">
        <w:rPr>
          <w:rFonts w:ascii="Helvetica Neue" w:hAnsi="Helvetica Neue"/>
          <w:szCs w:val="22"/>
        </w:rPr>
        <w:t>.3</w:t>
      </w:r>
      <w:r w:rsidR="009B3BB0" w:rsidRPr="0024409C">
        <w:rPr>
          <w:rFonts w:ascii="Helvetica Neue" w:hAnsi="Helvetica Neue"/>
          <w:szCs w:val="22"/>
        </w:rPr>
        <w:tab/>
      </w:r>
      <w:r w:rsidR="00BB6623" w:rsidRPr="0024409C">
        <w:rPr>
          <w:rFonts w:ascii="Helvetica Neue" w:hAnsi="Helvetica Neue"/>
          <w:szCs w:val="22"/>
        </w:rPr>
        <w:tab/>
      </w:r>
      <w:r w:rsidR="009B3BB0" w:rsidRPr="0024409C">
        <w:rPr>
          <w:rFonts w:ascii="Helvetica Neue" w:hAnsi="Helvetica Neue"/>
          <w:szCs w:val="22"/>
        </w:rPr>
        <w:t>ART Adherence and Viral Suppression</w:t>
      </w:r>
      <w:bookmarkEnd w:id="21"/>
    </w:p>
    <w:p w14:paraId="4ECADA4F" w14:textId="7E5B3771"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MSM who initiated ART could cycle on and off treatment, where cycling off treatment resulted in an increase in the VL back up to the assumed set point of 4.5 log</w:t>
      </w:r>
      <w:r w:rsidRPr="0024409C">
        <w:rPr>
          <w:rFonts w:ascii="Helvetica Neue" w:hAnsi="Helvetica Neue"/>
          <w:vertAlign w:val="subscript"/>
        </w:rPr>
        <w:t>10</w:t>
      </w:r>
      <w:r w:rsidRPr="0024409C">
        <w:rPr>
          <w:rFonts w:ascii="Helvetica Neue" w:hAnsi="Helvetica Neue"/>
        </w:rPr>
        <w:t>. The slope of changes to VL were calculated such that it took a total of 3 months to transition between the set point and the on-treatment viral loads.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{"citationItems":[{"id":"ITEM-1","itemData":{"abstract":"BACKGROUND Highly active antiretroviral therapy (HAART) rapidly suppresses human immunodeficiency virus (HIV) viral replication and reduces circulating viral load, but the long-term effects of HAART on viral load remain unclear. METHODS We evaluated HIV viral load trajectories over 8 years following HAART initiation in the Multicenter AIDS Cohort Study and the Women's Interagency HIV Study. The study included 157 HIV-infected men and 199 HIV-infected women who were antiretroviral naive and contributed 1311 and 1837 semiannual person-visits post-HAART, respectively. To account for within-subject correlation and the high proportion of left-censored viral loads, we used a segmental Bernoulli/lognormal random effects model. RESULTS Approximately 3 months (0.30 years for men and 0.22 years for women) after HAART initiation, HIV viral loads were optimally suppressed (ie, with very low HIV RNA) for 44% (95% confidence interval = 39%-49%) of men and 43% (38%-47%) of women, whereas the other 56% of men and 57% of women had on average 2.1 (1.5-2.6) and 3.0 (2.7-3.2) log10 copies/mL, respectively. CONCLUSION After 8 years on HAART, 75% of men and 80% of women had optimal suppression, whereas the rest of the men and women had suboptimal suppression with a median HIV RNA of 3.1 and 3.7 log10 copies/mL, respectively.","author":[{"dropping-particle":"","family":"Chu","given":"Haitao","non-dropping-particle":"","parse-names":false,"suffix":""},{"dropping-particle":"","family":"Gange","given":"Stephen J","non-dropping-particle":"","parse-names":false,"suffix":""},{"dropping-particle":"","family":"Li","given":"Xiuhong","non-dropping-particle":"","parse-names":false,"suffix":""},{"dropping-particle":"","family":"Hoover","given":"Donald R","non-dropping-particle":"","parse-names":false,"suffix":""},{"dropping-particle":"","family":"Liu","given":"Chenglong","non-dropping-particle":"","parse-names":false,"suffix":""},{"dropping-particle":"","family":"Chmiel","given":"Joan S","non-dropping-particle":"","parse-names":false,"suffix":""},{"dropping-particle":"","family":"Jacobson","given":"Lisa P","non-dropping-particle":"","parse-names":false,"suffix":""}],"container-title":"Epidemiology","id":"ITEM-1","issue":"0 4","issued":{"date-parts":[["2010","7"]]},"page":"S25-34","publisher":"NIH Public Access","title":"The effect of HAART on HIV RNA trajectory among treatment-naïve men and women: a segmental Bernoulli/lognormal random effects model with left censoring.","type":"article-journal","volume":"21 Suppl 4"},"uris":["http://www.mendeley.com/documents/?uuid=b78e5955-1ee3-3457-b0f5-a320c8900c1a","http://www.mendeley.com/documents/?uuid=0341d063-afc0-4aa3-a08f-da8200f726cb"]}],"mendeley":{"formattedCitation":"&lt;sup&gt;27&lt;/sup&gt;","plainTextFormattedCitation":"27","previouslyFormattedCitation":"&lt;sup&gt;27&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27</w:t>
      </w:r>
      <w:r w:rsidRPr="0024409C">
        <w:rPr>
          <w:rFonts w:ascii="Helvetica Neue" w:hAnsi="Helvetica Neue"/>
          <w:noProof/>
          <w:vertAlign w:val="superscript"/>
        </w:rPr>
        <w:fldChar w:fldCharType="end"/>
      </w:r>
      <w:r w:rsidRPr="0024409C">
        <w:rPr>
          <w:rFonts w:ascii="Helvetica Neue" w:hAnsi="Helvetica Neue"/>
        </w:rPr>
        <w:t xml:space="preserve"> Men on treatment could achieve partial or full suppression. Men who with partial suppression were assumed to have a log</w:t>
      </w:r>
      <w:r w:rsidRPr="0024409C">
        <w:rPr>
          <w:rFonts w:ascii="Helvetica Neue" w:hAnsi="Helvetica Neue"/>
          <w:vertAlign w:val="subscript"/>
        </w:rPr>
        <w:t xml:space="preserve">10 </w:t>
      </w:r>
      <w:r w:rsidRPr="0024409C">
        <w:rPr>
          <w:rFonts w:ascii="Helvetica Neue" w:hAnsi="Helvetica Neue"/>
        </w:rPr>
        <w:t>viral load of 3.5, compared to 1.5 among those who were fully suppressed.</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{"citationItems":[{"id":"ITEM-1","itemData":{"abstract":"BACKGROUND Highly active antiretroviral therapy (HAART) rapidly suppresses human immunodeficiency virus (HIV) viral replication and reduces circulating viral load, but the long-term effects of HAART on viral load remain unclear. METHODS We evaluated HIV viral load trajectories over 8 years following HAART initiation in the Multicenter AIDS Cohort Study and the Women's Interagency HIV Study. The study included 157 HIV-infected men and 199 HIV-infected women who were antiretroviral naive and contributed 1311 and 1837 semiannual person-visits post-HAART, respectively. To account for within-subject correlation and the high proportion of left-censored viral loads, we used a segmental Bernoulli/lognormal random effects model. RESULTS Approximately 3 months (0.30 years for men and 0.22 years for women) after HAART initiation, HIV viral loads were optimally suppressed (ie, with very low HIV RNA) for 44% (95% confidence interval = 39%-49%) of men and 43% (38%-47%) of women, whereas the other 56% of men and 57% of women had on average 2.1 (1.5-2.6) and 3.0 (2.7-3.2) log10 copies/mL, respectively. CONCLUSION After 8 years on HAART, 75% of men and 80% of women had optimal suppression, whereas the rest of the men and women had suboptimal suppression with a median HIV RNA of 3.1 and 3.7 log10 copies/mL, respectively.","author":[{"dropping-particle":"","family":"Chu","given":"Haitao","non-dropping-particle":"","parse-names":false,"suffix":""},{"dropping-particle":"","family":"Gange","given":"Stephen J","non-dropping-particle":"","parse-names":false,"suffix":""},{"dropping-particle":"","family":"Li","given":"Xiuhong","non-dropping-particle":"","parse-names":false,"suffix":""},{"dropping-particle":"","family":"Hoover","given":"Donald R","non-dropping-particle":"","parse-names":false,"suffix":""},{"dropping-particle":"","family":"Liu","given":"Chenglong","non-dropping-particle":"","parse-names":false,"suffix":""},{"dropping-particle":"","family":"Chmiel","given":"Joan S","non-dropping-particle":"","parse-names":false,"suffix":""},{"dropping-particle":"","family":"Jacobson","given":"Lisa P","non-dropping-particle":"","parse-names":false,"suffix":""}],"container-title":"Epidemiology","id":"ITEM-1","issue":"0 4","issued":{"date-parts":[["2010","7"]]},"page":"S25-34","publisher":"NIH Public Access","title":"The effect of HAART on HIV RNA trajectory among treatment-naïve men and women: a segmental Bernoulli/lognormal random effects model with left censoring.","type":"article-journal","volume":"21 Suppl 4"},"uris":["http://www.mendeley.com/documents/?uuid=0341d063-afc0-4aa3-a08f-da8200f726cb","http://www.mendeley.com/documents/?uuid=b78e5955-1ee3-3457-b0f5-a320c8900c1a"]}],"mendeley":{"formattedCitation":"&lt;sup&gt;27&lt;/sup&gt;","plainTextFormattedCitation":"27","previouslyFormattedCitation":"&lt;sup&gt;27&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27</w:t>
      </w:r>
      <w:r w:rsidRPr="0024409C">
        <w:rPr>
          <w:rFonts w:ascii="Helvetica Neue" w:hAnsi="Helvetica Neue"/>
          <w:noProof/>
          <w:vertAlign w:val="superscript"/>
        </w:rPr>
        <w:fldChar w:fldCharType="end"/>
      </w:r>
      <w:r w:rsidRPr="0024409C">
        <w:rPr>
          <w:rFonts w:ascii="Helvetica Neue" w:hAnsi="Helvetica Neue"/>
        </w:rPr>
        <w:t xml:space="preserve"> The latter corresponds to an absolute viral load below the standard levels of detection (VL = 50).</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{"citationItems":[{"id":"ITEM-1","itemData":{"abstract":"The capacity of HIV-1 to establish latent infection of CD4+ T cells may allow viral persistence despite immune responses and antiretroviral therapy. Measurements of infectious virus and viral RNA in plasma and of infectious virus, viral DNA and viral messenger RNA species in infected cells all suggest that HIV-1 replication continues throughout the course of infection. Uncertainty remains over what fraction of CD4+ T cells are infected and whether there are latent reservoirs for the virus. We show here that during the asymptomatic phase of infection there is an extremely low total body load of latently infected resting CD4+ T cells with replication-competent integrated provirus (&lt;10(7) cells). The most prevalent form of HIV-1 DNA in resting and activated CD4+ T cells is a full-length, linear, unintegrated form that is not replication competent. The infection progresses even though at any given time in the lymphoid tissues integrated HIV-1 DNA is present in only a minute fraction of the susceptible populations, including resting and activated CD4+ T cells and macrophages.","author":[{"dropping-particle":"","family":"Chun","given":"Tae-Wook","non-dropping-particle":"","parse-names":false,"suffix":""},{"dropping-particle":"","family":"Carruth","given":"Lucy","non-dropping-particle":"","parse-names":false,"suffix":""},{"dropping-particle":"","family":"Finzi","given":"Diana","non-dropping-particle":"","parse-names":false,"suffix":""},{"dropping-particle":"","family":"Shen","given":"Xuefei","non-dropping-particle":"","parse-names":false,"suffix":""},{"dropping-particle":"","family":"DiGiuseppe","given":"Joseph A.","non-dropping-particle":"","parse-names":false,"suffix":""},{"dropping-particle":"","family":"Taylor","given":"Harry","non-dropping-particle":"","parse-names":false,"suffix":""},{"dropping-particle":"","family":"Hermankova","given":"Monika","non-dropping-particle":"","parse-names":false,"suffix":""},{"dropping-particle":"","family":"Chadwick","given":"Karen","non-dropping-particle":"","parse-names":false,"suffix":""},{"dropping-particle":"","family":"Margolick","given":"Joseph","non-dropping-particle":"","parse-names":false,"suffix":""},{"dropping-particle":"","family":"Quinn","given":"Thomas C.","non-dropping-particle":"","parse-names":false,"suffix":""},{"dropping-particle":"","family":"Kuo","given":"Yen-Hong","non-dropping-particle":"","parse-names":false,"suffix":""},{"dropping-particle":"","family":"Brookmeyer","given":"Ronald","non-dropping-particle":"","parse-names":false,"suffix":""},{"dropping-particle":"","family":"Zeiger","given":"Martha A.","non-dropping-particle":"","parse-names":false,"suffix":""},{"dropping-particle":"","family":"Barditch-Crovo","given":"Patricia","non-dropping-particle":"","parse-names":false,"suffix":""},{"dropping-particle":"","family":"Siliciano","given":"Robert F.","non-dropping-particle":"","parse-names":false,"suffix":""}],"container-title":"Nature","id":"ITEM-1","issue":"6629","issued":{"date-parts":[["1997","5"]]},"page":"183-188","title":"Quantification of latent tissue reservoirs and total body viral load in HIV-1 infection","type":"article-journal","volume":"387"},"uris":["http://www.mendeley.com/documents/?uuid=11dfbda8-f8ab-32bd-a125-f8587f61b0fa","http://www.mendeley.com/documents/?uuid=0c12c46a-b89b-409f-a9ee-a07a8bafaa13"]}],"mendeley":{"formattedCitation":"&lt;sup&gt;28&lt;/sup&gt;","plainTextFormattedCitation":"28","previouslyFormattedCitation":"&lt;sup&gt;28&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28</w:t>
      </w:r>
      <w:r w:rsidRPr="0024409C">
        <w:rPr>
          <w:rFonts w:ascii="Helvetica Neue" w:hAnsi="Helvetica Neue"/>
          <w:noProof/>
          <w:vertAlign w:val="superscript"/>
        </w:rPr>
        <w:fldChar w:fldCharType="end"/>
      </w:r>
    </w:p>
    <w:p w14:paraId="5725EBAE" w14:textId="53DBF574"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The patterns of ART adherence leading to partial and full HIV viral suppression were estimated based on an analysis of HIV care patterns among MSM in the United States,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 xml:space="preserve">ADDIN CSL_CITATION {"citationItems":[{"id":"ITEM-1","itemData":{"abstract":"OBJECTIVE To better understand why HIV incidence is substantially higher among black than white men who have sex with men (MSM), we present the first nationally representative estimates of factors that contribute to transmission - sexual behavior, antiretroviral therapy (ART) use, and viral suppression - among HIV-infected black and white MSM in the United States. DESIGN The Medical Monitoring Project (MMP) is a complex sample survey of HIV-infected adults receiving medical care in the United States. METHODS We used weighted interview and medical record data collected during June 2009 to May 2010 to estimate the prevalence of sexual behaviors, ART use, and viral suppression among sexually active HIV-infected black and white MSM. We used </w:instrText>
      </w:r>
      <w:r w:rsidR="00665BF2">
        <w:rPr>
          <w:rFonts w:ascii="Helvetica Neue" w:hAnsi="Helvetica Neue" w:hint="eastAsia"/>
          <w:noProof/>
          <w:vertAlign w:val="superscript"/>
        </w:rPr>
        <w:instrText>χ</w:instrText>
      </w:r>
      <w:r w:rsidR="00665BF2">
        <w:rPr>
          <w:rFonts w:ascii="Helvetica Neue" w:hAnsi="Helvetica Neue"/>
          <w:noProof/>
          <w:vertAlign w:val="superscript"/>
        </w:rPr>
        <w:instrText xml:space="preserve"> tests to assess significant differences between races and logistic regression models to identify factors that mediated the racial differences. RESULTS Sexual risk behaviors among black and white MSM were similar. Black MSM were significantly less likely than white MSM to take ART (80 vs. 91%) and be durably virally suppressed (48 vs. 69%). Accounting for mediators (e.g. age, insurance, poverty, education, time since diagnosis, and disease stage) reduced, but did not eliminate, disparities in ART use and rendered differences in viral suppression among those on ART insignificant. CONCLUSION Lower levels of ART use and viral suppression among HIV-infected black MSM may increase the likelihood of HIV transmission. Addressing the patient-level factors and structural inequalities that contribute to lower levels of ART use and viral suppression among this group will improve clinical outcomes and might reduce racial disparities in HIV incidence.","author":[{"dropping-particle":"","family":"Beer","given":"Linda","non-dropping-particle":"","parse-names":false,"suffix":""},{"dropping-particle":"","family":"Oster","given":"Alexandra M.","non-dropping-particle":"","parse-names":false,"suffix":""},{"dropping-particle":"","family":"Mattson","given":"Christine L.","non-dropping-particle":"","parse-names":false,"suffix":""},{"dropping-particle":"","family":"Skarbinski","given":"Jacek","non-dropping-particle":"","parse-names":false,"suffix":""},{"dropping-particle":"","family":"Medical Monitoring Project","given":"","non-dropping-particle":"","parse-names":false,"suffix":""}],"container-title":"AIDS","id":"ITEM-1","issue":"1","issued":{"date-parts":[["2014","1"]]},"page":"105-114","title":"Disparities in HIV transmission risk among HIV-infected black and white men who have sex with men, United States, 2009","type":"article-journal","volume":"28"},"uris":["http://www.mendeley.com/documents/?uuid=9e4e37ff-5b99-4590-ab1b-f3019e0aafe6","http://www.mendeley.com/documents/?uuid=5060c3d0-4830-3298-b88b-1da80592e44a"]}],"mendeley":{"formattedCitation":"&lt;sup&gt;25&lt;/sup&gt;","plainTextFormattedCitation":"25","previouslyFormattedCitation":"&lt;sup&gt;25&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25</w:t>
      </w:r>
      <w:r w:rsidRPr="0024409C">
        <w:rPr>
          <w:rFonts w:ascii="Helvetica Neue" w:hAnsi="Helvetica Neue"/>
          <w:noProof/>
          <w:vertAlign w:val="superscript"/>
        </w:rPr>
        <w:fldChar w:fldCharType="end"/>
      </w:r>
      <w:r w:rsidRPr="0024409C">
        <w:rPr>
          <w:rFonts w:ascii="Helvetica Neue" w:hAnsi="Helvetica Neue"/>
        </w:rPr>
        <w:t xml:space="preserve"> which was required in order to obtain parameters that were specific to young MSM by race. </w:t>
      </w:r>
      <w:r w:rsidRPr="0024409C">
        <w:rPr>
          <w:rFonts w:ascii="Helvetica Neue" w:hAnsi="Helvetica Neue"/>
        </w:rPr>
        <w:lastRenderedPageBreak/>
        <w:t xml:space="preserve">Parameterizing our model used three types of inputs: (1) the proportion of those diagnosed who are on ART; (2) the proportion of those diagnosed who are virally suppressed; (3) the level of durable suppression (proportion on ART who have been suppressed for a year). Our source included recent estimates for (1) by race and by age, but not the interaction of the two. We used a weighted average of their 18–29 and 30–39-year-old </w:t>
      </w:r>
      <w:r w:rsidR="00AB48C5" w:rsidRPr="0024409C">
        <w:rPr>
          <w:rFonts w:ascii="Helvetica Neue" w:hAnsi="Helvetica Neue"/>
        </w:rPr>
        <w:t>data and</w:t>
      </w:r>
      <w:r w:rsidRPr="0024409C">
        <w:rPr>
          <w:rFonts w:ascii="Helvetica Neue" w:hAnsi="Helvetica Neue"/>
        </w:rPr>
        <w:t xml:space="preserve"> assumed that the overall prevalence ratio by race that they observed for each outcome held within this age group as well. This suggested that 30% of young Black MSM who were diagnosed were in care, and 74% of those were on ART, for a combined value of 22% of young Black MSM who were diagnosed being on ART at any time point. Analogous figures for young White MSM were 47%, 84% and 39%. For (3), we used the same method of deriving estimates specific to young Black MSM (47% of those on ART are durably suppressed) and young White MSM (60% for the corresponding figure). For (2), we used figures by race from the same paper; however, similar figures by age were not included. Instead, we adjusted by using the relative rates of retention in care and suppression for young adults (25-44) compared to all respondents from an additional analysis of the care continuum for members of all risk groups (not just MSM-specific) in the US.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{"citationItems":[{"id":"ITEM-1","itemData":{"abstract":"IMPORTANCE Early diagnosis of human immunodeficiency virus (HIV) infection, prompt linkage to and sustained care, and antiretroviral therapy are associated with reduced individual morbidity, mortality, and transmission of the virus. However, levels of these indicators may differ among population groups with HIV. Disparities in care and treatment may contribute to the higher incidence rates among groups with higher prevalence of HIV. OBJECTIVE To examine differences between groups of persons living with HIV by sex, age, race/ethnicity, and transmission category at essential steps in the continuum of care. DESIGN AND SETTING We obtained data from the National HIV Surveillance System of the Centers for Disease Control and Prevention to determine the number of persons living with HIV who are aware and unaware of their infection using back-calculation models. We calculated the percentage of persons linked to care within 3 months of diagnosis on the basis of CD4 level and viral load test results. We estimated the percentages of persons retained in care, prescribed antiretroviral therapy, and with viral suppression using data from the Medical Monitoring Project, a surveillance system of persons receiving HIV care in select areas representative of all such persons in the United States. PARTICIPANTS All HIV-infected persons in the United States. MAIN OUTCOMES AND MEASURES Percentage of persons living with HIV who are aware of their infection, linked to care, retained in care, receiving antiretroviral therapy, and achieving viral suppression. RESULTS Of the estimated 1,148,200 persons living with HIV in 2009 in the United States, 81.9% had been diagnosed, 65.8% were linked to care, 36.7% were retained in care, 32.7% were prescribed antiretroviral therapy, and 25.3% had a suppressed viral load (≤200 copies/mL). Overall, 857 276 persons with HIV had not achieved viral suppression, including 74.8% of male, 79.0% of black, 73.9% of Hispanic/Latino, and 70.3% of white persons. The percentage of blacks in each step of the continuum was lower than that for whites, but these differences were not statistically significant. Among persons with HIV who were 13 to 24 years of age, only 40.5% had received a diagnosis and 30.6% were linked to care. Persons aged 25 to 34, 35 to 44, and 45 to 54 years were all significantly less likely to achieve viral suppression than were persons aged 55 to 64 years. CONCLUSIONS AND RELEVANCE Significant age disparities exist at each step of th…","author":[{"dropping-particle":"","family":"Hall","given":"H. Irene","non-dropping-particle":"","parse-names":false,"suffix":""},{"dropping-particle":"","family":"Frazier","given":"Emma L.","non-dropping-particle":"","parse-names":false,"suffix":""},{"dropping-particle":"","family":"Rhodes","given":"Philip","non-dropping-particle":"","parse-names":false,"suffix":""},{"dropping-particle":"","family":"Holtgrave","given":"David R.","non-dropping-particle":"","parse-names":false,"suffix":""},{"dropping-particle":"","family":"Furlow-Parmley","given":"Carolyn","non-dropping-particle":"","parse-names":false,"suffix":""},{"dropping-particle":"","family":"Tang","given":"Tian","non-dropping-particle":"","parse-names":false,"suffix":""},{"dropping-particle":"","family":"Gray","given":"Kristen Mahle","non-dropping-particle":"","parse-names":false,"suffix":""},{"dropping-particle":"","family":"Cohen","given":"Stacy M.","non-dropping-particle":"","parse-names":false,"suffix":""},{"dropping-particle":"","family":"Mermin","given":"Jonathan","non-dropping-particle":"","parse-names":false,"suffix":""},{"dropping-particle":"","family":"Skarbinski","given":"Jacek","non-dropping-particle":"","parse-names":false,"suffix":""}],"container-title":"JAMA Internal Medicine","id":"ITEM-1","issue":"14","issued":{"date-parts":[["2013","7"]]},"page":"1337-1344","title":"Differences in Human Immunodeficiency Virus Care and Treatment Among Subpopulations in the United States","type":"article-journal","volume":"173"},"uris":["http://www.mendeley.com/documents/?uuid=1df2369b-c7c4-3602-8fdd-e70ac8948b8f","http://www.mendeley.com/documents/?uuid=7e245243-319f-4e68-a397-746d4fe48935"]}],"mendeley":{"formattedCitation":"&lt;sup&gt;29&lt;/sup&gt;","plainTextFormattedCitation":"29","previouslyFormattedCitation":"&lt;sup&gt;29&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29</w:t>
      </w:r>
      <w:r w:rsidRPr="0024409C">
        <w:rPr>
          <w:rFonts w:ascii="Helvetica Neue" w:hAnsi="Helvetica Neue"/>
          <w:noProof/>
          <w:vertAlign w:val="superscript"/>
        </w:rPr>
        <w:fldChar w:fldCharType="end"/>
      </w:r>
      <w:r w:rsidRPr="0024409C">
        <w:rPr>
          <w:rFonts w:ascii="Helvetica Neue" w:hAnsi="Helvetica Neue"/>
        </w:rPr>
        <w:t xml:space="preserve"> This yielded estimates for the percent of young MSM on ART who are virally suppressed of 62% for Blacks and 68% for Whites. </w:t>
      </w:r>
    </w:p>
    <w:p w14:paraId="25343228" w14:textId="3AFE62AB" w:rsidR="002475F9" w:rsidRPr="0024409C" w:rsidRDefault="009B3BB0" w:rsidP="009B3BB0">
      <w:pPr>
        <w:tabs>
          <w:tab w:val="left" w:pos="540"/>
        </w:tabs>
        <w:spacing w:before="120" w:after="180" w:line="360" w:lineRule="auto"/>
        <w:rPr>
          <w:rFonts w:ascii="Helvetica Neue" w:hAnsi="Helvetica Neue"/>
        </w:rPr>
      </w:pPr>
      <w:r w:rsidRPr="0024409C">
        <w:rPr>
          <w:rFonts w:ascii="Helvetica Neue" w:hAnsi="Helvetica Neue"/>
        </w:rPr>
        <w:t>None of these three sets of values entered the model directly as inputs. Parameter (3) was converted into a per-time step probability of falling out of suppression, by using the inverse geometric function to calculate the probability consistent with observed levels of durable suppression after 1 year. Our other two input parameters were the proportion of those initiating ART who achieved full suppression, and the per-time step probability of re-achieving suppression after one had previously fallen out. We simulated our full model iteratively until we identified the unique values of these parameters by race that yielded the values estimated for parameters (1) and (2) above. The resulting set of model inputs were:</w:t>
      </w:r>
    </w:p>
    <w:tbl>
      <w:tblPr>
        <w:tblStyle w:val="TableGrid"/>
        <w:tblW w:w="0" w:type="auto"/>
        <w:jc w:val="center"/>
        <w:tblLook w:val="04A0" w:firstRow="1" w:lastRow="0" w:firstColumn="1" w:lastColumn="0" w:noHBand="0" w:noVBand="1"/>
      </w:tblPr>
      <w:tblGrid>
        <w:gridCol w:w="4225"/>
        <w:gridCol w:w="1350"/>
        <w:gridCol w:w="1440"/>
      </w:tblGrid>
      <w:tr w:rsidR="009B3BB0" w:rsidRPr="0024409C" w14:paraId="6259A916" w14:textId="77777777" w:rsidTr="00A2582E">
        <w:trPr>
          <w:trHeight w:val="389"/>
          <w:jc w:val="center"/>
        </w:trPr>
        <w:tc>
          <w:tcPr>
            <w:tcW w:w="4225" w:type="dxa"/>
            <w:shd w:val="clear" w:color="auto" w:fill="D9D9D9" w:themeFill="background1" w:themeFillShade="D9"/>
            <w:vAlign w:val="center"/>
          </w:tcPr>
          <w:p w14:paraId="7F57C3E2"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w:t>
            </w:r>
          </w:p>
        </w:tc>
        <w:tc>
          <w:tcPr>
            <w:tcW w:w="1350" w:type="dxa"/>
            <w:shd w:val="clear" w:color="auto" w:fill="D9D9D9" w:themeFill="background1" w:themeFillShade="D9"/>
            <w:vAlign w:val="center"/>
          </w:tcPr>
          <w:p w14:paraId="6502B108"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Black</w:t>
            </w:r>
          </w:p>
        </w:tc>
        <w:tc>
          <w:tcPr>
            <w:tcW w:w="1440" w:type="dxa"/>
            <w:shd w:val="clear" w:color="auto" w:fill="D9D9D9" w:themeFill="background1" w:themeFillShade="D9"/>
            <w:vAlign w:val="center"/>
          </w:tcPr>
          <w:p w14:paraId="334E6A88" w14:textId="77777777" w:rsidR="009B3BB0" w:rsidRPr="0024409C" w:rsidRDefault="009B3BB0" w:rsidP="00A2582E">
            <w:pPr>
              <w:tabs>
                <w:tab w:val="left" w:pos="540"/>
              </w:tabs>
              <w:jc w:val="center"/>
              <w:rPr>
                <w:rFonts w:ascii="Helvetica Neue" w:hAnsi="Helvetica Neue"/>
                <w:b/>
                <w:sz w:val="18"/>
              </w:rPr>
            </w:pPr>
            <w:r w:rsidRPr="0024409C">
              <w:rPr>
                <w:rFonts w:ascii="Helvetica Neue" w:hAnsi="Helvetica Neue"/>
                <w:b/>
                <w:sz w:val="18"/>
              </w:rPr>
              <w:t>White</w:t>
            </w:r>
          </w:p>
        </w:tc>
      </w:tr>
      <w:tr w:rsidR="009B3BB0" w:rsidRPr="0024409C" w14:paraId="3F19D9DF" w14:textId="77777777" w:rsidTr="00A2582E">
        <w:trPr>
          <w:trHeight w:val="608"/>
          <w:jc w:val="center"/>
        </w:trPr>
        <w:tc>
          <w:tcPr>
            <w:tcW w:w="4225" w:type="dxa"/>
            <w:vAlign w:val="center"/>
          </w:tcPr>
          <w:p w14:paraId="24B8AE5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lastRenderedPageBreak/>
              <w:t>Proportion of those initiating ART who achieved full suppression</w:t>
            </w:r>
          </w:p>
        </w:tc>
        <w:tc>
          <w:tcPr>
            <w:tcW w:w="1350" w:type="dxa"/>
            <w:vAlign w:val="center"/>
          </w:tcPr>
          <w:p w14:paraId="5C0561C0"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0.614</w:t>
            </w:r>
          </w:p>
        </w:tc>
        <w:tc>
          <w:tcPr>
            <w:tcW w:w="1440" w:type="dxa"/>
            <w:vAlign w:val="center"/>
          </w:tcPr>
          <w:p w14:paraId="5583DF49"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0.651</w:t>
            </w:r>
          </w:p>
        </w:tc>
      </w:tr>
      <w:tr w:rsidR="009B3BB0" w:rsidRPr="0024409C" w14:paraId="5271796E" w14:textId="77777777" w:rsidTr="00A2582E">
        <w:trPr>
          <w:trHeight w:val="608"/>
          <w:jc w:val="center"/>
        </w:trPr>
        <w:tc>
          <w:tcPr>
            <w:tcW w:w="4225" w:type="dxa"/>
            <w:vAlign w:val="center"/>
          </w:tcPr>
          <w:p w14:paraId="5DC81E7F"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Per-week probability of falling out of suppression</w:t>
            </w:r>
          </w:p>
        </w:tc>
        <w:tc>
          <w:tcPr>
            <w:tcW w:w="1350" w:type="dxa"/>
            <w:vAlign w:val="center"/>
          </w:tcPr>
          <w:p w14:paraId="6146C9D9"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0.0102</w:t>
            </w:r>
          </w:p>
        </w:tc>
        <w:tc>
          <w:tcPr>
            <w:tcW w:w="1440" w:type="dxa"/>
            <w:vAlign w:val="center"/>
          </w:tcPr>
          <w:p w14:paraId="73BA7042"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0.0071</w:t>
            </w:r>
          </w:p>
        </w:tc>
      </w:tr>
      <w:tr w:rsidR="009B3BB0" w:rsidRPr="0024409C" w14:paraId="56B913ED" w14:textId="77777777" w:rsidTr="00A2582E">
        <w:trPr>
          <w:trHeight w:val="585"/>
          <w:jc w:val="center"/>
        </w:trPr>
        <w:tc>
          <w:tcPr>
            <w:tcW w:w="4225" w:type="dxa"/>
            <w:vAlign w:val="center"/>
          </w:tcPr>
          <w:p w14:paraId="664C48B3"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Per-week probability of re-achieving suppression</w:t>
            </w:r>
          </w:p>
        </w:tc>
        <w:tc>
          <w:tcPr>
            <w:tcW w:w="1350" w:type="dxa"/>
            <w:vAlign w:val="center"/>
          </w:tcPr>
          <w:p w14:paraId="178DEFC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0.00066</w:t>
            </w:r>
          </w:p>
        </w:tc>
        <w:tc>
          <w:tcPr>
            <w:tcW w:w="1440" w:type="dxa"/>
            <w:vAlign w:val="center"/>
          </w:tcPr>
          <w:p w14:paraId="3B340BE5" w14:textId="77777777" w:rsidR="009B3BB0" w:rsidRPr="0024409C" w:rsidRDefault="009B3BB0" w:rsidP="00A2582E">
            <w:pPr>
              <w:tabs>
                <w:tab w:val="left" w:pos="540"/>
              </w:tabs>
              <w:jc w:val="center"/>
              <w:rPr>
                <w:rFonts w:ascii="Helvetica Neue" w:hAnsi="Helvetica Neue"/>
                <w:sz w:val="18"/>
              </w:rPr>
            </w:pPr>
            <w:r w:rsidRPr="0024409C">
              <w:rPr>
                <w:rFonts w:ascii="Helvetica Neue" w:hAnsi="Helvetica Neue"/>
                <w:sz w:val="18"/>
              </w:rPr>
              <w:t>0.00291</w:t>
            </w:r>
          </w:p>
        </w:tc>
      </w:tr>
    </w:tbl>
    <w:p w14:paraId="153E4CBB" w14:textId="77777777" w:rsidR="00660F9A" w:rsidRPr="0024409C" w:rsidRDefault="00660F9A" w:rsidP="00660F9A">
      <w:pPr>
        <w:rPr>
          <w:rFonts w:ascii="Helvetica Neue" w:hAnsi="Helvetica Neue"/>
          <w:sz w:val="20"/>
        </w:rPr>
      </w:pPr>
      <w:bookmarkStart w:id="22" w:name="_Toc474225203"/>
    </w:p>
    <w:p w14:paraId="12126F6A" w14:textId="77777777" w:rsidR="00660F9A" w:rsidRPr="0024409C" w:rsidRDefault="00660F9A" w:rsidP="00660F9A">
      <w:pPr>
        <w:rPr>
          <w:rFonts w:ascii="Helvetica Neue" w:hAnsi="Helvetica Neue"/>
        </w:rPr>
      </w:pPr>
      <w:r w:rsidRPr="0024409C">
        <w:rPr>
          <w:rFonts w:ascii="Helvetica Neue" w:hAnsi="Helvetica Neue"/>
        </w:rPr>
        <w:t>This study averaged over the race-specific parameter estimates because race was not explicitly modeled in this study.</w:t>
      </w:r>
      <w:bookmarkEnd w:id="22"/>
    </w:p>
    <w:p w14:paraId="6848E1F0" w14:textId="7A9A3F09" w:rsidR="009B3BB0" w:rsidRPr="0024409C" w:rsidRDefault="00273CDD" w:rsidP="009B3BB0">
      <w:pPr>
        <w:pStyle w:val="Heading2"/>
        <w:rPr>
          <w:rFonts w:ascii="Helvetica Neue" w:hAnsi="Helvetica Neue"/>
          <w:szCs w:val="22"/>
        </w:rPr>
      </w:pPr>
      <w:bookmarkStart w:id="23" w:name="_Toc2361382"/>
      <w:r w:rsidRPr="0024409C">
        <w:rPr>
          <w:rFonts w:ascii="Helvetica Neue" w:hAnsi="Helvetica Neue"/>
          <w:szCs w:val="22"/>
        </w:rPr>
        <w:t>6</w:t>
      </w:r>
      <w:r w:rsidR="002768F0" w:rsidRPr="0024409C">
        <w:rPr>
          <w:rFonts w:ascii="Helvetica Neue" w:hAnsi="Helvetica Neue"/>
          <w:szCs w:val="22"/>
        </w:rPr>
        <w:t>.4</w:t>
      </w:r>
      <w:r w:rsidR="002768F0" w:rsidRPr="0024409C">
        <w:rPr>
          <w:rFonts w:ascii="Helvetica Neue" w:hAnsi="Helvetica Neue"/>
          <w:szCs w:val="22"/>
        </w:rPr>
        <w:tab/>
      </w:r>
      <w:r w:rsidR="002768F0" w:rsidRPr="0024409C">
        <w:rPr>
          <w:rFonts w:ascii="Helvetica Neue" w:hAnsi="Helvetica Neue"/>
          <w:szCs w:val="22"/>
        </w:rPr>
        <w:tab/>
      </w:r>
      <w:r w:rsidR="009B3BB0" w:rsidRPr="0024409C">
        <w:rPr>
          <w:rFonts w:ascii="Helvetica Neue" w:hAnsi="Helvetica Neue"/>
          <w:szCs w:val="22"/>
        </w:rPr>
        <w:t>Disease Progression and Mortality after ART Initiation</w:t>
      </w:r>
      <w:bookmarkEnd w:id="23"/>
    </w:p>
    <w:p w14:paraId="4F10A960" w14:textId="735AD233" w:rsidR="00981AAE" w:rsidRPr="0024409C" w:rsidRDefault="009B3BB0" w:rsidP="009B3BB0">
      <w:pPr>
        <w:tabs>
          <w:tab w:val="left" w:pos="540"/>
        </w:tabs>
        <w:spacing w:line="360" w:lineRule="auto"/>
        <w:rPr>
          <w:rFonts w:ascii="Helvetica Neue" w:hAnsi="Helvetica Neue"/>
        </w:rPr>
      </w:pPr>
      <w:r w:rsidRPr="0024409C">
        <w:rPr>
          <w:rFonts w:ascii="Helvetica Neue" w:hAnsi="Helvetica Neue"/>
        </w:rPr>
        <w:t>Mortality after ART initiation was modeled based on the cumulative time on and off ART for persons who were fully or partially suppressed. The maximum time between infection and the start of AIDS was 9.7 years.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{"citationItems":[{"id":"ITEM-1","itemData":{"abstract":"OBJECTIVE To identify and describe a subgroup of men infected with HIV for 10-15 years without immunologic progression, and to evaluate the effect of sexually transmitted diseases (STD) and recreational drug use on delayed HIV disease progression. DESIGN Inception cohort study. SETTING Municipal STD clinic. PARTICIPANTS A total of 588 men with well documented dates of HIV seroconversion and 197 HIV-seronegative controls. MAIN OUTCOME MEASURES AIDS, CD4+ count, rate of CD4+ cell loss, CD8+ count, beta 2-microglobulin, complete blood count, p24 antigen and HIV-related symptoms. RESULTS Of 588 men, 69% had developed AIDS by 14 years after HIV seroconversion (95% confidence interval, 64-73%). Of 539 men with HIV seroconversion dates prior to 1983, 42 men (8%) were healthy long-term HIV-positives (HLP), HIV-infected &gt; or = 10 years without AIDS and with CD4+ counts &gt; 500 x 10(6)/l. When compared with progressors (men with HIV seroconversion prior to 1983 but with AIDS or CD4+ counts &lt; 200 x 10(6)/l), HLP had a significantly slower rate of CD4+ decline (6 versus 85 x 10(6)/l cells/year), and less abnormal immunologic, hematologic and clinical parameters. However, when compared with HIV-uninfected controls, HLP demonstrated lower CD4+ counts and mild hematologic abnormalities. There were no consistent differences between HLP and progressors in prior exposure to recreational drugs or STD. CONCLUSION There are individuals with long-term HIV infection who appear clinically and immunologically healthy 10-15 years after HIV seroconversion, with stable CD4+ counts. Lack of exposure to STD or recreational drugs does not appear to explain the delayed course of disease progression in HLP.","author":[{"dropping-particle":"","family":"Buchbinder","given":"S P","non-dropping-particle":"","parse-names":false,"suffix":""},{"dropping-particle":"","family":"Katz","given":"M H","non-dropping-particle":"","parse-names":false,"suffix":""},{"dropping-particle":"","family":"Hessol","given":"N A","non-dropping-particle":"","parse-names":false,"suffix":""},{"dropping-particle":"","family":"O'Malley","given":"P M","non-dropping-particle":"","parse-names":false,"suffix":""},{"dropping-particle":"","family":"Holmberg","given":"S D","non-dropping-particle":"","parse-names":false,"suffix":""}],"container-title":"AIDS","id":"ITEM-1","issue":"8","issued":{"date-parts":[["1994","8"]]},"page":"1123-8","title":"Long-term HIV-1 infection without immunologic progression.","type":"article-journal","volume":"8"},"uris":["http://www.mendeley.com/documents/?uuid=8509104b-ff17-4822-b2a2-c27db64d177e","http://www.mendeley.com/documents/?uuid=7910f6ca-c641-3068-9497-27bebfd9fb8f"]}],"mendeley":{"formattedCitation":"&lt;sup&gt;20&lt;/sup&gt;","plainTextFormattedCitation":"20","previouslyFormattedCitation":"&lt;sup&gt;20&lt;/sup&gt;"},"properties":{"noteIndex":0},"schema":"https://github.com/citation-style-language/schema/raw/master/csl-citation.json"}</w:instrText>
      </w:r>
      <w:r w:rsidRPr="0024409C">
        <w:rPr>
          <w:rFonts w:ascii="Helvetica Neue" w:hAnsi="Helvetica Neue"/>
          <w:noProof/>
          <w:vertAlign w:val="superscript"/>
        </w:rPr>
        <w:fldChar w:fldCharType="separate"/>
      </w:r>
      <w:r w:rsidR="00E52119" w:rsidRPr="0024409C">
        <w:rPr>
          <w:rFonts w:ascii="Helvetica Neue" w:hAnsi="Helvetica Neue"/>
          <w:noProof/>
          <w:vertAlign w:val="superscript"/>
        </w:rPr>
        <w:t>20</w:t>
      </w:r>
      <w:r w:rsidRPr="0024409C">
        <w:rPr>
          <w:rFonts w:ascii="Helvetica Neue" w:hAnsi="Helvetica Neue"/>
          <w:noProof/>
          <w:vertAlign w:val="superscript"/>
        </w:rPr>
        <w:fldChar w:fldCharType="end"/>
      </w:r>
      <w:r w:rsidRPr="0024409C">
        <w:rPr>
          <w:rFonts w:ascii="Helvetica Neue" w:hAnsi="Helvetica Neue"/>
        </w:rPr>
        <w:t xml:space="preserve"> If a person in either the full or partial suppression categories who spent this much time off ART during the course of infection progressed to AIDS. For the partially suppressed, we assumed a maximum time on ART of 15 years, similar to previous models, to account for treatment failure.</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{"citationItems":[{"id":"ITEM-1","itemData":{"abstract":"In this work, we estimate the proportions of transmissions occurring in main vs. casual partnerships, and by the sexual role, infection stage, and testing and treatment history of the infected partner, for men who have sex with men (MSM) in the US and Peru. We use dynamic, stochastic models based in exponential random graph models (ERGMs), obtaining inputs from multiple large-scale MSM surveys. Parallel main partnership and casual sexual networks are simulated. Each man is characterized by age, race, circumcision status, sexual role behavior, and propensity for unprotected anal intercourse (UAI); his history is modeled from entry into the adult population, with potential transitions including HIV infection, detection, treatment, AIDS diagnosis, and death. We implemented two model variants differing in assumptions about acute infectiousness, and assessed sensitivity to other key inputs. Our two models suggested that only 4-5% (Model 1) or 22-29% (Model 2) of HIV transmission results from contacts with acute-stage partners; the plurality (80-81% and 49%, respectively) stem from chronic-stage partners and the remainder (14-16% and 27-35%, respectively) from AIDS-stage partners. Similar proportions of infections stem from partners whose infection is undiagnosed (24-31%), diagnosed but untreated (36-46%), and currently being treated (30-36%). Roughly one-third of infections (32-39%) occur within main partnerships. Results by country were qualitatively similar, despite key behavioral differences; one exception was that transmission from the receptive to insertive partner appears more important in Peru (34%) than the US (21%). The broad balance in transmission contexts suggests that education about risk, careful assessment, pre-exposure prophylaxis, more frequent testing, earlier treatment, and risk-reduction, disclosure, and adherence counseling may all contribute substantially to reducing the HIV incidence among MSM in the US and Peru.","author":[{"dropping-particle":"","family":"Goodreau","given":"Steven M","non-dropping-particle":"","parse-names":false,"suffix":""},{"dropping-particle":"","family":"Carnegie","given":"Nicole B","non-dropping-particle":"","parse-names":false,"suffix":""},{"dropping-particle":"","family":"Vittinghoff","given":"Eric","non-dropping-particle":"","parse-names":false,"suffix":""},{"dropping-particle":"","family":"Lama","given":"Javier R","non-dropping-particle":"","parse-names":false,"suffix":""},{"dropping-particle":"","family":"Sanchez","given":"Jorge","non-dropping-particle":"","parse-names":false,"suffix":""},{"dropping-particle":"","family":"Grinsztejn","given":"Beatriz","non-dropping-particle":"","parse-names":false,"suffix":""},{"dropping-particle":"","family":"Koblin","given":"Beryl A","non-dropping-particle":"","parse-names":false,"suffix":""},{"dropping-particle":"","family":"Mayer","given":"Kenneth H","non-dropping-particle":"","parse-names":false,"suffix":""},{"dropping-particle":"","family":"Buchbinder","given":"Susan P","non-dropping-particle":"","parse-names":false,"suffix":""}],"container-title":"PloS One","id":"ITEM-1","issue":"11","issued":{"date-parts":[["2012"]]},"page":"e50522","title":"What drives the US and Peruvian HIV epidemics in men who have sex with men (MSM)?","type":"article-journal","volume":"7"},"uris":["http://www.mendeley.com/documents/?uuid=95236385-1da9-4014-87d9-9bf044dc09fb"]}],"mendeley":{"formattedCitation":"&lt;sup&gt;1&lt;/sup&gt;","plainTextFormattedCitation":"1","previouslyFormattedCitation":"&lt;sup&gt;1&lt;/sup&gt;"},"properties":{"noteIndex":0},"schema":"https://github.com/citation-style-language/schema/raw/master/csl-citation.json"}</w:instrText>
      </w:r>
      <w:r w:rsidRPr="0024409C">
        <w:rPr>
          <w:rFonts w:ascii="Helvetica Neue" w:hAnsi="Helvetica Neue"/>
          <w:noProof/>
          <w:vertAlign w:val="superscript"/>
        </w:rPr>
        <w:fldChar w:fldCharType="separate"/>
      </w:r>
      <w:r w:rsidR="004017C2" w:rsidRPr="0024409C">
        <w:rPr>
          <w:rFonts w:ascii="Helvetica Neue" w:hAnsi="Helvetica Neue"/>
          <w:noProof/>
          <w:vertAlign w:val="superscript"/>
        </w:rPr>
        <w:t>1</w:t>
      </w:r>
      <w:r w:rsidRPr="0024409C">
        <w:rPr>
          <w:rFonts w:ascii="Helvetica Neue" w:hAnsi="Helvetica Neue"/>
          <w:noProof/>
          <w:vertAlign w:val="superscript"/>
        </w:rPr>
        <w:fldChar w:fldCharType="end"/>
      </w:r>
      <w:r w:rsidRPr="0024409C">
        <w:rPr>
          <w:rFonts w:ascii="Helvetica Neue" w:hAnsi="Helvetica Neue"/>
        </w:rPr>
        <w:t xml:space="preserve"> For this group, the time to AIDS was an additive function of two ratios: (time on treatment / maximum time on treatment) + (time off treatment / maximum time off treatment). AIDS was simulated to occur when the sum of this score exceeded 1. Persons who had ever initiated ART progressed through AIDS at a similar ra</w:t>
      </w:r>
      <w:r w:rsidR="0069268E" w:rsidRPr="0024409C">
        <w:rPr>
          <w:rFonts w:ascii="Helvetica Neue" w:hAnsi="Helvetica Neue"/>
        </w:rPr>
        <w:t>te as those who were ART-naïve.</w:t>
      </w:r>
    </w:p>
    <w:p w14:paraId="774D3575" w14:textId="28DE9CE5" w:rsidR="009B3BB0" w:rsidRPr="0024409C" w:rsidRDefault="00273CDD" w:rsidP="002232EA">
      <w:pPr>
        <w:pStyle w:val="Heading1"/>
        <w:spacing w:before="300"/>
        <w:rPr>
          <w:rFonts w:ascii="Helvetica Neue" w:hAnsi="Helvetica Neue"/>
        </w:rPr>
      </w:pPr>
      <w:bookmarkStart w:id="24" w:name="_Toc2361383"/>
      <w:r w:rsidRPr="0024409C">
        <w:rPr>
          <w:rFonts w:ascii="Helvetica Neue" w:hAnsi="Helvetica Neue"/>
        </w:rPr>
        <w:t>7</w:t>
      </w:r>
      <w:r w:rsidR="009B3BB0" w:rsidRPr="0024409C">
        <w:rPr>
          <w:rFonts w:ascii="Helvetica Neue" w:hAnsi="Helvetica Neue"/>
        </w:rPr>
        <w:tab/>
      </w:r>
      <w:r w:rsidR="00277378" w:rsidRPr="0024409C">
        <w:rPr>
          <w:rFonts w:ascii="Helvetica Neue" w:hAnsi="Helvetica Neue"/>
        </w:rPr>
        <w:t xml:space="preserve">HIV </w:t>
      </w:r>
      <w:r w:rsidR="009B3BB0" w:rsidRPr="0024409C">
        <w:rPr>
          <w:rFonts w:ascii="Helvetica Neue" w:hAnsi="Helvetica Neue"/>
        </w:rPr>
        <w:t>INTERHOST EPIDEMIOLOGY</w:t>
      </w:r>
      <w:bookmarkEnd w:id="24"/>
    </w:p>
    <w:p w14:paraId="6808D3BF" w14:textId="77777777" w:rsidR="009B3BB0" w:rsidRPr="0024409C" w:rsidRDefault="009B3BB0" w:rsidP="009B3BB0">
      <w:pPr>
        <w:tabs>
          <w:tab w:val="left" w:pos="540"/>
        </w:tabs>
        <w:spacing w:line="360" w:lineRule="auto"/>
        <w:rPr>
          <w:rFonts w:ascii="Helvetica Neue" w:hAnsi="Helvetica Neue"/>
        </w:rPr>
      </w:pPr>
      <w:proofErr w:type="spellStart"/>
      <w:r w:rsidRPr="0024409C">
        <w:rPr>
          <w:rFonts w:ascii="Helvetica Neue" w:hAnsi="Helvetica Neue"/>
        </w:rPr>
        <w:t>Interhost</w:t>
      </w:r>
      <w:proofErr w:type="spellEnd"/>
      <w:r w:rsidRPr="0024409C">
        <w:rPr>
          <w:rFonts w:ascii="Helvetica Neue" w:hAnsi="Helvetica Neue"/>
        </w:rPr>
        <w:t xml:space="preserve"> epidemiological processes represent the HIV-1 disease transmission within the model. Disease transmission occurs between sexual partners who are active on a given time step. This section will describe how the overall rate as a function of the </w:t>
      </w:r>
      <w:proofErr w:type="spellStart"/>
      <w:r w:rsidRPr="0024409C">
        <w:rPr>
          <w:rFonts w:ascii="Helvetica Neue" w:hAnsi="Helvetica Neue"/>
        </w:rPr>
        <w:t>intrahost</w:t>
      </w:r>
      <w:proofErr w:type="spellEnd"/>
      <w:r w:rsidRPr="0024409C">
        <w:rPr>
          <w:rFonts w:ascii="Helvetica Neue" w:hAnsi="Helvetica Neue"/>
        </w:rPr>
        <w:t xml:space="preserve"> epidemiological profile of each member of a partnership, and behavioral features within the dyad.</w:t>
      </w:r>
    </w:p>
    <w:p w14:paraId="35B0252C" w14:textId="77944EAF" w:rsidR="009B3BB0" w:rsidRPr="0024409C" w:rsidRDefault="00273CDD" w:rsidP="009B3BB0">
      <w:pPr>
        <w:pStyle w:val="Heading2"/>
        <w:rPr>
          <w:rFonts w:ascii="Helvetica Neue" w:hAnsi="Helvetica Neue"/>
          <w:szCs w:val="22"/>
        </w:rPr>
      </w:pPr>
      <w:bookmarkStart w:id="25" w:name="_Toc2361384"/>
      <w:r w:rsidRPr="0024409C">
        <w:rPr>
          <w:rFonts w:ascii="Helvetica Neue" w:hAnsi="Helvetica Neue"/>
          <w:szCs w:val="22"/>
        </w:rPr>
        <w:t>7</w:t>
      </w:r>
      <w:r w:rsidR="00BB6623" w:rsidRPr="0024409C">
        <w:rPr>
          <w:rFonts w:ascii="Helvetica Neue" w:hAnsi="Helvetica Neue"/>
          <w:szCs w:val="22"/>
        </w:rPr>
        <w:t>.1</w:t>
      </w:r>
      <w:r w:rsidR="00FE03C1" w:rsidRPr="0024409C">
        <w:rPr>
          <w:rFonts w:ascii="Helvetica Neue" w:hAnsi="Helvetica Neue"/>
          <w:szCs w:val="22"/>
        </w:rPr>
        <w:tab/>
      </w:r>
      <w:r w:rsidR="00FE03C1" w:rsidRPr="0024409C">
        <w:rPr>
          <w:rFonts w:ascii="Helvetica Neue" w:hAnsi="Helvetica Neue"/>
          <w:szCs w:val="22"/>
        </w:rPr>
        <w:tab/>
      </w:r>
      <w:r w:rsidR="009B3BB0" w:rsidRPr="0024409C">
        <w:rPr>
          <w:rFonts w:ascii="Helvetica Neue" w:hAnsi="Helvetica Neue"/>
          <w:szCs w:val="22"/>
        </w:rPr>
        <w:t>Disease-Discordant Dyads</w:t>
      </w:r>
      <w:bookmarkEnd w:id="25"/>
    </w:p>
    <w:p w14:paraId="418EDA35" w14:textId="3B058073" w:rsidR="009B3BB0" w:rsidRPr="0024409C" w:rsidRDefault="009B3BB0" w:rsidP="009B3BB0">
      <w:pPr>
        <w:tabs>
          <w:tab w:val="left" w:pos="540"/>
        </w:tabs>
        <w:spacing w:line="360" w:lineRule="auto"/>
        <w:rPr>
          <w:rFonts w:ascii="Helvetica Neue" w:hAnsi="Helvetica Neue"/>
        </w:rPr>
      </w:pPr>
      <w:r w:rsidRPr="0024409C">
        <w:rPr>
          <w:rFonts w:ascii="Helvetica Neue" w:hAnsi="Helvetica Neue"/>
        </w:rPr>
        <w:t>At each time step in the simulation, a list of active dyads was selected based on the current composition of the network. This was called an “</w:t>
      </w:r>
      <w:proofErr w:type="spellStart"/>
      <w:r w:rsidRPr="0024409C">
        <w:rPr>
          <w:rFonts w:ascii="Helvetica Neue" w:hAnsi="Helvetica Neue"/>
        </w:rPr>
        <w:t>edgelist</w:t>
      </w:r>
      <w:proofErr w:type="spellEnd"/>
      <w:r w:rsidRPr="0024409C">
        <w:rPr>
          <w:rFonts w:ascii="Helvetica Neue" w:hAnsi="Helvetica Neue"/>
        </w:rPr>
        <w:t xml:space="preserve">.” Given the three types of </w:t>
      </w:r>
      <w:r w:rsidRPr="0024409C">
        <w:rPr>
          <w:rFonts w:ascii="Helvetica Neue" w:hAnsi="Helvetica Neue"/>
        </w:rPr>
        <w:lastRenderedPageBreak/>
        <w:t xml:space="preserve">partnerships detailed above, the full </w:t>
      </w:r>
      <w:proofErr w:type="spellStart"/>
      <w:r w:rsidRPr="0024409C">
        <w:rPr>
          <w:rFonts w:ascii="Helvetica Neue" w:hAnsi="Helvetica Neue"/>
        </w:rPr>
        <w:t>edgelist</w:t>
      </w:r>
      <w:proofErr w:type="spellEnd"/>
      <w:r w:rsidRPr="0024409C">
        <w:rPr>
          <w:rFonts w:ascii="Helvetica Neue" w:hAnsi="Helvetica Neue"/>
        </w:rPr>
        <w:t xml:space="preserve"> was a concatenation of the type-specific </w:t>
      </w:r>
      <w:r w:rsidR="00AB48C5" w:rsidRPr="0024409C">
        <w:rPr>
          <w:rFonts w:ascii="Helvetica Neue" w:hAnsi="Helvetica Neue"/>
        </w:rPr>
        <w:t>sub lists</w:t>
      </w:r>
      <w:r w:rsidRPr="0024409C">
        <w:rPr>
          <w:rFonts w:ascii="Helvetica Neue" w:hAnsi="Helvetica Neue"/>
        </w:rPr>
        <w:t xml:space="preserve">. The complete </w:t>
      </w:r>
      <w:proofErr w:type="spellStart"/>
      <w:r w:rsidRPr="0024409C">
        <w:rPr>
          <w:rFonts w:ascii="Helvetica Neue" w:hAnsi="Helvetica Neue"/>
        </w:rPr>
        <w:t>edgelist</w:t>
      </w:r>
      <w:proofErr w:type="spellEnd"/>
      <w:r w:rsidRPr="0024409C">
        <w:rPr>
          <w:rFonts w:ascii="Helvetica Neue" w:hAnsi="Helvetica Neue"/>
        </w:rPr>
        <w:t xml:space="preserve"> reflects the work of the STERGM- and ERGM-based network simulations, wherein partnerships formed on the basis of nodal attributes and degree distributions (see Section 2). Dyads were considered active at a specific time step if the terminus of that simulated edge </w:t>
      </w:r>
      <w:r w:rsidR="00290F5D" w:rsidRPr="0024409C">
        <w:rPr>
          <w:rFonts w:ascii="Helvetica Neue" w:hAnsi="Helvetica Neue"/>
        </w:rPr>
        <w:t>wa</w:t>
      </w:r>
      <w:r w:rsidRPr="0024409C">
        <w:rPr>
          <w:rFonts w:ascii="Helvetica Neue" w:hAnsi="Helvetica Neue"/>
        </w:rPr>
        <w:t xml:space="preserve">s </w:t>
      </w:r>
      <w:r w:rsidR="00A8272C" w:rsidRPr="0024409C">
        <w:rPr>
          <w:rFonts w:ascii="Helvetica Neue" w:hAnsi="Helvetica Neue"/>
        </w:rPr>
        <w:t>greater</w:t>
      </w:r>
      <w:r w:rsidRPr="0024409C">
        <w:rPr>
          <w:rFonts w:ascii="Helvetica Neue" w:hAnsi="Helvetica Neue"/>
        </w:rPr>
        <w:t xml:space="preserve"> than or equal to the current time step (right-censored). From the full </w:t>
      </w:r>
      <w:proofErr w:type="spellStart"/>
      <w:r w:rsidRPr="0024409C">
        <w:rPr>
          <w:rFonts w:ascii="Helvetica Neue" w:hAnsi="Helvetica Neue"/>
        </w:rPr>
        <w:t>edgelist</w:t>
      </w:r>
      <w:proofErr w:type="spellEnd"/>
      <w:r w:rsidRPr="0024409C">
        <w:rPr>
          <w:rFonts w:ascii="Helvetica Neue" w:hAnsi="Helvetica Neue"/>
        </w:rPr>
        <w:t xml:space="preserve">, a disease-discordant subset was created by removing those dyads in which both members were HIV- or both were HIV+. This left dyads that are discordant with respect to HIV status, which was the set of potential partnerships over which </w:t>
      </w:r>
      <w:r w:rsidR="00C13232" w:rsidRPr="0024409C">
        <w:rPr>
          <w:rFonts w:ascii="Helvetica Neue" w:hAnsi="Helvetica Neue"/>
        </w:rPr>
        <w:t xml:space="preserve">a HIV </w:t>
      </w:r>
      <w:r w:rsidRPr="0024409C">
        <w:rPr>
          <w:rFonts w:ascii="Helvetica Neue" w:hAnsi="Helvetica Neue"/>
        </w:rPr>
        <w:t>infection may be transmitted at that time step.</w:t>
      </w:r>
    </w:p>
    <w:p w14:paraId="2055F933" w14:textId="5A3BA141" w:rsidR="009B3BB0" w:rsidRPr="0024409C" w:rsidRDefault="00273CDD" w:rsidP="009B3BB0">
      <w:pPr>
        <w:pStyle w:val="Heading2"/>
        <w:rPr>
          <w:rFonts w:ascii="Helvetica Neue" w:hAnsi="Helvetica Neue"/>
          <w:szCs w:val="22"/>
        </w:rPr>
      </w:pPr>
      <w:bookmarkStart w:id="26" w:name="_Toc2361385"/>
      <w:r w:rsidRPr="0024409C">
        <w:rPr>
          <w:rFonts w:ascii="Helvetica Neue" w:hAnsi="Helvetica Neue"/>
          <w:szCs w:val="22"/>
        </w:rPr>
        <w:t>7</w:t>
      </w:r>
      <w:r w:rsidR="00FE03C1" w:rsidRPr="0024409C">
        <w:rPr>
          <w:rFonts w:ascii="Helvetica Neue" w:hAnsi="Helvetica Neue"/>
          <w:szCs w:val="22"/>
        </w:rPr>
        <w:t>.2</w:t>
      </w:r>
      <w:r w:rsidR="00FE03C1" w:rsidRPr="0024409C">
        <w:rPr>
          <w:rFonts w:ascii="Helvetica Neue" w:hAnsi="Helvetica Neue"/>
          <w:szCs w:val="22"/>
        </w:rPr>
        <w:tab/>
      </w:r>
      <w:r w:rsidR="00FE03C1" w:rsidRPr="0024409C">
        <w:rPr>
          <w:rFonts w:ascii="Helvetica Neue" w:hAnsi="Helvetica Neue"/>
          <w:szCs w:val="22"/>
        </w:rPr>
        <w:tab/>
      </w:r>
      <w:r w:rsidR="009B3BB0" w:rsidRPr="0024409C">
        <w:rPr>
          <w:rFonts w:ascii="Helvetica Neue" w:hAnsi="Helvetica Neue"/>
          <w:szCs w:val="22"/>
        </w:rPr>
        <w:t>Per-Act HIV Transmission Probability</w:t>
      </w:r>
      <w:bookmarkEnd w:id="26"/>
    </w:p>
    <w:p w14:paraId="1D45DA1E" w14:textId="68AFA103" w:rsidR="009B3BB0" w:rsidRPr="0024409C" w:rsidRDefault="009B3BB0" w:rsidP="009B3BB0">
      <w:pPr>
        <w:tabs>
          <w:tab w:val="left" w:pos="540"/>
        </w:tabs>
        <w:spacing w:after="180" w:line="360" w:lineRule="auto"/>
        <w:rPr>
          <w:rFonts w:ascii="Helvetica Neue" w:hAnsi="Helvetica Neue"/>
        </w:rPr>
      </w:pPr>
      <w:r w:rsidRPr="0024409C">
        <w:rPr>
          <w:rFonts w:ascii="Helvetica Neue" w:hAnsi="Helvetica Neue"/>
        </w:rPr>
        <w:t xml:space="preserve">Within disease-discordant dyads, HIV transmission was modeled based on a sexual act-by-act basis, in which multiple acts of varying infectiousness could occur within one partnership within a weekly time step. Determination of the number of acts within each discordant dyad for the time step, as well as condom use and role for each of those </w:t>
      </w:r>
      <w:proofErr w:type="gramStart"/>
      <w:r w:rsidRPr="0024409C">
        <w:rPr>
          <w:rFonts w:ascii="Helvetica Neue" w:hAnsi="Helvetica Neue"/>
        </w:rPr>
        <w:t>acts,</w:t>
      </w:r>
      <w:proofErr w:type="gramEnd"/>
      <w:r w:rsidRPr="0024409C">
        <w:rPr>
          <w:rFonts w:ascii="Helvetica Neue" w:hAnsi="Helvetica Neue"/>
        </w:rPr>
        <w:t xml:space="preserve"> was described in Section</w:t>
      </w:r>
      <w:r w:rsidR="00F517A5" w:rsidRPr="0024409C">
        <w:rPr>
          <w:rFonts w:ascii="Helvetica Neue" w:hAnsi="Helvetica Neue"/>
        </w:rPr>
        <w:t>s</w:t>
      </w:r>
      <w:r w:rsidRPr="0024409C">
        <w:rPr>
          <w:rFonts w:ascii="Helvetica Neue" w:hAnsi="Helvetica Neue"/>
        </w:rPr>
        <w:t xml:space="preserve"> </w:t>
      </w:r>
      <w:r w:rsidR="00FB7F82" w:rsidRPr="0024409C">
        <w:rPr>
          <w:rFonts w:ascii="Helvetica Neue" w:hAnsi="Helvetica Neue"/>
        </w:rPr>
        <w:t>2</w:t>
      </w:r>
      <w:r w:rsidR="00F853FB" w:rsidRPr="0024409C">
        <w:rPr>
          <w:rFonts w:ascii="Helvetica Neue" w:hAnsi="Helvetica Neue"/>
        </w:rPr>
        <w:t xml:space="preserve"> and </w:t>
      </w:r>
      <w:r w:rsidR="00FB7F82" w:rsidRPr="0024409C">
        <w:rPr>
          <w:rFonts w:ascii="Helvetica Neue" w:hAnsi="Helvetica Neue"/>
        </w:rPr>
        <w:t>3</w:t>
      </w:r>
      <w:r w:rsidRPr="0024409C">
        <w:rPr>
          <w:rFonts w:ascii="Helvetica Neue" w:hAnsi="Helvetica Neue"/>
        </w:rPr>
        <w:t>. Transmission by act was then modeled as a stochastic process for each discordant sex act following a binomial distribution with a probability parameter that is a multiplicative function of the following predictors of the HIV- and HIV+ partners within the dyad.</w:t>
      </w:r>
    </w:p>
    <w:tbl>
      <w:tblPr>
        <w:tblStyle w:val="TableGrid"/>
        <w:tblW w:w="8995" w:type="dxa"/>
        <w:jc w:val="center"/>
        <w:tblLayout w:type="fixed"/>
        <w:tblLook w:val="04A0" w:firstRow="1" w:lastRow="0" w:firstColumn="1" w:lastColumn="0" w:noHBand="0" w:noVBand="1"/>
      </w:tblPr>
      <w:tblGrid>
        <w:gridCol w:w="2083"/>
        <w:gridCol w:w="1704"/>
        <w:gridCol w:w="3325"/>
        <w:gridCol w:w="1883"/>
      </w:tblGrid>
      <w:tr w:rsidR="009B3BB0" w:rsidRPr="0024409C" w14:paraId="4F1D378F" w14:textId="77777777" w:rsidTr="00277378">
        <w:trPr>
          <w:trHeight w:val="389"/>
          <w:jc w:val="center"/>
        </w:trPr>
        <w:tc>
          <w:tcPr>
            <w:tcW w:w="2083" w:type="dxa"/>
            <w:shd w:val="clear" w:color="auto" w:fill="D9D9D9" w:themeFill="background1" w:themeFillShade="D9"/>
            <w:vAlign w:val="center"/>
          </w:tcPr>
          <w:p w14:paraId="1BCD7A68"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Predictor</w:t>
            </w:r>
          </w:p>
        </w:tc>
        <w:tc>
          <w:tcPr>
            <w:tcW w:w="1704" w:type="dxa"/>
            <w:shd w:val="clear" w:color="auto" w:fill="D9D9D9" w:themeFill="background1" w:themeFillShade="D9"/>
            <w:vAlign w:val="center"/>
          </w:tcPr>
          <w:p w14:paraId="34DDA287"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Partner</w:t>
            </w:r>
          </w:p>
        </w:tc>
        <w:tc>
          <w:tcPr>
            <w:tcW w:w="3325" w:type="dxa"/>
            <w:shd w:val="clear" w:color="auto" w:fill="D9D9D9" w:themeFill="background1" w:themeFillShade="D9"/>
            <w:vAlign w:val="center"/>
          </w:tcPr>
          <w:p w14:paraId="35B0D81B"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Parameters</w:t>
            </w:r>
          </w:p>
        </w:tc>
        <w:tc>
          <w:tcPr>
            <w:tcW w:w="1883" w:type="dxa"/>
            <w:shd w:val="clear" w:color="auto" w:fill="D9D9D9" w:themeFill="background1" w:themeFillShade="D9"/>
            <w:vAlign w:val="center"/>
          </w:tcPr>
          <w:p w14:paraId="5C5F4D16" w14:textId="77777777" w:rsidR="009B3BB0" w:rsidRPr="0024409C" w:rsidRDefault="009B3BB0" w:rsidP="00A2582E">
            <w:pPr>
              <w:tabs>
                <w:tab w:val="left" w:pos="540"/>
              </w:tabs>
              <w:rPr>
                <w:rFonts w:ascii="Helvetica Neue" w:hAnsi="Helvetica Neue"/>
                <w:b/>
                <w:sz w:val="18"/>
              </w:rPr>
            </w:pPr>
            <w:r w:rsidRPr="0024409C">
              <w:rPr>
                <w:rFonts w:ascii="Helvetica Neue" w:hAnsi="Helvetica Neue"/>
                <w:b/>
                <w:sz w:val="18"/>
              </w:rPr>
              <w:t>References</w:t>
            </w:r>
          </w:p>
        </w:tc>
      </w:tr>
      <w:tr w:rsidR="009B3BB0" w:rsidRPr="0024409C" w14:paraId="5B8E2B52" w14:textId="77777777" w:rsidTr="00277378">
        <w:trPr>
          <w:trHeight w:val="851"/>
          <w:jc w:val="center"/>
        </w:trPr>
        <w:tc>
          <w:tcPr>
            <w:tcW w:w="2083" w:type="dxa"/>
            <w:vMerge w:val="restart"/>
            <w:vAlign w:val="center"/>
          </w:tcPr>
          <w:p w14:paraId="2EE93860"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Sexual role (</w:t>
            </w:r>
            <w:proofErr w:type="spellStart"/>
            <w:r w:rsidRPr="0024409C">
              <w:rPr>
                <w:rFonts w:ascii="Helvetica Neue" w:hAnsi="Helvetica Neue"/>
                <w:sz w:val="18"/>
              </w:rPr>
              <w:t>insertive</w:t>
            </w:r>
            <w:proofErr w:type="spellEnd"/>
            <w:r w:rsidRPr="0024409C">
              <w:rPr>
                <w:rFonts w:ascii="Helvetica Neue" w:hAnsi="Helvetica Neue"/>
                <w:sz w:val="18"/>
              </w:rPr>
              <w:t xml:space="preserve"> or receptive)</w:t>
            </w:r>
          </w:p>
        </w:tc>
        <w:tc>
          <w:tcPr>
            <w:tcW w:w="1704" w:type="dxa"/>
            <w:vMerge w:val="restart"/>
            <w:vAlign w:val="center"/>
          </w:tcPr>
          <w:p w14:paraId="44248308"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47C3A0A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i/>
                <w:sz w:val="18"/>
              </w:rPr>
              <w:t>Receptive:</w:t>
            </w:r>
            <w:r w:rsidRPr="0024409C">
              <w:rPr>
                <w:rFonts w:ascii="Helvetica Neue" w:hAnsi="Helvetica Neue"/>
                <w:sz w:val="18"/>
              </w:rPr>
              <w:t xml:space="preserve"> 0.008938 base probability when HIV+ partner has 4.5 log</w:t>
            </w:r>
            <w:r w:rsidRPr="0024409C">
              <w:rPr>
                <w:rFonts w:ascii="Helvetica Neue" w:hAnsi="Helvetica Neue"/>
                <w:sz w:val="18"/>
                <w:vertAlign w:val="subscript"/>
              </w:rPr>
              <w:t>10</w:t>
            </w:r>
            <w:r w:rsidRPr="0024409C">
              <w:rPr>
                <w:rFonts w:ascii="Helvetica Neue" w:hAnsi="Helvetica Neue"/>
                <w:sz w:val="18"/>
              </w:rPr>
              <w:t xml:space="preserve"> viral load</w:t>
            </w:r>
          </w:p>
        </w:tc>
        <w:tc>
          <w:tcPr>
            <w:tcW w:w="1883" w:type="dxa"/>
            <w:vAlign w:val="center"/>
          </w:tcPr>
          <w:p w14:paraId="36F7CD5D" w14:textId="4661F3C3" w:rsidR="009B3BB0" w:rsidRPr="0024409C" w:rsidRDefault="009B3BB0" w:rsidP="00E52119">
            <w:pPr>
              <w:tabs>
                <w:tab w:val="left" w:pos="540"/>
              </w:tabs>
              <w:rPr>
                <w:rFonts w:ascii="Helvetica Neue" w:hAnsi="Helvetica Neue"/>
                <w:sz w:val="18"/>
              </w:rPr>
            </w:pPr>
            <w:r w:rsidRPr="0024409C">
              <w:rPr>
                <w:rFonts w:ascii="Helvetica Neue" w:hAnsi="Helvetica Neue"/>
                <w:sz w:val="18"/>
              </w:rPr>
              <w:t>Vittinghoff</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{"citationItems":[{"id":"ITEM-1","itemData":{"ISSN":"0002-9262","PMID":"10430236","abstract":"The risk of human immunodeficiency virus (HIV) transmission from various types of homosexual contact, including oral sex, is of biologic, epidemiologic, and public health importance. The per-contact risk of acquiring HIV infection from specific acts was estimated in a prospective cohort study of 2,189 high-risk homosexual and bisexual men, conducted in San Francisco, California; Denver, Colorado; and Chicago, Illinois, in 1992-1994. During 2,633 person-years of follow-up, 60 seroconversions were observed. The estimated per-contact risk of acquiring HIV from unprotected receptive anal intercourse (URA) was 0.82 percent (95% confidence interval: 0.24, 2.76 percent) when the partner was known to be HIV+ and 0.27 percent (95% confidence interval: 0.06, 0.49 percent) when partners of unknown serostatus were included. There was heterogeneity in per-contact risk, with nine seroconversions occurring after only one or two episodes of URA. The per-contact risk associated with unprotected insertive anal and receptive oral sex with HIV-positive or unknown serostatus partners was 0.06 and 0.04 percent, respectively. URA accounted for only 15 percent of all reported sexual activity by seroconverters. As lower-risk practices become more common, they may play a larger role in propagating the epidemic and should also be addressed by interventions targeting high-risk homosexual and bisexual men.","author":[{"dropping-particle":"","family":"Vittinghoff","given":"E","non-dropping-particle":"","parse-names":false,"suffix":""},{"dropping-particle":"","family":"Douglas","given":"J","non-dropping-particle":"","parse-names":false,"suffix":""},{"dropping-particle":"","family":"Judson","given":"F","non-dropping-particle":"","parse-names":false,"suffix":""},{"dropping-particle":"","family":"McKirnan","given":"D","non-dropping-particle":"","parse-names":false,"suffix":""},{"dropping-particle":"","family":"MacQueen","given":"K","non-dropping-particle":"","parse-names":false,"suffix":""},{"dropping-particle":"","family":"Buchbinder","given":"S P","non-dropping-particle":"","parse-names":false,"suffix":""}],"container-title":"Am J Epidemiol","id":"ITEM-1","issue":"3","issued":{"date-parts":[["1999","8"]]},"page":"306-11","title":"Per-contact risk of human immunodeficiency virus transmission between male sexual partners.","type":"article-journal","volume":"150"},"uris":["http://www.mendeley.com/documents/?uuid=d78504dd-e8dc-3b12-a249-b1d701e356c3","http://www.mendeley.com/documents/?uuid=966877b6-6b75-4e88-9b85-c33653b32242"]}],"mendeley":{"formattedCitation":"&lt;sup&gt;30&lt;/sup&gt;","plainTextFormattedCitation":"30","previouslyFormattedCitation":"&lt;sup&gt;30&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30</w:t>
            </w:r>
            <w:r w:rsidRPr="0024409C">
              <w:rPr>
                <w:rFonts w:ascii="Helvetica Neue" w:hAnsi="Helvetica Neue"/>
                <w:noProof/>
                <w:sz w:val="18"/>
                <w:vertAlign w:val="superscript"/>
              </w:rPr>
              <w:fldChar w:fldCharType="end"/>
            </w:r>
          </w:p>
        </w:tc>
      </w:tr>
      <w:tr w:rsidR="009B3BB0" w:rsidRPr="0024409C" w14:paraId="6A0EAF01" w14:textId="77777777" w:rsidTr="00277378">
        <w:trPr>
          <w:trHeight w:val="401"/>
          <w:jc w:val="center"/>
        </w:trPr>
        <w:tc>
          <w:tcPr>
            <w:tcW w:w="2083" w:type="dxa"/>
            <w:vMerge/>
            <w:vAlign w:val="center"/>
          </w:tcPr>
          <w:p w14:paraId="7820CE04" w14:textId="77777777" w:rsidR="009B3BB0" w:rsidRPr="0024409C" w:rsidRDefault="009B3BB0" w:rsidP="00A2582E">
            <w:pPr>
              <w:tabs>
                <w:tab w:val="left" w:pos="540"/>
              </w:tabs>
              <w:rPr>
                <w:rFonts w:ascii="Helvetica Neue" w:hAnsi="Helvetica Neue"/>
                <w:sz w:val="18"/>
              </w:rPr>
            </w:pPr>
          </w:p>
        </w:tc>
        <w:tc>
          <w:tcPr>
            <w:tcW w:w="1704" w:type="dxa"/>
            <w:vMerge/>
            <w:vAlign w:val="center"/>
          </w:tcPr>
          <w:p w14:paraId="1D8C5881" w14:textId="77777777" w:rsidR="009B3BB0" w:rsidRPr="0024409C" w:rsidRDefault="009B3BB0" w:rsidP="00A2582E">
            <w:pPr>
              <w:tabs>
                <w:tab w:val="left" w:pos="540"/>
              </w:tabs>
              <w:rPr>
                <w:rFonts w:ascii="Helvetica Neue" w:hAnsi="Helvetica Neue"/>
                <w:sz w:val="18"/>
              </w:rPr>
            </w:pPr>
          </w:p>
        </w:tc>
        <w:tc>
          <w:tcPr>
            <w:tcW w:w="3325" w:type="dxa"/>
            <w:vAlign w:val="center"/>
          </w:tcPr>
          <w:p w14:paraId="2C2C19D1" w14:textId="77777777" w:rsidR="009B3BB0" w:rsidRPr="0024409C" w:rsidRDefault="009B3BB0" w:rsidP="00A2582E">
            <w:pPr>
              <w:tabs>
                <w:tab w:val="left" w:pos="540"/>
              </w:tabs>
              <w:rPr>
                <w:rFonts w:ascii="Helvetica Neue" w:hAnsi="Helvetica Neue"/>
                <w:sz w:val="18"/>
              </w:rPr>
            </w:pPr>
            <w:proofErr w:type="spellStart"/>
            <w:r w:rsidRPr="0024409C">
              <w:rPr>
                <w:rFonts w:ascii="Helvetica Neue" w:hAnsi="Helvetica Neue"/>
                <w:i/>
                <w:sz w:val="18"/>
              </w:rPr>
              <w:t>Insertive</w:t>
            </w:r>
            <w:proofErr w:type="spellEnd"/>
            <w:r w:rsidRPr="0024409C">
              <w:rPr>
                <w:rFonts w:ascii="Helvetica Neue" w:hAnsi="Helvetica Neue"/>
                <w:i/>
                <w:sz w:val="18"/>
              </w:rPr>
              <w:t>:</w:t>
            </w:r>
            <w:r w:rsidRPr="0024409C">
              <w:rPr>
                <w:rFonts w:ascii="Helvetica Neue" w:hAnsi="Helvetica Neue"/>
                <w:sz w:val="18"/>
              </w:rPr>
              <w:t xml:space="preserve"> 0.003379 base probability when HIV+ partner has 4.5 log</w:t>
            </w:r>
            <w:r w:rsidRPr="0024409C">
              <w:rPr>
                <w:rFonts w:ascii="Helvetica Neue" w:hAnsi="Helvetica Neue"/>
                <w:sz w:val="18"/>
                <w:vertAlign w:val="subscript"/>
              </w:rPr>
              <w:t>10</w:t>
            </w:r>
            <w:r w:rsidRPr="0024409C">
              <w:rPr>
                <w:rFonts w:ascii="Helvetica Neue" w:hAnsi="Helvetica Neue"/>
                <w:sz w:val="18"/>
              </w:rPr>
              <w:t xml:space="preserve"> viral load</w:t>
            </w:r>
          </w:p>
        </w:tc>
        <w:tc>
          <w:tcPr>
            <w:tcW w:w="1883" w:type="dxa"/>
            <w:vAlign w:val="center"/>
          </w:tcPr>
          <w:p w14:paraId="32E72F4F" w14:textId="0D85580A" w:rsidR="009B3BB0" w:rsidRPr="0024409C" w:rsidRDefault="009B3BB0" w:rsidP="00E52119">
            <w:pPr>
              <w:tabs>
                <w:tab w:val="left" w:pos="540"/>
              </w:tabs>
              <w:rPr>
                <w:rFonts w:ascii="Helvetica Neue" w:hAnsi="Helvetica Neue"/>
                <w:sz w:val="18"/>
              </w:rPr>
            </w:pPr>
            <w:r w:rsidRPr="0024409C">
              <w:rPr>
                <w:rFonts w:ascii="Helvetica Neue" w:hAnsi="Helvetica Neue"/>
                <w:sz w:val="18"/>
              </w:rPr>
              <w:t>Vittinghoff</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{"citationItems":[{"id":"ITEM-1","itemData":{"ISSN":"0002-9262","PMID":"10430236","abstract":"The risk of human immunodeficiency virus (HIV) transmission from various types of homosexual contact, including oral sex, is of biologic, epidemiologic, and public health importance. The per-contact risk of acquiring HIV infection from specific acts was estimated in a prospective cohort study of 2,189 high-risk homosexual and bisexual men, conducted in San Francisco, California; Denver, Colorado; and Chicago, Illinois, in 1992-1994. During 2,633 person-years of follow-up, 60 seroconversions were observed. The estimated per-contact risk of acquiring HIV from unprotected receptive anal intercourse (URA) was 0.82 percent (95% confidence interval: 0.24, 2.76 percent) when the partner was known to be HIV+ and 0.27 percent (95% confidence interval: 0.06, 0.49 percent) when partners of unknown serostatus were included. There was heterogeneity in per-contact risk, with nine seroconversions occurring after only one or two episodes of URA. The per-contact risk associated with unprotected insertive anal and receptive oral sex with HIV-positive or unknown serostatus partners was 0.06 and 0.04 percent, respectively. URA accounted for only 15 percent of all reported sexual activity by seroconverters. As lower-risk practices become more common, they may play a larger role in propagating the epidemic and should also be addressed by interventions targeting high-risk homosexual and bisexual men.","author":[{"dropping-particle":"","family":"Vittinghoff","given":"E","non-dropping-particle":"","parse-names":false,"suffix":""},{"dropping-particle":"","family":"Douglas","given":"J","non-dropping-particle":"","parse-names":false,"suffix":""},{"dropping-particle":"","family":"Judson","given":"F","non-dropping-particle":"","parse-names":false,"suffix":""},{"dropping-particle":"","family":"McKirnan","given":"D","non-dropping-particle":"","parse-names":false,"suffix":""},{"dropping-particle":"","family":"MacQueen","given":"K","non-dropping-particle":"","parse-names":false,"suffix":""},{"dropping-particle":"","family":"Buchbinder","given":"S P","non-dropping-particle":"","parse-names":false,"suffix":""}],"container-title":"Am J Epidemiol","id":"ITEM-1","issue":"3","issued":{"date-parts":[["1999","8"]]},"page":"306-11","title":"Per-contact risk of human immunodeficiency virus transmission between male sexual partners.","type":"article-journal","volume":"150"},"uris":["http://www.mendeley.com/documents/?uuid=966877b6-6b75-4e88-9b85-c33653b32242","http://www.mendeley.com/documents/?uuid=d78504dd-e8dc-3b12-a249-b1d701e356c3"]}],"mendeley":{"formattedCitation":"&lt;sup&gt;30&lt;/sup&gt;","plainTextFormattedCitation":"30","previouslyFormattedCitation":"&lt;sup&gt;30&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30</w:t>
            </w:r>
            <w:r w:rsidRPr="0024409C">
              <w:rPr>
                <w:rFonts w:ascii="Helvetica Neue" w:hAnsi="Helvetica Neue"/>
                <w:noProof/>
                <w:sz w:val="18"/>
                <w:vertAlign w:val="superscript"/>
              </w:rPr>
              <w:fldChar w:fldCharType="end"/>
            </w:r>
          </w:p>
        </w:tc>
      </w:tr>
      <w:tr w:rsidR="009B3BB0" w:rsidRPr="0024409C" w14:paraId="58F8B766" w14:textId="77777777" w:rsidTr="00277378">
        <w:trPr>
          <w:trHeight w:val="401"/>
          <w:jc w:val="center"/>
        </w:trPr>
        <w:tc>
          <w:tcPr>
            <w:tcW w:w="2083" w:type="dxa"/>
            <w:vAlign w:val="center"/>
          </w:tcPr>
          <w:p w14:paraId="505CBA3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 viral load (VL)</w:t>
            </w:r>
          </w:p>
        </w:tc>
        <w:tc>
          <w:tcPr>
            <w:tcW w:w="1704" w:type="dxa"/>
            <w:vAlign w:val="center"/>
          </w:tcPr>
          <w:p w14:paraId="1061A030"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0C4B05B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2.45</w:t>
            </w:r>
            <w:r w:rsidRPr="0024409C">
              <w:rPr>
                <w:rFonts w:ascii="Helvetica Neue" w:hAnsi="Helvetica Neue"/>
                <w:sz w:val="18"/>
                <w:vertAlign w:val="superscript"/>
              </w:rPr>
              <w:t>(VL - 4.5)</w:t>
            </w:r>
          </w:p>
        </w:tc>
        <w:tc>
          <w:tcPr>
            <w:tcW w:w="1883" w:type="dxa"/>
            <w:vAlign w:val="center"/>
          </w:tcPr>
          <w:p w14:paraId="3527F542" w14:textId="2730AF17" w:rsidR="009B3BB0" w:rsidRPr="0024409C" w:rsidRDefault="009B3BB0" w:rsidP="00E52119">
            <w:pPr>
              <w:tabs>
                <w:tab w:val="left" w:pos="540"/>
              </w:tabs>
              <w:rPr>
                <w:rFonts w:ascii="Helvetica Neue" w:hAnsi="Helvetica Neue"/>
                <w:sz w:val="18"/>
              </w:rPr>
            </w:pPr>
            <w:r w:rsidRPr="0024409C">
              <w:rPr>
                <w:rFonts w:ascii="Helvetica Neue" w:hAnsi="Helvetica Neue"/>
                <w:sz w:val="18"/>
              </w:rPr>
              <w:t>Wilson</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{"citationItems":[{"id":"ITEM-1","itemData":{"abstract":"BACKGROUND A consensus statement released on behalf of the Swiss Federal Commission for HIV/AIDS suggests that people receiving effective antiretroviral therapy-ie, those with undetectable plasma HIV RNA (&lt;40 copies per mL)-are sexually non-infectious. We analysed the implications of this statement at a population level. METHODS We used a simple mathematical model to estimate the cumulative risk of HIV transmission from effectively treated HIV-infected patients (HIV RNA &lt;10 copies per mL) over a prolonged period. We investigated the risk of unprotected sexual transmission per act and cumulatively over many exposures, within couples initially discordant for HIV status. FINDINGS Assuming that each couple had 100 sexual encounters per year, the cumulative probability of transmission to the serodiscordant partner each year is 0.0022 (uncertainty bounds 0.0008-0.0058) for female-to-male transmission, 0.0043 (0.0016-0.0115) for male-to-female transmission, and 0.043 (0.0159-0.1097) for male-to-male transmission. In a population of 10 000 serodiscordant partnerships, over 10 years the expected number of seroconversions would be 215 (80-564) for female-to-male transmission, 425 (159-1096) for male-to-female transmission, and 3524 (1477-6871) for male-to-male transmission, corresponding to an increase in incidence of four times compared with incidence under current rates of condom use. INTERPRETATION Our analyses suggest that the risk of HIV transmission in heterosexual partnerships in the presence of effective treatment is low but non-zero and that the transmission risk in male homosexual partnerships is high over repeated exposures. If the claim of non-infectiousness in effectively treated patients was widely accepted, and condom use subsequently declined, then there is the potential for substantial increases in HIV incidence. FUNDING Australian Research Council.","author":[{"dropping-particle":"","family":"Wilson","given":"David P","non-dropping-particle":"","parse-names":false,"suffix":""},{"dropping-particle":"","family":"Law","given":"Matthew G","non-dropping-particle":"","parse-names":false,"suffix":""},{"dropping-particle":"","family":"Grulich","given":"Andrew E","non-dropping-particle":"","parse-names":false,"suffix":""},{"dropping-particle":"","family":"Cooper","given":"David A","non-dropping-particle":"","parse-names":false,"suffix":""},{"dropping-particle":"","family":"Kaldor","given":"John M","non-dropping-particle":"","parse-names":false,"suffix":""}],"container-title":"The Lancet","id":"ITEM-1","issue":"9635","issued":{"date-parts":[["2008","7"]]},"page":"314-320","title":"Relation between HIV viral load and infectiousness: a model-based analysis","type":"article-journal","volume":"372"},"uris":["http://www.mendeley.com/documents/?uuid=02262356-6748-3434-90cb-19b2e695c29e","http://www.mendeley.com/documents/?uuid=6c796aab-d4af-40e7-af0a-74a1564a2aae"]}],"mendeley":{"formattedCitation":"&lt;sup&gt;31&lt;/sup&gt;","plainTextFormattedCitation":"31","previouslyFormattedCitation":"&lt;sup&gt;31&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31</w:t>
            </w:r>
            <w:r w:rsidRPr="0024409C">
              <w:rPr>
                <w:rFonts w:ascii="Helvetica Neue" w:hAnsi="Helvetica Neue"/>
                <w:noProof/>
                <w:sz w:val="18"/>
                <w:vertAlign w:val="superscript"/>
              </w:rPr>
              <w:fldChar w:fldCharType="end"/>
            </w:r>
          </w:p>
        </w:tc>
      </w:tr>
      <w:tr w:rsidR="009B3BB0" w:rsidRPr="0024409C" w14:paraId="2B4838C2" w14:textId="77777777" w:rsidTr="00277378">
        <w:trPr>
          <w:trHeight w:val="450"/>
          <w:jc w:val="center"/>
        </w:trPr>
        <w:tc>
          <w:tcPr>
            <w:tcW w:w="2083" w:type="dxa"/>
            <w:vAlign w:val="center"/>
          </w:tcPr>
          <w:p w14:paraId="58A09666"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Acute stage</w:t>
            </w:r>
          </w:p>
        </w:tc>
        <w:tc>
          <w:tcPr>
            <w:tcW w:w="1704" w:type="dxa"/>
            <w:vAlign w:val="center"/>
          </w:tcPr>
          <w:p w14:paraId="23B6B8C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33DC399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6</w:t>
            </w:r>
          </w:p>
        </w:tc>
        <w:tc>
          <w:tcPr>
            <w:tcW w:w="1883" w:type="dxa"/>
            <w:vAlign w:val="center"/>
          </w:tcPr>
          <w:p w14:paraId="229AE4CC" w14:textId="70B651FA" w:rsidR="009B3BB0" w:rsidRPr="0024409C" w:rsidRDefault="009B3BB0" w:rsidP="00E52119">
            <w:pPr>
              <w:tabs>
                <w:tab w:val="left" w:pos="540"/>
              </w:tabs>
              <w:rPr>
                <w:rFonts w:ascii="Helvetica Neue" w:hAnsi="Helvetica Neue"/>
                <w:sz w:val="18"/>
              </w:rPr>
            </w:pPr>
            <w:r w:rsidRPr="0024409C">
              <w:rPr>
                <w:rFonts w:ascii="Helvetica Neue" w:hAnsi="Helvetica Neue"/>
                <w:sz w:val="18"/>
              </w:rPr>
              <w:t>Leynaert</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{"citationItems":[{"id":"ITEM-1","itemData":{"ISSN":"0002-9262","PMID":"9663408","abstract":"Although individuals infected with human immunodeficiency virus (HIV) seem to be more infectious in the late stages of HIV infection and possibly also during the seroconversion period, most estimates of per-sexual-contact infectivity have been obtained without allowing for variability over the course of infection. In this analysis, a probabilistic model was fitted to data from a European study carried out between 1987 and 1992 that involved 499 (359 males and 140 females) HIV-infected subjects (index cases) and their regular heterosexual partners. The model used allowed infectivity (the per-sexual-contact HIV transmission probability, mu) to vary through three stages: the first 3 months following infection, the subsequent asymptomatic period, and the advanced stage (HIV-related clinical symptoms or a CD4-positive T lymphocyte count less than 200/mm3). Male-to-female infectivity through penile-anal sex was found to be higher in both the early and advanced stages of infection (mu=0.183) than in the longer intermediate period (mu=0.014) (p &lt; 0.03). Failure to demonstrate significant differences between stages for other types of contact (male-to-female penile-vaginal contacts: mu=0.0007; female-to-male transmission: mu=0.0005) may reflect insufficient power rather than a true lack of variability. Indeed, the results for penile-anal sex suggest that persons who are in the process of seroconverting may be much more infectious than asymptomatic infected persons, whatever the type of contact. Prevention education should stress the risk of HIV transmission from subjects who may be unaware of their infection.","author":[{"dropping-particle":"","family":"Leynaert","given":"B","non-dropping-particle":"","parse-names":false,"suffix":""},{"dropping-particle":"","family":"Downs","given":"A M","non-dropping-particle":"","parse-names":false,"suffix":""},{"dropping-particle":"","family":"Vincenzi","given":"I","non-dropping-particle":"de","parse-names":false,"suffix":""}],"container-title":"Am J Epidemiol","id":"ITEM-1","issue":"1","issued":{"date-parts":[["1998","7"]]},"page":"88-96","title":"Heterosexual transmission of human immunodeficiency virus: variability of infectivity throughout the course of infection. European Study Group on Heterosexual Transmission of HIV.","type":"article-journal","volume":"148"},"uris":["http://www.mendeley.com/documents/?uuid=a5f72fd4-2b40-4d32-9d48-0069e12e2dac","http://www.mendeley.com/documents/?uuid=46644b83-2c8b-3352-8435-cbbbfbcb690c"]}],"mendeley":{"formattedCitation":"&lt;sup&gt;19&lt;/sup&gt;","plainTextFormattedCitation":"19","previouslyFormattedCitation":"&lt;sup&gt;19&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19</w:t>
            </w:r>
            <w:r w:rsidRPr="0024409C">
              <w:rPr>
                <w:rFonts w:ascii="Helvetica Neue" w:hAnsi="Helvetica Neue"/>
                <w:noProof/>
                <w:sz w:val="18"/>
                <w:vertAlign w:val="superscript"/>
              </w:rPr>
              <w:fldChar w:fldCharType="end"/>
            </w:r>
            <w:r w:rsidRPr="0024409C">
              <w:rPr>
                <w:rFonts w:ascii="Helvetica Neue" w:hAnsi="Helvetica Neue"/>
                <w:sz w:val="18"/>
              </w:rPr>
              <w:t>, Bellan</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{"citationItems":[{"id":"ITEM-1","itemData":{"ISSN":"1549-1676","PMID":"25781323","abstract":"BACKGROUND The infectivity of the HIV-1 acute phase has been directly measured only once, from a retrospectively identified cohort of serodiscordant heterosexual couples in Rakai, Uganda. Analyses of this cohort underlie the widespread view that the acute phase is highly infectious, even more so than would be predicted from its elevated viral load, and that transmission occurring shortly after infection may therefore compromise interventions that rely on diagnosis and treatment, such as antiretroviral treatment as prevention (TasP). Here, we re-estimate the duration and relative infectivity of the acute phase, while accounting for several possible sources of bias in published estimates, including the retrospective cohort exclusion criteria and unmeasured heterogeneity in risk. METHODS AND FINDINGS We estimated acute phase infectivity using two approaches. First, we combined viral load trajectories and viral load-infectivity relationships to estimate infectivity trajectories over the course of infection, under the assumption that elevated acute phase infectivity is caused by elevated viral load alone. Second, we estimated the relative hazard of transmission during the acute phase versus the chronic phase (RHacute) and the acute phase duration (dacute) by fitting a couples transmission model to the Rakai retrospective cohort using approximate Bayesian computation. Our model fit the data well and accounted for characteristics overlooked by previous analyses, including individual heterogeneity in infectiousness and susceptibility and the retrospective cohort's exclusion of couples that were recorded as serodiscordant only once before being censored by loss to follow-up, couple dissolution, or study termination. Finally, we replicated two highly cited analyses of the Rakai data on simulated data to identify biases underlying the discrepancies between previous estimates and our own. From the Rakai data, we estimated RHacute = 5.3 (95% credibility interval [95% CrI]: 0.79-57) and dacute = 1.7 mo (95% CrI: 0.55-6.8). The wide credibility intervals reflect an inability to distinguish a long, mildly infectious acute phase from a short, highly infectious acute phase, given the 10-mo Rakai observation intervals. The total additional risk, measured as excess hazard-months attributable to the acute phase (EHMacute) can be estimated more precisely: EHMacute = (RHacute - 1) × dacute, and should be interpreted with respect to the 120 hazard-months generated by a constan…","author":[{"dropping-particle":"","family":"Bellan","given":"Steve E","non-dropping-particle":"","parse-names":false,"suffix":""},{"dropping-particle":"","family":"Dushoff","given":"Jonathan","non-dropping-particle":"","parse-names":false,"suffix":""},{"dropping-particle":"","family":"Galvani","given":"Alison P","non-dropping-particle":"","parse-names":false,"suffix":""},{"dropping-particle":"","family":"Meyers","given":"Lauren Ancel","non-dropping-particle":"","parse-names":false,"suffix":""}],"container-title":"PLoS Med","id":"ITEM-1","issue":"3","issued":{"date-parts":[["2015","3"]]},"page":"e1001801","publisher":"Public Library of Science","title":"Reassessment of HIV-1 acute phase infectivity: accounting for heterogeneity and study design with simulated cohorts.","type":"article-journal","volume":"12"},"uris":["http://www.mendeley.com/documents/?uuid=49a16f54-7fd0-319d-b2f8-7fa27c3a65f4","http://www.mendeley.com/documents/?uuid=07d7ba7b-f707-4b10-b472-dca85b2c13b1"]}],"mendeley":{"formattedCitation":"&lt;sup&gt;32&lt;/sup&gt;","plainTextFormattedCitation":"32","previouslyFormattedCitation":"&lt;sup&gt;32&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32</w:t>
            </w:r>
            <w:r w:rsidRPr="0024409C">
              <w:rPr>
                <w:rFonts w:ascii="Helvetica Neue" w:hAnsi="Helvetica Neue"/>
                <w:noProof/>
                <w:sz w:val="18"/>
                <w:vertAlign w:val="superscript"/>
              </w:rPr>
              <w:fldChar w:fldCharType="end"/>
            </w:r>
          </w:p>
        </w:tc>
      </w:tr>
      <w:tr w:rsidR="009B3BB0" w:rsidRPr="0024409C" w14:paraId="02068608" w14:textId="77777777" w:rsidTr="00277378">
        <w:trPr>
          <w:trHeight w:val="401"/>
          <w:jc w:val="center"/>
        </w:trPr>
        <w:tc>
          <w:tcPr>
            <w:tcW w:w="2083" w:type="dxa"/>
            <w:vMerge w:val="restart"/>
            <w:vAlign w:val="center"/>
          </w:tcPr>
          <w:p w14:paraId="0CB62B5E"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CCR5 status</w:t>
            </w:r>
          </w:p>
        </w:tc>
        <w:tc>
          <w:tcPr>
            <w:tcW w:w="1704" w:type="dxa"/>
            <w:vMerge w:val="restart"/>
            <w:vAlign w:val="center"/>
          </w:tcPr>
          <w:p w14:paraId="43AA742A"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HIV-</w:t>
            </w:r>
          </w:p>
        </w:tc>
        <w:tc>
          <w:tcPr>
            <w:tcW w:w="3325" w:type="dxa"/>
            <w:vAlign w:val="center"/>
          </w:tcPr>
          <w:p w14:paraId="7D373FE1"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Δ32 homozygote: multiplier of 0</w:t>
            </w:r>
          </w:p>
        </w:tc>
        <w:tc>
          <w:tcPr>
            <w:tcW w:w="1883" w:type="dxa"/>
            <w:vAlign w:val="center"/>
          </w:tcPr>
          <w:p w14:paraId="4B9A85A9" w14:textId="025ACBD5" w:rsidR="009B3BB0" w:rsidRPr="0024409C" w:rsidRDefault="009B3BB0" w:rsidP="00E52119">
            <w:pPr>
              <w:tabs>
                <w:tab w:val="left" w:pos="540"/>
              </w:tabs>
              <w:rPr>
                <w:rFonts w:ascii="Helvetica Neue" w:hAnsi="Helvetica Neue"/>
                <w:sz w:val="18"/>
              </w:rPr>
            </w:pPr>
            <w:r w:rsidRPr="0024409C">
              <w:rPr>
                <w:rFonts w:ascii="Helvetica Neue" w:hAnsi="Helvetica Neue"/>
                <w:sz w:val="18"/>
              </w:rPr>
              <w:t>Marmor</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HI…","author":[{"dropping-particle":"","family":"Marmor","given":"M","non-dropping-particle":"","parse-names":false,"suffix":""},{"dropping-particle":"","family":"Sheppard","given":"H W","non-dropping-particle":"","parse-names":false,"suffix":""},{"dropping-particle":"","family":"Donnell","given":"D","non-dropping-particle":"","parse-names":false,"suffix":""},{"dropping-particle":"","family":"Bozeman","given":"S","non-dropping-particle":"","parse-names":false,"suffix":""},{"dropping-particle":"","family":"Celum","given":"C","non-dropping-particle":"","parse-names":false,"suffix":""},{"dropping-particle":"","family":"Buchbinder","given":"S","non-dropping-particle":"","parse-names":false,"suffix":""},{"dropping-particle":"","family":"Koblin","given":"B","non-dropping-particle":"","parse-names":false,"suffix":""},{"dropping-particle":"","family":"Seage","given":"G R","non-dropping-particle":"","parse-names":false,"suffix":""},{"dropping-particle":"","family":"HIV Network for Prevention Trials Vaccine Preparedness Protocol Team","given":"","non-dropping-particle":"","parse-names":false,"suffix":""}],"container-title":"Journal of Acquired Immune Deficiency Syndromes","id":"ITEM-1","issue":"5","issued":{"date-parts":[["2001","8"]]},"page":"472-81","title":"Homozygous and heterozygous CCR5-Delta32 genotypes are associated with resistance to HIV infection.","type":"article-journal","volume":"27"},"uris":["http://www.mendeley.com/documents/?uuid=244a1c44-5046-426d-b400-fb1a97f32631","http://www.mendeley.com/documents/?uuid=ba7c2225-2f76-30e5-8354-8ba09b0dcf3e"]}],"mendeley":{"formattedCitation":"&lt;sup&gt;15&lt;/sup&gt;","plainTextFormattedCitation":"15","previouslyFormattedCitation":"&lt;sup&gt;15&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15</w:t>
            </w:r>
            <w:r w:rsidRPr="0024409C">
              <w:rPr>
                <w:rFonts w:ascii="Helvetica Neue" w:hAnsi="Helvetica Neue"/>
                <w:noProof/>
                <w:sz w:val="18"/>
                <w:vertAlign w:val="superscript"/>
              </w:rPr>
              <w:fldChar w:fldCharType="end"/>
            </w:r>
          </w:p>
        </w:tc>
      </w:tr>
      <w:tr w:rsidR="009B3BB0" w:rsidRPr="0024409C" w14:paraId="32D70D42" w14:textId="77777777" w:rsidTr="00277378">
        <w:trPr>
          <w:trHeight w:val="430"/>
          <w:jc w:val="center"/>
        </w:trPr>
        <w:tc>
          <w:tcPr>
            <w:tcW w:w="2083" w:type="dxa"/>
            <w:vMerge/>
            <w:vAlign w:val="center"/>
          </w:tcPr>
          <w:p w14:paraId="4F508805" w14:textId="77777777" w:rsidR="009B3BB0" w:rsidRPr="0024409C" w:rsidRDefault="009B3BB0" w:rsidP="00A2582E">
            <w:pPr>
              <w:tabs>
                <w:tab w:val="left" w:pos="540"/>
              </w:tabs>
              <w:rPr>
                <w:rFonts w:ascii="Helvetica Neue" w:hAnsi="Helvetica Neue"/>
                <w:sz w:val="18"/>
              </w:rPr>
            </w:pPr>
          </w:p>
        </w:tc>
        <w:tc>
          <w:tcPr>
            <w:tcW w:w="1704" w:type="dxa"/>
            <w:vMerge/>
            <w:vAlign w:val="center"/>
          </w:tcPr>
          <w:p w14:paraId="5F7EFA9D" w14:textId="77777777" w:rsidR="009B3BB0" w:rsidRPr="0024409C" w:rsidRDefault="009B3BB0" w:rsidP="00A2582E">
            <w:pPr>
              <w:tabs>
                <w:tab w:val="left" w:pos="540"/>
              </w:tabs>
              <w:rPr>
                <w:rFonts w:ascii="Helvetica Neue" w:hAnsi="Helvetica Neue"/>
                <w:sz w:val="18"/>
              </w:rPr>
            </w:pPr>
          </w:p>
        </w:tc>
        <w:tc>
          <w:tcPr>
            <w:tcW w:w="3325" w:type="dxa"/>
            <w:vAlign w:val="center"/>
          </w:tcPr>
          <w:p w14:paraId="25613ED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heterozygote: multiplier of 0.3</w:t>
            </w:r>
          </w:p>
        </w:tc>
        <w:tc>
          <w:tcPr>
            <w:tcW w:w="1883" w:type="dxa"/>
            <w:vAlign w:val="center"/>
          </w:tcPr>
          <w:p w14:paraId="1EB5785B" w14:textId="593DF35E" w:rsidR="009B3BB0" w:rsidRPr="0024409C" w:rsidRDefault="009B3BB0" w:rsidP="00E52119">
            <w:pPr>
              <w:tabs>
                <w:tab w:val="left" w:pos="540"/>
              </w:tabs>
              <w:rPr>
                <w:rFonts w:ascii="Helvetica Neue" w:hAnsi="Helvetica Neue"/>
                <w:sz w:val="18"/>
              </w:rPr>
            </w:pPr>
            <w:r w:rsidRPr="0024409C">
              <w:rPr>
                <w:rFonts w:ascii="Helvetica Neue" w:hAnsi="Helvetica Neue"/>
                <w:sz w:val="18"/>
              </w:rPr>
              <w:t>Marmor</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{"citationItems":[{"id":"ITEM-1","itemData":{"abstract":"OBJECTIVE To investigate evidence for resistance to HIV-1 infection associated with the heterozygous genotype CCR5-+/Delta32 and with the homozygous genotype CCR5-Delta32/Delta32, which results in a nonfunctional CCR5 receptor. DESIGN Cohort study of initially HIV-seronegative high-risk individuals from eight different cities. Enrollment data were analyzed to investigate the association of demographic factors and risk behaviors with CCR5 genotypes on the assumption that increased genotype prevalence among persons with histories of longer or more intensive exposure to HIV would indicate HIV resistance associated with that genotype. Longitudinal data were analyzed to investigate the association of HIV seroincidence with CCR5 genotypes. The cohort of 2996 individuals included 1892 men who have sex with men (MSM), 474 male injection drug users (IDUs), 347 women at heterosexual risk, and 283 female IDUs. MEASUREMENTS CCR5 genotype, HIV serostatus, demographic factors, and risk behaviors during the 6 months before enrollment, followed by measurement of HIV seroincidence during the subsequent 18 months (for men) and 24 months (for women). RESULTS Forty (1.3%) subjects were homozygous CCR5-Delta32/Delta32 and 387 (12.9%) were heterozygous CCR5-+/Delta32. All but 1 CCR5-Delta32/Delta32 individuals and 51 CCR5-+/Delta32 individuals were Caucasian. Among 1531 Caucasian MSM, CCR5-+/Delta32 individuals were present more frequently (22.3%) among those reporting unprotected receptive anal intercourse than among those not reporting this risk (15.9%) (p =.002), suggesting a selective advantage of the heterozygous genotype. CCR5-+/Delta32 individuals also had a significantly reduced relative risk of HIV seroconversion adjusted for unprotected receptive anal intercourse compared with CCR5-/+ individuals (relative risk = 0.30, 95% confidence interval [CI]: 0.08-0.97). CCR5-Delta32/Delta32 prevalence among Caucasian MSM was significantly associated with age among subjects recruited from high HIV seroprevalence cities (New York City and San Francisco) (odds ratio [OR] for each decade increase in age = 2.57, CI: 1.56-4.21) but not among those recruited from lower HIV prevalence sites (Boston, Chicago, Philadelphia, Seattle, and Providence/Pawtucket, Rhode Island) (OR = 1.20, CI: 0.75-1.89). CONCLUSIONS Cross-sectional and longitudinal analyses indicated that among high-risk HIV seronegative MSM, CCR5-+/Delta32 and CCR5-Delta32/Delta32 are associated with protection against HI…","author":[{"dropping-particle":"","family":"Marmor","given":"M","non-dropping-particle":"","parse-names":false,"suffix":""},{"dropping-particle":"","family":"Sheppard","given":"H W","non-dropping-particle":"","parse-names":false,"suffix":""},{"dropping-particle":"","family":"Donnell","given":"D","non-dropping-particle":"","parse-names":false,"suffix":""},{"dropping-particle":"","family":"Bozeman","given":"S","non-dropping-particle":"","parse-names":false,"suffix":""},{"dropping-particle":"","family":"Celum","given":"C","non-dropping-particle":"","parse-names":false,"suffix":""},{"dropping-particle":"","family":"Buchbinder","given":"S","non-dropping-particle":"","parse-names":false,"suffix":""},{"dropping-particle":"","family":"Koblin","given":"B","non-dropping-particle":"","parse-names":false,"suffix":""},{"dropping-particle":"","family":"Seage","given":"G R","non-dropping-particle":"","parse-names":false,"suffix":""},{"dropping-particle":"","family":"HIV Network for Prevention Trials Vaccine Preparedness Protocol Team","given":"","non-dropping-particle":"","parse-names":false,"suffix":""}],"container-title":"Journal of Acquired Immune Deficiency Syndromes","id":"ITEM-1","issue":"5","issued":{"date-parts":[["2001","8"]]},"page":"472-81","title":"Homozygous and heterozygous CCR5-Delta32 genotypes are associated with resistance to HIV infection.","type":"article-journal","volume":"27"},"uris":["http://www.mendeley.com/documents/?uuid=244a1c44-5046-426d-b400-fb1a97f32631","http://www.mendeley.com/documents/?uuid=ba7c2225-2f76-30e5-8354-8ba09b0dcf3e"]}],"mendeley":{"formattedCitation":"&lt;sup&gt;15&lt;/sup&gt;","plainTextFormattedCitation":"15","previouslyFormattedCitation":"&lt;sup&gt;15&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15</w:t>
            </w:r>
            <w:r w:rsidRPr="0024409C">
              <w:rPr>
                <w:rFonts w:ascii="Helvetica Neue" w:hAnsi="Helvetica Neue"/>
                <w:noProof/>
                <w:sz w:val="18"/>
                <w:vertAlign w:val="superscript"/>
              </w:rPr>
              <w:fldChar w:fldCharType="end"/>
            </w:r>
          </w:p>
        </w:tc>
      </w:tr>
      <w:tr w:rsidR="009B3BB0" w:rsidRPr="0024409C" w14:paraId="11AEF75F" w14:textId="77777777" w:rsidTr="00277378">
        <w:trPr>
          <w:trHeight w:val="430"/>
          <w:jc w:val="center"/>
        </w:trPr>
        <w:tc>
          <w:tcPr>
            <w:tcW w:w="2083" w:type="dxa"/>
            <w:vAlign w:val="center"/>
          </w:tcPr>
          <w:p w14:paraId="7F245A6A"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lastRenderedPageBreak/>
              <w:t>Condom use</w:t>
            </w:r>
          </w:p>
        </w:tc>
        <w:tc>
          <w:tcPr>
            <w:tcW w:w="1704" w:type="dxa"/>
            <w:vAlign w:val="center"/>
          </w:tcPr>
          <w:p w14:paraId="30AD929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Both</w:t>
            </w:r>
          </w:p>
        </w:tc>
        <w:tc>
          <w:tcPr>
            <w:tcW w:w="3325" w:type="dxa"/>
            <w:vAlign w:val="center"/>
          </w:tcPr>
          <w:p w14:paraId="0DDE5F7D"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0.25</w:t>
            </w:r>
          </w:p>
        </w:tc>
        <w:tc>
          <w:tcPr>
            <w:tcW w:w="1883" w:type="dxa"/>
            <w:vAlign w:val="center"/>
          </w:tcPr>
          <w:p w14:paraId="2701F8B5" w14:textId="1E27E5EE" w:rsidR="009B3BB0" w:rsidRPr="0024409C" w:rsidRDefault="009B3BB0" w:rsidP="00E52119">
            <w:pPr>
              <w:tabs>
                <w:tab w:val="left" w:pos="540"/>
              </w:tabs>
              <w:rPr>
                <w:rFonts w:ascii="Helvetica Neue" w:hAnsi="Helvetica Neue"/>
                <w:sz w:val="18"/>
              </w:rPr>
            </w:pPr>
            <w:r w:rsidRPr="0024409C">
              <w:rPr>
                <w:rFonts w:ascii="Helvetica Neue" w:hAnsi="Helvetica Neue"/>
                <w:sz w:val="18"/>
              </w:rPr>
              <w:t>Varghese</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{"citationItems":[{"id":"ITEM-1","itemData":{"abstract":"BACKGROUND Sexual acquisition of HIV is influenced by choice of partner, sex act, and condom use. However, current risk-reduction strategies focus mainly on condom use. GOAL To estimate the contribution of choice of partner, sex act, and condom use on the per-act relative and absolute risks for HIV infection. STUDY DESIGN Per-act relative risk for HIV infection was calculated with use of estimates of HIV prevalence, risk of condom failure, HIV test accuracy, and per-act risk of HIV transmission for different sex acts. Absolute risks were calculated on the basis of these relative risk estimates. RESULTS Choosing a partner who tested negative instead of an untested partner reduced the relative risk of HIV infection 47-fold; using condoms, 20-fold; and choosing insertive fellatio rather than insertive anal sex, 13-fold. Choosing one risk-reduction behavior substantially reduces absolute risk of HIV infection for heterosexuals but not for men who have sex with men. CONCLUSION Clarifying the magnitude of risk associated with different choices may help people make effective and sustainable changes in behavior.","author":[{"dropping-particle":"","family":"Varghese","given":"Beens","non-dropping-particle":"","parse-names":false,"suffix":""},{"dropping-particle":"","family":"Maher","given":"Julie E","non-dropping-particle":"","parse-names":false,"suffix":""},{"dropping-particle":"","family":"Peterman","given":"Thomas A","non-dropping-particle":"","parse-names":false,"suffix":""},{"dropping-particle":"","family":"Branson","given":"Bernard M","non-dropping-particle":"","parse-names":false,"suffix":""},{"dropping-particle":"","family":"Steketee","given":"Richard W","non-dropping-particle":"","parse-names":false,"suffix":""}],"container-title":"Sexually transmitted diseases","id":"ITEM-1","issue":"1","issued":{"date-parts":[["2002","1"]]},"page":"38-43","title":"Reducing the risk of sexual HIV transmission: quantifying the per-act risk for HIV on the basis of choice of partner, sex act, and condom use.","type":"article-journal","volume":"29"},"uris":["http://www.mendeley.com/documents/?uuid=18383ff2-bd40-3027-813b-aae07ed8f4c5","http://www.mendeley.com/documents/?uuid=f9b7eb3b-5bbc-4b99-a22b-29538efd398b"]}],"mendeley":{"formattedCitation":"&lt;sup&gt;33&lt;/sup&gt;","plainTextFormattedCitation":"33","previouslyFormattedCitation":"&lt;sup&gt;33&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33</w:t>
            </w:r>
            <w:r w:rsidRPr="0024409C">
              <w:rPr>
                <w:rFonts w:ascii="Helvetica Neue" w:hAnsi="Helvetica Neue"/>
                <w:noProof/>
                <w:sz w:val="18"/>
                <w:vertAlign w:val="superscript"/>
              </w:rPr>
              <w:fldChar w:fldCharType="end"/>
            </w:r>
            <w:r w:rsidRPr="0024409C">
              <w:rPr>
                <w:rFonts w:ascii="Helvetica Neue" w:hAnsi="Helvetica Neue"/>
                <w:sz w:val="18"/>
              </w:rPr>
              <w:t>, Weller</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{"citationItems":[{"id":"ITEM-1","itemData":{"abstract":"BACKGROUND The amount of protection that condoms provide for HIV and other sexually transmitted infections is unknown. Cohort studies of sexually active HIV serodiscordant couples with follow-up of the seronegative partner, provide a situation in which a seronegative partner has known exposure to the disease and disease incidence can be estimated. When some individuals use condoms and some do not, namely some individuals use condoms 100% of the time and some never use (0%) condoms, condom effectiveness can be estimated by comparing the two incidence rates. Condom effectiveness is the proportionate reduction in disease due to the use of condoms. OBJECTIVES The objective of this review is to estimate condom effectiveness in reducing heterosexual transmission of HIV. SEARCH STRATEGY Studies were located using electronic databases (AIDSLINE, CINAHL, Embase, and MEDLINE) and handsearched reference lists. SELECTION CRITERIA For inclusion, studies had to have: (1) data concerning sexually active HIV serodiscordant heterosexual couples, (2) a longitudinal study design, (3) HIV status determined by serology, and (4) contain condom usage information on a cohort of always (100%) or never (0%) condom users. DATA COLLECTION AND ANALYSIS Studies identified through the above search strategy that met the inclusion criteria were reviewed for inclusion in the analysis. Sample sizes, number of seroconversions, and the person-years of disease-free exposure time were recorded for each cohort. If available, the direction of transmission in the cohort (male-to-female, female-to-male), date of study enrollment, source of infection in the index case, and the presence of other STDs was recorded. Duplicate reports on the same cohort and studies with incomplete or nonsepecific information were excluded. HIV incidence was estimated from the cohorts of \"always\" users and for the cohorts of \"never\" users. Effectiveness was estimated from these two incidence estimates. MAIN RESULTS Of the 4709 references that were initially identified, 14 were included in the final analysis. There were 13 cohorts of \"always\" users that yielded an homogeneous HIV incidence estimate of 1.14 [95% C.I.:.56, 2.04] per 100 person-years. There were 10 cohorts of \"never\" users that appeared to be heterogeneous. The studies with the longest follow-up time, consisting mainly of studies of partners of hemophiliac and transfusion patients, yielded an HIV incidence estimate of 5.75 [95% C.I.: 3.16, 9.66] per 100 p…","author":[{"dropping-particle":"","family":"Weller","given":"Susan C","non-dropping-particle":"","parse-names":false,"suffix":""},{"dropping-particle":"","family":"Davis-Beaty","given":"Karen","non-dropping-particle":"","parse-names":false,"suffix":""}],"container-title":"Cochrane Database of Systematic Reviews","editor":[{"dropping-particle":"","family":"Weller","given":"Susan C","non-dropping-particle":"","parse-names":false,"suffix":""}],"id":"ITEM-1","issue":"1","issued":{"date-parts":[["2002","1","21"]]},"page":"CD003255","publisher-place":"Chichester, UK","title":"Condom effectiveness in reducing heterosexual HIV transmission","type":"article-journal"},"uris":["http://www.mendeley.com/documents/?uuid=a732ed1f-db1e-4099-b0fb-5e45c5b6bbe3"]}],"mendeley":{"formattedCitation":"&lt;sup&gt;34&lt;/sup&gt;","plainTextFormattedCitation":"34","previouslyFormattedCitation":"&lt;sup&gt;34&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34</w:t>
            </w:r>
            <w:r w:rsidRPr="0024409C">
              <w:rPr>
                <w:rFonts w:ascii="Helvetica Neue" w:hAnsi="Helvetica Neue"/>
                <w:noProof/>
                <w:sz w:val="18"/>
                <w:vertAlign w:val="superscript"/>
              </w:rPr>
              <w:fldChar w:fldCharType="end"/>
            </w:r>
          </w:p>
        </w:tc>
      </w:tr>
      <w:tr w:rsidR="009B3BB0" w:rsidRPr="0024409C" w14:paraId="61034CA3" w14:textId="77777777" w:rsidTr="00277378">
        <w:trPr>
          <w:trHeight w:val="401"/>
          <w:jc w:val="center"/>
        </w:trPr>
        <w:tc>
          <w:tcPr>
            <w:tcW w:w="2083" w:type="dxa"/>
            <w:vAlign w:val="center"/>
          </w:tcPr>
          <w:p w14:paraId="0054B329"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Circumcision status</w:t>
            </w:r>
          </w:p>
        </w:tc>
        <w:tc>
          <w:tcPr>
            <w:tcW w:w="1704" w:type="dxa"/>
            <w:vAlign w:val="center"/>
          </w:tcPr>
          <w:p w14:paraId="4C69CF7C"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 xml:space="preserve">HIV-, </w:t>
            </w:r>
            <w:proofErr w:type="spellStart"/>
            <w:r w:rsidRPr="0024409C">
              <w:rPr>
                <w:rFonts w:ascii="Helvetica Neue" w:hAnsi="Helvetica Neue"/>
                <w:sz w:val="18"/>
              </w:rPr>
              <w:t>insertive</w:t>
            </w:r>
            <w:proofErr w:type="spellEnd"/>
          </w:p>
        </w:tc>
        <w:tc>
          <w:tcPr>
            <w:tcW w:w="3325" w:type="dxa"/>
            <w:vAlign w:val="center"/>
          </w:tcPr>
          <w:p w14:paraId="1249AC9B" w14:textId="77777777" w:rsidR="009B3BB0" w:rsidRPr="0024409C" w:rsidRDefault="009B3BB0" w:rsidP="00A2582E">
            <w:pPr>
              <w:tabs>
                <w:tab w:val="left" w:pos="540"/>
              </w:tabs>
              <w:rPr>
                <w:rFonts w:ascii="Helvetica Neue" w:hAnsi="Helvetica Neue"/>
                <w:sz w:val="18"/>
              </w:rPr>
            </w:pPr>
            <w:r w:rsidRPr="0024409C">
              <w:rPr>
                <w:rFonts w:ascii="Helvetica Neue" w:hAnsi="Helvetica Neue"/>
                <w:sz w:val="18"/>
              </w:rPr>
              <w:t>Multiplier of 0.40</w:t>
            </w:r>
          </w:p>
        </w:tc>
        <w:tc>
          <w:tcPr>
            <w:tcW w:w="1883" w:type="dxa"/>
            <w:vAlign w:val="center"/>
          </w:tcPr>
          <w:p w14:paraId="2F6F6F08" w14:textId="6D316AFA" w:rsidR="009B3BB0" w:rsidRPr="0024409C" w:rsidRDefault="009B3BB0" w:rsidP="00E52119">
            <w:pPr>
              <w:tabs>
                <w:tab w:val="left" w:pos="540"/>
              </w:tabs>
              <w:rPr>
                <w:rFonts w:ascii="Helvetica Neue" w:hAnsi="Helvetica Neue"/>
                <w:sz w:val="18"/>
              </w:rPr>
            </w:pPr>
            <w:r w:rsidRPr="0024409C">
              <w:rPr>
                <w:rFonts w:ascii="Helvetica Neue" w:hAnsi="Helvetica Neue"/>
                <w:sz w:val="18"/>
              </w:rPr>
              <w:t>Gray</w:t>
            </w:r>
            <w:r w:rsidRPr="0024409C">
              <w:rPr>
                <w:rFonts w:ascii="Helvetica Neue" w:hAnsi="Helvetica Neue"/>
                <w:noProof/>
                <w:sz w:val="18"/>
                <w:vertAlign w:val="superscript"/>
              </w:rPr>
              <w:fldChar w:fldCharType="begin" w:fldLock="1"/>
            </w:r>
            <w:r w:rsidR="00665BF2">
              <w:rPr>
                <w:rFonts w:ascii="Helvetica Neue" w:hAnsi="Helvetica Neue"/>
                <w:noProof/>
                <w:sz w:val="18"/>
                <w:vertAlign w:val="superscript"/>
              </w:rPr>
              <w:instrText>ADDIN CSL_CITATION {"citationItems":[{"id":"ITEM-1","itemData":{"ISSN":"01406736","author":[{"dropping-particle":"","family":"Gray","given":"Ronald H","non-dropping-particle":"","parse-names":false,"suffix":""},{"dropping-particle":"","family":"Kigozi","given":"Godfrey","non-dropping-particle":"","parse-names":false,"suffix":""},{"dropping-particle":"","family":"Serwadda","given":"David","non-dropping-particle":"","parse-names":false,"suffix":""},{"dropping-particle":"","family":"Makumbi","given":"Frederick","non-dropping-particle":"","parse-names":false,"suffix":""},{"dropping-particle":"","family":"Watya","given":"Stephen","non-dropping-particle":"","parse-names":false,"suffix":""},{"dropping-particle":"","family":"Nalugoda","given":"Fred","non-dropping-particle":"","parse-names":false,"suffix":""},{"dropping-particle":"","family":"Kiwanuka","given":"Noah","non-dropping-particle":"","parse-names":false,"suffix":""},{"dropping-particle":"","family":"Moulton","given":"Lawrence H","non-dropping-particle":"","parse-names":false,"suffix":""},{"dropping-particle":"","family":"Chaudhary","given":"Mohammad A","non-dropping-particle":"","parse-names":false,"suffix":""},{"dropping-particle":"","family":"Chen","given":"Michael Z","non-dropping-particle":"","parse-names":false,"suffix":""},{"dropping-particle":"","family":"Sewankambo","given":"Nelson K","non-dropping-particle":"","parse-names":false,"suffix":""},{"dropping-particle":"","family":"Wabwire-Mangen","given":"Fred","non-dropping-particle":"","parse-names":false,"suffix":""},{"dropping-particle":"","family":"Bacon","given":"Melanie C","non-dropping-particle":"","parse-names":false,"suffix":""},{"dropping-particle":"","family":"Williams","given":"Carolyn FM","non-dropping-particle":"","parse-names":false,"suffix":""},{"dropping-particle":"","family":"Opendi","given":"Pius","non-dropping-particle":"","parse-names":false,"suffix":""},{"dropping-particle":"","family":"Reynolds","given":"Steven J","non-dropping-particle":"","parse-names":false,"suffix":""},{"dropping-particle":"","family":"Laeyendecker","given":"Oliver","non-dropping-particle":"","parse-names":false,"suffix":""},{"dropping-particle":"","family":"Quinn","given":"Thomas C","non-dropping-particle":"","parse-names":false,"suffix":""},{"dropping-particle":"","family":"Wawer","given":"Maria J","non-dropping-particle":"","parse-names":false,"suffix":""},{"dropping-particle":"","family":"Weiss","given":"HA","non-dropping-particle":"","parse-names":false,"suffix":""},{"dropping-particle":"","family":"Quigley","given":"MA","non-dropping-particle":"","parse-names":false,"suffix":""},{"dropping-particle":"","family":"Hayes","given":"RJ","non-dropping-particle":"","parse-names":false,"suffix":""},{"dropping-particle":"","family":"Gray","given":"RH","non-dropping-particle":"","parse-names":false,"suffix":""},{"dropping-particle":"","family":"Kiwanuka","given":"N","non-dropping-particle":"","parse-names":false,"suffix":""},{"dropping-particle":"","family":"Quinn","given":"TC","non-dropping-particle":"","parse-names":false,"suffix":""},{"dropping-particle":"","family":"Al.","given":"Et","non-dropping-particle":"","parse-names":false,"suffix":""},{"dropping-particle":"","family":"Reynolds","given":"SJ","non-dropping-particle":"","parse-names":false,"suffix":""},{"dropping-particle":"","family":"Shepherd","given":"ME","non-dropping-particle":"","parse-names":false,"suffix":""},{"dropping-particle":"","family":"Risbud","given":"AR","non-dropping-particle":"","parse-names":false,"suffix":""},{"dropping-particle":"","family":"Al.","given":"Et","non-dropping-particle":"","parse-names":false,"suffix":""},{"dropping-particle":"","family":"Lavreys","given":"L","non-dropping-particle":"","parse-names":false,"suffix":""},{"dropping-particle":"","family":"Rakwar","given":"JP","non-dropping-particle":"","parse-names":false,"suffix":""},{"dropping-particle":"","family":"Thompson","given":"ML","non-dropping-particle":"","parse-names":false,"suffix":""},{"dropping-particle":"","family":"Al.","given":"Et","non-dropping-particle":"","parse-names":false,"suffix":""},{"dropping-particle":"","family":"Baeten","given":"JM","non-dropping-particle":"","parse-names":false,"suffix":""},{"dropping-particle":"","family":"Richardson","given":"BA","non-dropping-particle":"","parse-names":false,"suffix":""},{"dropping-particle":"","family":"Lavreys","given":"L","non-dropping-particle":"","parse-names":false,"suffix":""},{"dropping-particle":"","family":"Al.","given":"Et","non-dropping-particle":"","parse-names":false,"suffix":""},{"dropping-particle":"","family":"Auvert","given":"B","non-dropping-particle":"","parse-names":false,"suffix":""},{"dropping-particle":"","family":"Taljaard","given":"D","non-dropping-particle":"","parse-names":false,"suffix":""},{"dropping-particle":"","family":"Lagarde","given":"E","non-dropping-particle":"","parse-names":false,"suffix":""},{"dropping-particle":"","family":"Sobngwi-Tambekou","given":"J","non-dropping-particle":"","parse-names":false,"suffix":""},{"dropping-particle":"","family":"Sitta","given":"R","non-dropping-particle":"","parse-names":false,"suffix":""},{"dropping-particle":"","family":"Puren","given":"A","non-dropping-particle":"","parse-names":false,"suffix":""},{"dropping-particle":"","family":"Zablotska","given":"IB","non-dropping-particle":"","parse-names":false,"suffix":""},{"dropping-particle":"","family":"Gray","given":"RH","non-dropping-particle":"","parse-names":false,"suffix":""},{"dropping-particle":"","family":"Serwadda","given":"D","non-dropping-particle":"","parse-names":false,"suffix":""},{"dropping-particle":"","family":"Al.","given":"Et","non-dropping-particle":"","parse-names":false,"suffix":""},{"dropping-particle":"","family":"Lan","given":"KK","non-dropping-particle":"","parse-names":false,"suffix":""},{"dropping-particle":"","family":"DeMets","given":"DL","non-dropping-particle":"","parse-names":false,"suffix":""},{"dropping-particle":"","family":"O'Brien","given":"PC","non-dropping-particle":"","parse-names":false,"suffix":""},{"dropping-particle":"","family":"Fleming","given":"TR","non-dropping-particle":"","parse-names":false,"suffix":""},{"dropping-particle":"","family":"Bailey","given":"RC","non-dropping-particle":"","parse-names":false,"suffix":""},{"dropping-particle":"","family":"Moses","given":"S","non-dropping-particle":"","parse-names":false,"suffix":""},{"dropping-particle":"","family":"Parker","given":"CB","non-dropping-particle":"","parse-names":false,"suffix":""},{"dropping-particle":"","family":"Al.","given":"Et","non-dropping-particle":"","parse-names":false,"suffix":""},{"dropping-particle":"","family":"Weiss","given":"HA","non-dropping-particle":"","parse-names":false,"suffix":""},{"dropping-particle":"","family":"Thomas","given":"SL","non-dropping-particle":"","parse-names":false,"suffix":""},{"dropping-particle":"","family":"Munabi","given":"SK","non-dropping-particle":"","parse-names":false,"suffix":""},{"dropping-particle":"","family":"Hayes","given":"RJ","non-dropping-particle":"","parse-names":false,"suffix":""},{"dropping-particle":"","family":"Freeman","given":"EE","non-dropping-particle":"","parse-names":false,"suffix":""},{"dropping-particle":"","family":"Weiss","given":"HA","non-dropping-particle":"","parse-names":false,"suffix":""},{"dropping-particle":"","family":"Glynn","given":"JR","non-dropping-particle":"","parse-names":false,"suffix":""},{"dropping-particle":"","family":"Cross","given":"PL","non-dropping-particle":"","parse-names":false,"suffix":""},{"dropping-particle":"","family":"Whitworth","given":"JA","non-dropping-particle":"","parse-names":false,"suffix":""},{"dropping-particle":"","family":"Hayes","given":"RJ","non-dropping-particle":"","parse-names":false,"suffix":""},{"dropping-particle":"","family":"Reynolds","given":"SJ","non-dropping-particle":"","parse-names":false,"suffix":""},{"dropping-particle":"","family":"Risbud","given":"AR","non-dropping-particle":"","parse-names":false,"suffix":""},{"dropping-particle":"","family":"Shepherd","given":"ME","non-dropping-particle":"","parse-names":false,"suffix":""},{"dropping-particle":"","family":"Al.","given":"Et","non-dropping-particle":"","parse-names":false,"suffix":""},{"dropping-particle":"","family":"Rottingen","given":"JA","non-dropping-particle":"","parse-names":false,"suffix":""},{"dropping-particle":"","family":"Cameron","given":"DW","non-dropping-particle":"","parse-names":false,"suffix":""},{"dropping-particle":"","family":"Garnett","given":"GP","non-dropping-particle":"","parse-names":false,"suffix":""},{"dropping-particle":"","family":"Gray","given":"RH","non-dropping-particle":"","parse-names":false,"suffix":""},{"dropping-particle":"","family":"Azire","given":"J","non-dropping-particle":"","parse-names":false,"suffix":""},{"dropping-particle":"","family":"Serwadda","given":"D","non-dropping-particle":"","parse-names":false,"suffix":""},{"dropping-particle":"","family":"Al.","given":"Et","non-dropping-particle":"","parse-names":false,"suffix":""},{"dropping-particle":"","family":"Hussain","given":"LA","non-dropping-particle":"","parse-names":false,"suffix":""},{"dropping-particle":"","family":"Lehner","given":"T","non-dropping-particle":"","parse-names":false,"suffix":""},{"dropping-particle":"","family":"Donoval","given":"BA","non-dropping-particle":"","parse-names":false,"suffix":""},{"dropping-particle":"","family":"Landay","given":"AL","non-dropping-particle":"","parse-names":false,"suffix":""},{"dropping-particle":"","family":"Moses","given":"S","non-dropping-particle":"","parse-names":false,"suffix":""},{"dropping-particle":"","family":"Al.","given":"Et","non-dropping-particle":"","parse-names":false,"suffix":""},{"dropping-particle":"","family":"McCoombe","given":"SG","non-dropping-particle":"","parse-names":false,"suffix":""},{"dropping-particle":"","family":"Short","given":"RV","non-dropping-particle":"","parse-names":false,"suffix":""},{"dropping-particle":"","family":"Patterson","given":"BK","non-dropping-particle":"","parse-names":false,"suffix":""},{"dropping-particle":"","family":"Landay","given":"A","non-dropping-particle":"","parse-names":false,"suffix":""},{"dropping-particle":"","family":"Siegel","given":"JN","non-dropping-particle":"","parse-names":false,"suffix":""},{"dropping-particle":"","family":"Al.","given":"Et","non-dropping-particle":"","parse-names":false,"suffix":""},{"dropping-particle":"","family":"Szabo","given":"R","non-dropping-particle":"","parse-names":false,"suffix":""},{"dropping-particle":"","family":"Short","given":"RV","non-dropping-particle":"","parse-names":false,"suffix":""},{"dropping-particle":"","family":"Kahn","given":"JG","non-dropping-particle":"","parse-names":false,"suffix":""},{"dropping-particle":"","family":"Marseille","given":"E","non-dropping-particle":"","parse-names":false,"suffix":""},{"dropping-particle":"","family":"Auvert","given":"B","non-dropping-particle":"","parse-names":false,"suffix":""},{"dropping-particle":"","family":"Bailey","given":"RC","non-dropping-particle":"","parse-names":false,"suffix":""},{"dropping-particle":"","family":"Egesah","given":"O","non-dropping-particle":"","parse-names":false,"suffix":""},{"dropping-particle":"","family":"Kabra","given":"SG","non-dropping-particle":"","parse-names":false,"suffix":""},{"dropping-particle":"","family":"Narayanan","given":"R","non-dropping-particle":"","parse-names":false,"suffix":""},{"dropping-particle":"","family":"Kumar","given":"S","non-dropping-particle":"","parse-names":false,"suffix":""},{"dropping-particle":"","family":"Montori","given":"VM","non-dropping-particle":"","parse-names":false,"suffix":""},{"dropping-particle":"","family":"Devereaux","given":"PJ","non-dropping-particle":"","parse-names":false,"suffix":""},{"dropping-particle":"","family":"Adhikari","given":"NK","non-dropping-particle":"","parse-names":false,"suffix":""},{"dropping-particle":"","family":"Al.","given":"Et","non-dropping-particle":"","parse-names":false,"suffix":""}],"container-title":"Lancet","id":"ITEM-1","issue":"9562","issued":{"date-parts":[["2007","2"]]},"page":"657-666","publisher":"Elsevier","title":"Male circumcision for HIV prevention in men in Rakai, Uganda: a randomised trial","type":"article-journal","volume":"369"},"uris":["http://www.mendeley.com/documents/?uuid=57591567-8a6c-482a-b017-b84fef4d9dfb","http://www.mendeley.com/documents/?uuid=cb5d0a1f-ffe3-3a80-815b-c4991921b1a8"]}],"mendeley":{"formattedCitation":"&lt;sup&gt;14&lt;/sup&gt;","plainTextFormattedCitation":"14","previouslyFormattedCitation":"&lt;sup&gt;14&lt;/sup&gt;"},"properties":{"noteIndex":0},"schema":"https://github.com/citation-style-language/schema/raw/master/csl-citation.json"}</w:instrText>
            </w:r>
            <w:r w:rsidRPr="0024409C">
              <w:rPr>
                <w:rFonts w:ascii="Helvetica Neue" w:hAnsi="Helvetica Neue"/>
                <w:noProof/>
                <w:sz w:val="18"/>
                <w:vertAlign w:val="superscript"/>
              </w:rPr>
              <w:fldChar w:fldCharType="separate"/>
            </w:r>
            <w:r w:rsidR="00E52119" w:rsidRPr="0024409C">
              <w:rPr>
                <w:rFonts w:ascii="Helvetica Neue" w:hAnsi="Helvetica Neue"/>
                <w:noProof/>
                <w:sz w:val="18"/>
                <w:vertAlign w:val="superscript"/>
              </w:rPr>
              <w:t>14</w:t>
            </w:r>
            <w:r w:rsidRPr="0024409C">
              <w:rPr>
                <w:rFonts w:ascii="Helvetica Neue" w:hAnsi="Helvetica Neue"/>
                <w:noProof/>
                <w:sz w:val="18"/>
                <w:vertAlign w:val="superscript"/>
              </w:rPr>
              <w:fldChar w:fldCharType="end"/>
            </w:r>
          </w:p>
        </w:tc>
      </w:tr>
    </w:tbl>
    <w:p w14:paraId="3B822A83" w14:textId="509DB4C0" w:rsidR="009B3BB0" w:rsidRPr="0024409C" w:rsidRDefault="009B3BB0" w:rsidP="009B3BB0">
      <w:pPr>
        <w:tabs>
          <w:tab w:val="left" w:pos="540"/>
        </w:tabs>
        <w:spacing w:before="240" w:line="360" w:lineRule="auto"/>
        <w:rPr>
          <w:rFonts w:ascii="Helvetica Neue" w:hAnsi="Helvetica Neue"/>
        </w:rPr>
      </w:pPr>
      <w:r w:rsidRPr="0024409C">
        <w:rPr>
          <w:rFonts w:ascii="Helvetica Neue" w:hAnsi="Helvetica Neue"/>
        </w:rPr>
        <w:t xml:space="preserve">For each act, the overall transmission probability was determined first with a base probability that was a function of whether the HIV- partner was in the receptive or </w:t>
      </w:r>
      <w:proofErr w:type="spellStart"/>
      <w:r w:rsidRPr="0024409C">
        <w:rPr>
          <w:rFonts w:ascii="Helvetica Neue" w:hAnsi="Helvetica Neue"/>
        </w:rPr>
        <w:t>insertive</w:t>
      </w:r>
      <w:proofErr w:type="spellEnd"/>
      <w:r w:rsidRPr="0024409C">
        <w:rPr>
          <w:rFonts w:ascii="Helvetica Neue" w:hAnsi="Helvetica Neue"/>
        </w:rPr>
        <w:t xml:space="preserve"> role, with the former at a 2.6-fold infection risk compared to the latter. The HIV+ partner’s viral load modifies this base probability in a non-linear formulation, upwards if the VL was above the VL set point during chronic stage infection in the absence of ART, and downwards if it was below the set point. Following others, we modeled an excess transmission risk in the acute stage of infection above that predicted by the heightened VL during that period. </w:t>
      </w:r>
      <w:r w:rsidR="00A8643C" w:rsidRPr="0024409C">
        <w:rPr>
          <w:rFonts w:ascii="Helvetica Neue" w:hAnsi="Helvetica Neue"/>
        </w:rPr>
        <w:t>Three</w:t>
      </w:r>
      <w:r w:rsidRPr="0024409C">
        <w:rPr>
          <w:rFonts w:ascii="Helvetica Neue" w:hAnsi="Helvetica Neue"/>
        </w:rPr>
        <w:t xml:space="preserve"> predictors of the HIV- partner could reduce the risk of infec</w:t>
      </w:r>
      <w:r w:rsidR="0034543C" w:rsidRPr="0024409C">
        <w:rPr>
          <w:rFonts w:ascii="Helvetica Neue" w:hAnsi="Helvetica Neue"/>
        </w:rPr>
        <w:t>tion: the Δ32 allele on the CCR</w:t>
      </w:r>
      <w:r w:rsidRPr="0024409C">
        <w:rPr>
          <w:rFonts w:ascii="Helvetica Neue" w:hAnsi="Helvetica Neue"/>
        </w:rPr>
        <w:t xml:space="preserve">5 gene, condom use within the act, circumcision status (only if the HIV- partner was </w:t>
      </w:r>
      <w:proofErr w:type="spellStart"/>
      <w:r w:rsidRPr="0024409C">
        <w:rPr>
          <w:rFonts w:ascii="Helvetica Neue" w:hAnsi="Helvetica Neue"/>
        </w:rPr>
        <w:t>insertive</w:t>
      </w:r>
      <w:proofErr w:type="spellEnd"/>
      <w:r w:rsidRPr="0024409C">
        <w:rPr>
          <w:rFonts w:ascii="Helvetica Neue" w:hAnsi="Helvetica Neue"/>
        </w:rPr>
        <w:t xml:space="preserve"> in that act)</w:t>
      </w:r>
      <w:r w:rsidR="00763A77" w:rsidRPr="0024409C">
        <w:rPr>
          <w:rFonts w:ascii="Helvetica Neue" w:hAnsi="Helvetica Neue"/>
        </w:rPr>
        <w:t>.</w:t>
      </w:r>
    </w:p>
    <w:p w14:paraId="0BA5B9B0" w14:textId="77777777" w:rsidR="009B3BB0" w:rsidRPr="0024409C" w:rsidRDefault="009B3BB0" w:rsidP="009B3BB0">
      <w:pPr>
        <w:tabs>
          <w:tab w:val="left" w:pos="540"/>
        </w:tabs>
        <w:spacing w:before="120" w:line="360" w:lineRule="auto"/>
        <w:rPr>
          <w:rFonts w:ascii="Helvetica Neue" w:hAnsi="Helvetica Neue"/>
        </w:rPr>
      </w:pPr>
      <w:r w:rsidRPr="0024409C">
        <w:rPr>
          <w:rFonts w:ascii="Helvetica Neue" w:hAnsi="Helvetica Neue"/>
        </w:rPr>
        <w:t xml:space="preserve">The final transmission rate per partnership per weekly time step was a function of the per-act probability of transmission in each act and the number of acts per time step. The per-act transmission probability could be heterogeneous within a partnership due to various types of acts in each interval: for example, a HIV- man who is versatile in role may have both </w:t>
      </w:r>
      <w:proofErr w:type="spellStart"/>
      <w:r w:rsidRPr="0024409C">
        <w:rPr>
          <w:rFonts w:ascii="Helvetica Neue" w:hAnsi="Helvetica Neue"/>
        </w:rPr>
        <w:t>insertive</w:t>
      </w:r>
      <w:proofErr w:type="spellEnd"/>
      <w:r w:rsidRPr="0024409C">
        <w:rPr>
          <w:rFonts w:ascii="Helvetica Neue" w:hAnsi="Helvetica Neue"/>
        </w:rPr>
        <w:t xml:space="preserve"> and receptive intercourse within a single partnership; some acts within a partnership may be protected by condom use while others are </w:t>
      </w:r>
      <w:proofErr w:type="spellStart"/>
      <w:r w:rsidRPr="0024409C">
        <w:rPr>
          <w:rFonts w:ascii="Helvetica Neue" w:hAnsi="Helvetica Neue"/>
        </w:rPr>
        <w:t>condomless</w:t>
      </w:r>
      <w:proofErr w:type="spellEnd"/>
      <w:r w:rsidRPr="0024409C">
        <w:rPr>
          <w:rFonts w:ascii="Helvetica Neue" w:hAnsi="Helvetica Neue"/>
        </w:rPr>
        <w:t xml:space="preserve">. Transmission was simulated for each act within each </w:t>
      </w:r>
      <w:proofErr w:type="spellStart"/>
      <w:r w:rsidRPr="0024409C">
        <w:rPr>
          <w:rFonts w:ascii="Helvetica Neue" w:hAnsi="Helvetica Neue"/>
        </w:rPr>
        <w:t>serodiscordant</w:t>
      </w:r>
      <w:proofErr w:type="spellEnd"/>
      <w:r w:rsidRPr="0024409C">
        <w:rPr>
          <w:rFonts w:ascii="Helvetica Neue" w:hAnsi="Helvetica Neue"/>
        </w:rPr>
        <w:t xml:space="preserve"> dyad, based on draws from a binomial distribution with the probability parameter equal to the per-act transmission probabilities detailed above.</w:t>
      </w:r>
    </w:p>
    <w:p w14:paraId="1D883D32" w14:textId="4B15102F" w:rsidR="00EA384A" w:rsidRPr="0024409C" w:rsidRDefault="00273CDD" w:rsidP="007E3E53">
      <w:pPr>
        <w:pStyle w:val="Heading1"/>
        <w:spacing w:before="300"/>
        <w:rPr>
          <w:rFonts w:ascii="Helvetica Neue" w:hAnsi="Helvetica Neue"/>
        </w:rPr>
      </w:pPr>
      <w:bookmarkStart w:id="27" w:name="_Toc466401458"/>
      <w:bookmarkStart w:id="28" w:name="_Toc2361386"/>
      <w:r w:rsidRPr="0024409C">
        <w:rPr>
          <w:rFonts w:ascii="Helvetica Neue" w:hAnsi="Helvetica Neue"/>
        </w:rPr>
        <w:t>8</w:t>
      </w:r>
      <w:r w:rsidR="00EA384A" w:rsidRPr="0024409C">
        <w:rPr>
          <w:rFonts w:ascii="Helvetica Neue" w:hAnsi="Helvetica Neue"/>
        </w:rPr>
        <w:t xml:space="preserve"> </w:t>
      </w:r>
      <w:r w:rsidR="00EA384A" w:rsidRPr="0024409C">
        <w:rPr>
          <w:rFonts w:ascii="Helvetica Neue" w:hAnsi="Helvetica Neue"/>
        </w:rPr>
        <w:tab/>
        <w:t>STI TRANSMISSION</w:t>
      </w:r>
      <w:bookmarkEnd w:id="27"/>
      <w:bookmarkEnd w:id="28"/>
      <w:r w:rsidR="00EA384A" w:rsidRPr="0024409C">
        <w:rPr>
          <w:rFonts w:ascii="Helvetica Neue" w:hAnsi="Helvetica Neue"/>
        </w:rPr>
        <w:t xml:space="preserve"> </w:t>
      </w:r>
    </w:p>
    <w:p w14:paraId="0D2F9693" w14:textId="6DA25A01" w:rsidR="004122D3" w:rsidRPr="0024409C" w:rsidRDefault="004122D3" w:rsidP="000D7F4C">
      <w:pPr>
        <w:pStyle w:val="Heading2"/>
        <w:rPr>
          <w:rFonts w:ascii="Helvetica Neue" w:hAnsi="Helvetica Neue" w:cs="Arial"/>
          <w:szCs w:val="22"/>
        </w:rPr>
      </w:pPr>
      <w:bookmarkStart w:id="29" w:name="_Toc2361387"/>
      <w:r w:rsidRPr="0024409C">
        <w:rPr>
          <w:rFonts w:ascii="Helvetica Neue" w:eastAsia="Arial" w:hAnsi="Helvetica Neue" w:cs="Arial"/>
          <w:szCs w:val="22"/>
        </w:rPr>
        <w:t xml:space="preserve">8.1 </w:t>
      </w:r>
      <w:r w:rsidRPr="0024409C">
        <w:rPr>
          <w:rFonts w:ascii="Helvetica Neue" w:eastAsia="Arial" w:hAnsi="Helvetica Neue" w:cs="Arial"/>
          <w:szCs w:val="22"/>
        </w:rPr>
        <w:tab/>
        <w:t>Overview of Model Structure</w:t>
      </w:r>
      <w:bookmarkEnd w:id="29"/>
    </w:p>
    <w:p w14:paraId="0EA07B9D" w14:textId="3E74EEEA" w:rsidR="00EA384A" w:rsidRPr="0024409C" w:rsidRDefault="00EA384A" w:rsidP="000D7F4C">
      <w:pPr>
        <w:spacing w:line="360" w:lineRule="auto"/>
        <w:rPr>
          <w:rFonts w:ascii="Helvetica Neue" w:eastAsia="Arial" w:hAnsi="Helvetica Neue"/>
        </w:rPr>
      </w:pPr>
      <w:r w:rsidRPr="0024409C">
        <w:rPr>
          <w:rFonts w:ascii="Helvetica Neue" w:eastAsia="Arial" w:hAnsi="Helvetica Neue"/>
        </w:rPr>
        <w:t xml:space="preserve">Directional transmission of </w:t>
      </w:r>
      <w:r w:rsidRPr="0024409C">
        <w:rPr>
          <w:rFonts w:ascii="Helvetica Neue" w:hAnsi="Helvetica Neue"/>
        </w:rPr>
        <w:t>NG</w:t>
      </w:r>
      <w:r w:rsidR="004B25B5">
        <w:rPr>
          <w:rFonts w:ascii="Helvetica Neue" w:eastAsia="Arial" w:hAnsi="Helvetica Neue"/>
        </w:rPr>
        <w:t xml:space="preserve"> and </w:t>
      </w:r>
      <w:r w:rsidRPr="0024409C">
        <w:rPr>
          <w:rFonts w:ascii="Helvetica Neue" w:eastAsia="Arial" w:hAnsi="Helvetica Neue"/>
        </w:rPr>
        <w:t>CT was modeled between sexual partners who were sexually active during a given time step. At each time step, a list of active dyads (the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was selected based on the current composition of the network. This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w:t>
      </w:r>
      <w:r w:rsidRPr="0024409C">
        <w:rPr>
          <w:rFonts w:ascii="Helvetica Neue" w:eastAsia="Arial" w:hAnsi="Helvetica Neue"/>
        </w:rPr>
        <w:lastRenderedPageBreak/>
        <w:t xml:space="preserve">concatenated the three types of partnerships included in the network simulations: main, casual, and one-off. Dyads were considered active at a </w:t>
      </w:r>
      <w:r w:rsidR="00827D41" w:rsidRPr="0024409C">
        <w:rPr>
          <w:rFonts w:ascii="Helvetica Neue" w:eastAsia="Arial" w:hAnsi="Helvetica Neue"/>
        </w:rPr>
        <w:t>time</w:t>
      </w:r>
      <w:r w:rsidRPr="0024409C">
        <w:rPr>
          <w:rFonts w:ascii="Helvetica Neue" w:eastAsia="Arial" w:hAnsi="Helvetica Neue"/>
        </w:rPr>
        <w:t xml:space="preserve"> step if the terminus of that simulated edge was greater than or equal to the current time step.</w:t>
      </w:r>
    </w:p>
    <w:p w14:paraId="3DB2DE59" w14:textId="68C0321A" w:rsidR="00EA384A" w:rsidRPr="0024409C" w:rsidRDefault="00EA384A" w:rsidP="000D7F4C">
      <w:pPr>
        <w:spacing w:before="120" w:line="360" w:lineRule="auto"/>
        <w:rPr>
          <w:rFonts w:ascii="Helvetica Neue" w:eastAsia="Arial" w:hAnsi="Helvetica Neue"/>
        </w:rPr>
      </w:pPr>
      <w:r w:rsidRPr="0024409C">
        <w:rPr>
          <w:rFonts w:ascii="Helvetica Neue" w:eastAsia="Arial" w:hAnsi="Helvetica Neue"/>
        </w:rPr>
        <w:t xml:space="preserve">We created a disease-discordant subset of the </w:t>
      </w:r>
      <w:proofErr w:type="spellStart"/>
      <w:r w:rsidRPr="0024409C">
        <w:rPr>
          <w:rFonts w:ascii="Helvetica Neue" w:eastAsia="Arial" w:hAnsi="Helvetica Neue"/>
        </w:rPr>
        <w:t>edgelist</w:t>
      </w:r>
      <w:proofErr w:type="spellEnd"/>
      <w:r w:rsidRPr="0024409C">
        <w:rPr>
          <w:rFonts w:ascii="Helvetica Neue" w:eastAsia="Arial" w:hAnsi="Helvetica Neue"/>
        </w:rPr>
        <w:t xml:space="preserve"> for </w:t>
      </w:r>
      <w:r w:rsidRPr="0024409C">
        <w:rPr>
          <w:rFonts w:ascii="Helvetica Neue" w:hAnsi="Helvetica Neue"/>
        </w:rPr>
        <w:t>NG</w:t>
      </w:r>
      <w:r w:rsidR="00F35B99">
        <w:rPr>
          <w:rFonts w:ascii="Helvetica Neue" w:eastAsia="Arial" w:hAnsi="Helvetica Neue"/>
        </w:rPr>
        <w:t xml:space="preserve"> and </w:t>
      </w:r>
      <w:r w:rsidRPr="0024409C">
        <w:rPr>
          <w:rFonts w:ascii="Helvetica Neue" w:eastAsia="Arial" w:hAnsi="Helvetica Neue"/>
        </w:rPr>
        <w:t>CT at each time step by removing dyads in which both members had the disease</w:t>
      </w:r>
      <w:r w:rsidR="00347C13" w:rsidRPr="0024409C">
        <w:rPr>
          <w:rFonts w:ascii="Helvetica Neue" w:eastAsia="Arial" w:hAnsi="Helvetica Neue"/>
        </w:rPr>
        <w:t xml:space="preserve"> of interest </w:t>
      </w:r>
      <w:r w:rsidRPr="0024409C">
        <w:rPr>
          <w:rFonts w:ascii="Helvetica Neue" w:eastAsia="Arial" w:hAnsi="Helvetica Neue"/>
        </w:rPr>
        <w:t>or neither had the disease</w:t>
      </w:r>
      <w:r w:rsidR="00347C13" w:rsidRPr="0024409C">
        <w:rPr>
          <w:rFonts w:ascii="Helvetica Neue" w:eastAsia="Arial" w:hAnsi="Helvetica Neue"/>
        </w:rPr>
        <w:t xml:space="preserve"> of interest</w:t>
      </w:r>
      <w:r w:rsidRPr="0024409C">
        <w:rPr>
          <w:rFonts w:ascii="Helvetica Neue" w:eastAsia="Arial" w:hAnsi="Helvetica Neue"/>
        </w:rPr>
        <w:t>. This left dyads discordant with respect to</w:t>
      </w:r>
      <w:r w:rsidR="006A1C86" w:rsidRPr="0024409C">
        <w:rPr>
          <w:rFonts w:ascii="Helvetica Neue" w:eastAsia="Arial" w:hAnsi="Helvetica Neue"/>
        </w:rPr>
        <w:t>, respectively, NG</w:t>
      </w:r>
      <w:r w:rsidR="00F35B99">
        <w:rPr>
          <w:rFonts w:ascii="Helvetica Neue" w:eastAsia="Arial" w:hAnsi="Helvetica Neue"/>
        </w:rPr>
        <w:t xml:space="preserve"> and</w:t>
      </w:r>
      <w:r w:rsidR="00F35B99" w:rsidRPr="0024409C">
        <w:rPr>
          <w:rFonts w:ascii="Helvetica Neue" w:eastAsia="Arial" w:hAnsi="Helvetica Neue"/>
        </w:rPr>
        <w:t xml:space="preserve"> </w:t>
      </w:r>
      <w:r w:rsidR="006A1C86" w:rsidRPr="0024409C">
        <w:rPr>
          <w:rFonts w:ascii="Helvetica Neue" w:eastAsia="Arial" w:hAnsi="Helvetica Neue"/>
        </w:rPr>
        <w:t xml:space="preserve">CT </w:t>
      </w:r>
      <w:r w:rsidRPr="0024409C">
        <w:rPr>
          <w:rFonts w:ascii="Helvetica Neue" w:eastAsia="Arial" w:hAnsi="Helvetica Neue"/>
        </w:rPr>
        <w:t>infection status, which was the set of potential partnerships in which the infections could be transmitted at that time step.</w:t>
      </w:r>
    </w:p>
    <w:p w14:paraId="1208CB89" w14:textId="2D2CDBA5" w:rsidR="00EA384A" w:rsidRPr="0024409C" w:rsidRDefault="00B22A67" w:rsidP="000978A3">
      <w:pPr>
        <w:spacing w:before="120" w:line="360" w:lineRule="auto"/>
        <w:rPr>
          <w:rFonts w:ascii="Helvetica Neue" w:hAnsi="Helvetica Neue"/>
        </w:rPr>
      </w:pPr>
      <w:r>
        <w:rPr>
          <w:rFonts w:ascii="Helvetica Neue" w:hAnsi="Helvetica Neue"/>
        </w:rPr>
        <w:t xml:space="preserve">NG and CT were modeled with susceptible-infected-susceptible (SIS) dynamics, with no immunity. </w:t>
      </w:r>
      <w:r w:rsidR="00EA384A" w:rsidRPr="0024409C">
        <w:rPr>
          <w:rFonts w:ascii="Helvetica Neue" w:hAnsi="Helvetica Neue"/>
        </w:rPr>
        <w:t>Site-specific transmission of NG and CT was modeled on a sexual act-by-act basis, in which multiple acts of varying infectiousness could occur within a partnership within a weekly time step. The number of anal sex acts per week for each ongoing relationship was determined from a random draw from a Poisson distribution, with the lambda (event rate) parameter of the distribution specific to the partnership type.</w:t>
      </w:r>
      <w:r w:rsidR="00EA384A" w:rsidRPr="0024409C">
        <w:rPr>
          <w:rFonts w:ascii="Helvetica Neue" w:hAnsi="Helvetica Neue"/>
        </w:rPr>
        <w:fldChar w:fldCharType="begin" w:fldLock="1"/>
      </w:r>
      <w:r w:rsidR="00665BF2">
        <w:rPr>
          <w:rFonts w:ascii="Helvetica Neue" w:hAnsi="Helvetica Neue"/>
        </w:rPr>
        <w:instrText>ADDIN CSL_CITATION {"citationItems":[{"id":"ITEM-1","itemData":{"ISSN":"1537-6613","PMID":"27418048","abstract":"BACKGROUND Preexposure prophylaxis (PrEP) is effective for preventing human immunodeficiency virus (HIV) infection among men who have sex with men (MSM) within trial settings. Population impact will depend on clinical indications for PrEP initiation, coverage levels, and drug adherence. No modeling studies have estimated the impact of clinical practice guidelines for PrEP issued by the Centers for Disease Control and Prevention (CDC). METHODS Mathematical models of HIV transmission among MSM were used to estimate the percentage of infections averted (PIA) and the number needed to treat (NNT) under behavioral indications of the CDC's PrEP guidelines. We modeled the contribution of these indications while varying treatment coverage and adherence. RESULTS At 40% coverage of indicated MSM over the next decade, application of CDC guidelines would avert 1162 infections per 100 000 person-years, 33.0% of expected infections. The predicted NNT for the guidelines would be 25. Increasing coverage and adherence jointly raise the PIA, but reductions to the NNT were associated with better adherence only. CONCLUSIONS Implementation of CDC PrEP guidelines would result in strong and sustained reductions in HIV incidence among MSM in the United States. The guidelines strike a good balance between epidemiological impact (PIA) and efficiency (NNT) at plausible scale-up levels. Adherence counseling could maximize public health investment in PrEP by decreasing the NNT.","author":[{"dropping-particle":"","family":"Jenness","given":"Samuel M","non-dropping-particle":"","parse-names":false,"suffix":""},{"dropping-particle":"","family":"Goodreau","given":"Steven M","non-dropping-particle":"","parse-names":false,"suffix":""},{"dropping-particle":"","family":"Rosenberg","given":"Eli","non-dropping-particle":"","parse-names":false,"suffix":""},{"dropping-particle":"","family":"Beylerian","given":"Emily N","non-dropping-particle":"","parse-names":false,"suffix":""},{"dropping-particle":"","family":"Hoover","given":"Karen W","non-dropping-particle":"","parse-names":false,"suffix":""},{"dropping-particle":"","family":"Smith","given":"Dawn K","non-dropping-particle":"","parse-names":false,"suffix":""},{"dropping-particle":"","family":"Sullivan","given":"Patrick","non-dropping-particle":"","parse-names":false,"suffix":""}],"container-title":"J Inf Dis","id":"ITEM-1","issue":"12","issued":{"date-parts":[["2016"]]},"page":"1800-1807","title":"Impact of the Centers for Disease Control's HIV preexposure prophylaxis guidelines for men who have sex with men in the United States.","type":"article-journal","volume":"214"},"uris":["http://www.mendeley.com/documents/?uuid=519a92ba-c0b5-4c1e-8183-234b9b845078"]}],"mendeley":{"formattedCitation":"&lt;sup&gt;4&lt;/sup&gt;","plainTextFormattedCitation":"4","previouslyFormattedCitation":"&lt;sup&gt;4&lt;/sup&gt;"},"properties":{"noteIndex":0},"schema":"https://github.com/citation-style-language/schema/raw/master/csl-citation.json"}</w:instrText>
      </w:r>
      <w:r w:rsidR="00EA384A" w:rsidRPr="0024409C">
        <w:rPr>
          <w:rFonts w:ascii="Helvetica Neue" w:hAnsi="Helvetica Neue"/>
        </w:rPr>
        <w:fldChar w:fldCharType="separate"/>
      </w:r>
      <w:r w:rsidR="004017C2" w:rsidRPr="0024409C">
        <w:rPr>
          <w:rFonts w:ascii="Helvetica Neue" w:hAnsi="Helvetica Neue"/>
          <w:noProof/>
          <w:vertAlign w:val="superscript"/>
        </w:rPr>
        <w:t>4</w:t>
      </w:r>
      <w:r w:rsidR="00EA384A" w:rsidRPr="0024409C">
        <w:rPr>
          <w:rFonts w:ascii="Helvetica Neue" w:hAnsi="Helvetica Neue"/>
        </w:rPr>
        <w:fldChar w:fldCharType="end"/>
      </w:r>
      <w:r w:rsidR="00EA384A" w:rsidRPr="0024409C">
        <w:rPr>
          <w:rFonts w:ascii="Helvetica Neue" w:hAnsi="Helvetica Neue"/>
        </w:rPr>
        <w:t xml:space="preserve"> For one-time contacts, the number was set deterministically to 1 for the </w:t>
      </w:r>
      <w:r w:rsidR="008C4F65" w:rsidRPr="0024409C">
        <w:rPr>
          <w:rFonts w:ascii="Helvetica Neue" w:hAnsi="Helvetica Neue"/>
        </w:rPr>
        <w:t>time step in which it occurred.</w:t>
      </w:r>
    </w:p>
    <w:p w14:paraId="7674FA04" w14:textId="2971311B" w:rsidR="00EA384A" w:rsidRPr="0024409C" w:rsidRDefault="00EA384A" w:rsidP="0093094E">
      <w:pPr>
        <w:spacing w:before="120" w:line="360" w:lineRule="auto"/>
        <w:rPr>
          <w:rFonts w:ascii="Helvetica Neue" w:eastAsia="Arial" w:hAnsi="Helvetica Neue"/>
        </w:rPr>
      </w:pPr>
      <w:r w:rsidRPr="0024409C">
        <w:rPr>
          <w:rFonts w:ascii="Helvetica Neue" w:eastAsia="Arial" w:hAnsi="Helvetica Neue"/>
        </w:rPr>
        <w:t>For site-specific disease transmission to occur, the sexual position of partners within an MSM anal intercourse dyad was considered. For example, receptive AI with a partner infected with a urethral STI was necessary for an individual to become rectally infected.</w:t>
      </w:r>
      <w:r w:rsidR="00287153" w:rsidRPr="0024409C">
        <w:rPr>
          <w:rFonts w:ascii="Helvetica Neue" w:eastAsia="Arial" w:hAnsi="Helvetica Neue"/>
        </w:rPr>
        <w:t xml:space="preserve"> </w:t>
      </w:r>
      <w:r w:rsidRPr="0024409C">
        <w:rPr>
          <w:rFonts w:ascii="Helvetica Neue" w:eastAsia="Arial" w:hAnsi="Helvetica Neue"/>
        </w:rPr>
        <w:t xml:space="preserve">Dual-site and dual-disease infection </w:t>
      </w:r>
      <w:r w:rsidR="006157DC" w:rsidRPr="0024409C">
        <w:rPr>
          <w:rFonts w:ascii="Helvetica Neue" w:eastAsia="Arial" w:hAnsi="Helvetica Neue"/>
        </w:rPr>
        <w:t>was</w:t>
      </w:r>
      <w:r w:rsidRPr="0024409C">
        <w:rPr>
          <w:rFonts w:ascii="Helvetica Neue" w:eastAsia="Arial" w:hAnsi="Helvetica Neue"/>
        </w:rPr>
        <w:t xml:space="preserve"> possible, such that a man could have had</w:t>
      </w:r>
      <w:r w:rsidR="00EE0961" w:rsidRPr="0024409C">
        <w:rPr>
          <w:rFonts w:ascii="Helvetica Neue" w:eastAsia="Arial" w:hAnsi="Helvetica Neue"/>
        </w:rPr>
        <w:t>, for example,</w:t>
      </w:r>
      <w:r w:rsidRPr="0024409C">
        <w:rPr>
          <w:rFonts w:ascii="Helvetica Neue" w:eastAsia="Arial" w:hAnsi="Helvetica Neue"/>
        </w:rPr>
        <w:t xml:space="preserve"> rectal </w:t>
      </w:r>
      <w:r w:rsidRPr="0024409C">
        <w:rPr>
          <w:rFonts w:ascii="Helvetica Neue" w:hAnsi="Helvetica Neue"/>
        </w:rPr>
        <w:t>NG</w:t>
      </w:r>
      <w:r w:rsidRPr="0024409C">
        <w:rPr>
          <w:rFonts w:ascii="Helvetica Neue" w:eastAsia="Arial" w:hAnsi="Helvetica Neue"/>
        </w:rPr>
        <w:t xml:space="preserve"> and rectal CT infection, rectal </w:t>
      </w:r>
      <w:r w:rsidRPr="0024409C">
        <w:rPr>
          <w:rFonts w:ascii="Helvetica Neue" w:hAnsi="Helvetica Neue"/>
        </w:rPr>
        <w:t>NG</w:t>
      </w:r>
      <w:r w:rsidRPr="0024409C">
        <w:rPr>
          <w:rFonts w:ascii="Helvetica Neue" w:eastAsia="Arial" w:hAnsi="Helvetica Neue"/>
        </w:rPr>
        <w:t xml:space="preserve"> and urethral CT, or rectal </w:t>
      </w:r>
      <w:r w:rsidRPr="0024409C">
        <w:rPr>
          <w:rFonts w:ascii="Helvetica Neue" w:hAnsi="Helvetica Neue"/>
        </w:rPr>
        <w:t>NG</w:t>
      </w:r>
      <w:r w:rsidRPr="0024409C">
        <w:rPr>
          <w:rFonts w:ascii="Helvetica Neue" w:eastAsia="Arial" w:hAnsi="Helvetica Neue"/>
        </w:rPr>
        <w:t xml:space="preserve"> and urethral </w:t>
      </w:r>
      <w:r w:rsidRPr="0024409C">
        <w:rPr>
          <w:rFonts w:ascii="Helvetica Neue" w:hAnsi="Helvetica Neue"/>
        </w:rPr>
        <w:t>NG</w:t>
      </w:r>
      <w:r w:rsidRPr="0024409C">
        <w:rPr>
          <w:rFonts w:ascii="Helvetica Neue" w:eastAsia="Arial" w:hAnsi="Helvetica Neue"/>
        </w:rPr>
        <w:t xml:space="preserve"> concurrently. </w:t>
      </w:r>
      <w:r w:rsidRPr="0024409C">
        <w:rPr>
          <w:rFonts w:ascii="Helvetica Neue" w:hAnsi="Helvetica Neue"/>
        </w:rPr>
        <w:t xml:space="preserve">We modeled disease transmission by act </w:t>
      </w:r>
      <w:r w:rsidRPr="0024409C">
        <w:rPr>
          <w:rFonts w:ascii="Helvetica Neue" w:eastAsia="Arial" w:hAnsi="Helvetica Neue"/>
        </w:rPr>
        <w:t>as a stochastic process for each discordant sex act, which followed a binomial distribution with a probability parameter that was a multiplicative function of the base transmission probability and condom use.</w:t>
      </w:r>
    </w:p>
    <w:p w14:paraId="00A874F3" w14:textId="17F12CCC" w:rsidR="00EA384A" w:rsidRPr="0024409C" w:rsidRDefault="00273CDD" w:rsidP="00B020AF">
      <w:pPr>
        <w:pStyle w:val="Heading2"/>
        <w:rPr>
          <w:rFonts w:ascii="Helvetica Neue" w:hAnsi="Helvetica Neue" w:cs="Arial"/>
          <w:szCs w:val="22"/>
        </w:rPr>
      </w:pPr>
      <w:bookmarkStart w:id="30" w:name="_Toc466401459"/>
      <w:bookmarkStart w:id="31" w:name="_Toc2361388"/>
      <w:r w:rsidRPr="0024409C">
        <w:rPr>
          <w:rFonts w:ascii="Helvetica Neue" w:eastAsia="Arial" w:hAnsi="Helvetica Neue" w:cs="Arial"/>
          <w:szCs w:val="22"/>
        </w:rPr>
        <w:t>8</w:t>
      </w:r>
      <w:r w:rsidR="00690949" w:rsidRPr="0024409C">
        <w:rPr>
          <w:rFonts w:ascii="Helvetica Neue" w:eastAsia="Arial" w:hAnsi="Helvetica Neue" w:cs="Arial"/>
          <w:szCs w:val="22"/>
        </w:rPr>
        <w:t>.2</w:t>
      </w:r>
      <w:r w:rsidR="00EA384A" w:rsidRPr="0024409C">
        <w:rPr>
          <w:rFonts w:ascii="Helvetica Neue" w:eastAsia="Arial" w:hAnsi="Helvetica Neue" w:cs="Arial"/>
          <w:szCs w:val="22"/>
        </w:rPr>
        <w:t xml:space="preserve"> </w:t>
      </w:r>
      <w:r w:rsidR="00EA384A" w:rsidRPr="0024409C">
        <w:rPr>
          <w:rFonts w:ascii="Helvetica Neue" w:eastAsia="Arial" w:hAnsi="Helvetica Neue" w:cs="Arial"/>
          <w:szCs w:val="22"/>
        </w:rPr>
        <w:tab/>
        <w:t>STI Co-Factor Effect</w:t>
      </w:r>
      <w:r w:rsidR="00EA384A" w:rsidRPr="0024409C">
        <w:rPr>
          <w:rFonts w:ascii="Helvetica Neue" w:hAnsi="Helvetica Neue"/>
          <w:szCs w:val="22"/>
        </w:rPr>
        <w:t xml:space="preserve"> on HIV </w:t>
      </w:r>
      <w:r w:rsidR="0074292E">
        <w:rPr>
          <w:rFonts w:ascii="Helvetica Neue" w:hAnsi="Helvetica Neue"/>
          <w:szCs w:val="22"/>
        </w:rPr>
        <w:t>Transmission</w:t>
      </w:r>
      <w:r w:rsidR="00EA384A" w:rsidRPr="0024409C">
        <w:rPr>
          <w:rFonts w:ascii="Helvetica Neue" w:hAnsi="Helvetica Neue"/>
          <w:szCs w:val="22"/>
        </w:rPr>
        <w:t xml:space="preserve"> Probability</w:t>
      </w:r>
      <w:bookmarkEnd w:id="30"/>
      <w:bookmarkEnd w:id="31"/>
    </w:p>
    <w:p w14:paraId="599B4DBE" w14:textId="1DF0F98C" w:rsidR="00EA384A" w:rsidRPr="0024409C" w:rsidRDefault="00EA384A" w:rsidP="00B020AF">
      <w:pPr>
        <w:spacing w:line="360" w:lineRule="auto"/>
        <w:rPr>
          <w:rFonts w:ascii="Helvetica Neue" w:hAnsi="Helvetica Neue"/>
        </w:rPr>
      </w:pPr>
      <w:r w:rsidRPr="0024409C">
        <w:rPr>
          <w:rFonts w:ascii="Helvetica Neue" w:hAnsi="Helvetica Neue"/>
        </w:rPr>
        <w:t xml:space="preserve">We modeled an increased HIV </w:t>
      </w:r>
      <w:r w:rsidR="000174C4">
        <w:rPr>
          <w:rFonts w:ascii="Helvetica Neue" w:hAnsi="Helvetica Neue"/>
        </w:rPr>
        <w:t>transmission</w:t>
      </w:r>
      <w:r w:rsidRPr="0024409C">
        <w:rPr>
          <w:rFonts w:ascii="Helvetica Neue" w:hAnsi="Helvetica Neue"/>
        </w:rPr>
        <w:t xml:space="preserve"> risk from a current STI status</w:t>
      </w:r>
      <w:r w:rsidR="00B64454" w:rsidRPr="0024409C">
        <w:rPr>
          <w:rFonts w:ascii="Helvetica Neue" w:hAnsi="Helvetica Neue"/>
        </w:rPr>
        <w:t xml:space="preserve">, in that a receptive HIV- partner with a rectal STI or an </w:t>
      </w:r>
      <w:proofErr w:type="spellStart"/>
      <w:r w:rsidR="00B64454" w:rsidRPr="0024409C">
        <w:rPr>
          <w:rFonts w:ascii="Helvetica Neue" w:hAnsi="Helvetica Neue"/>
        </w:rPr>
        <w:t>insertive</w:t>
      </w:r>
      <w:proofErr w:type="spellEnd"/>
      <w:r w:rsidR="00B64454" w:rsidRPr="0024409C">
        <w:rPr>
          <w:rFonts w:ascii="Helvetica Neue" w:hAnsi="Helvetica Neue"/>
        </w:rPr>
        <w:t xml:space="preserve"> HIV- partner with a urethral </w:t>
      </w:r>
      <w:r w:rsidR="006A1664">
        <w:rPr>
          <w:rFonts w:ascii="Helvetica Neue" w:hAnsi="Helvetica Neue"/>
        </w:rPr>
        <w:t xml:space="preserve">or </w:t>
      </w:r>
      <w:r w:rsidR="00B64454" w:rsidRPr="0024409C">
        <w:rPr>
          <w:rFonts w:ascii="Helvetica Neue" w:hAnsi="Helvetica Neue"/>
        </w:rPr>
        <w:t xml:space="preserve">STI would </w:t>
      </w:r>
      <w:r w:rsidR="00B64454" w:rsidRPr="0024409C">
        <w:rPr>
          <w:rFonts w:ascii="Helvetica Neue" w:hAnsi="Helvetica Neue"/>
        </w:rPr>
        <w:lastRenderedPageBreak/>
        <w:t xml:space="preserve">have an increased risk of HIV </w:t>
      </w:r>
      <w:r w:rsidR="000174C4">
        <w:rPr>
          <w:rFonts w:ascii="Helvetica Neue" w:hAnsi="Helvetica Neue"/>
        </w:rPr>
        <w:t>transmission</w:t>
      </w:r>
      <w:r w:rsidR="000174C4" w:rsidRPr="0024409C">
        <w:rPr>
          <w:rFonts w:ascii="Helvetica Neue" w:hAnsi="Helvetica Neue"/>
        </w:rPr>
        <w:t xml:space="preserve"> </w:t>
      </w:r>
      <w:r w:rsidR="00B64454" w:rsidRPr="0024409C">
        <w:rPr>
          <w:rFonts w:ascii="Helvetica Neue" w:hAnsi="Helvetica Neue"/>
        </w:rPr>
        <w:t>from a HIV+ partner compared to not having a STI present</w:t>
      </w:r>
      <w:r w:rsidRPr="0024409C">
        <w:rPr>
          <w:rFonts w:ascii="Helvetica Neue" w:hAnsi="Helvetica Neue"/>
        </w:rPr>
        <w:t xml:space="preserve">. </w:t>
      </w:r>
      <w:proofErr w:type="spellStart"/>
      <w:r w:rsidRPr="0024409C">
        <w:rPr>
          <w:rFonts w:ascii="Helvetica Neue" w:hAnsi="Helvetica Neue"/>
        </w:rPr>
        <w:t>Chesson</w:t>
      </w:r>
      <w:proofErr w:type="spellEnd"/>
      <w:r w:rsidRPr="0024409C">
        <w:rPr>
          <w:rFonts w:ascii="Helvetica Neue" w:hAnsi="Helvetica Neue"/>
        </w:rPr>
        <w:t xml:space="preserve"> et al.</w:t>
      </w:r>
      <w:r w:rsidRPr="0024409C">
        <w:rPr>
          <w:rFonts w:ascii="Helvetica Neue" w:hAnsi="Helvetica Neue"/>
        </w:rPr>
        <w:fldChar w:fldCharType="begin" w:fldLock="1"/>
      </w:r>
      <w:r w:rsidR="00665BF2">
        <w:rPr>
          <w:rFonts w:ascii="Helvetica Neue" w:hAnsi="Helvetica Neue"/>
        </w:rPr>
        <w:instrText>ADDIN CSL_CITATION {"citationItems":[{"id":"ITEM-1","itemData":{"ISSN":"1525-4135","PMID":"10877495","abstract":"We estimated the annual number and cost of new HIV infections in the United States attributable to other sexually transmitted diseases (STDs). We used a mathematical model of HIV transmission to estimate the probability that a given STD infection would facilitate HIV transmission from an HIV-infected person to his or her partner and to calculate the number of HIV infections due to these facilitative effects. In 1996, an estimated 5,052 new HIV cases were attributable to the four STDs considered here: chlamydia (3,249 cases), syphilis (1,002 cases), gonorrhea (430 cases), and genital herpes (371 cases). These new HIV cases account for approximately $985 million U.S. in direct HIV treatment costs. The model suggested that syphilis is far more likely than the other STDs (on a per-case basis) to facilitate HIV transmission. This analysis provides a framework for incorporating STD-attributable HIV treatment costs into cost-effectiveness analyses of STD prevention programs.","author":[{"dropping-particle":"","family":"Chesson","given":"H W","non-dropping-particle":"","parse-names":false,"suffix":""},{"dropping-particle":"","family":"Pinkerton","given":"S D","non-dropping-particle":"","parse-names":false,"suffix":""}],"container-title":"J Acquir Immune Defic Syndr","id":"ITEM-1","issue":"1","issued":{"date-parts":[["2000","5"]]},"page":"48-56","title":"Sexually transmitted diseases and the increased risk for HIV transmission: Implications for cost-effectiveness analyses of sexually transmitted disease prevention interventions","type":"article-journal","volume":"24"},"uris":["http://www.mendeley.com/documents/?uuid=db15da29-3ff8-373c-9b23-508ff1b7864d","http://www.mendeley.com/documents/?uuid=6a147c06-6bc3-4dc9-8b82-f8d80069e88a"]}],"mendeley":{"formattedCitation":"&lt;sup&gt;35&lt;/sup&gt;","plainTextFormattedCitation":"35","previouslyFormattedCitation":"&lt;sup&gt;35&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35</w:t>
      </w:r>
      <w:r w:rsidRPr="0024409C">
        <w:rPr>
          <w:rFonts w:ascii="Helvetica Neue" w:hAnsi="Helvetica Neue"/>
        </w:rPr>
        <w:fldChar w:fldCharType="end"/>
      </w:r>
      <w:r w:rsidRPr="0024409C">
        <w:rPr>
          <w:rFonts w:ascii="Helvetica Neue" w:hAnsi="Helvetica Neue"/>
        </w:rPr>
        <w:t xml:space="preserve"> described this effect for several STIs.</w:t>
      </w:r>
      <w:r w:rsidR="00EB7E9A" w:rsidRPr="0024409C">
        <w:rPr>
          <w:rFonts w:ascii="Helvetica Neue" w:hAnsi="Helvetica Neue"/>
        </w:rPr>
        <w:t xml:space="preserve"> </w:t>
      </w:r>
      <w:r w:rsidRPr="0024409C">
        <w:rPr>
          <w:rFonts w:ascii="Helvetica Neue" w:hAnsi="Helvetica Neue"/>
        </w:rPr>
        <w:t xml:space="preserve">Starting with a baseline HIV transmission probability per sex-act of 0.001 (95% CI: 0.0005–0.0015), they estimated a 10-fold </w:t>
      </w:r>
      <w:r w:rsidRPr="0024409C">
        <w:rPr>
          <w:rFonts w:ascii="Helvetica Neue" w:eastAsia="Arial" w:hAnsi="Helvetica Neue"/>
        </w:rPr>
        <w:t xml:space="preserve">(95% CI: 5–15) </w:t>
      </w:r>
      <w:r w:rsidRPr="0024409C">
        <w:rPr>
          <w:rFonts w:ascii="Helvetica Neue" w:hAnsi="Helvetica Neue"/>
        </w:rPr>
        <w:t>increase in per-act HIV transmission probability, to 0.014 (95% CI: 0.01–0.05), in the presence of NG infection. For CT infection, they estimated a 5-fold increase (95% CI: 3–15) in per-act HIV transmission probability</w:t>
      </w:r>
      <w:r w:rsidR="00A01AE3" w:rsidRPr="0024409C">
        <w:rPr>
          <w:rFonts w:ascii="Helvetica Neue" w:hAnsi="Helvetica Neue"/>
        </w:rPr>
        <w:t xml:space="preserve"> to 0.0078 (95% CI: 0.003–0.01). </w:t>
      </w:r>
      <w:r w:rsidRPr="0024409C">
        <w:rPr>
          <w:rFonts w:ascii="Helvetica Neue" w:hAnsi="Helvetica Neue"/>
        </w:rPr>
        <w:t>Vaughan et al.</w:t>
      </w:r>
      <w:r w:rsidRPr="0024409C">
        <w:rPr>
          <w:rFonts w:ascii="Helvetica Neue" w:hAnsi="Helvetica Neue"/>
        </w:rPr>
        <w:fldChar w:fldCharType="begin" w:fldLock="1"/>
      </w:r>
      <w:r w:rsidR="00665BF2">
        <w:rPr>
          <w:rFonts w:ascii="Helvetica Neue" w:hAnsi="Helvetica Neue"/>
        </w:rPr>
        <w:instrText>ADDIN CSL_CITATION {"citationItems":[{"id":"ITEM-1","itemData":{"abstract":"Exploring causal associations in HIV research requires careful consideration of numerous epidemiologic limitations. First, a primary cause of HIV, unprotected anal intercourse (UAI), is time-varying and, if it is also associated with an exposure of interest, may be on a confounding path. Second, HIV is a rare outcome, even in high-risk populations. Finally, for most causal, non-preventive exposures, a randomized trial is impossible. In order to address these limitations and provide a practical illustration of efficient statistical control via propensity-score weighting, we examine the causal association between rectal STI and HIV acquisition in the InvolveMENt study, a cohort of Atlanta-area men who have sex with men (MSM). We hypothesized that, after controlling for potentially confounding behavioral and demographic factors, the significant STI-HIV association would attenuate, but yield an estimate of the causal effect. The exposure of interest was incident rectal gonorrhea or chlamydia infection; the outcome was incident HIV infection. To adjust for behavioral confounding, while accounting for limited HIV infections, we used an inverse probability of treatment weighted (IPTW) Cox proportional hazards (PH) model for incident HIV. Weights were derived from propensity score modeling of the probability of incident rectal STI as a function of potential confounders, including UAI in the interval of rectal STI acquisition/censoring. Of 556 HIV-negative MSM at baseline, 552 (99%) men were included in this analysis. 79 men were diagnosed with an incident rectal STI and 26 with HIV. 6 HIV-infected men were previously diagnosed with a rectal STI. In unadjusted analysis, incident rectal STI was significantly associated with subsequent incident HIV (HR (95%CI): 3.6 (1.4-9.2)). In the final weighted and adjusted model, the association was attenuated and more precise (HR (95% CI): 2.7 (1.2-6.4)). We found that, controlling for time-varying risk behaviors and time-invariant demographic factors, diagnosis with HIV was significantly associated with prior diagnosis of rectal CT or GC. Our analysis lends support to the causal effect of incident rectal STI on HIV diagnosis and provides a framework for similar analyses of HIV incidence.","author":[{"dropping-particle":"","family":"Vaughan","given":"Adam S","non-dropping-particle":"","parse-names":false,"suffix":""},{"dropping-particle":"","family":"Kelley","given":"Colleen F","non-dropping-particle":"","parse-names":false,"suffix":""},{"dropping-particle":"","family":"Luisi","given":"Nicole","non-dropping-particle":"","parse-names":false,"suffix":""},{"dropping-particle":"","family":"Rio","given":"Carlos","non-dropping-particle":"del","parse-names":false,"suffix":""},{"dropping-particle":"","family":"Sullivan","given":"Patrick S","non-dropping-particle":"","parse-names":false,"suffix":""},{"dropping-particle":"","family":"Rosenberg","given":"Eli S","non-dropping-particle":"","parse-names":false,"suffix":""},{"dropping-particle":"","family":"Mayer","given":"KH","non-dropping-particle":"","parse-names":false,"suffix":""},{"dropping-particle":"","family":"Venkatesh","given":"KK","non-dropping-particle":"","parse-names":false,"suffix":""},{"dropping-particle":"","family":"Howards","given":"PP","non-dropping-particle":"","parse-names":false,"suffix":""},{"dropping-particle":"","family":"Schisterman","given":"EF","non-dropping-particle":"","parse-names":false,"suffix":""},{"dropping-particle":"","family":"Poole","given":"C","non-dropping-particle":"","parse-names":false,"suffix":""},{"dropping-particle":"","family":"Kaufman","given":"JS","non-dropping-particle":"","parse-names":false,"suffix":""},{"dropping-particle":"","family":"Weinberg","given":"CR","non-dropping-particle":"","parse-names":false,"suffix":""},{"dropping-particle":"","family":"Solomon","given":"MM","non-dropping-particle":"","parse-names":false,"suffix":""},{"dropping-particle":"","family":"Mayer","given":"KH","non-dropping-particle":"","parse-names":false,"suffix":""},{"dropping-particle":"","family":"Glidden","given":"DV","non-dropping-particle":"","parse-names":false,"suffix":""},{"dropping-particle":"","family":"Liu","given":"AY","non-dropping-particle":"","parse-names":false,"suffix":""},{"dropping-particle":"","family":"McMahan","given":"VM","non-dropping-particle":"","parse-names":false,"suffix":""},{"dropping-particle":"","family":"Guanira","given":"JV","non-dropping-particle":"","parse-names":false,"suffix":""},{"dropping-particle":"","family":"Bernstein","given":"KT","non-dropping-particle":"","parse-names":false,"suffix":""},{"dropping-particle":"","family":"Marcus","given":"JL","non-dropping-particle":"","parse-names":false,"suffix":""},{"dropping-particle":"","family":"Nieri","given":"G","non-dropping-particle":"","parse-names":false,"suffix":""},{"dropping-particle":"","family":"Philip","given":"SS","non-dropping-particle":"","parse-names":false,"suffix":""},{"dropping-particle":"","family":"Klausner","given":"JD","non-dropping-particle":"","parse-names":false,"suffix":""},{"dropping-particle":"","family":"Buchbinder","given":"SP","non-dropping-particle":"","parse-names":false,"suffix":""},{"dropping-particle":"","family":"Glidden","given":"DV","non-dropping-particle":"","parse-names":false,"suffix":""},{"dropping-particle":"","family":"Liu","given":"AY","non-dropping-particle":"","parse-names":false,"suffix":""},{"dropping-particle":"","family":"McMahan","given":"V","non-dropping-particle":"","parse-names":false,"suffix":""},{"dropping-particle":"","family":"Guanira","given":"JV","non-dropping-particle":"","parse-names":false,"suffix":""},{"dropping-particle":"","family":"Mayer","given":"KH","non-dropping-particle":"","parse-names":false,"suffix":""},{"dropping-particle":"","family":"Jin","given":"F","non-dropping-particle":"","parse-names":false,"suffix":""},{"dropping-particle":"","family":"Prestage","given":"GP","non-dropping-particle":"","parse-names":false,"suffix":""},{"dropping-particle":"","family":"Imrie","given":"J","non-dropping-particle":"","parse-names":false,"suffix":""},{"dropping-particle":"","family":"Kippax","given":"SC","non-dropping-particle":"","parse-names":false,"suffix":""},{"dropping-particle":"","family":"Donovan","given":"B","non-dropping-particle":"","parse-names":false,"suffix":""},{"dropping-particle":"","family":"Templeton","given":"DJ","non-dropping-particle":"","parse-names":false,"suffix":""},{"dropping-particle":"","family":"Pathela","given":"P","non-dropping-particle":"","parse-names":false,"suffix":""},{"dropping-particle":"","family":"Braunstein","given":"SL","non-dropping-particle":"","parse-names":false,"suffix":""},{"dropping-particle":"","family":"Blank","given":"S","non-dropping-particle":"","parse-names":false,"suffix":""},{"dropping-particle":"","family":"Schillinger","given":"JA","non-dropping-particle":"","parse-names":false,"suffix":""},{"dropping-particle":"","family":"Austin","given":"PC","non-dropping-particle":"","parse-names":false,"suffix":""},{"dropping-particle":"","family":"Røttingen","given":"J-A","non-dropping-particle":"","parse-names":false,"suffix":""},{"dropping-particle":"","family":"Cameron","given":"DW","non-dropping-particle":"","parse-names":false,"suffix":""},{"dropping-particle":"","family":"Garnett","given":"GP","non-dropping-particle":"","parse-names":false,"suffix":""},{"dropping-particle":"","family":"Sexton","given":"J","non-dropping-particle":"","parse-names":false,"suffix":""},{"dropping-particle":"","family":"Garnett","given":"G","non-dropping-particle":"","parse-names":false,"suffix":""},{"dropping-particle":"","family":"Røttingen","given":"J-A","non-dropping-particle":"","parse-names":false,"suffix":""},{"dropping-particle":"","family":"Payn","given":"B","non-dropping-particle":"","parse-names":false,"suffix":""},{"dropping-particle":"","family":"Tanfer","given":"K","non-dropping-particle":"","parse-names":false,"suffix":""},{"dropping-particle":"","family":"Billy","given":"JOG","non-dropping-particle":"","parse-names":false,"suffix":""},{"dropping-particle":"","family":"Grady","given":"WR","non-dropping-particle":"","parse-names":false,"suffix":""},{"dropping-particle":"","family":"Fox","given":"J","non-dropping-particle":"","parse-names":false,"suffix":""},{"dropping-particle":"","family":"White","given":"PJ","non-dropping-particle":"","parse-names":false,"suffix":""},{"dropping-particle":"","family":"Macdonald","given":"N","non-dropping-particle":"","parse-names":false,"suffix":""},{"dropping-particle":"","family":"Weber","given":"J","non-dropping-particle":"","parse-names":false,"suffix":""},{"dropping-particle":"","family":"McClure","given":"M","non-dropping-particle":"","parse-names":false,"suffix":""},{"dropping-particle":"","family":"Fidler","given":"S","non-dropping-particle":"","parse-names":false,"suffix":""},{"dropping-particle":"","family":"Fortenberry","given":"JD","non-dropping-particle":"","parse-names":false,"suffix":""},{"dropping-particle":"","family":"Sullivan","given":"PS","non-dropping-particle":"","parse-names":false,"suffix":""},{"dropping-particle":"","family":"Peterson","given":"J","non-dropping-particle":"","parse-names":false,"suffix":""},{"dropping-particle":"","family":"Rosenberg","given":"ES","non-dropping-particle":"","parse-names":false,"suffix":""},{"dropping-particle":"","family":"Kelley","given":"CF","non-dropping-particle":"","parse-names":false,"suffix":""},{"dropping-particle":"","family":"Cooper","given":"H","non-dropping-particle":"","parse-names":false,"suffix":""},{"dropping-particle":"","family":"Vaughan","given":"AS","non-dropping-particle":"","parse-names":false,"suffix":""},{"dropping-particle":"","family":"Portnoy","given":"J","non-dropping-particle":"","parse-names":false,"suffix":""},{"dropping-particle":"","family":"Garson","given":"W","non-dropping-particle":"","parse-names":false,"suffix":""},{"dropping-particle":"","family":"Smith","given":"CA","non-dropping-particle":"","parse-names":false,"suffix":""},{"dropping-particle":"","family":"Pol","given":"B","non-dropping-particle":"","parse-names":false,"suffix":""},{"dropping-particle":"","family":"Ferrero","given":"DV","non-dropping-particle":"","parse-names":false,"suffix":""},{"dropping-particle":"","family":"Buck-Barrington","given":"L","non-dropping-particle":"","parse-names":false,"suffix":""},{"dropping-particle":"","family":"Hook","given":"E","non-dropping-particle":"","parse-names":false,"suffix":""},{"dropping-particle":"","family":"Lenderman","given":"C","non-dropping-particle":"","parse-names":false,"suffix":""},{"dropping-particle":"","family":"Quinn","given":"T","non-dropping-particle":"","parse-names":false,"suffix":""},{"dropping-particle":"","family":"Rosenberg","given":"ES","non-dropping-particle":"","parse-names":false,"suffix":""},{"dropping-particle":"","family":"Sullivan","given":"PS","non-dropping-particle":"","parse-names":false,"suffix":""},{"dropping-particle":"","family":"Kelley","given":"CF","non-dropping-particle":"","parse-names":false,"suffix":""},{"dropping-particle":"","family":"Sanchez","given":"TH","non-dropping-particle":"","parse-names":false,"suffix":""},{"dropping-particle":"","family":"Luisi","given":"N","non-dropping-particle":"","parse-names":false,"suffix":""},{"dropping-particle":"","family":"Rio","given":"C","non-dropping-particle":"","parse-names":false,"suffix":""},{"dropping-particle":"","family":"Robins","given":"JM","non-dropping-particle":"","parse-names":false,"suffix":""},{"dropping-particle":"","family":"Hernán","given":"MÁ","non-dropping-particle":"","parse-names":false,"suffix":""},{"dropping-particle":"","family":"Brumback","given":"B","non-dropping-particle":"","parse-names":false,"suffix":""},{"dropping-particle":"","family":"Williamson","given":"EJ","non-dropping-particle":"","parse-names":false,"suffix":""},{"dropping-particle":"","family":"Forbes","given":"A","non-dropping-particle":"","parse-names":false,"suffix":""},{"dropping-particle":"","family":"White","given":"IR","non-dropping-particle":"","parse-names":false,"suffix":""},{"dropping-particle":"","family":"Austin","given":"PC","non-dropping-particle":"","parse-names":false,"suffix":""},{"dropping-particle":"","family":"Harder","given":"VS","non-dropping-particle":"","parse-names":false,"suffix":""},{"dropping-particle":"","family":"Stuart","given":"EA","non-dropping-particle":"","parse-names":false,"suffix":""},{"dropping-particle":"","family":"Anthony","given":"JC","non-dropping-particle":"","parse-names":false,"suffix":""},{"dropping-particle":"","family":"Hernán","given":"MÁ","non-dropping-particle":"","parse-names":false,"suffix":""},{"dropping-particle":"","family":"Robins","given":"JM","non-dropping-particle":"","parse-names":false,"suffix":""},{"dropping-particle":"","family":"Ho","given":"DE","non-dropping-particle":"","parse-names":false,"suffix":""},{"dropping-particle":"","family":"Imai","given":"K","non-dropping-particle":"","parse-names":false,"suffix":""},{"dropping-particle":"","family":"King","given":"G","non-dropping-particle":"","parse-names":false,"suffix":""},{"dropping-particle":"","family":"Stuart","given":"EA","non-dropping-particle":"","parse-names":false,"suffix":""},{"dropping-particle":"","family":"Normand","given":"ST","non-dropping-particle":"","parse-names":false,"suffix":""},{"dropping-particle":"","family":"Landrum","given":"MB","non-dropping-particle":"","parse-names":false,"suffix":""},{"dropping-particle":"","family":"Guadagnoli","given":"E","non-dropping-particle":"","parse-names":false,"suffix":""},{"dropping-particle":"","family":"Ayanian","given":"JZ","non-dropping-particle":"","parse-names":false,"suffix":""},{"dropping-particle":"","family":"Ryan","given":"TJ","non-dropping-particle":"","parse-names":false,"suffix":""},{"dropping-particle":"","family":"Cleary","given":"PD","non-dropping-particle":"","parse-names":false,"suffix":""},{"dropping-particle":"","family":"Imai","given":"K","non-dropping-particle":"","parse-names":false,"suffix":""},{"dropping-particle":"","family":"King","given":"G","non-dropping-particle":"","parse-names":false,"suffix":""},{"dropping-particle":"","family":"Stuart","given":"EA","non-dropping-particle":"","parse-names":false,"suffix":""},{"dropping-particle":"","family":"Austin","given":"PC","non-dropping-particle":"","parse-names":false,"suffix":""},{"dropping-particle":"","family":"Kelley","given":"CF","non-dropping-particle":"","parse-names":false,"suffix":""},{"dropping-particle":"","family":"Rosenberg","given":"ES","non-dropping-particle":"","parse-names":false,"suffix":""},{"dropping-particle":"","family":"O’Hara","given":"BM","non-dropping-particle":"","parse-names":false,"suffix":""},{"dropping-particle":"","family":"Frew","given":"PM","non-dropping-particle":"","parse-names":false,"suffix":""},{"dropping-particle":"","family":"Sanchez","given":"TH","non-dropping-particle":"","parse-names":false,"suffix":""},{"dropping-particle":"","family":"Peterson","given":"JL","non-dropping-particle":"","parse-names":false,"suffix":""},{"dropping-particle":"","family":"Newcomb","given":"ME","non-dropping-particle":"","parse-names":false,"suffix":""},{"dropping-particle":"","family":"Mustanski","given":"B","non-dropping-particle":"","parse-names":false,"suffix":""},{"dropping-particle":"","family":"Millett","given":"GA","non-dropping-particle":"","parse-names":false,"suffix":""},{"dropping-particle":"","family":"Peterson","given":"JL","non-dropping-particle":"","parse-names":false,"suffix":""},{"dropping-particle":"","family":"Flores","given":"SA","non-dropping-particle":"","parse-names":false,"suffix":""},{"dropping-particle":"","family":"Hart","given":"TA","non-dropping-particle":"","parse-names":false,"suffix":""},{"dropping-particle":"","family":"Jeffries","given":"WL","non-dropping-particle":"","parse-names":false,"suffix":""},{"dropping-particle":"","family":"Wilson","given":"PA","non-dropping-particle":"","parse-names":false,"suffix":""},{"dropping-particle":"","family":"Morgan","given":"SL","non-dropping-particle":"","parse-names":false,"suffix":""},{"dropping-particle":"","family":"Todd","given":"JJ","non-dropping-particle":"","parse-names":false,"suffix":""},{"dropping-particle":"","family":"Flury","given":"BK","non-dropping-particle":"","parse-names":false,"suffix":""},{"dropping-particle":"","family":"Riedwyl","given":"H","non-dropping-particle":"","parse-names":false,"suffix":""},{"dropping-particle":"","family":"Robins","given":"JM","non-dropping-particle":"","parse-names":false,"suffix":""},{"dropping-particle":"","family":"Kleinbaum","given":"DG","non-dropping-particle":"","parse-names":false,"suffix":""},{"dropping-particle":"","family":"Klein","given":"M","non-dropping-particle":"","parse-names":false,"suffix":""},{"dropping-particle":"","family":"Cole","given":"SR","non-dropping-particle":"","parse-names":false,"suffix":""},{"dropping-particle":"","family":"Hernán","given":"MÁ","non-dropping-particle":"","parse-names":false,"suffix":""},{"dropping-particle":"","family":"Lanehart","given":"RE","non-dropping-particle":"","parse-names":false,"suffix":""},{"dropping-particle":"","family":"Gil","given":"PR","non-dropping-particle":"","parse-names":false,"suffix":""},{"dropping-particle":"","family":"Kim","given":"ES","non-dropping-particle":"","parse-names":false,"suffix":""},{"dropping-particle":"","family":"Bellara","given":"AP","non-dropping-particle":"","parse-names":false,"suffix":""},{"dropping-particle":"","family":"Kromrey","given":"JD","non-dropping-particle":"","parse-names":false,"suffix":""},{"dropping-particle":"","family":"Lee","given":"RS","non-dropping-particle":"","parse-names":false,"suffix":""},{"dropping-particle":"","family":"Peduzzi","given":"P","non-dropping-particle":"","parse-names":false,"suffix":""},{"dropping-particle":"","family":"Concato","given":"J","non-dropping-particle":"","parse-names":false,"suffix":""},{"dropping-particle":"","family":"Feinstein","given":"A","non-dropping-particle":"","parse-names":false,"suffix":""},{"dropping-particle":"","family":"Holford","given":"T","non-dropping-particle":"","parse-names":false,"suffix":""},{"dropping-particle":"","family":"Jansen","given":"IAV","non-dropping-particle":"","parse-names":false,"suffix":""},{"dropping-particle":"","family":"Geskus","given":"RB","non-dropping-particle":"","parse-names":false,"suffix":""},{"dropping-particle":"","family":"Davidovich","given":"U","non-dropping-particle":"","parse-names":false,"suffix":""},{"dropping-particle":"","family":"Jurriaans","given":"S","non-dropping-particle":"","parse-names":false,"suffix":""},{"dropping-particle":"","family":"Coutinho","given":"RA","non-dropping-particle":"","parse-names":false,"suffix":""},{"dropping-particle":"","family":"Prins","given":"M","non-dropping-particle":"","parse-names":false,"suffix":""},{"dropping-particle":"","family":"Anderson","given":"C","non-dropping-particle":"","parse-names":false,"suffix":""},{"dropping-particle":"","family":"Gallo","given":"MF","non-dropping-particle":"","parse-names":false,"suffix":""},{"dropping-particle":"","family":"Hylton-Kong","given":"T","non-dropping-particle":"","parse-names":false,"suffix":""},{"dropping-particle":"","family":"Steiner","given":"MJ","non-dropping-particle":"","parse-names":false,"suffix":""},{"dropping-particle":"","family":"Hobbs","given":"MM","non-dropping-particle":"","parse-names":false,"suffix":""},{"dropping-particle":"","family":"Macaluso","given":"M","non-dropping-particle":"","parse-names":false,"suffix":""},{"dropping-particle":"","family":"Mayer","given":"KH","non-dropping-particle":"","parse-names":false,"suffix":""},{"dropping-particle":"","family":"Wang","given":"L","non-dropping-particle":"","parse-names":false,"suffix":""},{"dropping-particle":"","family":"Koblin","given":"B","non-dropping-particle":"","parse-names":false,"suffix":""},{"dropping-particle":"","family":"Mannheimer","given":"S","non-dropping-particle":"","parse-names":false,"suffix":""},{"dropping-particle":"","family":"Magnus","given":"M","non-dropping-particle":"","parse-names":false,"suffix":""},{"dropping-particle":"","family":"Rio","given":"C","non-dropping-particle":"","parse-names":false,"suffix":""},{"dropping-particle":"","family":"Sanders","given":"EJ","non-dropping-particle":"","parse-names":false,"suffix":""},{"dropping-particle":"","family":"Okuku","given":"HS","non-dropping-particle":"","parse-names":false,"suffix":""},{"dropping-particle":"","family":"Smith","given":"AD","non-dropping-particle":"","parse-names":false,"suffix":""},{"dropping-particle":"","family":"Mwangome","given":"M","non-dropping-particle":"","parse-names":false,"suffix":""},{"dropping-particle":"","family":"Wahome","given":"E","non-dropping-particle":"","parse-names":false,"suffix":""},{"dropping-particle":"","family":"Fegan","given":"G","non-dropping-particle":"","parse-names":false,"suffix":""},{"dropping-particle":"","family":"Sullivan","given":"PS","non-dropping-particle":"","parse-names":false,"suffix":""},{"dropping-particle":"","family":"Carballo-Diéguez","given":"A","non-dropping-particle":"","parse-names":false,"suffix":""},{"dropping-particle":"","family":"Coates","given":"T","non-dropping-particle":"","parse-names":false,"suffix":""},{"dropping-particle":"","family":"Goodreau","given":"SM","non-dropping-particle":"","parse-names":false,"suffix":""},{"dropping-particle":"","family":"McGowan","given":"I","non-dropping-particle":"","parse-names":false,"suffix":""},{"dropping-particle":"","family":"Sanders","given":"EJ","non-dropping-particle":"","parse-names":false,"suffix":""}],"container-title":"BMC Medical Research Methodology","id":"ITEM-1","issue":"1","issued":{"date-parts":[["2015","12","21"]]},"page":"25","publisher":"BioMed Central","title":"An application of propensity score weighting to quantify the causal effect of rectal sexually transmitted infections on incident HIV among men who have sex with men","type":"article-journal","volume":"15"},"uris":["http://www.mendeley.com/documents/?uuid=9f838d7d-4b58-42fe-9721-31df93595fb5"]}],"mendeley":{"formattedCitation":"&lt;sup&gt;36&lt;/sup&gt;","plainTextFormattedCitation":"36","previouslyFormattedCitation":"&lt;sup&gt;36&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36</w:t>
      </w:r>
      <w:r w:rsidRPr="0024409C">
        <w:rPr>
          <w:rFonts w:ascii="Helvetica Neue" w:hAnsi="Helvetica Neue"/>
        </w:rPr>
        <w:fldChar w:fldCharType="end"/>
      </w:r>
      <w:r w:rsidRPr="0024409C">
        <w:rPr>
          <w:rFonts w:ascii="Helvetica Neue" w:hAnsi="Helvetica Neue"/>
        </w:rPr>
        <w:t xml:space="preserve"> found that the hazard ratio for existing rectal NG or CT infection on HIV </w:t>
      </w:r>
      <w:proofErr w:type="spellStart"/>
      <w:r w:rsidRPr="0024409C">
        <w:rPr>
          <w:rFonts w:ascii="Helvetica Neue" w:hAnsi="Helvetica Neue"/>
        </w:rPr>
        <w:t>seroconversion</w:t>
      </w:r>
      <w:proofErr w:type="spellEnd"/>
      <w:r w:rsidRPr="0024409C">
        <w:rPr>
          <w:rFonts w:ascii="Helvetica Neue" w:hAnsi="Helvetica Neue"/>
        </w:rPr>
        <w:t xml:space="preserve"> was 2.7 (95% CI:1.2–6.4), and </w:t>
      </w:r>
      <w:proofErr w:type="spellStart"/>
      <w:r w:rsidRPr="0024409C">
        <w:rPr>
          <w:rFonts w:ascii="Helvetica Neue" w:hAnsi="Helvetica Neue"/>
        </w:rPr>
        <w:t>Pathela</w:t>
      </w:r>
      <w:proofErr w:type="spellEnd"/>
      <w:r w:rsidRPr="0024409C">
        <w:rPr>
          <w:rFonts w:ascii="Helvetica Neue" w:hAnsi="Helvetica Neue"/>
        </w:rPr>
        <w:t xml:space="preserve"> et al.</w:t>
      </w:r>
      <w:r w:rsidRPr="0024409C">
        <w:rPr>
          <w:rFonts w:ascii="Helvetica Neue" w:hAnsi="Helvetica Neue"/>
        </w:rPr>
        <w:fldChar w:fldCharType="begin" w:fldLock="1"/>
      </w:r>
      <w:r w:rsidR="00665BF2">
        <w:rPr>
          <w:rFonts w:ascii="Helvetica Neue" w:hAnsi="Helvetica Neue"/>
        </w:rPr>
        <w:instrText>ADDIN CSL_CITATION {"citationItems":[{"id":"ITEM-1","itemData":{"DOI":"10.1093/cid/cit437","ISSN":"1058-4838","author":[{"dropping-particle":"","family":"Pathela","given":"P.","non-dropping-particle":"","parse-names":false,"suffix":""},{"dropping-particle":"","family":"Braunstein","given":"S. L.","non-dropping-particle":"","parse-names":false,"suffix":""},{"dropping-particle":"","family":"Blank","given":"S.","non-dropping-particle":"","parse-names":false,"suffix":""},{"dropping-particle":"","family":"Schillinger","given":"J. A.","non-dropping-particle":"","parse-names":false,"suffix":""}],"container-title":"Clinical Infectious Diseases","id":"ITEM-1","issue":"8","issued":{"date-parts":[["2013","10","15"]]},"page":"1203-1209","title":"HIV Incidence Among Men With and Those Without Sexually Transmitted Rectal Infections: Estimates From Matching Against an HIV Case Registry","type":"article-journal","volume":"57"},"uris":["http://www.mendeley.com/documents/?uuid=87277f1b-c1a4-31c6-aee7-216703185ac9"]}],"mendeley":{"formattedCitation":"&lt;sup&gt;37&lt;/sup&gt;","plainTextFormattedCitation":"37","previouslyFormattedCitation":"&lt;sup&gt;37&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37</w:t>
      </w:r>
      <w:r w:rsidRPr="0024409C">
        <w:rPr>
          <w:rFonts w:ascii="Helvetica Neue" w:hAnsi="Helvetica Neue"/>
        </w:rPr>
        <w:fldChar w:fldCharType="end"/>
      </w:r>
      <w:r w:rsidRPr="0024409C">
        <w:rPr>
          <w:rFonts w:ascii="Helvetica Neue" w:hAnsi="Helvetica Neue"/>
        </w:rPr>
        <w:t xml:space="preserve"> estimated a similar risk ratio for the effect of rectal NG or CT infection on HIV </w:t>
      </w:r>
      <w:r w:rsidR="000174C4">
        <w:rPr>
          <w:rFonts w:ascii="Helvetica Neue" w:hAnsi="Helvetica Neue"/>
        </w:rPr>
        <w:t>transmission</w:t>
      </w:r>
      <w:r w:rsidRPr="0024409C">
        <w:rPr>
          <w:rFonts w:ascii="Helvetica Neue" w:hAnsi="Helvetica Neue"/>
        </w:rPr>
        <w:t>, which was slightly elevated over estimates not taking site-specific infection into account.</w:t>
      </w:r>
      <w:r w:rsidRPr="0024409C">
        <w:rPr>
          <w:rFonts w:ascii="Helvetica Neue" w:hAnsi="Helvetica Neue"/>
        </w:rPr>
        <w:fldChar w:fldCharType="begin" w:fldLock="1"/>
      </w:r>
      <w:r w:rsidR="00665BF2">
        <w:rPr>
          <w:rFonts w:ascii="Helvetica Neue" w:hAnsi="Helvetica Neue"/>
        </w:rPr>
        <w:instrText>ADDIN CSL_CITATION {"citationItems":[{"id":"ITEM-1","itemData":{"ISSN":"1537-4521","PMID":"23588125","abstract":"BACKGROUND Men who have sex with men (MSM) who have a current or recent history of rectal Chlamydia trachomatis (CT) and Neisseria gonorrhoeae (GC) infection are at greater risk for HIV than MSM with no history of rectal infection. Screening and treating MSM for rectal CT/GC infection may help reduce any increased biological susceptibility to HIV infection. METHODS We used 2 versions of a Markov state-transition model to examine the impact and cost-effectiveness of screening MSM for rectal CT/GC infection in San Francisco: a static version that included only the benefits to those screened and a dynamic version that accounted for population-level impacts of screening. HIV prevention through reduced susceptibility to HIV was the only potential benefit of rectal CT/GC screening that we included in our analysis. Parameter values were based on San Francisco program data and the literature. RESULTS In the base case, the cost per quality-adjusted life year gained through screening MSM for rectal CT/GC infection was $16,300 in the static version of the model. In the dynamic model, the cost per quality-adjusted life year gained was less than $0, meaning that rectal screening was cost-saving. The impact of rectal CT/GC infection on the risk of HIV acquisition was the most influential model parameter. CONCLUSIONS Although more information is needed regarding the impact of rectal CT/GC screening on HIV incidence, rectal CT/GC screening of MSM can potentially be a cost-effective, scalable intervention targeted to at-risk MSM in certain urban settings such as San Francisco.","author":[{"dropping-particle":"","family":"Chesson","given":"Harrell W","non-dropping-particle":"","parse-names":false,"suffix":""},{"dropping-particle":"","family":"Bernstein","given":"Kyle T","non-dropping-particle":"","parse-names":false,"suffix":""},{"dropping-particle":"","family":"Gift","given":"Thomas L","non-dropping-particle":"","parse-names":false,"suffix":""},{"dropping-particle":"","family":"Marcus","given":"Julia L","non-dropping-particle":"","parse-names":false,"suffix":""},{"dropping-particle":"","family":"Pipkin","given":"Sharon","non-dropping-particle":"","parse-names":false,"suffix":""},{"dropping-particle":"","family":"Kent","given":"Charlotte K","non-dropping-particle":"","parse-names":false,"suffix":""}],"container-title":"Sex Transm Dis","id":"ITEM-1","issue":"5","issued":{"date-parts":[["2013","5"]]},"page":"366-71","title":"The cost-effectiveness of screening men who have sex with men for rectal chlamydial and gonococcal infection to prevent HIV Infection.","type":"article-journal","volume":"40"},"uris":["http://www.mendeley.com/documents/?uuid=a4be3bae-bc0b-4f41-8839-b77815413a6f"]}],"mendeley":{"formattedCitation":"&lt;sup&gt;38&lt;/sup&gt;","plainTextFormattedCitation":"38","previouslyFormattedCitation":"&lt;sup&gt;38&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38</w:t>
      </w:r>
      <w:r w:rsidRPr="0024409C">
        <w:rPr>
          <w:rFonts w:ascii="Helvetica Neue" w:hAnsi="Helvetica Neue"/>
        </w:rPr>
        <w:fldChar w:fldCharType="end"/>
      </w:r>
      <w:r w:rsidRPr="0024409C">
        <w:rPr>
          <w:rFonts w:ascii="Helvetica Neue" w:hAnsi="Helvetica Neue"/>
        </w:rPr>
        <w:t xml:space="preserve"> Using these estimates, we established a </w:t>
      </w:r>
      <w:r w:rsidR="0008105C" w:rsidRPr="0024409C">
        <w:rPr>
          <w:rFonts w:ascii="Helvetica Neue" w:hAnsi="Helvetica Neue"/>
        </w:rPr>
        <w:t>Bayesian prior distribution of 1</w:t>
      </w:r>
      <w:r w:rsidRPr="0024409C">
        <w:rPr>
          <w:rFonts w:ascii="Helvetica Neue" w:hAnsi="Helvetica Neue"/>
        </w:rPr>
        <w:t>.</w:t>
      </w:r>
      <w:r w:rsidR="0008105C" w:rsidRPr="0024409C">
        <w:rPr>
          <w:rFonts w:ascii="Helvetica Neue" w:hAnsi="Helvetica Neue"/>
        </w:rPr>
        <w:t>5</w:t>
      </w:r>
      <w:r w:rsidRPr="0024409C">
        <w:rPr>
          <w:rFonts w:ascii="Helvetica Neue" w:hAnsi="Helvetica Neue"/>
        </w:rPr>
        <w:t xml:space="preserve">0–3.00 for the relative increase in per-act HIV </w:t>
      </w:r>
      <w:r w:rsidR="00D409C8">
        <w:rPr>
          <w:rFonts w:ascii="Helvetica Neue" w:hAnsi="Helvetica Neue"/>
        </w:rPr>
        <w:t>acquisition</w:t>
      </w:r>
      <w:r w:rsidR="000174C4" w:rsidRPr="0024409C">
        <w:rPr>
          <w:rFonts w:ascii="Helvetica Neue" w:hAnsi="Helvetica Neue"/>
        </w:rPr>
        <w:t xml:space="preserve"> </w:t>
      </w:r>
      <w:r w:rsidRPr="0024409C">
        <w:rPr>
          <w:rFonts w:ascii="Helvetica Neue" w:hAnsi="Helvetica Neue"/>
        </w:rPr>
        <w:t>risk for rectal STI infections, and 1.00–2.</w:t>
      </w:r>
      <w:r w:rsidR="0008105C" w:rsidRPr="0024409C">
        <w:rPr>
          <w:rFonts w:ascii="Helvetica Neue" w:hAnsi="Helvetica Neue"/>
        </w:rPr>
        <w:t>5</w:t>
      </w:r>
      <w:r w:rsidRPr="0024409C">
        <w:rPr>
          <w:rFonts w:ascii="Helvetica Neue" w:hAnsi="Helvetica Neue"/>
        </w:rPr>
        <w:t xml:space="preserve">0 for urethral STI infections. These estimates incorporate site-specific infection and assume an increased risk associated with rectal infection. </w:t>
      </w:r>
      <w:r w:rsidR="00A772D2" w:rsidRPr="0024409C">
        <w:rPr>
          <w:rFonts w:ascii="Helvetica Neue" w:hAnsi="Helvetica Neue"/>
        </w:rPr>
        <w:t xml:space="preserve">After model fitting, the estimated posterior multiplier values </w:t>
      </w:r>
      <w:r w:rsidR="00A772D2" w:rsidRPr="008C6FD9">
        <w:rPr>
          <w:rFonts w:ascii="Helvetica Neue" w:hAnsi="Helvetica Neue"/>
        </w:rPr>
        <w:t xml:space="preserve">for risk of HIV </w:t>
      </w:r>
      <w:r w:rsidR="00A772D2">
        <w:rPr>
          <w:rFonts w:ascii="Helvetica Neue" w:hAnsi="Helvetica Neue"/>
        </w:rPr>
        <w:t>acquisition</w:t>
      </w:r>
      <w:r w:rsidR="00A772D2" w:rsidRPr="0024409C">
        <w:rPr>
          <w:rFonts w:ascii="Helvetica Neue" w:hAnsi="Helvetica Neue"/>
        </w:rPr>
        <w:t xml:space="preserve"> </w:t>
      </w:r>
      <w:r w:rsidR="00A772D2" w:rsidRPr="008C6FD9">
        <w:rPr>
          <w:rFonts w:ascii="Helvetica Neue" w:hAnsi="Helvetica Neue"/>
        </w:rPr>
        <w:t>were</w:t>
      </w:r>
      <w:r w:rsidR="00A772D2">
        <w:rPr>
          <w:rFonts w:ascii="Helvetica Neue" w:hAnsi="Helvetica Neue"/>
        </w:rPr>
        <w:t xml:space="preserve"> 2.175918</w:t>
      </w:r>
      <w:r w:rsidR="00A772D2" w:rsidRPr="008C6FD9">
        <w:rPr>
          <w:rFonts w:ascii="Helvetica Neue" w:hAnsi="Helvetica Neue"/>
        </w:rPr>
        <w:t xml:space="preserve"> for NG </w:t>
      </w:r>
      <w:r w:rsidR="00A772D2">
        <w:rPr>
          <w:rFonts w:ascii="Helvetica Neue" w:hAnsi="Helvetica Neue"/>
        </w:rPr>
        <w:t>or</w:t>
      </w:r>
      <w:r w:rsidR="00A772D2" w:rsidRPr="008C6FD9">
        <w:rPr>
          <w:rFonts w:ascii="Helvetica Neue" w:hAnsi="Helvetica Neue"/>
        </w:rPr>
        <w:t xml:space="preserve"> CT at a rectal site, </w:t>
      </w:r>
      <w:r w:rsidR="00A772D2">
        <w:rPr>
          <w:rFonts w:ascii="Helvetica Neue" w:hAnsi="Helvetica Neue"/>
        </w:rPr>
        <w:t>and 1.564797</w:t>
      </w:r>
      <w:r w:rsidR="00A772D2" w:rsidRPr="008C6FD9">
        <w:rPr>
          <w:rFonts w:ascii="Helvetica Neue" w:hAnsi="Helvetica Neue"/>
        </w:rPr>
        <w:t xml:space="preserve"> for NG and CT</w:t>
      </w:r>
      <w:r w:rsidR="00A772D2">
        <w:rPr>
          <w:rFonts w:ascii="Helvetica Neue" w:hAnsi="Helvetica Neue"/>
        </w:rPr>
        <w:t xml:space="preserve"> at a urethral site</w:t>
      </w:r>
      <w:r w:rsidR="00A772D2" w:rsidRPr="0024409C">
        <w:rPr>
          <w:rFonts w:ascii="Helvetica Neue" w:hAnsi="Helvetica Neue"/>
        </w:rPr>
        <w:t>.</w:t>
      </w:r>
    </w:p>
    <w:p w14:paraId="36024618" w14:textId="123C4F37" w:rsidR="00EA384A" w:rsidRPr="0024409C" w:rsidRDefault="00827D41" w:rsidP="00574651">
      <w:pPr>
        <w:pStyle w:val="Heading2"/>
        <w:rPr>
          <w:rFonts w:ascii="Helvetica Neue" w:hAnsi="Helvetica Neue"/>
          <w:szCs w:val="22"/>
        </w:rPr>
      </w:pPr>
      <w:bookmarkStart w:id="32" w:name="_Toc466401460"/>
      <w:bookmarkStart w:id="33" w:name="_Toc2361389"/>
      <w:r w:rsidRPr="0024409C">
        <w:rPr>
          <w:rFonts w:ascii="Helvetica Neue" w:hAnsi="Helvetica Neue"/>
          <w:szCs w:val="22"/>
        </w:rPr>
        <w:t xml:space="preserve">8.3 </w:t>
      </w:r>
      <w:r>
        <w:rPr>
          <w:rFonts w:ascii="Helvetica Neue" w:hAnsi="Helvetica Neue"/>
          <w:szCs w:val="22"/>
        </w:rPr>
        <w:t>Chlamydia</w:t>
      </w:r>
      <w:r w:rsidR="00EA384A" w:rsidRPr="0024409C">
        <w:rPr>
          <w:rFonts w:ascii="Helvetica Neue" w:hAnsi="Helvetica Neue"/>
          <w:szCs w:val="22"/>
        </w:rPr>
        <w:t xml:space="preserve"> </w:t>
      </w:r>
      <w:r w:rsidR="00FD207A">
        <w:rPr>
          <w:rFonts w:ascii="Helvetica Neue" w:hAnsi="Helvetica Neue"/>
          <w:szCs w:val="22"/>
        </w:rPr>
        <w:t>Transmission</w:t>
      </w:r>
      <w:r w:rsidR="00EA384A" w:rsidRPr="0024409C">
        <w:rPr>
          <w:rFonts w:ascii="Helvetica Neue" w:hAnsi="Helvetica Neue"/>
          <w:szCs w:val="22"/>
        </w:rPr>
        <w:t xml:space="preserve"> Probability</w:t>
      </w:r>
      <w:bookmarkEnd w:id="32"/>
      <w:bookmarkEnd w:id="33"/>
    </w:p>
    <w:p w14:paraId="1047E462" w14:textId="4BBBFB16" w:rsidR="00EA384A" w:rsidRPr="0024409C" w:rsidRDefault="00EA384A" w:rsidP="00574651">
      <w:pPr>
        <w:spacing w:line="360" w:lineRule="auto"/>
        <w:rPr>
          <w:rFonts w:ascii="Helvetica Neue" w:hAnsi="Helvetica Neue"/>
        </w:rPr>
      </w:pPr>
      <w:r w:rsidRPr="0024409C">
        <w:rPr>
          <w:rFonts w:ascii="Helvetica Neue" w:hAnsi="Helvetica Neue"/>
        </w:rPr>
        <w:t>Estimated values of the per-sex-act CT transmission risk in previous STI-only and HIV/STI models have depended on whether the infection was symptomatic, the type of sex act, as well as the role and position of the infected partner. The baseline per-act CT transmission risk for heterosexual encounters has been estimated in multiple models, with the middle 50% of per-act probability estimates describing MTF transmission clustered between 0.09–0.20</w:t>
      </w:r>
      <w:r w:rsidRPr="0024409C">
        <w:rPr>
          <w:rFonts w:ascii="Helvetica Neue" w:hAnsi="Helvetica Neue"/>
        </w:rPr>
        <w:fldChar w:fldCharType="begin" w:fldLock="1"/>
      </w:r>
      <w:r w:rsidR="00291558">
        <w:rPr>
          <w:rFonts w:ascii="Helvetica Neue" w:hAnsi="Helvetica Neue"/>
        </w:rPr>
        <w:instrText>ADDIN CSL_CITATION {"citationItems":[{"id":"ITEM-1","itemData":{"ISSN":"1365-3156","PMID":"22035250","abstract":"OBJECTIVES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Health","id":"ITEM-1","issue":"2","issued":{"date-parts":[["2012","2"]]},"page":"161-8","title":"The role of sexually transmitted infections in the evolution of the South African HIV epidemic.","type":"article-journal","volume":"17"},"uris":["http://www.mendeley.com/documents/?uuid=0e1ea8f2-849f-41da-864c-66e864358726"]},{"id":"ITEM-2","itemData":{"ISSN":"0956-4624","PMID":"12803939","abstract":"The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another.","author":[{"dropping-particle":"","family":"Pinkerton","given":"S D","non-dropping-particle":"","parse-names":false,"suffix":""},{"dropping-particle":"","family":"Layde","given":"P M","non-dropping-particle":"","parse-names":false,"suffix":""},{"dropping-particle":"","family":"DiFranceisco","given":"W","non-dropping-particle":"","parse-names":false,"suffix":""},{"dropping-particle":"","family":"Chesson","given":"H W","non-dropping-particle":"","parse-names":false,"suffix":""},{"dropping-particle":"","family":"NIMH Multisite HIV Prevention Trial Group","given":"","non-dropping-particle":"","parse-names":false,"suffix":""}],"container-title":"Int J STD AIDS","id":"ITEM-2","issue":"5","issued":{"date-parts":[["2003","5"]]},"page":"320-8","title":"All STDs are not created equal: An analysis of the differential effects of sexual behaviour changes on different STDs","type":"article-journal","volume":"14"},"uris":["http://www.mendeley.com/documents/?uuid=52fb46aa-46a1-4af9-9eca-f3a2fe822614"]},{"id":"ITEM-3","itemData":{"ISSN":"1525-4135","PMID":"12352153","abstract":"Most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STD.","author":[{"dropping-particle":"","family":"Pinkerton","given":"Steven David","non-dropping-particle":"","parse-names":false,"suffix":""},{"dropping-particle":"","family":"Chesson","given":"Harrell Warren","non-dropping-particle":"","parse-names":false,"suffix":""},{"dropping-particle":"","family":"Layde","given":"Peter Mark","non-dropping-particle":"","parse-names":false,"suffix":""},{"dropping-particle":"","family":"National Institute of Mental Health Multisite HIV Prevention Trial Group","given":"","non-dropping-particle":"","parse-names":false,"suffix":""}],"container-title":"J Acquir Immune Defic Syndr","id":"ITEM-3","issue":"1","issued":{"date-parts":[["2002","9","1"]]},"page":"71-9","title":"Utility of behavioral changes as markers of sexually transmitted disease risk reduction in sexually transmitted disease/HIV prevention trials.","type":"article-journal","volume":"31"},"uris":["http://www.mendeley.com/documents/?uuid=4972f14e-cde3-40ed-a29b-99061b6c5d9f"]},{"id":"ITEM-4","itemData":{"ISSN":"0300-5771","author":[{"dropping-particle":"","family":"Stigum","given":"Hein","non-dropping-particle":"","parse-names":false,"suffix":""},{"dropping-particle":"","family":"Magnus","given":"Per","non-dropping-particle":"","parse-names":false,"suffix":""},{"dropping-particle":"","family":"Veierod","given":"Marit","non-dropping-particle":"","parse-names":false,"suffix":""},{"dropping-particle":"","family":"Bakketeig","given":"Leiv S","non-dropping-particle":"","parse-names":false,"suffix":""}],"container-title":"Int J Epidem","id":"ITEM-4","issue":"4","issued":{"date-parts":[["1995"]]},"page":"813-820","publisher":"Oxford University Press","title":"Impact on Sexually Transmitted Disease Spread of Increased Condom Use by Young Females, 1987–1992","type":"article-journal","volume":"24"},"uris":["http://www.mendeley.com/documents/?uuid=fc5b02b4-bb3e-4e0f-9e83-3adac47bbe37"]},{"id":"ITEM-5","itemData":{"ISSN":"1368-4973","PMID":"17012515","abstract":"BACKGROUND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author":[{"dropping-particle":"","family":"Vickerman","given":"P","non-dropping-particle":"","parse-names":false,"suffix":""},{"dropping-particle":"","family":"Watts","given":"C","non-dropping-particle":"","parse-names":false,"suffix":""},{"dropping-particle":"","family":"Peeling","given":"R W","non-dropping-particle":"","parse-names":false,"suffix":""},{"dropping-particle":"","family":"Mabey","given":"D","non-dropping-particle":"","parse-names":false,"suffix":""},{"dropping-particle":"","family":"Alary","given":"M","non-dropping-particle":"","parse-names":false,"suffix":""}],"container-title":"Sex Transm Infect","id":"ITEM-5","issue":"5","issued":{"date-parts":[["2006","10"]]},"page":"403-12","title":"Modelling the cost effectiveness of rapid point of care diagnostic tests for the control of HIV and other sexually transmitted infections among female sex workers.","type":"article-journal","volume":"82"},"uris":["http://www.mendeley.com/documents/?uuid=34653315-add2-4125-a9d5-d49b26f46065"]},{"id":"ITEM-6","itemData":{"ISSN":"1932-6203","PMID":"23251534","abstract":"Partner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STIs.","author":[{"dropping-particle":"","family":"Althaus","given":"Christian L","non-dropping-particle":"","parse-names":false,"suffix":""},{"dropping-particle":"","family":"Heijne","given":"Janneke C M","non-dropping-particle":"","parse-names":false,"suffix":""},{"dropping-particle":"","family":"Herzog","given":"Sereina A","non-dropping-particle":"","parse-names":false,"suffix":""},{"dropping-particle":"","family":"Roellin","given":"Adrian","non-dropping-particle":"","parse-names":false,"suffix":""},{"dropping-particle":"","family":"Low","given":"Nicola","non-dropping-particle":"","parse-names":false,"suffix":""}],"container-title":"PLoS ONE","id":"ITEM-6","issue":"12","issued":{"date-parts":[["2012"]]},"page":"e51438","title":"Individual and population level effects of partner notification for Chlamydia trachomatis.","type":"article-journal","volume":"7"},"uris":["http://www.mendeley.com/documents/?uuid=44fbd593-42c5-44d8-b09b-d3a92ac88f8b"]},{"id":"ITEM-7","itemData":{"ISSN":"0148-5717","PMID":"16601656","abstract":"OBJECTIVE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author":[{"dropping-particle":"","family":"Andersen","given":"Berit","non-dropping-particle":"","parse-names":false,"suffix":""},{"dropping-particle":"","family":"Gundgaard","given":"Jens","non-dropping-particle":"","parse-names":false,"suffix":""},{"dropping-particle":"","family":"Kretzschmar","given":"Mirjam","non-dropping-particle":"","parse-names":false,"suffix":""},{"dropping-particle":"","family":"Olsen","given":"Jens","non-dropping-particle":"","parse-names":false,"suffix":""},{"dropping-particle":"","family":"Welte","given":"Robert","non-dropping-particle":"","parse-names":false,"suffix":""},{"dropping-particle":"","family":"Oster-Gaard","given":"Lars","non-dropping-particle":"","parse-names":false,"suffix":""}],"container-title":"Sex Transm Dis","id":"ITEM-7","issue":"7","issued":{"date-parts":[["2006","7"]]},"page":"407-15","title":"Prediction of costs, effectiveness, and disease control of a population-based program using home sampling for diagnosis of urogenital Chlamydia trachomatis infections","type":"article-journal","volume":"33"},"uris":["http://www.mendeley.com/documents/?uuid=ad4655e6-1796-4a64-b0b1-a55b81b1875a"]},{"id":"ITEM-8","itemData":{"ISSN":"1742-4682","PMID":"24476335","abstract":"Transmission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author":[{"dropping-particle":"","family":"Davies","given":"Bethan","non-dropping-particle":"","parse-names":false,"suffix":""},{"dropping-particle":"","family":"Anderson","given":"Sarah-Jane","non-dropping-particle":"","parse-names":false,"suffix":""},{"dropping-particle":"","family":"Turner","given":"Katy M E","non-dropping-particle":"","parse-names":false,"suffix":""},{"dropping-particle":"","family":"Ward","given":"Helen","non-dropping-particle":"","parse-names":false,"suffix":""}],"container-title":"Theor Biol Med Model","id":"ITEM-8","issued":{"date-parts":[["2014"]]},"page":"8","title":"How robust are the natural history parameters used in chlamydia transmission dynamic models? A systematic review.","type":"article-journal","volume":"11"},"uris":["http://www.mendeley.com/documents/?uuid=f90fe104-71cf-4538-a950-a8847e13cd93"]},{"id":"ITEM-9","itemData":{"ISSN":"1472-3263","PMID":"22683893","abstract":"OBJECTIVES The objective of this study was to determine the optimal time interval for a repeated Chlamydia trachomatis (chlamydia) test. METHODS The authors used claims data for US women aged 15-25 years who were enrolled in commercial health insurance plans in the MarketScan database between 2002 and 2006. The authors determined the numbers of initial positive and negative tests that were followed by a repeated test and the positivity of repeated tests. The authors used a dynamic transmission pair model that reflects the partnership formation and separation processes in 15-25 year olds to determine the time course of repeated infections in women under different levels of notifying the current partner. The authors then explored the additional impact of repeated testing uptake on reducing chlamydia prevalence. RESULTS 40% (4949/12 413) of positive tests were followed by a repeated test compared with 22% (89 119/402 659) of negative tests at any time. Positivity of repeated tests followed by an initial positive test was high: 15% (736) after a positive test versus 3% (2886) after a negative test. The transmission model showed a peak in repeated infections between 2 and 5 months after treatment. For a chlamydia testing uptake of 10% per year, the additional impact of repeated testing on reducing chlamydia population prevalence was modest. CONCLUSIONS The mathematical model predictions support the recommended interval for repeat chlamydia testing. This study provides information that can be used to design randomised controlled trials to determine more effective interventions to prevent chlamydial reinfection.","author":[{"dropping-particle":"","family":"Heijne","given":"Janneke Cornelia Maria","non-dropping-particle":"","parse-names":false,"suffix":""},{"dropping-particle":"","family":"Herzog","given":"Sereina Annik","non-dropping-particle":"","parse-names":false,"suffix":""},{"dropping-particle":"","family":"Althaus","given":"Christian Lorenz","non-dropping-particle":"","parse-names":false,"suffix":""},{"dropping-particle":"","family":"Tao","given":"Guoyu","non-dropping-particle":"","parse-names":false,"suffix":""},{"dropping-particle":"","family":"Kent","given":"Charlotte Kathleen","non-dropping-particle":"","parse-names":false,"suffix":""},{"dropping-particle":"","family":"Low","given":"Nicola","non-dropping-particle":"","parse-names":false,"suffix":""}],"container-title":"Sex Transm Infect","id":"ITEM-9","issue":"1","issued":{"date-parts":[["2013","2"]]},"page":"57-62","title":"Insights into the timing of repeated testing after treatment for Chlamydia trachomatis: data and modelling study.","type":"article-journal","volume":"89"},"uris":["http://www.mendeley.com/documents/?uuid=9698cc20-2eec-4f3d-a54d-c48f804eb8ae"]},{"id":"ITEM-10","itemData":{"ISSN":"1471-2334","PMID":"23618061","abstract":"BACKGROUND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Dis","id":"ITEM-10","issued":{"date-parts":[["2013"]]},"page":"188","title":"Population movement can sustain STI prevalence in remote Australian indigenous communities.","type":"article-journal","volume":"13"},"uris":["http://www.mendeley.com/documents/?uuid=439c8ade-8864-4f5e-9dff-966b3d367e00"]},{"id":"ITEM-11","itemData":{"ISSN":"1537-4521","PMID":"22504590","abstract":"OBJECTIVES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author":[{"dropping-particle":"","family":"Kretzschmar","given":"Mirjam","non-dropping-particle":"","parse-names":false,"suffix":""},{"dropping-particle":"","family":"Satterwhite","given":"Catherine","non-dropping-particle":"","parse-names":false,"suffix":""},{"dropping-particle":"","family":"Leichliter","given":"Jami","non-dropping-particle":"","parse-names":false,"suffix":""},{"dropping-particle":"","family":"Berman","given":"Stuart","non-dropping-particle":"","parse-names":false,"suffix":""}],"container-title":"Sex Transm Dis","id":"ITEM-11","issue":"5","issued":{"date-parts":[["2012","5"]]},"page":"325-31","title":"Effects of screening and partner notification on Chlamydia positivity in the United States: a modeling study.","type":"article-journal","volume":"39"},"uris":["http://www.mendeley.com/documents/?uuid=9e28b657-b832-4f92-822f-ede371cccbda"]},{"id":"ITEM-12","itemData":{"ISSN":"0002-9262","PMID":"11159151","abstract":"The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author":[{"dropping-particle":"","family":"Kretzschmar","given":"M","non-dropping-particle":"","parse-names":false,"suffix":""},{"dropping-particle":"","family":"Welte","given":"R","non-dropping-particle":"","parse-names":false,"suffix":""},{"dropping-particle":"","family":"Hoek","given":"A","non-dropping-particle":"van den","parse-names":false,"suffix":""},{"dropping-particle":"","family":"Postma","given":"M J","non-dropping-particle":"","parse-names":false,"suffix":""}],"container-title":"Am J Epidemiol","id":"ITEM-12","issue":"1","issued":{"date-parts":[["2001","1","1"]]},"page":"90-101","title":"Comparative model-based analysis of screening programs for Chlamydia trachomatis infections.","type":"article-journal","volume":"153"},"uris":["http://www.mendeley.com/documents/?uuid=37158024-4fed-4aa7-8960-1c7d1c10b124"]},{"id":"ITEM-13","itemData":{"ISSN":"0148-5717","PMID":"16041248","abstract":"OBJECTIVE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author":[{"dropping-particle":"","family":"Welte","given":"Robert","non-dropping-particle":"","parse-names":false,"suffix":""},{"dropping-particle":"","family":"Postma","given":"Maarten","non-dropping-particle":"","parse-names":false,"suffix":""},{"dropping-particle":"","family":"Leidl","given":"Reiner","non-dropping-particle":"","parse-names":false,"suffix":""},{"dropping-particle":"","family":"Kretzschmar","given":"Mirjam","non-dropping-particle":"","parse-names":false,"suffix":""}],"container-title":"Sex Transm Dis","id":"ITEM-13","issue":"8","issued":{"date-parts":[["2005","8"]]},"page":"474-83","title":"Costs and effects of chlamydial screening: dynamic versus static modeling.","type":"article-journal","volume":"32"},"uris":["http://www.mendeley.com/documents/?uuid=450d2aca-0702-33b7-a297-9c0c2cb83c3b","http://www.mendeley.com/documents/?uuid=e09e3f5e-a85f-4dde-85a0-b1861d31674c"]},{"id":"ITEM-14","itemData":{"ISSN":"1742-4682","PMID":"16426453","abstract":"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makers.","author":[{"dropping-particle":"","family":"Turner","given":"Katherine M E","non-dropping-particle":"","parse-names":false,"suffix":""},{"dropping-particle":"","family":"Adams","given":"Elisabeth J","non-dropping-particle":"","parse-names":false,"suffix":""},{"dropping-particle":"","family":"Gay","given":"Nigel","non-dropping-particle":"","parse-names":false,"suffix":""},{"dropping-particle":"","family":"Ghani","given":"Azra C","non-dropping-particle":"","parse-names":false,"suffix":""},{"dropping-particle":"","family":"Mercer","given":"Catherine","non-dropping-particle":"","parse-names":false,"suffix":""},{"dropping-particle":"","family":"Edmunds","given":"W John","non-dropping-particle":"","parse-names":false,"suffix":""}],"container-title":"Theor Biol Med Model","id":"ITEM-14","issued":{"date-parts":[["2006"]]},"page":"3","title":"Developing a realistic sexual network model of chlamydia transmission in Britain.","type":"article-journal","volume":"3"},"uris":["http://www.mendeley.com/documents/?uuid=d5089e58-930f-47f0-8958-55ecbfb070a5"]},{"id":"ITEM-15","itemData":{"ISSN":"1368-4973","author":[{"dropping-particle":"","family":"Johnson","given":"L.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Infect","id":"ITEM-15","issue":"3","issued":{"date-parts":[["2010","6","1"]]},"page":"169-174","title":"A Bayesian approach to uncertainty analysis of sexually transmitted infection models","type":"article-journal","volume":"86"},"uris":["http://www.mendeley.com/documents/?uuid=31e9dca7-f246-4670-9001-4c78d9774ec7"]}],"mendeley":{"formattedCitation":"&lt;sup&gt;39–53&lt;/sup&gt;","plainTextFormattedCitation":"39–53","previouslyFormattedCitation":"&lt;sup&gt;39–53&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39–53</w:t>
      </w:r>
      <w:r w:rsidRPr="0024409C">
        <w:rPr>
          <w:rFonts w:ascii="Helvetica Neue" w:hAnsi="Helvetica Neue"/>
        </w:rPr>
        <w:fldChar w:fldCharType="end"/>
      </w:r>
      <w:r w:rsidRPr="0024409C">
        <w:rPr>
          <w:rFonts w:ascii="Helvetica Neue" w:hAnsi="Helvetica Neue"/>
        </w:rPr>
        <w:t xml:space="preserve"> with a wider range of 0.025 to 0.6.</w:t>
      </w:r>
      <w:r w:rsidRPr="0024409C">
        <w:rPr>
          <w:rFonts w:ascii="Helvetica Neue" w:hAnsi="Helvetica Neue"/>
        </w:rPr>
        <w:fldChar w:fldCharType="begin" w:fldLock="1"/>
      </w:r>
      <w:r w:rsidR="00665BF2">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1"},"uris":["http://www.mendeley.com/documents/?uuid=7e2d643a-2494-4c7a-a5d0-ab0e53ceb072"]},{"id":"ITEM-2","itemData":{"ISSN":"1552-3926","PMID":"22201639","abstract":"A mathematical model of HIV/sexually transmitted infections (STI) transmission was used to examine how linearity or nonlinearity in the relationship between the number of unprotected sex acts (or the number of sex partners) and the risk of acquiring HIV or a highly infectious STI (such as gonorrhea or chlamydia) affects the utility of sexual behavior change measures as indicators of the effectiveness of HIV/STI risk-reduction interventions. Findings indicate that the risk of acquiring HIV through vaginal intercourse is essentially a linear function of the number of unprotected sex acts and is nearly independent of the number of sex partners. Consequently, the number of unprotected sex acts is an excellent marker for the risk of acquiring HIV through vaginal intercourse, whereas the number of sex partners is largely uninformative. In general, the number of unprotected sex acts is not an adequate marker for the risk of acquiring a highly infectious STI due to the highly nonlinear per act transmission dynamics of these STIs. The number of sex partners is a reasonable indicator of STI risk only under highly circumscribed conditions. A theoretical explanation for this pattern of results is provided. The contrasting extent to which HIV and highly infectious STIs deviate from the linearity assumption that underlies sexual behavior outcome measures has important implications for the use of these measures to assess the effectiveness of HIV/STI risk-reduction interventions.","author":[{"dropping-particle":"","family":"Pinkerton","given":"Steven D","non-dropping-particle":"","parse-names":false,"suffix":""},{"dropping-particle":"","family":"Chesson","given":"Harrell W","non-dropping-particle":"","parse-names":false,"suffix":""},{"dropping-particle":"","family":"Crosby","given":"Richard A","non-dropping-particle":"","parse-names":false,"suffix":""},{"dropping-particle":"","family":"Layde","given":"Peter M","non-dropping-particle":"","parse-names":false,"suffix":""}],"container-title":"Evaluation review","id":"ITEM-2","issue":"5","issued":{"date-parts":[["2011","10"]]},"page":"550-65","title":"Linearity and nonlinearity in HIV/STI transmission: implications for the evaluation of sexual risk reduction interventions.","type":"article-journal","volume":"35"},"uris":["http://www.mendeley.com/documents/?uuid=2aa0763d-848f-3348-90c5-3f86a6c79f36","http://www.mendeley.com/documents/?uuid=ba33c3b9-70d4-4605-87be-949d735dc67a"]},{"id":"ITEM-3","itemData":{"ISSN":"0265-0746","PMID":"1517673","abstract":"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gonorrhoea.","author":[{"dropping-particle":"","family":"Swinton","given":"J","non-dropping-particle":"","parse-names":false,"suffix":""},{"dropping-particle":"","family":"Garnett","given":"G P","non-dropping-particle":"","parse-names":false,"suffix":""},{"dropping-particle":"","family":"Brunham","given":"R C","non-dropping-particle":"","parse-names":false,"suffix":""},{"dropping-particle":"","family":"Anderson","given":"R M","non-dropping-particle":"","parse-names":false,"suffix":""}],"container-title":"IMA J Math Appl Med Biol","id":"ITEM-3","issue":"2","issued":{"date-parts":[["1992"]]},"page":"107-26","title":"Gonococcal infection, infertility, and population growth: I. Endemic states in behaviourally homogeneous growing populations.","type":"article-journal","volume":"9"},"uris":["http://www.mendeley.com/documents/?uuid=54b6137f-184c-3b3a-a9e5-1d7a30ac7f97","http://www.mendeley.com/documents/?uuid=a9f6bed3-5634-43ba-b20e-a0b8932feab2"]},{"id":"ITEM-4","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Dis","id":"ITEM-4","issue":"10","issued":{"date-parts":[["2013","10"]]},"page":"776-83","title":"Cost-effectiveness of screening men in Maricopa County jails for chlamydia and gonorrhea to avert infections in women.","type":"article-journal","volume":"40"},"uris":["http://www.mendeley.com/documents/?uuid=ffb1178c-a6e8-4076-8f5b-4bfe4e98d860"]},{"id":"ITEM-5","itemData":{"ISSN":"0022-1899","PMID":"19432550","abstract":"BACKGROUND We investigated the likely impact of vaccines on the prevalence of and morbidity due to Chlamydia trachomatis (chlamydia) infections in heterosexual populations. METHODS An individual-based mathematical model of chlamydia transmission was developed and linked to the infection course in chlamydia-infected individuals. The model describes the impact of a vaccine through its effect on the chlamydial load required to infect susceptible individuals (the \"critical load\"), the load in infected individuals, and their subsequent infectiousness. The model was calibrated using behavioral, biological, and clinical data. RESULTS A fully protective chlamydia vaccine administered before sexual debut can theoretically eliminate chlamydia epidemics within 20 years. Partially effective vaccines can still greatly reduce the incidence of chlamydia infection. Vaccines should aim primarily to increase the critical load in susceptible individuals and secondarily to decrease the peak load and/or the duration of infection in vaccinated individuals who become infected. Vaccinating both sexes has a beneficial impact on chlamydia-related morbidity, but targeting women is more effective than targeting men. CONCLUSIONS Our findings can be used in laboratory settings to evaluate vaccine candidates in animal models, by regulatory bodies in the promotion of candidates for clinical trials, and by public health authorities in deciding on optimal intervention strategies.","author":[{"dropping-particle":"","family":"Gray","given":"Richard T","non-dropping-particle":"","parse-names":false,"suffix":""},{"dropping-particle":"","family":"Beagley","given":"Kenneth W","non-dropping-particle":"","parse-names":false,"suffix":""},{"dropping-particle":"","family":"Timms","given":"Peter","non-dropping-particle":"","parse-names":false,"suffix":""},{"dropping-particle":"","family":"Wilson","given":"David P","non-dropping-particle":"","parse-names":false,"suffix":""}],"container-title":"J Inf Dis","id":"ITEM-5","issue":"11","issued":{"date-parts":[["2009","6"]]},"page":"1680-8","title":"Modeling the impact of potential vaccines on epidemics of sexually transmitted Chlamydia trachomatis infection.","type":"article-journal","volume":"199"},"uris":["http://www.mendeley.com/documents/?uuid=30257bd5-5f99-38b8-a1d8-dabd11bf07b4","http://www.mendeley.com/documents/?uuid=b8f7da0c-a8c0-45b8-b274-a0d3b3bc2eb6"]},{"id":"ITEM-6","itemData":{"ISSN":"1553-7358","PMID":"22570594","abstract":"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author":[{"dropping-particle":"V","family":"Schmid","given":"Boris","non-dropping-particle":"","parse-names":false,"suffix":""},{"dropping-particle":"","family":"Kretzschmar","given":"Mirjam","non-dropping-particle":"","parse-names":false,"suffix":""}],"container-title":"PLoS Comput Biol","id":"ITEM-6","issue":"4","issued":{"date-parts":[["2012"]]},"page":"e1002470","title":"Determinants of sexual network structure and their impact on cumulative network measures.","type":"article-journal","volume":"8"},"uris":["http://www.mendeley.com/documents/?uuid=5decc760-231c-3da7-ae50-cbe56f48b440","http://www.mendeley.com/documents/?uuid=a1e755bd-090b-4a64-adb0-52e0b3ce18c7"]},{"id":"ITEM-7","itemData":{"ISSN":"1472-3263","PMID":"24273127","abstract":"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£103.9 million compared with £115.6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treatment.","author":[{"dropping-particle":"","family":"Turner","given":"Katherine M E","non-dropping-particle":"","parse-names":false,"suffix":""},{"dropping-particle":"","family":"Round","given":"Jeff","non-dropping-particle":"","parse-names":false,"suffix":""},{"dropping-particle":"","family":"Horner","given":"Patrick","non-dropping-particle":"","parse-names":false,"suffix":""},{"dropping-particle":"","family":"Macleod","given":"John","non-dropping-particle":"","parse-names":false,"suffix":""},{"dropping-particle":"","family":"Goldenberg","given":"Simon","non-dropping-particle":"","parse-names":false,"suffix":""},{"dropping-particle":"","family":"Deol","given":"Arminder","non-dropping-particle":"","parse-names":false,"suffix":""},{"dropping-particle":"","family":"Adams","given":"Elisabeth J","non-dropping-particle":"","parse-names":false,"suffix":""}],"container-title":"Sex Transm Infect","id":"ITEM-7","issue":"2","issued":{"date-parts":[["2014","3"]]},"page":"104-11","title":"An early evaluation of clinical and economic costs and benefits of implementing point of care NAAT tests for Chlamydia trachomatis and Neisseria gonorrhoea in genitourinary medicine clinics in England.","type":"article-journal","volume":"90"},"uris":["http://www.mendeley.com/documents/?uuid=a5843ce2-3049-36bd-81de-6855a2dcb6c5","http://www.mendeley.com/documents/?uuid=839e0394-dfc6-4cc9-a76a-47483ec8b07d"]},{"id":"ITEM-8","itemData":{"ISSN":"1368-4973","PMID":"17151036","abstract":"BACKGROUND Several developed countries have initiated chlamydia screening programmes. Screening for a sexually transmitted infection has both direct individual and indirect population-wide effects. Mathematical models can incorporate these non-linear effects and estimate the likely impact of different screening programmes and identify areas where more data are needed. METHODS A stochastic, individual based dynamic network model, parameterised from UK screening studies and data on sexual behaviour and chlamydia epidemiology, was used to investigate the likely impact of opportunistic screening on chlamydia prevalence. Three main strategies were considered for &lt;25 year olds: (1) annual offer to women; (2) annual offer to women or if changed partner within last 6 months; (3) annual offer to men and women. Sensitivity analyses were performed for key screening parameters including uptake rate, targeted age range, percentage of partners notified, and screening interval. RESULTS Under strategy 1, continuous opportunistic screening of women &lt;25 years of age is expected to reduce the population prevalence by over 50% after 5 years. Prevalence is also expected to decrease in unscreened older women and in men. For all three strategies screening those aged over 25 results in small additional reductions in prevalence. Including men led to a faster and greater reduction in overall prevalence, but involved approximately twice as many tests as strategy 1 and 10% more than strategy 2. The frequency of attendance at healthcare sites limits the number of opportunities to screen and the effect of changing the screening interval. CONCLUSIONS The model suggests that continuous opportunistic screening at high uptake rates could significantly reduced chlamydia prevalence within a few years. Opportunistic programmes depend on regular attendance at healthcare providers, but there is a lack of high quality data on patterns of attendance. Inequalities in coverage may result in a less efficient and less equitable outcome.","author":[{"dropping-particle":"","family":"Turner","given":"K M E","non-dropping-particle":"","parse-names":false,"suffix":""},{"dropping-particle":"","family":"Adams","given":"E J","non-dropping-particle":"","parse-names":false,"suffix":""},{"dropping-particle":"","family":"Lamontagne","given":"D S","non-dropping-particle":"","parse-names":false,"suffix":""},{"dropping-particle":"","family":"Emmett","given":"L","non-dropping-particle":"","parse-names":false,"suffix":""},{"dropping-particle":"","family":"Baster","given":"K","non-dropping-particle":"","parse-names":false,"suffix":""},{"dropping-particle":"","family":"Edmunds","given":"W J","non-dropping-particle":"","parse-names":false,"suffix":""}],"container-title":"Sex Transm Infect","id":"ITEM-8","issue":"6","issued":{"date-parts":[["2006","12"]]},"page":"496-502","title":"Modelling the effectiveness of chlamydia screening in England.","type":"article-journal","volume":"82"},"uris":["http://www.mendeley.com/documents/?uuid=3fae35ac-da4e-3e19-968e-7807db9e3f34","http://www.mendeley.com/documents/?uuid=0adc53e8-21ac-464f-a345-005c96085f03"]}],"mendeley":{"formattedCitation":"&lt;sup&gt;54–61&lt;/sup&gt;","plainTextFormattedCitation":"54–61","previouslyFormattedCitation":"&lt;sup&gt;54–61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54–61</w:t>
      </w:r>
      <w:r w:rsidRPr="0024409C">
        <w:rPr>
          <w:rFonts w:ascii="Helvetica Neue" w:hAnsi="Helvetica Neue"/>
        </w:rPr>
        <w:fldChar w:fldCharType="end"/>
      </w:r>
      <w:r w:rsidRPr="0024409C">
        <w:rPr>
          <w:rFonts w:ascii="Helvetica Neue" w:hAnsi="Helvetica Neue"/>
        </w:rPr>
        <w:t xml:space="preserve"> Estimated per-act transmission risk was generally higher in non-main partnerships when models incorporated or characterized different risk estimates by partnership types.</w:t>
      </w:r>
      <w:r w:rsidRPr="0024409C">
        <w:rPr>
          <w:rFonts w:ascii="Helvetica Neue" w:hAnsi="Helvetica Neue"/>
        </w:rPr>
        <w:fldChar w:fldCharType="begin" w:fldLock="1"/>
      </w:r>
      <w:r w:rsidR="00291558">
        <w:rPr>
          <w:rFonts w:ascii="Helvetica Neue" w:hAnsi="Helvetica Neue"/>
        </w:rPr>
        <w:instrText>ADDIN CSL_CITATION {"citationItems":[{"id":"ITEM-1","itemData":{"ISSN":"1932-6203","PMID":"23251534","abstract":"Partner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STIs.","author":[{"dropping-particle":"","family":"Althaus","given":"Christian L","non-dropping-particle":"","parse-names":false,"suffix":""},{"dropping-particle":"","family":"Heijne","given":"Janneke C M","non-dropping-particle":"","parse-names":false,"suffix":""},{"dropping-particle":"","family":"Herzog","given":"Sereina A","non-dropping-particle":"","parse-names":false,"suffix":""},{"dropping-particle":"","family":"Roellin","given":"Adrian","non-dropping-particle":"","parse-names":false,"suffix":""},{"dropping-particle":"","family":"Low","given":"Nicola","non-dropping-particle":"","parse-names":false,"suffix":""}],"container-title":"PLoS ONE","id":"ITEM-1","issue":"12","issued":{"date-parts":[["2012"]]},"page":"e51438","title":"Individual and population level effects of partner notification for Chlamydia trachomatis.","type":"article-journal","volume":"7"},"uris":["http://www.mendeley.com/documents/?uuid=44fbd593-42c5-44d8-b09b-d3a92ac88f8b"]}],"mendeley":{"formattedCitation":"&lt;sup&gt;49&lt;/sup&gt;","plainTextFormattedCitation":"49","previouslyFormattedCitation":"&lt;sup&gt;49&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49</w:t>
      </w:r>
      <w:r w:rsidRPr="0024409C">
        <w:rPr>
          <w:rFonts w:ascii="Helvetica Neue" w:hAnsi="Helvetica Neue"/>
        </w:rPr>
        <w:fldChar w:fldCharType="end"/>
      </w:r>
      <w:r w:rsidRPr="0024409C">
        <w:rPr>
          <w:rFonts w:ascii="Helvetica Neue" w:hAnsi="Helvetica Neue"/>
        </w:rPr>
        <w:t xml:space="preserve"> Per-partnership transmission risk estimates ranged widely from 0.09 to 0.7,</w:t>
      </w:r>
      <w:r w:rsidRPr="0024409C">
        <w:rPr>
          <w:rFonts w:ascii="Helvetica Neue" w:hAnsi="Helvetica Neue"/>
        </w:rPr>
        <w:fldChar w:fldCharType="begin" w:fldLock="1"/>
      </w:r>
      <w:r w:rsidR="00291558">
        <w:rPr>
          <w:rFonts w:ascii="Helvetica Neue" w:hAnsi="Helvetica Neue"/>
        </w:rPr>
        <w:instrText>ADDIN CSL_CITATION {"citationItems":[{"id":"ITEM-1","itemData":{"ISSN":"1537-4521","PMID":"22504608","abstract":"There is a lack of a common concept on how to estimate transmissibility of Chlamydia trachomatis from cross-sectional sexual partnership studies. Using a mathematical model that takes into account the dynamics of chlamydia transmission and sexual partnership formation, we report refined estimates of chlamydia transmissibility in heterosexual partnerships.","author":[{"dropping-particle":"","family":"Althaus","given":"Christian L","non-dropping-particle":"","parse-names":false,"suffix":""},{"dropping-particle":"","family":"Heijne","given":"Janneke C M","non-dropping-particle":"","parse-names":false,"suffix":""},{"dropping-particle":"","family":"Low","given":"Nicola","non-dropping-particle":"","parse-names":false,"suffix":""}],"container-title":"Sex Transm Dis","id":"ITEM-1","issue":"5","issued":{"date-parts":[["2012","5"]]},"page":"402-4","title":"Towards more robust estimates of the transmissibility of Chlamydia trachomatis.","type":"article-journal","volume":"39"},"uris":["http://www.mendeley.com/documents/?uuid=f82eda26-4396-4abf-a07c-638091ec53b6"]},{"id":"ITEM-2","itemData":{"ISSN":"0148-5717","PMID":"11984448","abstract":"BACKGROUND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STDs.","author":[{"dropping-particle":"","family":"Pinkerton","given":"Steven D","non-dropping-particle":"","parse-names":false,"suffix":""},{"dropping-particle":"","family":"Layde","given":"Peter M","non-dropping-particle":"","parse-names":false,"suffix":""},{"dropping-particle":"","family":"NIMH multisite HIV prevention trial group","given":"","non-dropping-particle":"","parse-names":false,"suffix":""}],"container-title":"Sex Transm Dis","id":"ITEM-2","issue":"5","issued":{"date-parts":[["2002","5"]]},"page":"298-307","title":"Using sexually transmitted disease incidence as a surrogate marker for HIV incidence in prevention trials: a modeling study.","type":"article-journal","volume":"29"},"uris":["http://www.mendeley.com/documents/?uuid=ee316a28-9acf-468c-8cc4-aa064d938629"]},{"id":"ITEM-3","itemData":{"ISSN":"1873-2607","PMID":"26952078","abstract":"INTRODUCTION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care.","author":[{"dropping-particle":"","family":"Owusu-Edusei","given":"Kwame","non-dropping-particle":"","parse-names":false,"suffix":""},{"dropping-particle":"","family":"Hoover","given":"Karen W","non-dropping-particle":"","parse-names":false,"suffix":""},{"dropping-particle":"","family":"Gift","given":"Thomas L","non-dropping-particle":"","parse-names":false,"suffix":""}],"container-title":"Am J Prev Med","id":"ITEM-3","issue":"2","issued":{"date-parts":[["2016","8"]]},"page":"216-24","title":"Cost-effectiveness of opt-out chlamydia testing for high-risk young women in the US","type":"article-journal","volume":"51"},"uris":["http://www.mendeley.com/documents/?uuid=9fdf9f8a-a31a-4318-b59a-dcc965726109"]},{"id":"ITEM-4","itemData":{"ISSN":"1098-3015","PMID":"16441519","abstract":"OBJECTIVE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CT.","author":[{"dropping-particle":"","family":"Vries","given":"Robin","non-dropping-particle":"de","parse-names":false,"suffix":""},{"dropping-particle":"","family":"Bergen","given":"Jan E A M","non-dropping-particle":"van","parse-names":false,"suffix":""},{"dropping-particle":"","family":"Jong-van den Berg","given":"Lolkje T W","non-dropping-particle":"de","parse-names":false,"suffix":""},{"dropping-particle":"","family":"Postma","given":"Maarten J","non-dropping-particle":"","parse-names":false,"suffix":""},{"dropping-particle":"","family":"PILOT-CT Study Group","given":"","non-dropping-particle":"","parse-names":false,"suffix":""}],"container-title":"Value Health","id":"ITEM-4","issue":"1","issued":{"date-parts":[["2006"]]},"page":"1-11","title":"Systematic screening for Chlamydia trachomatis: estimating cost-effectiveness using dynamic modeling and Dutch data.","type":"article-journal","volume":"9"},"uris":["http://www.mendeley.com/documents/?uuid=e6b2746c-5513-35bc-a1ee-f7a7254cb93e","http://www.mendeley.com/documents/?uuid=61604c03-0238-4209-a717-7a9a4a4c0970"]},{"id":"ITEM-5","itemData":{"ISSN":"0148-5717","PMID":"16041248","abstract":"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author":[{"dropping-particle":"","family":"Welte","given":"Robert","non-dropping-particle":"","parse-names":false,"suffix":""},{"dropping-particle":"","family":"Postma","given":"Maarten","non-dropping-particle":"","parse-names":false,"suffix":""},{"dropping-particle":"","family":"Leidl","given":"Reiner","non-dropping-particle":"","parse-names":false,"suffix":""},{"dropping-particle":"","family":"Kretzschmar","given":"Mirjam","non-dropping-particle":"","parse-names":false,"suffix":""}],"container-title":"Sex Transm Dis","id":"ITEM-5","issue":"8","issued":{"date-parts":[["2005","8"]]},"page":"474-83","title":"Costs and effects of chlamydial screening: dynamic versus static modeling.","type":"article-journal","volume":"32"},"uris":["http://www.mendeley.com/documents/?uuid=e09e3f5e-a85f-4dde-85a0-b1861d31674c","http://www.mendeley.com/documents/?uuid=450d2aca-0702-33b7-a297-9c0c2cb83c3b"]}],"mendeley":{"formattedCitation":"&lt;sup&gt;43,62–65&lt;/sup&gt;","plainTextFormattedCitation":"43,62–65","previouslyFormattedCitation":"&lt;sup&gt;43,62–65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43,62–65</w:t>
      </w:r>
      <w:r w:rsidRPr="0024409C">
        <w:rPr>
          <w:rFonts w:ascii="Helvetica Neue" w:hAnsi="Helvetica Neue"/>
        </w:rPr>
        <w:fldChar w:fldCharType="end"/>
      </w:r>
      <w:r w:rsidRPr="0024409C">
        <w:rPr>
          <w:rFonts w:ascii="Helvetica Neue" w:hAnsi="Helvetica Neue"/>
        </w:rPr>
        <w:t xml:space="preserve"> and per-day infection probabilities ranged from 0.001571 to 0.154, with higher estimates for casual partnerships relative to main partnerships.</w:t>
      </w:r>
      <w:r w:rsidRPr="0024409C">
        <w:rPr>
          <w:rFonts w:ascii="Helvetica Neue" w:hAnsi="Helvetica Neue"/>
        </w:rPr>
        <w:fldChar w:fldCharType="begin" w:fldLock="1"/>
      </w:r>
      <w:r w:rsidR="00665BF2">
        <w:rPr>
          <w:rFonts w:ascii="Helvetica Neue" w:hAnsi="Helvetica Neue"/>
        </w:rPr>
        <w:instrText>ADDIN CSL_CITATION {"citationItems":[{"id":"ITEM-1","itemData":{"ISSN":"1522-9602","PMID":"23812958","abstract":"Using a modified one-dimensional model for the spread of an SIS disease on a network, we show that the behaviour of complex network simulations can be replicated with a simpler model. This model is then used to design optimal controls for use on the network, which would otherwise be unfeasible to obtain, resulting in information about how best to combine a population-level random intervention with one that is more targeted. This technique is used to minimise intervention costs over a short time interval with a target prevalence, and also to minimise prevalence with a specified budget. When applied to chlamydia, we find results consistent with previous work; that is maximising targeted control (contact tracing) is important to using resources effectively, while high-intensity bursts of population control (screening) are more effective than maintaining a high level of coverage.","author":[{"dropping-particle":"","family":"Clarke","given":"James","non-dropping-particle":"","parse-names":false,"suffix":""},{"dropping-particle":"","family":"White","given":"K A Jane","non-dropping-particle":"","parse-names":false,"suffix":""},{"dropping-particle":"","family":"Turner","given":"Katy","non-dropping-particle":"","parse-names":false,"suffix":""}],"container-title":"Bull Math Biol","id":"ITEM-1","issue":"10","issued":{"date-parts":[["2013","10"]]},"page":"1747-77","title":"Approximating optimal controls for networks when there are combinations of population-level and targeted measures available: chlamydia infection as a case-study.","type":"article-journal","volume":"75"},"uris":["http://www.mendeley.com/documents/?uuid=9e713392-1194-3468-8c9c-f68ada75ebb0","http://www.mendeley.com/documents/?uuid=b36455f4-14c8-46ca-a3d7-23ea1b621524"]},{"id":"ITEM-2","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Epidemiol","id":"ITEM-2","issue":"3","issued":{"date-parts":[["1996","8"]]},"page":"306-17","title":"Modeling prevention strategies for gonorrhea and Chlamydia using stochastic network simulations.","type":"article-journal","volume":"144"},"uris":["http://www.mendeley.com/documents/?uuid=5b3af868-c441-32a9-bba7-3e96628e7836","http://www.mendeley.com/documents/?uuid=d8b3bfe1-8a1d-4217-9bab-df93a86643b5"]},{"id":"ITEM-3","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-3","issue":"7614","issued":{"date-parts":[["2007","8"]]},"page":"291","title":"Cost effectiveness of home based population screening for Chlamydia trachomatis in the UK: economic evaluation of chlamydia screening studies (ClaSS) project.","type":"article-journal","volume":"335"},"uris":["http://www.mendeley.com/documents/?uuid=79167eaa-7546-3c44-8cc8-210cd54f8e72","http://www.mendeley.com/documents/?uuid=068ae4c2-fc1a-407c-9042-659f35956723"]},{"id":"ITEM-4","itemData":{"ISSN":"1932-6203","PMID":"23527005","abstract":"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limited.","author":[{"dropping-particle":"V","family":"Schmid","given":"Boris","non-dropping-particle":"","parse-names":false,"suffix":""},{"dropping-particle":"","family":"Over","given":"Eelco A B","non-dropping-particle":"","parse-names":false,"suffix":""},{"dropping-particle":"","family":"Broek","given":"Ingrid V F","non-dropping-particle":"van den","parse-names":false,"suffix":""},{"dropping-particle":"","family":"Coul","given":"Eline L M","non-dropping-particle":"Op de","parse-names":false,"suffix":""},{"dropping-particle":"","family":"Bergen","given":"Jan E A M","non-dropping-particle":"van","parse-names":false,"suffix":""},{"dropping-particle":"","family":"Fennema","given":"Johan S A","non-dropping-particle":"","parse-names":false,"suffix":""},{"dropping-particle":"","family":"Götz","given":"Hannelore M","non-dropping-particle":"","parse-names":false,"suffix":""},{"dropping-particle":"","family":"Hoebe","given":"Christian J P A","non-dropping-particle":"","parse-names":false,"suffix":""},{"dropping-particle":"","family":"Wit","given":"G Ardine","non-dropping-particle":"de","parse-names":false,"suffix":""},{"dropping-particle":"","family":"Sande","given":"Marianne A B","non-dropping-particle":"van der","parse-names":false,"suffix":""},{"dropping-particle":"","family":"Kretzschmar","given":"Mirjam E E","non-dropping-particle":"","parse-names":false,"suffix":""}],"container-title":"PloS One","id":"ITEM-4","issue":"3","issued":{"date-parts":[["2013"]]},"page":"e58674","title":"Effects of population based screening for Chlamydia infections in the Netherlands limited by declining participation rates.","type":"article-journal","volume":"8"},"uris":["http://www.mendeley.com/documents/?uuid=b7c5011a-ab95-4c43-aaa8-4cb74bf719e5"]}],"mendeley":{"formattedCitation":"&lt;sup&gt;66–69&lt;/sup&gt;","plainTextFormattedCitation":"66–69","previouslyFormattedCitation":"&lt;sup&gt;66–69&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66–69</w:t>
      </w:r>
      <w:r w:rsidRPr="0024409C">
        <w:rPr>
          <w:rFonts w:ascii="Helvetica Neue" w:hAnsi="Helvetica Neue"/>
        </w:rPr>
        <w:fldChar w:fldCharType="end"/>
      </w:r>
      <w:r w:rsidRPr="0024409C">
        <w:rPr>
          <w:rFonts w:ascii="Helvetica Neue" w:hAnsi="Helvetica Neue"/>
        </w:rPr>
        <w:t xml:space="preserve"> In models </w:t>
      </w:r>
      <w:r w:rsidRPr="0024409C">
        <w:rPr>
          <w:rFonts w:ascii="Helvetica Neue" w:hAnsi="Helvetica Neue"/>
        </w:rPr>
        <w:lastRenderedPageBreak/>
        <w:t>where the direction of transmission was reported, the estimated per-act FTM CT transmission probability varied, commonly estimated as 0.5–0.8 times the MTF CT transmission probability,</w:t>
      </w:r>
      <w:r w:rsidRPr="0024409C">
        <w:rPr>
          <w:rFonts w:ascii="Helvetica Neue" w:hAnsi="Helvetica Neue"/>
        </w:rPr>
        <w:fldChar w:fldCharType="begin" w:fldLock="1"/>
      </w:r>
      <w:r w:rsidR="00291558">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1"},"uris":["http://www.mendeley.com/documents/?uuid=7e2d643a-2494-4c7a-a5d0-ab0e53ceb072"]},{"id":"ITEM-2","itemData":{"ISSN":"0956-4624","PMID":"12803939","abstract":"The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another.","author":[{"dropping-particle":"","family":"Pinkerton","given":"S D","non-dropping-particle":"","parse-names":false,"suffix":""},{"dropping-particle":"","family":"Layde","given":"P M","non-dropping-particle":"","parse-names":false,"suffix":""},{"dropping-particle":"","family":"DiFranceisco","given":"W","non-dropping-particle":"","parse-names":false,"suffix":""},{"dropping-particle":"","family":"Chesson","given":"H W","non-dropping-particle":"","parse-names":false,"suffix":""},{"dropping-particle":"","family":"NIMH Multisite HIV Prevention Trial Group","given":"","non-dropping-particle":"","parse-names":false,"suffix":""}],"container-title":"Int J STD AIDS","id":"ITEM-2","issue":"5","issued":{"date-parts":[["2003","5"]]},"page":"320-8","title":"All STDs are not created equal: An analysis of the differential effects of sexual behaviour changes on different STDs","type":"article-journal","volume":"14"},"uris":["http://www.mendeley.com/documents/?uuid=52fb46aa-46a1-4af9-9eca-f3a2fe822614"]},{"id":"ITEM-3","itemData":{"ISSN":"1525-4135","PMID":"12352153","abstract":"Most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STD.","author":[{"dropping-particle":"","family":"Pinkerton","given":"Steven David","non-dropping-particle":"","parse-names":false,"suffix":""},{"dropping-particle":"","family":"Chesson","given":"Harrell Warren","non-dropping-particle":"","parse-names":false,"suffix":""},{"dropping-particle":"","family":"Layde","given":"Peter Mark","non-dropping-particle":"","parse-names":false,"suffix":""},{"dropping-particle":"","family":"National Institute of Mental Health Multisite HIV Prevention Trial Group","given":"","non-dropping-particle":"","parse-names":false,"suffix":""}],"container-title":"J Acquir Immune Defic Syndr","id":"ITEM-3","issue":"1","issued":{"date-parts":[["2002","9","1"]]},"page":"71-9","title":"Utility of behavioral changes as markers of sexually transmitted disease risk reduction in sexually transmitted disease/HIV prevention trials.","type":"article-journal","volume":"31"},"uris":["http://www.mendeley.com/documents/?uuid=4972f14e-cde3-40ed-a29b-99061b6c5d9f"]},{"id":"ITEM-4","itemData":{"ISSN":"0265-0746","PMID":"1517673","abstract":"Sexually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gonorrhoea.","author":[{"dropping-particle":"","family":"Swinton","given":"J","non-dropping-particle":"","parse-names":false,"suffix":""},{"dropping-particle":"","family":"Garnett","given":"G P","non-dropping-particle":"","parse-names":false,"suffix":""},{"dropping-particle":"","family":"Brunham","given":"R C","non-dropping-particle":"","parse-names":false,"suffix":""},{"dropping-particle":"","family":"Anderson","given":"R M","non-dropping-particle":"","parse-names":false,"suffix":""}],"container-title":"IMA J Math Appl Med Biol","id":"ITEM-4","issue":"2","issued":{"date-parts":[["1992"]]},"page":"107-26","title":"Gonococcal infection, infertility, and population growth: I. Endemic states in behaviourally homogeneous growing populations.","type":"article-journal","volume":"9"},"uris":["http://www.mendeley.com/documents/?uuid=a9f6bed3-5634-43ba-b20e-a0b8932feab2","http://www.mendeley.com/documents/?uuid=54b6137f-184c-3b3a-a9e5-1d7a30ac7f97","http://www.mendeley.com/documents/?uuid=9b7965aa-ff43-42bd-b783-146d443aa5e8"]},{"id":"ITEM-5","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Dis","id":"ITEM-5","issued":{"date-parts":[["2013"]]},"page":"188","title":"Population movement can sustain STI prevalence in remote Australian indigenous communities.","type":"article-journal","volume":"13"},"uris":["http://www.mendeley.com/documents/?uuid=439c8ade-8864-4f5e-9dff-966b3d367e00"]},{"id":"ITEM-6","itemData":{"ISSN":"0002-9262","PMID":"8686700","abstract":"A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Epidemiol","id":"ITEM-6","issue":"3","issued":{"date-parts":[["1996","8"]]},"page":"306-17","title":"Modeling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31e9204c-87f9-4fc4-a07b-25a3a8939ba8"]},{"id":"ITEM-7","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Infect","id":"ITEM-7","issue":"3","issued":{"date-parts":[["2010","6","1"]]},"page":"169-174","title":"A Bayesian approach to uncertainty analysis of sexually transmitted infection models","type":"article-journal","volume":"86"},"uris":["http://www.mendeley.com/documents/?uuid=31e9dca7-f246-4670-9001-4c78d9774ec7"]}],"mendeley":{"formattedCitation":"&lt;sup&gt;40,45,46,53,54,56,67&lt;/sup&gt;","plainTextFormattedCitation":"40,45,46,53,54,56,67","previouslyFormattedCitation":"&lt;sup&gt;40,45,46,53,54,56,67&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40,45,46,53,54,56,67</w:t>
      </w:r>
      <w:r w:rsidRPr="0024409C">
        <w:rPr>
          <w:rFonts w:ascii="Helvetica Neue" w:hAnsi="Helvetica Neue"/>
        </w:rPr>
        <w:fldChar w:fldCharType="end"/>
      </w:r>
      <w:r w:rsidRPr="0024409C">
        <w:rPr>
          <w:rFonts w:ascii="Helvetica Neue" w:hAnsi="Helvetica Neue"/>
        </w:rPr>
        <w:t xml:space="preserve"> although some models did estimate that the FTM transmission probability was greater.</w:t>
      </w:r>
      <w:r w:rsidRPr="0024409C">
        <w:rPr>
          <w:rFonts w:ascii="Helvetica Neue" w:hAnsi="Helvetica Neue"/>
        </w:rPr>
        <w:fldChar w:fldCharType="begin" w:fldLock="1"/>
      </w:r>
      <w:r w:rsidR="00665BF2">
        <w:rPr>
          <w:rFonts w:ascii="Helvetica Neue" w:hAnsi="Helvetica Neue"/>
        </w:rPr>
        <w:instrText>ADDIN CSL_CITATION {"citationItems":[{"id":"ITEM-1","itemData":{"ISSN":"1365-3156","PMID":"22035250","abstract":"OBJECTIVES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Health","id":"ITEM-1","issue":"2","issued":{"date-parts":[["2012","2"]]},"page":"161-8","title":"The role of sexually transmitted infections in the evolution of the South African HIV epidemic.","type":"article-journal","volume":"17"},"uris":["http://www.mendeley.com/documents/?uuid=0e1ea8f2-849f-41da-864c-66e864358726"]},{"id":"ITEM-2","itemData":{"ISSN":"1756-1833","PMID":"17656504","abstract":"OBJECTIVE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-2","issue":"7614","issued":{"date-parts":[["2007","8"]]},"page":"291","title":"Cost effectiveness of home based population screening for Chlamydia trachomatis in the UK: economic evaluation of chlamydia screening studies (ClaSS) project.","type":"article-journal","volume":"335"},"uris":["http://www.mendeley.com/documents/?uuid=068ae4c2-fc1a-407c-9042-659f35956723","http://www.mendeley.com/documents/?uuid=79167eaa-7546-3c44-8cc8-210cd54f8e72","http://www.mendeley.com/documents/?uuid=224a2eaa-04ce-4132-a0be-3ab3c6d63750"]}],"mendeley":{"formattedCitation":"&lt;sup&gt;39,68&lt;/sup&gt;","plainTextFormattedCitation":"39,68","previouslyFormattedCitation":"&lt;sup&gt;39,68&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39,68</w:t>
      </w:r>
      <w:r w:rsidRPr="0024409C">
        <w:rPr>
          <w:rFonts w:ascii="Helvetica Neue" w:hAnsi="Helvetica Neue"/>
        </w:rPr>
        <w:fldChar w:fldCharType="end"/>
      </w:r>
    </w:p>
    <w:p w14:paraId="31113907" w14:textId="0898536D" w:rsidR="00EA384A" w:rsidRPr="0024409C" w:rsidRDefault="00EA384A" w:rsidP="00574651">
      <w:pPr>
        <w:spacing w:before="120" w:line="360" w:lineRule="auto"/>
        <w:rPr>
          <w:rFonts w:ascii="Helvetica Neue" w:hAnsi="Helvetica Neue"/>
        </w:rPr>
      </w:pPr>
      <w:r w:rsidRPr="0024409C">
        <w:rPr>
          <w:rFonts w:ascii="Helvetica Neue" w:hAnsi="Helvetica Neue"/>
        </w:rPr>
        <w:t>For our model, we focus on the baseline male-to-male CT transmission risk through anal intercourse in STI and HIV/STI models. Fewer models and estimates of this probability exist for MSM than do for heterosexual populations. Estimates of the per-act transmission probability have included 0.1–0.24,</w:t>
      </w:r>
      <w:r w:rsidRPr="0024409C">
        <w:rPr>
          <w:rFonts w:ascii="Helvetica Neue" w:hAnsi="Helvetica Neue"/>
        </w:rPr>
        <w:fldChar w:fldCharType="begin" w:fldLock="1"/>
      </w:r>
      <w:r w:rsidR="00665BF2">
        <w:rPr>
          <w:rFonts w:ascii="Helvetica Neue" w:hAnsi="Helvetica Neue"/>
        </w:rPr>
        <w:instrText>ADDIN CSL_CITATION {"citationItems":[{"id":"ITEM-1","itemData":{"ISSN":"1471-2334","PMID":"24047261","abstract":"BACKGROUND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HIV.","author":[{"dropping-particle":"","family":"Xiridou","given":"Maria","non-dropping-particle":"","parse-names":false,"suffix":""},{"dropping-particle":"","family":"Vriend","given":"Henrike J","non-dropping-particle":"","parse-names":false,"suffix":""},{"dropping-particle":"","family":"Lugner","given":"Anna K","non-dropping-particle":"","parse-names":false,"suffix":""},{"dropping-particle":"","family":"Wallinga","given":"Jacco","non-dropping-particle":"","parse-names":false,"suffix":""},{"dropping-particle":"","family":"Fennema","given":"Johannes S","non-dropping-particle":"","parse-names":false,"suffix":""},{"dropping-particle":"","family":"Prins","given":"Jan M","non-dropping-particle":"","parse-names":false,"suffix":""},{"dropping-particle":"","family":"Geerlings","given":"Suzanne E","non-dropping-particle":"","parse-names":false,"suffix":""},{"dropping-particle":"","family":"Rijnders","given":"Bart J A","non-dropping-particle":"","parse-names":false,"suffix":""},{"dropping-particle":"","family":"Prins","given":"Maria","non-dropping-particle":"","parse-names":false,"suffix":""},{"dropping-particle":"","family":"Vries","given":"Henry J C","non-dropping-particle":"de","parse-names":false,"suffix":""},{"dropping-particle":"","family":"Postma","given":"Maarten J","non-dropping-particle":"","parse-names":false,"suffix":""},{"dropping-particle":"","family":"Veen","given":"Maaike G","non-dropping-particle":"van","parse-names":false,"suffix":""},{"dropping-particle":"","family":"Schim van der Loeff","given":"Maarten F","non-dropping-particle":"","parse-names":false,"suffix":""},{"dropping-particle":"","family":"Sande","given":"Marianne A B","non-dropping-particle":"van der","parse-names":false,"suffix":""}],"container-title":"BMC Infect Dis","id":"ITEM-1","issued":{"date-parts":[["2013"]]},"page":"436","title":"Modelling the impact of chlamydia screening on the transmission of HIV among men who have sex with men.","type":"article-journal","volume":"13"},"uris":["http://www.mendeley.com/documents/?uuid=7ec86703-a8f1-47e5-ac4b-e7b75b8fa671"]}],"mendeley":{"formattedCitation":"&lt;sup&gt;70&lt;/sup&gt;","plainTextFormattedCitation":"70","previouslyFormattedCitation":"&lt;sup&gt;70&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70</w:t>
      </w:r>
      <w:r w:rsidRPr="0024409C">
        <w:rPr>
          <w:rFonts w:ascii="Helvetica Neue" w:hAnsi="Helvetica Neue"/>
        </w:rPr>
        <w:fldChar w:fldCharType="end"/>
      </w:r>
      <w:r w:rsidRPr="0024409C">
        <w:rPr>
          <w:rFonts w:ascii="Helvetica Neue" w:hAnsi="Helvetica Neue"/>
        </w:rPr>
        <w:t xml:space="preserve"> 0.4 for receptive AI,</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0.32 for </w:t>
      </w:r>
      <w:proofErr w:type="spellStart"/>
      <w:r w:rsidRPr="0024409C">
        <w:rPr>
          <w:rFonts w:ascii="Helvetica Neue" w:hAnsi="Helvetica Neue"/>
        </w:rPr>
        <w:t>insertive</w:t>
      </w:r>
      <w:proofErr w:type="spellEnd"/>
      <w:r w:rsidRPr="0024409C">
        <w:rPr>
          <w:rFonts w:ascii="Helvetica Neue" w:hAnsi="Helvetica Neue"/>
        </w:rPr>
        <w:t xml:space="preserve"> AI,</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and 0.35 per-partner.</w:t>
      </w:r>
      <w:r w:rsidRPr="0024409C">
        <w:rPr>
          <w:rFonts w:ascii="Helvetica Neue" w:hAnsi="Helvetica Neue"/>
        </w:rPr>
        <w:fldChar w:fldCharType="begin" w:fldLock="1"/>
      </w:r>
      <w:r w:rsidR="00665BF2">
        <w:rPr>
          <w:rFonts w:ascii="Helvetica Neue" w:hAnsi="Helvetica Neue"/>
        </w:rPr>
        <w:instrText>ADDIN CSL_CITATION {"citationItems":[{"id":"ITEM-1","itemData":{"ISSN":"1537-4521","PMID":"18303352","abstract":"OBJECTIVES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Dis","id":"ITEM-1","issue":"2 Suppl","issued":{"date-parts":[["2009","2"]]},"page":"S41-8","title":"Preventing sexually transmitted infections among incarcerated men who have sex with men: a cost-effectiveness analysis.","type":"article-journal","volume":"36"},"uris":["http://www.mendeley.com/documents/?uuid=99e32213-3087-4c26-aa3a-0cb6b7d6e381"]}],"mendeley":{"formattedCitation":"&lt;sup&gt;72&lt;/sup&gt;","plainTextFormattedCitation":"72","previouslyFormattedCitation":"&lt;sup&gt;72&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72</w:t>
      </w:r>
      <w:r w:rsidRPr="0024409C">
        <w:rPr>
          <w:rFonts w:ascii="Helvetica Neue" w:hAnsi="Helvetica Neue"/>
        </w:rPr>
        <w:fldChar w:fldCharType="end"/>
      </w:r>
      <w:r w:rsidRPr="0024409C">
        <w:rPr>
          <w:rFonts w:ascii="Helvetica Neue" w:hAnsi="Helvetica Neue"/>
        </w:rPr>
        <w:t xml:space="preserve"> </w:t>
      </w:r>
      <w:r w:rsidR="00F03FC0" w:rsidRPr="0024409C">
        <w:rPr>
          <w:rFonts w:ascii="Helvetica Neue" w:hAnsi="Helvetica Neue"/>
        </w:rPr>
        <w:t>With greater uncertainty around these parameters, we established a prior distribution of 0.</w:t>
      </w:r>
      <w:r w:rsidR="00F03FC0">
        <w:rPr>
          <w:rFonts w:ascii="Helvetica Neue" w:hAnsi="Helvetica Neue"/>
        </w:rPr>
        <w:t>1</w:t>
      </w:r>
      <w:r w:rsidR="00F03FC0" w:rsidRPr="0024409C">
        <w:rPr>
          <w:rFonts w:ascii="Helvetica Neue" w:hAnsi="Helvetica Neue"/>
        </w:rPr>
        <w:t xml:space="preserve">0–0.60 for the per-act rectal CT transmission likelihood, and a distribution of 0.10–0.50 for urethral CT transmission to incorporate site-specific infection. The </w:t>
      </w:r>
      <w:r w:rsidR="00F03FC0" w:rsidRPr="00FD207A">
        <w:rPr>
          <w:rFonts w:ascii="Helvetica Neue" w:hAnsi="Helvetica Neue"/>
        </w:rPr>
        <w:t>estimated posterior means were 0.</w:t>
      </w:r>
      <w:r w:rsidR="00F03FC0">
        <w:rPr>
          <w:rFonts w:ascii="Helvetica Neue" w:hAnsi="Helvetica Neue"/>
        </w:rPr>
        <w:t>2494</w:t>
      </w:r>
      <w:r w:rsidR="00F03FC0" w:rsidRPr="00FD207A">
        <w:rPr>
          <w:rFonts w:ascii="Helvetica Neue" w:hAnsi="Helvetica Neue"/>
        </w:rPr>
        <w:t xml:space="preserve"> for per sex-act rectal CT transmission probability and 0.</w:t>
      </w:r>
      <w:r w:rsidR="00F03FC0">
        <w:rPr>
          <w:rFonts w:ascii="Helvetica Neue" w:hAnsi="Helvetica Neue"/>
        </w:rPr>
        <w:t>1944</w:t>
      </w:r>
      <w:r w:rsidR="00F03FC0" w:rsidRPr="00FD207A">
        <w:rPr>
          <w:rFonts w:ascii="Helvetica Neue" w:hAnsi="Helvetica Neue"/>
        </w:rPr>
        <w:t xml:space="preserve"> for per sex-act urethral CT transmission probability.</w:t>
      </w:r>
      <w:r w:rsidR="00F03FC0">
        <w:rPr>
          <w:rFonts w:ascii="Helvetica Neue" w:hAnsi="Helvetica Neue"/>
        </w:rPr>
        <w:t xml:space="preserve"> </w:t>
      </w:r>
      <w:r w:rsidRPr="00FD207A">
        <w:rPr>
          <w:rFonts w:ascii="Helvetica Neue" w:hAnsi="Helvetica Neue"/>
        </w:rPr>
        <w:t>We also include a multiplier of 0.30 for the effect of condom usage on CT transmission</w:t>
      </w:r>
      <w:r w:rsidRPr="0024409C">
        <w:rPr>
          <w:rFonts w:ascii="Helvetica Neue" w:hAnsi="Helvetica Neue"/>
        </w:rPr>
        <w:t xml:space="preserve"> probability to reflect the decreased probability of transmission in protected sex acts, consistent with the literature.</w:t>
      </w:r>
      <w:r w:rsidRPr="0024409C">
        <w:rPr>
          <w:rFonts w:ascii="Helvetica Neue" w:hAnsi="Helvetica Neue"/>
        </w:rPr>
        <w:fldChar w:fldCharType="begin" w:fldLock="1"/>
      </w:r>
      <w:r w:rsidR="00665BF2">
        <w:rPr>
          <w:rFonts w:ascii="Helvetica Neue" w:hAnsi="Helvetica Neue"/>
        </w:rPr>
        <w:instrText>ADDIN CSL_CITATION {"citationItems":[{"id":"ITEM-1","itemData":{"PMID":"2554516","abstract":"In vitro evidence strongly suggests that latex condoms provide an impenetrable barrier for the passage of infectious agents, but few have studied the use-effectiveness of condoms in preventing sexually transmitted diseases. In 1971, a prospective evaluation of the condom failed to demonstrate efficacy against infections with gonorrhea because users were exposed to infectious secretions before the condom was used. An ongoing multicenter study of female prostitutes in the United States shows that none of 22 women who always use condoms with all male partners has antibody to human immunodeficiency virus (HIV), but differences in HIV antibody status by patterns of condom use are not statistically significant. An educational campaign to promote the proper and consistent use of condoms as prophylactics is needed to stop the spread of gonorrhea, infections with HIV, and other sexually transmitted diseases. Despite in vitro evidence of the effectiveness of latex condoms in preventing the passage of infectious agents, there have been few studies of condom's use-effectiveness in terms of the transmission of sexually transmitted diseases (STDs). The Sacramento (California) Special Study sought to address this research gap through a survey of all patients presenting to the County Health Department from May 24-August 13, 1971. Patients were asked to complete a questionnaire and given a coupon that could be exchanged for 3 regular and 3 lubricated condoms. Of the 2045 individuals who visited the clinic during the study period, 557 (27%) accepted condoms. These acceptors were significantly more likely to be male, Black, or Hispanic and to have histories of both previous condom use (43%) and gonococcal infection (31%). Of the 122 patients who returned to the clinic for follow-up and had sexual intercourse since the last visit, 91 (75%) had not used a condom at any time in this period, 21 (17%) had used a condom at least once, and 10 (8%) had used a condom at each sexual exposure. There was no significant difference between users and nonusers in terms of whether they were diagnosed with nongonococcal urethritis, gonorrhea, and other STDs at the follow-up visit. However, questioning of condom users who presented with reinfection with gonorrhea indicated that, in some cases, the condom was not put on until the man had already been exposed to vaginal fluids. This suggests a need for thorough education on proper condom use, including avoidance of all exposure to infectious …","author":[{"dropping-particle":"","family":"Darrow","given":"W W","non-dropping-particle":"","parse-names":false,"suffix":""}],"container-title":"Sexually Transmitted Diseases","id":"ITEM-1","issue":"3","issued":{"date-parts":[["1989"]]},"page":"157-60","title":"Condom use and use-effectiveness in high-risk populations.","type":"article-journal","volume":"16"},"uris":["http://www.mendeley.com/documents/?uuid=c69c7dd6-67e5-4636-9ebb-a121036e9008"]},{"id":"ITEM-2","itemData":{"PMID":"9292347","abstract":"Sex workers and their clients as core groups of high frequency transmitters play a dominant role in the transmission of HIV and other sexually transmitted diseases (STDs). In Surabaya, Indonesia, little is known about the prevalence of STDs in various sex establishments. We conducted an STD prevalence survey of 1873 female sex workers in Surabaya, Indonesia. We did not find any sex workers with HIV infection. Prevalence rates of other STDs (chlamydia, gonorrhoea, serological test for syphilis positive, and/or trichomoniasis) in female sex workers were 48% in brothels (n = 696), 42% on the streets (n = 192), 16% in massage parlours (n = 344), 25% in barber shops (n = 150), 17% at call-girl houses (n = 73), and 10% in nightclubs (n = 418). Sex workers from the brothels had the highest prevalence rates of gonorrhoea (24%) and trichomoniasis (8%), while sex workers from the streets and the barber shop had the highest rates of serological test for syphilis (STS) positive (30%) and chlamydia (18%). STD rates decreased with an increase in age (except for STS positive), an increase in education, a decrease in the number of sex partners, and condom use in the previous week. Condom use in the previous week was universally low among sex workers, especially among sex workers from the brothels (14%). Sex workers from the brothels had STD rates about 4 times higher than sex workers from the nightclubs (adjusted odds ratio of 4.4). Although the HIV seroprevalence rate is currently low, widespread prostitution and high rates of STDs in sex workers warrant programmes to avert a potential explosion of HIV transmission. Because sex workers from the brothels in Surabaya have high rates of STDs and low use of condoms but good cooperation with local authorities, STD preventive measures should focus on this group. A sexually transmitted disease (STD) prevalence survey of 1873 female sex workers recruited from six types of sex establishments in Surabaya, Indonesia, in 1992-93 failed to reveal any cases of HIV. The prevalence rates of the other STDs included in the study (chlamydia, gonorrhea, syphilis, and trichomoniasis), by setting, were as follows: brothels (n = 696), 48%; streets (n = 192), 42%; massage parlors (n = 344), 16%; barber shops (n = 150), 25%; call-girl houses (n = 73), 17%; and nightclubs (n = 418), 10%. Sex workers based in brothels and on the streets had the lowest socioeconomic status, while nightclub and call-girl house workers had the highest status. Brot…","author":[{"dropping-particle":"","family":"Joesoef","given":"M R","non-dropping-particle":"","parse-names":false,"suffix":""},{"dropping-particle":"","family":"Linnan","given":"M","non-dropping-particle":"","parse-names":false,"suffix":""},{"dropping-particle":"","family":"Barakbah","given":"Y","non-dropping-particle":"","parse-names":false,"suffix":""},{"dropping-particle":"","family":"Idajadi","given":"A","non-dropping-particle":"","parse-names":false,"suffix":""},{"dropping-particle":"","family":"Kambodji","given":"A","non-dropping-particle":"","parse-names":false,"suffix":""},{"dropping-particle":"","family":"Schulz","given":"K","non-dropping-particle":"","parse-names":false,"suffix":""}],"container-title":"International Journal of STD &amp; AIDS","id":"ITEM-2","issue":"9","issued":{"date-parts":[["1997","9"]]},"page":"576-80","title":"Patterns of sexually transmitted diseases in female sex workers in Surabaya, Indonesia.","type":"article-journal","volume":"8"},"uris":["http://www.mendeley.com/documents/?uuid=91e8a678-7580-36ae-9083-75a10f60c497","http://www.mendeley.com/documents/?uuid=91d8f22b-d8b2-4d8f-aceb-a967d0304952"]}],"mendeley":{"formattedCitation":"&lt;sup&gt;73,74&lt;/sup&gt;","plainTextFormattedCitation":"73,74","previouslyFormattedCitation":"&lt;sup&gt;73,74&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73,74</w:t>
      </w:r>
      <w:r w:rsidRPr="0024409C">
        <w:rPr>
          <w:rFonts w:ascii="Helvetica Neue" w:hAnsi="Helvetica Neue"/>
        </w:rPr>
        <w:fldChar w:fldCharType="end"/>
      </w:r>
    </w:p>
    <w:p w14:paraId="7CC58892" w14:textId="29E75777" w:rsidR="00EA384A" w:rsidRPr="0024409C" w:rsidRDefault="00273CDD" w:rsidP="00574651">
      <w:pPr>
        <w:pStyle w:val="Heading2"/>
        <w:rPr>
          <w:rFonts w:ascii="Helvetica Neue" w:hAnsi="Helvetica Neue"/>
          <w:szCs w:val="22"/>
        </w:rPr>
      </w:pPr>
      <w:bookmarkStart w:id="34" w:name="_Toc466401461"/>
      <w:bookmarkStart w:id="35" w:name="_Toc2361390"/>
      <w:r w:rsidRPr="0024409C">
        <w:rPr>
          <w:rFonts w:ascii="Helvetica Neue" w:hAnsi="Helvetica Neue"/>
          <w:szCs w:val="22"/>
        </w:rPr>
        <w:t>8</w:t>
      </w:r>
      <w:r w:rsidR="00690949" w:rsidRPr="0024409C">
        <w:rPr>
          <w:rFonts w:ascii="Helvetica Neue" w:hAnsi="Helvetica Neue"/>
          <w:szCs w:val="22"/>
        </w:rPr>
        <w:t>.4</w:t>
      </w:r>
      <w:r w:rsidR="00EA384A" w:rsidRPr="0024409C">
        <w:rPr>
          <w:rFonts w:ascii="Helvetica Neue" w:hAnsi="Helvetica Neue"/>
          <w:szCs w:val="22"/>
        </w:rPr>
        <w:tab/>
        <w:t>Gonorrhea Transmission Probability</w:t>
      </w:r>
      <w:bookmarkEnd w:id="34"/>
      <w:bookmarkEnd w:id="35"/>
    </w:p>
    <w:p w14:paraId="411550BC" w14:textId="751D6456" w:rsidR="00EA384A" w:rsidRPr="0024409C" w:rsidRDefault="00EA384A" w:rsidP="00574651">
      <w:pPr>
        <w:spacing w:line="360" w:lineRule="auto"/>
        <w:rPr>
          <w:rFonts w:ascii="Helvetica Neue" w:hAnsi="Helvetica Neue"/>
        </w:rPr>
      </w:pPr>
      <w:r w:rsidRPr="0024409C">
        <w:rPr>
          <w:rFonts w:ascii="Helvetica Neue" w:hAnsi="Helvetica Neue"/>
        </w:rPr>
        <w:t>Estimates of the NG transmission risk per sex-act have been diverse in HIV/STI models and STI-only models, depending on the type of sex act as well as the role and position of the infected partner. This baseline per-act risk has been estimated in a number of models, with the middle 50% of estimates of the per-act risk from MTF transmission models located between 0.20 and 0.60,</w:t>
      </w:r>
      <w:r w:rsidRPr="0024409C">
        <w:rPr>
          <w:rFonts w:ascii="Helvetica Neue" w:hAnsi="Helvetica Neue"/>
        </w:rPr>
        <w:fldChar w:fldCharType="begin" w:fldLock="1"/>
      </w:r>
      <w:r w:rsidR="00291558">
        <w:rPr>
          <w:rFonts w:ascii="Helvetica Neue" w:hAnsi="Helvetica Neue"/>
        </w:rPr>
        <w:instrText>ADDIN CSL_CITATION {"citationItems":[{"id":"ITEM-1","itemData":{"ISSN":"0269-9370","PMID":"10780720","abstract":"OBJECTIVES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D","non-dropping-particle":"","parse-names":false,"suffix":""}],"container-title":"AIDS","id":"ITEM-1","issue":"5","issued":{"date-parts":[["2000","3"]]},"page":"573-93","title":"Model-based evaluation of single-round mass treatment of sexually transmitted diseases for HIV control in a rural African population.","type":"article-journal","volume":"14"},"uris":["http://www.mendeley.com/documents/?uuid=814ef6e7-4efc-3227-a520-7d2796ec4d3f","http://www.mendeley.com/documents/?uuid=370330dc-ca49-4e21-821c-f379f4836ea8"]},{"id":"ITEM-2","itemData":{"ISSN":"0277-9536","PMID":"11144911","abstract":"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Africa.","author":[{"dropping-particle":"","family":"Marseille","given":"E","non-dropping-particle":"","parse-names":false,"suffix":""},{"dropping-particle":"","family":"Kahn","given":"J G","non-dropping-particle":"","parse-names":false,"suffix":""},{"dropping-particle":"","family":"Billinghurst","given":"K","non-dropping-particle":"","parse-names":false,"suffix":""},{"dropping-particle":"","family":"Saba","given":"J","non-dropping-particle":"","parse-names":false,"suffix":""}],"container-title":"Soc Sci Med","id":"ITEM-2","issue":"1","issued":{"date-parts":[["2001","1"]]},"page":"135-48","title":"Cost-effectiveness of the female condom in preventing HIV and STDs in commercial sex workers in rural South Africa.","type":"article-journal","volume":"52"},"uris":["http://www.mendeley.com/documents/?uuid=bd626c35-2926-3dfb-8e87-42c0328aed1e","http://www.mendeley.com/documents/?uuid=4375174b-6f5e-498f-9a66-4bc3fbb570fd"]},{"id":"ITEM-3","itemData":{"ISSN":"1386-9620","PMID":"18074967","abstract":"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control.","author":[{"dropping-particle":"","family":"Armbruster","given":"Benjamin","non-dropping-particle":"","parse-names":false,"suffix":""},{"dropping-particle":"","family":"Brandeau","given":"Margaret L","non-dropping-particle":"","parse-names":false,"suffix":""}],"container-title":"Health Care Manag Sci","id":"ITEM-3","issue":"4","issued":{"date-parts":[["2007","12"]]},"page":"341-55","title":"Contact tracing to control infectious disease: when enough is enough.","type":"article-journal","volume":"10"},"uris":["http://www.mendeley.com/documents/?uuid=08bf6bbf-3be1-350b-81e0-dff9e63bc8e7","http://www.mendeley.com/documents/?uuid=a259d1eb-ded8-4212-8b42-2d47ef69c8b6"]},{"id":"ITEM-4","itemData":{"ISSN":"0148-5717","PMID":"18446084","abstract":"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lengths.","author":[{"dropping-particle":"","family":"Chen","given":"Mark I","non-dropping-particle":"","parse-names":false,"suffix":""},{"dropping-particle":"","family":"Ghani","given":"Azra C","non-dropping-particle":"","parse-names":false,"suffix":""},{"dropping-particle":"","family":"Edmunds","given":"John","non-dropping-particle":"","parse-names":false,"suffix":""}],"container-title":"Sex Transm Dis","id":"ITEM-4","issue":"5","issued":{"date-parts":[["2008","5"]]},"page":"435-44","title":"Mind the gap: the role of time between sex with two consecutive partners on the transmission dynamics of gonorrhea.","type":"article-journal","volume":"35"},"uris":["http://www.mendeley.com/documents/?uuid=bd0cdbab-ee77-44b3-893c-f837cf17d3b1"]},{"id":"ITEM-5","itemData":{"ISSN":"0265-0746","PMID":"1517674","abstract":"Heterogeneity in sexual behaviour has an important influence on the transmission dynamics of sexually transmitted diseases (STDs). The authors describe the development of a simple mathematical model, incorporating such heterogeneity, to investigate the demographic impact of gonorrhoea on human population growth in developing countries where the disease is endemic. Earlier predictions, based on a model with homogeneous mixing, are shown to be in good qualitative agreement with the predictions of a more complex mathematical framework in which the population is stratified both by sex and into two subgroups representing low and high sexual activity, defined on the basis of rates of sexual partner change. Analyses also demonstrate that the pattern of mixing (assortative to random) between the sexual activity classes has an important influence on the predicted prevalence of gonococcal infection in a defined community. The more complex model supports earlier conclusions that gonorrhoea, via its impact on fertility, can significantly reduce net population growth rates.","author":[{"dropping-particle":"","family":"Garnett","given":"G P","non-dropping-particle":"","parse-names":false,"suffix":""},{"dropping-particle":"","family":"Swinton","given":"J","non-dropping-particle":"","parse-names":false,"suffix":""},{"dropping-particle":"","family":"Brunham","given":"R C","non-dropping-particle":"","parse-names":false,"suffix":""},{"dropping-particle":"","family":"Anderson","given":"R M","non-dropping-particle":"","parse-names":false,"suffix":""}],"container-title":"IMA J Math Appl Med Biol","id":"ITEM-5","issue":"2","issued":{"date-parts":[["1992"]]},"page":"127-44","title":"Gonococcal infection, infertility, and population growth: II. The influence of heterogeneity in sexual behaviour.","type":"article-journal","volume":"9"},"uris":["http://www.mendeley.com/documents/?uuid=754168b4-8f73-3e81-8ddf-90256ce32a54","http://www.mendeley.com/documents/?uuid=6b6c92de-982a-478d-a79f-e7f2af7be962"]},{"id":"ITEM-6","itemData":{"ISBN":"0022-1899 (Print)\\n0022-1899 (Linking)","ISSN":"0022-1899","PMID":"15627229","abstract":"Sex workers (SWs) and their clients are often identified as being central in transmission of sexually transmitted infections (STIs). Little is known about how patterns of contact between SWs and their clients influence the persistence of STIs. We developed an individual-based simulation model to explore how variation in number of client contacts per SW, whether clients repeatedly visited the same SW, and the relative sizes of the SW and client populations influence the endemic prevalence of gonorrhea and herpes simplex virus type 2 infection. Persistence of either infection was more likely if clients visited many different SWs, regardless of variation in the SW-client contact rate, and also resulted in a higher endemic prevalence in both populations and a greater likelihood of persistence of infection at lower levels in the general population. The size of the SW population (relative to the total population) was found to be most important in determining the overall prevalence of infection.","author":[{"dropping-particle":"","family":"Ghani","given":"A C","non-dropping-particle":"","parse-names":false,"suffix":""},{"dropping-particle":"","family":"Aral","given":"S O","non-dropping-particle":"","parse-names":false,"suffix":""}],"container-title":"J Inf Dis","id":"ITEM-6","issue":"Suppl 1","issued":{"date-parts":[["2005"]]},"page":"S34-S41","title":"Patterns of sex worker-client contacts and their implications for the persistence of sexually transmitted infections","type":"article-journal","volume":"191"},"uris":["http://www.mendeley.com/documents/?uuid=8787d319-0865-4ea8-9cc1-53dcf8e5c9d0","http://www.mendeley.com/documents/?uuid=d076df03-d0a3-4faa-aa3c-2205d10fc5aa"]},{"id":"ITEM-7","itemData":{"ISSN":"0148-5717","PMID":"9018783","abstract":"BACKGROUND Empirical studies have the potential to collect data on patterns of sexual mixing and network structures. GOAL To explore the contribution of different network measures in sexually transmitted disease epidemiology. STUDY DESIGN Individual-based stochastic simulations of a network of sexual partnerships and sexually transmitted disease transmission are analyzed using logistic regression. RESULTS AND CONCLUSIONS Measures accumulated over times similar to the duration of infection are more informative than are static cross sections. The patterns of sexual mixing and network structure influence patterns of infection. In particular, the establishment of infection is most sensitive to the proportion of nonmonogamous pairs, the component distribution and cohesion among those with high activity. The subsequent prevalence is most sensitive to the assortativeness of mixing in the high-activity class and a measure of cohesion, both of which reflect the decrease in prevalence brought about by less widespread connections. A person's risk for infection is determined by local rather than global network structures.","author":[{"dropping-particle":"","family":"Ghani","given":"A C","non-dropping-particle":"","parse-names":false,"suffix":""},{"dropping-particle":"","family":"Swinton","given":"J","non-dropping-particle":"","parse-names":false,"suffix":""},{"dropping-particle":"","family":"Garnett","given":"G P","non-dropping-particle":"","parse-names":false,"suffix":""}],"container-title":"Sex Transm Dis","id":"ITEM-7","issue":"1","issued":{"date-parts":[["1997","1"]]},"page":"45-56","title":"The role of sexual partnership networks in the epidemiology of gonorrhea.","type":"article-journal","volume":"24"},"uris":["http://www.mendeley.com/documents/?uuid=13db5f77-c8c6-31f1-89c3-80b9317b49e8","http://www.mendeley.com/documents/?uuid=4e4cde88-fc90-4d81-9873-d8b813abf16f"]},{"id":"ITEM-8","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Interface","id":"ITEM-8","issue":"106","issued":{"date-parts":[["2015"]]},"page":"20150067","title":"An anthropologically based model of the impact of asymptomatic cases on the spread of Neisseria gonorrhoeae.","type":"article-journal","volume":"12"},"uris":["http://www.mendeley.com/documents/?uuid=1bdee7b1-90d9-34ba-9adf-8d5afad96b0e","http://www.mendeley.com/documents/?uuid=80f6739b-9b41-4722-bd93-001e23ac65df"]},{"id":"ITEM-9","itemData":{"ISSN":"1932-6203","PMID":"26181042","abstract":"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AMR.","author":[{"dropping-particle":"","family":"Hui","given":"Ben B","non-dropping-particle":"","parse-names":false,"suffix":""},{"dropping-particle":"","family":"Ryder","given":"Nathan","non-dropping-particle":"","parse-names":false,"suffix":""},{"dropping-particle":"","family":"Su","given":"Jiunn-Yih","non-dropping-particle":"","parse-names":false,"suffix":""},{"dropping-particle":"","family":"Ward","given":"James","non-dropping-particle":"","parse-names":false,"suffix":""},{"dropping-particle":"","family":"Chen","given":"Marcus Y","non-dropping-particle":"","parse-names":false,"suffix":""},{"dropping-particle":"","family":"Donovan","given":"Basil","non-dropping-particle":"","parse-names":false,"suffix":""},{"dropping-particle":"","family":"Fairley","given":"Christopher K","non-dropping-particle":"","parse-names":false,"suffix":""},{"dropping-particle":"","family":"Guy","given":"Rebecca J","non-dropping-particle":"","parse-names":false,"suffix":""},{"dropping-particle":"","family":"Lahra","given":"Monica M","non-dropping-particle":"","parse-names":false,"suffix":""},{"dropping-particle":"","family":"Law","given":"Mathew G","non-dropping-particle":"","parse-names":false,"suffix":""},{"dropping-particle":"","family":"Whiley","given":"David M","non-dropping-particle":"","parse-names":false,"suffix":""},{"dropping-particle":"","family":"Regan","given":"David G","non-dropping-particle":"","parse-names":false,"suffix":""}],"container-title":"PLoS ONE","id":"ITEM-9","issue":"7","issued":{"date-parts":[["2015"]]},"page":"e0133202","title":"Exploring the benefits of molecular testing for gonorrhoea antibiotic resistance surveillance in remote settings","type":"article-journal","volume":"10"},"uris":["http://www.mendeley.com/documents/?uuid=85aa5e13-fa6a-3558-a9cb-11a0e8643472","http://www.mendeley.com/documents/?uuid=853244d6-109b-48aa-ba0a-5a4ae2a51e59"]},{"id":"ITEM-10","itemData":{"ISSN":"1042-0533","PMID":"15849707","abstract":"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partnerships.","author":[{"dropping-particle":"","family":"McCluskey","given":"C Connell","non-dropping-particle":"","parse-names":false,"suffix":""},{"dropping-particle":"","family":"Roth","given":"Eric","non-dropping-particle":"","parse-names":false,"suffix":""},{"dropping-particle":"","family":"Driessche","given":"P","non-dropping-particle":"van den","parse-names":false,"suffix":""}],"container-title":"Am J Hum Biol","id":"ITEM-10","issue":"3","issued":{"date-parts":[["2005"]]},"page":"293-301","title":"Implication of Ariaal sexual mixing on gonorrhea.","type":"article-journal","volume":"17"},"uris":["http://www.mendeley.com/documents/?uuid=120743b7-6e07-33c5-bad3-e213a34d5683","http://www.mendeley.com/documents/?uuid=0a147076-4e1b-483a-adaa-bfb19b9a51d5"]},{"id":"ITEM-11","itemData":{"ISSN":"1368-4973","PMID":"15459406","abstract":"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community.","author":[{"dropping-particle":"","family":"Turner","given":"K M E","non-dropping-particle":"","parse-names":false,"suffix":""},{"dropping-particle":"","family":"Garnett","given":"G P","non-dropping-particle":"","parse-names":false,"suffix":""},{"dropping-particle":"","family":"Ghani","given":"A C","non-dropping-particle":"","parse-names":false,"suffix":""},{"dropping-particle":"","family":"Sterne","given":"J A C","non-dropping-particle":"","parse-names":false,"suffix":""},{"dropping-particle":"","family":"Low","given":"N","non-dropping-particle":"","parse-names":false,"suffix":""}],"container-title":"Sex Transm Infect","id":"ITEM-11","issue":"5","issued":{"date-parts":[["2004","10"]]},"page":"379-85","title":"Investigating ethnic inequalities in the incidence of sexually transmitted infections: mathematical modelling study.","type":"article-journal","volume":"80"},"uris":["http://www.mendeley.com/documents/?uuid=b741299d-47c9-4745-8a29-1a358d689962"]},{"id":"ITEM-12","itemData":{"ISSN":"1368-4973","PMID":"17405782","abstract":"OBJECTIVE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Infect","id":"ITEM-12","issued":{"date-parts":[["2007","8"]]},"page":"i17-24","title":"Proportion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1"},"uris":["http://www.mendeley.com/documents/?uuid=7e2d643a-2494-4c7a-a5d0-ab0e53ceb072"]},{"id":"ITEM-13","itemData":{"ISSN":"1365-3156","PMID":"22035250","abstract":"OBJECTIVES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Health","id":"ITEM-13","issue":"2","issued":{"date-parts":[["2012","2"]]},"page":"161-8","title":"The role of sexually transmitted infections in the evolution of the South African HIV epidemic.","type":"article-journal","volume":"17"},"uris":["http://www.mendeley.com/documents/?uuid=0e1ea8f2-849f-41da-864c-66e864358726"]},{"id":"ITEM-14","itemData":{"ISSN":"1552-3926","PMID":"22201639","abstract":"A mathematical model of HIV/sexually transmitted infections (STI) transmission was used to examine how linearity or nonlinearity in the relationship between the number of unprotected sex acts (or the number of sex partners) and the risk of acquiring HIV or a highly infectious STI (such as gonorrhea or chlamydia) affects the utility of sexual behavior change measures as indicators of the effectiveness of HIV/STI risk-reduction interventions. Findings indicate that the risk of acquiring HIV through vaginal intercourse is essentially a linear function of the number of unprotected sex acts and is nearly independent of the number of sex partners. Consequently, the number of unprotected sex acts is an excellent marker for the risk of acquiring HIV through vaginal intercourse, whereas the number of sex partners is largely uninformative. In general, the number of unprotected sex acts is not an adequate marker for the risk of acquiring a highly infectious STI due to the highly nonlinear per act transmission dynamics of these STIs. The number of sex partners is a reasonable indicator of STI risk only under highly circumscribed conditions. A theoretical explanation for this pattern of results is provided. The contrasting extent to which HIV and highly infectious STIs deviate from the linearity assumption that underlies sexual behavior outcome measures has important implications for the use of these measures to assess the effectiveness of HIV/STI risk-reduction interventions.","author":[{"dropping-particle":"","family":"Pinkerton","given":"Steven D","non-dropping-particle":"","parse-names":false,"suffix":""},{"dropping-particle":"","family":"Chesson","given":"Harrell W","non-dropping-particle":"","parse-names":false,"suffix":""},{"dropping-particle":"","family":"Crosby","given":"Richard A","non-dropping-particle":"","parse-names":false,"suffix":""},{"dropping-particle":"","family":"Layde","given":"Peter M","non-dropping-particle":"","parse-names":false,"suffix":""}],"container-title":"Evaluation review","id":"ITEM-14","issue":"5","issued":{"date-parts":[["2011","10"]]},"page":"550-65","title":"Linearity and nonlinearity in HIV/STI transmission: implications for the evaluation of sexual risk reduction interventions.","type":"article-journal","volume":"35"},"uris":["http://www.mendeley.com/documents/?uuid=ba33c3b9-70d4-4605-87be-949d735dc67a","http://www.mendeley.com/documents/?uuid=2aa0763d-848f-3348-90c5-3f86a6c79f36","http://www.mendeley.com/documents/?uuid=8ee003b3-eb11-4a71-8926-79f04189dad5"]},{"id":"ITEM-15","itemData":{"ISSN":"0956-4624","PMID":"12803939","abstract":"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another.","author":[{"dropping-particle":"","family":"Pinkerton","given":"S D","non-dropping-particle":"","parse-names":false,"suffix":""},{"dropping-particle":"","family":"Layde","given":"P M","non-dropping-particle":"","parse-names":false,"suffix":""},{"dropping-particle":"","family":"DiFranceisco","given":"W","non-dropping-particle":"","parse-names":false,"suffix":""},{"dropping-particle":"","family":"Chesson","given":"H W","non-dropping-particle":"","parse-names":false,"suffix":""},{"dropping-particle":"","family":"NIMH Multisite HIV Prevention Trial Group","given":"","non-dropping-particle":"","parse-names":false,"suffix":""}],"container-title":"Int J STD AIDS","id":"ITEM-15","issue":"5","issued":{"date-parts":[["2003","5"]]},"page":"320-8","title":"All STDs are not created equal: An analysis of the differential effects of sexual behaviour changes on different STDs","type":"article-journal","volume":"14"},"uris":["http://www.mendeley.com/documents/?uuid=52fb46aa-46a1-4af9-9eca-f3a2fe822614"]},{"id":"ITEM-16","itemData":{"ISSN":"1525-4135","PMID":"12352153","abstract":"Most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STD.","author":[{"dropping-particle":"","family":"Pinkerton","given":"Steven David","non-dropping-particle":"","parse-names":false,"suffix":""},{"dropping-particle":"","family":"Chesson","given":"Harrell Warren","non-dropping-particle":"","parse-names":false,"suffix":""},{"dropping-particle":"","family":"Layde","given":"Peter Mark","non-dropping-particle":"","parse-names":false,"suffix":""},{"dropping-particle":"","family":"National Institute of Mental Health Multisite HIV Prevention Trial Group","given":"","non-dropping-particle":"","parse-names":false,"suffix":""}],"container-title":"J Acquir Immune Defic Syndr","id":"ITEM-16","issue":"1","issued":{"date-parts":[["2002","9","1"]]},"page":"71-9","title":"Utility of behavioral changes as markers of sexually transmitted disease risk reduction in sexually transmitted disease/HIV prevention trials.","type":"article-journal","volume":"31"},"uris":["http://www.mendeley.com/documents/?uuid=4972f14e-cde3-40ed-a29b-99061b6c5d9f"]},{"id":"ITEM-17","itemData":{"ISSN":"0148-5717","PMID":"11984448","abstract":"BACKGROUND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STDs.","author":[{"dropping-particle":"","family":"Pinkerton","given":"Steven D","non-dropping-particle":"","parse-names":false,"suffix":""},{"dropping-particle":"","family":"Layde","given":"Peter M","non-dropping-particle":"","parse-names":false,"suffix":""},{"dropping-particle":"","family":"NIMH multisite HIV prevention trial group","given":"","non-dropping-particle":"","parse-names":false,"suffix":""}],"container-title":"Sex Transm Dis","id":"ITEM-17","issue":"5","issued":{"date-parts":[["2002","5"]]},"page":"298-307","title":"Using sexually transmitted disease incidence as a surrogate marker for HIV incidence in prevention trials: a modeling study.","type":"article-journal","volume":"29"},"uris":["http://www.mendeley.com/documents/?uuid=ee316a28-9acf-468c-8cc4-aa064d938629"]},{"id":"ITEM-18","itemData":{"ISSN":"0300-5771","author":[{"dropping-particle":"","family":"Stigum","given":"Hein","non-dropping-particle":"","parse-names":false,"suffix":""},{"dropping-particle":"","family":"Magnus","given":"Per","non-dropping-particle":"","parse-names":false,"suffix":""},{"dropping-particle":"","family":"Veierod","given":"Marit","non-dropping-particle":"","parse-names":false,"suffix":""},{"dropping-particle":"","family":"Bakketeig","given":"Leiv S","non-dropping-particle":"","parse-names":false,"suffix":""}],"container-title":"Int J Epidem","id":"ITEM-18","issue":"4","issued":{"date-parts":[["1995"]]},"page":"813-820","publisher":"Oxford University Press","title":"Impact on Sexually Transmitted Disease Spread of Increased Condom Use by Young Females, 1987–1992","type":"article-journal","volume":"24"},"uris":["http://www.mendeley.com/documents/?uuid=fc5b02b4-bb3e-4e0f-9e83-3adac47bbe37"]},{"id":"ITEM-19","itemData":{"ISSN":"1368-4973","PMID":"17012515","abstract":"BACKGROUND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author":[{"dropping-particle":"","family":"Vickerman","given":"P","non-dropping-particle":"","parse-names":false,"suffix":""},{"dropping-particle":"","family":"Watts","given":"C","non-dropping-particle":"","parse-names":false,"suffix":""},{"dropping-particle":"","family":"Peeling","given":"R W","non-dropping-particle":"","parse-names":false,"suffix":""},{"dropping-particle":"","family":"Mabey","given":"D","non-dropping-particle":"","parse-names":false,"suffix":""},{"dropping-particle":"","family":"Alary","given":"M","non-dropping-particle":"","parse-names":false,"suffix":""}],"container-title":"Sex Transm Infect","id":"ITEM-19","issue":"5","issued":{"date-parts":[["2006","10"]]},"page":"403-12","title":"Modelling the cost effectiveness of rapid point of care diagnostic tests for the control of HIV and other sexually transmitted infections among female sex workers.","type":"article-journal","volume":"82"},"uris":["http://www.mendeley.com/documents/?uuid=34653315-add2-4125-a9d5-d49b26f46065"]},{"id":"ITEM-20","itemData":{"ISSN":"1537-4521","PMID":"24275727","abstract":"BACKGROUND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Dis","id":"ITEM-20","issue":"10","issued":{"date-parts":[["2013","10"]]},"page":"776-83","title":"Cost-effectiveness of screening men in Maricopa County jails for chlamydia and gonorrhea to avert infections in women.","type":"article-journal","volume":"40"},"uris":["http://www.mendeley.com/documents/?uuid=ffb1178c-a6e8-4076-8f5b-4bfe4e98d860"]},{"id":"ITEM-21","itemData":{"ISSN":"1471-2334","PMID":"23618061","abstract":"BACKGROUND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Dis","id":"ITEM-21","issued":{"date-parts":[["2013"]]},"page":"188","title":"Population movement can sustain STI prevalence in remote Australian indigenous communities.","type":"article-journal","volume":"13"},"uris":["http://www.mendeley.com/documents/?uuid=439c8ade-8864-4f5e-9dff-966b3d367e00"]},{"id":"ITEM-22","itemData":{"ISSN":"1472-3263","PMID":"24273127","abstract":"OBJECTIVES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£103.9 million compared with £115.6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treatment.","author":[{"dropping-particle":"","family":"Turner","given":"Katherine M E","non-dropping-particle":"","parse-names":false,"suffix":""},{"dropping-particle":"","family":"Round","given":"Jeff","non-dropping-particle":"","parse-names":false,"suffix":""},{"dropping-particle":"","family":"Horner","given":"Patrick","non-dropping-particle":"","parse-names":false,"suffix":""},{"dropping-particle":"","family":"Macleod","given":"John","non-dropping-particle":"","parse-names":false,"suffix":""},{"dropping-particle":"","family":"Goldenberg","given":"Simon","non-dropping-particle":"","parse-names":false,"suffix":""},{"dropping-particle":"","family":"Deol","given":"Arminder","non-dropping-particle":"","parse-names":false,"suffix":""},{"dropping-particle":"","family":"Adams","given":"Elisabeth J","non-dropping-particle":"","parse-names":false,"suffix":""}],"container-title":"Sex Transm Infect","id":"ITEM-22","issue":"2","issued":{"date-parts":[["2014","3"]]},"page":"104-11","title":"An early evaluation of clinical and economic costs and benefits of implementing point of care NAAT tests for Chlamydia trachomatis and Neisseria gonorrhoea in genitourinary medicine clinics in England.","type":"article-journal","volume":"90"},"uris":["http://www.mendeley.com/documents/?uuid=839e0394-dfc6-4cc9-a76a-47483ec8b07d","http://www.mendeley.com/documents/?uuid=a5843ce2-3049-36bd-81de-6855a2dcb6c5","http://www.mendeley.com/documents/?uuid=2c48344d-f34d-4e15-8d29-c02873e8ebeb"]},{"id":"ITEM-23","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Infect","id":"ITEM-23","issue":"3","issued":{"date-parts":[["2010","6","1"]]},"page":"169-174","title":"A Bayesian approach to uncertainty analysis of sexually transmitted infection models","type":"article-journal","volume":"86"},"uris":["http://www.mendeley.com/documents/?uuid=31e9dca7-f246-4670-9001-4c78d9774ec7"]}],"mendeley":{"formattedCitation":"&lt;sup&gt;39,40,45–48,53–55,57,60,63,75–85&lt;/sup&gt;","plainTextFormattedCitation":"39,40,45–48,53–55,57,60,63,75–85","previouslyFormattedCitation":"&lt;sup&gt;39,40,45–48,53–55,57,60,63,75–85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39,40,45–48,53–55,57,60,63,75–85</w:t>
      </w:r>
      <w:r w:rsidRPr="0024409C">
        <w:rPr>
          <w:rFonts w:ascii="Helvetica Neue" w:hAnsi="Helvetica Neue"/>
        </w:rPr>
        <w:fldChar w:fldCharType="end"/>
      </w:r>
      <w:r w:rsidRPr="0024409C">
        <w:rPr>
          <w:rFonts w:ascii="Helvetica Neue" w:hAnsi="Helvetica Neue"/>
        </w:rPr>
        <w:t xml:space="preserve"> with an outer range of 0.1 to 1.</w:t>
      </w:r>
      <w:r w:rsidRPr="0024409C">
        <w:rPr>
          <w:rFonts w:ascii="Helvetica Neue" w:hAnsi="Helvetica Neue"/>
        </w:rPr>
        <w:fldChar w:fldCharType="begin" w:fldLock="1"/>
      </w:r>
      <w:r w:rsidR="00665BF2">
        <w:rPr>
          <w:rFonts w:ascii="Helvetica Neue" w:hAnsi="Helvetica Neue"/>
        </w:rPr>
        <w:instrText>ADDIN CSL_CITATION {"citationItems":[{"id":"ITEM-1","itemData":{"ISSN":"1879-3134","PMID":"20043928","abstract":"A multigroup model is considered for a disease transmitted heterosexually in which there is a core group that has higher sexual activity than other groups. In order to develop control strategies to eradicate the disease, type reproduction numbers are determined. A graph-theoretic interpretation of type reproduction numbers for a star network with a core group at the center is established. Using these general formulas for the star network, a two-group model consisting of a core and a non-core group is considered. If disease can persist in the core group in isolation, then the amount of increase of treatment or decrease of the contact rate of infectious males (or females) in the core group that is required to eradicate the disease is expressed in terms of model parameters. If disease can persist but not in either group in isolation, then the amount of reduction of the connection between the two groups needed to eradicate the disease is determined. These two cases are illustrated with parameters applicable to gonorrhea in the US.","author":[{"dropping-particle":"","family":"Edwards","given":"R","non-dropping-particle":"","parse-names":false,"suffix":""},{"dropping-particle":"","family":"Kim","given":"Sehjeong","non-dropping-particle":"","parse-names":false,"suffix":""},{"dropping-particle":"","family":"Driessche","given":"Pauline","non-dropping-particle":"van den","parse-names":false,"suffix":""}],"container-title":"Math Biosci","id":"ITEM-1","issue":"2","issued":{"date-parts":[["2010","4"]]},"page":"87-94","title":"A multigroup model for a heterosexually transmitted disease.","type":"article-journal","volume":"224"},"uris":["http://www.mendeley.com/documents/?uuid=3df8a432-322c-380d-8aae-1c0dba5816b0","http://www.mendeley.com/documents/?uuid=0490f6ec-2920-48e3-87f7-187e1dfdd212"]},{"id":"ITEM-2","itemData":{"ISSN":"0264410X","abstract":"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(10–100%) and duration of protection (2.5–20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people.","author":[{"dropping-particle":"","family":"Craig","given":"Andrew P.","non-dropping-particle":"","parse-names":false,"suffix":""},{"dropping-particle":"","family":"Gray","given":"Richard T.","non-dropping-particle":"","parse-names":false,"suffix":""},{"dropping-particle":"","family":"Edwards","given":"Jennifer L.","non-dropping-particle":"","parse-names":false,"suffix":""},{"dropping-particle":"","family":"Apicella","given":"Michael A.","non-dropping-particle":"","parse-names":false,"suffix":""},{"dropping-particle":"","family":"Jennings","given":"Michael P.","non-dropping-particle":"","parse-names":false,"suffix":""},{"dropping-particle":"","family":"Wilson","given":"David P.","non-dropping-particle":"","parse-names":false,"suffix":""},{"dropping-particle":"","family":"Seib","given":"Kate L.","non-dropping-particle":"","parse-names":false,"suffix":""}],"container-title":"Vaccine","id":"ITEM-2","issue":"36","issued":{"date-parts":[["2015"]]},"page":"4520-4525","title":"The potential impact of vaccination on the prevalence of gonorrhea","type":"article-journal","volume":"33"},"uris":["http://www.mendeley.com/documents/?uuid=68d9b0c6-5bf1-3557-8f4b-a46d0f1c8a01","http://www.mendeley.com/documents/?uuid=f7ca839a-9977-4bb8-9aac-adf22570110c"]},{"id":"ITEM-3","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Interface","id":"ITEM-3","issue":"106","issued":{"date-parts":[["2015"]]},"page":"20150067","title":"An anthropologically based model of the impact of asymptomatic cases on the spread of Neisseria gonorrhoeae.","type":"article-journal","volume":"12"},"uris":["http://www.mendeley.com/documents/?uuid=80f6739b-9b41-4722-bd93-001e23ac65df","http://www.mendeley.com/documents/?uuid=1bdee7b1-90d9-34ba-9adf-8d5afad96b0e"]}],"mendeley":{"formattedCitation":"&lt;sup&gt;82,86,87&lt;/sup&gt;","plainTextFormattedCitation":"82,86,87","previouslyFormattedCitation":"&lt;sup&gt;82,86,87&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82,86,87</w:t>
      </w:r>
      <w:r w:rsidRPr="0024409C">
        <w:rPr>
          <w:rFonts w:ascii="Helvetica Neue" w:hAnsi="Helvetica Neue"/>
        </w:rPr>
        <w:fldChar w:fldCharType="end"/>
      </w:r>
      <w:r w:rsidRPr="0024409C">
        <w:rPr>
          <w:rFonts w:ascii="Helvetica Neue" w:hAnsi="Helvetica Neue"/>
        </w:rPr>
        <w:t xml:space="preserve"> Per-day infection probability estimates ranged from 0.011 to 0.6,</w:t>
      </w:r>
      <w:r w:rsidRPr="0024409C">
        <w:rPr>
          <w:rFonts w:ascii="Helvetica Neue" w:hAnsi="Helvetica Neue"/>
        </w:rPr>
        <w:fldChar w:fldCharType="begin" w:fldLock="1"/>
      </w:r>
      <w:r w:rsidR="00665BF2">
        <w:rPr>
          <w:rFonts w:ascii="Helvetica Neue" w:hAnsi="Helvetica Neue"/>
        </w:rPr>
        <w:instrText>ADDIN CSL_CITATION {"citationItems":[{"id":"ITEM-1","itemData":{"ISSN":"1742-5662","PMID":"25100316","abstract":"Host immunity and demographics (the recruitment of susceptibles via birthrate) have been demonstrated to be a key determinant of the periodicity of measles, pertussis and dengue epidemics. However, not all epidemic cycles are from pathogens inducing sterilizing immunity or are driven by demographics. Many sexually transmitted infections are driven by sexual behaviour. We present a mathematical model of disease transmission where individuals can disconnect and reconnect depending on the infectious status of their contacts. We fit the model to historic syphilis (Treponema pallidum) and gonorrhea (Neisseria gonorrhoeae) incidence in the USA and explore potential intervention strategies against syphilis. We find that cycles in syphilis incidence can be driven solely by changing sexual behaviour in structured populations. Our model also explains the lack of similar cycles in gonorrhea incidence even if the two infections share the same propagation pathways. Our model similarly illustrates how sudden epidemic outbreaks can occur on time scales smaller than the characteristic demographic time scale of the population and that weaker infections can lead to more violent outbreaks. Behaviour also appears to be critical for control strategies as we found a bigger sensitivity to behavioural interventions than antibiotic treatment. Thus, behavioural interventions may play a larger role than previously thought, especially in the face of antibiotic resistance and low intervention efficacies.","author":[{"dropping-particle":"","family":"Althouse","given":"Benjamin M","non-dropping-particle":"","parse-names":false,"suffix":""},{"dropping-particle":"","family":"Hébert-Dufresne","given":"Laurent","non-dropping-particle":"","parse-names":false,"suffix":""}],"container-title":"J R Stat Soc Series B Stat Methodol","id":"ITEM-1","issue":"99","issued":{"date-parts":[["2014"]]},"page":"20140575","title":"Epidemic cycles driven by host behaviour.","type":"article-journal","volume":"11"},"uris":["http://www.mendeley.com/documents/?uuid=cd3cc0ab-07b3-3ab2-9b00-936f8efe4b14","http://www.mendeley.com/documents/?uuid=5b1e6cfe-dd3b-482e-a353-f991049511f6"]},{"id":"ITEM-2","itemData":{"ISSN":"1386-9620","PMID":"18074967","abstract":"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control.","author":[{"dropping-particle":"","family":"Armbruster","given":"Benjamin","non-dropping-particle":"","parse-names":false,"suffix":""},{"dropping-particle":"","family":"Brandeau","given":"Margaret L","non-dropping-particle":"","parse-names":false,"suffix":""}],"container-title":"Health Care Manag Sci","id":"ITEM-2","issue":"4","issued":{"date-parts":[["2007","12"]]},"page":"341-55","title":"Contact tracing to control infectious disease: when enough is enough.","type":"article-journal","volume":"10"},"uris":["http://www.mendeley.com/documents/?uuid=a259d1eb-ded8-4212-8b42-2d47ef69c8b6","http://www.mendeley.com/documents/?uuid=08bf6bbf-3be1-350b-81e0-dff9e63bc8e7"]},{"id":"ITEM-3","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Epidemiol","id":"ITEM-3","issue":"3","issued":{"date-parts":[["1996","8"]]},"page":"306-17","title":"Modeling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b071e532-c9c2-4673-9692-375f32b7ae49"]}],"mendeley":{"formattedCitation":"&lt;sup&gt;67,77,88&lt;/sup&gt;","plainTextFormattedCitation":"67,77,88","previouslyFormattedCitation":"&lt;sup&gt;67,77,88&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67,77,88</w:t>
      </w:r>
      <w:r w:rsidRPr="0024409C">
        <w:rPr>
          <w:rFonts w:ascii="Helvetica Neue" w:hAnsi="Helvetica Neue"/>
        </w:rPr>
        <w:fldChar w:fldCharType="end"/>
      </w:r>
      <w:r w:rsidRPr="0024409C">
        <w:rPr>
          <w:rFonts w:ascii="Helvetica Neue" w:hAnsi="Helvetica Neue"/>
        </w:rPr>
        <w:t xml:space="preserve"> with higher probabilities estimates for non-main partnerships. Per-partnership estimates differed widely, ranging from 0.10 to 0.80.</w:t>
      </w:r>
      <w:r w:rsidRPr="0024409C">
        <w:rPr>
          <w:rFonts w:ascii="Helvetica Neue" w:hAnsi="Helvetica Neue"/>
        </w:rPr>
        <w:fldChar w:fldCharType="begin" w:fldLock="1"/>
      </w:r>
      <w:r w:rsidR="00665BF2">
        <w:rPr>
          <w:rFonts w:ascii="Helvetica Neue" w:hAnsi="Helvetica Neue"/>
        </w:rPr>
        <w:instrText>ADDIN CSL_CITATION {"citationItems":[{"id":"ITEM-1","itemData":{"ISSN":"0148-5717","PMID":"8836026","abstract":"BACKGROUND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behav…","author":[{"dropping-particle":"","family":"Boily","given":"M C","non-dropping-particle":"","parse-names":false,"suffix":""},{"dropping-particle":"","family":"Anderson","given":"R M","non-dropping-particle":"","parse-names":false,"suffix":""}],"container-title":"Sex Transm Dis","id":"ITEM-1","issue":"4","issued":{"date-parts":[["1996"]]},"page":"312-32","title":"Human immunodeficiency virus transmission and the role of other sexually transmitted diseases. Measures of association and study design.","type":"article-journal","volume":"23"},"uris":["http://www.mendeley.com/documents/?uuid=c3294f5e-676e-3257-b978-06db0c39a45d","http://www.mendeley.com/documents/?uuid=973f7399-68f9-4c40-a0d7-bae81ca8a778"]},{"id":"ITEM-2","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Sci","id":"ITEM-2","issue":"1384","issued":{"date-parts":[["1999","4"]]},"page":"787-97","title":"The transmission dynamics of gonorrhoea: modelling the reported behaviour of infected patients from Newark, New Jersey.","type":"article-journal","volume":"354"},"uris":["http://www.mendeley.com/documents/?uuid=0e7600dd-68c6-3779-a988-e44f217aaaf2","http://www.mendeley.com/documents/?uuid=a0924c6a-947c-4c24-a77d-49f8d1ee76f0"]},{"id":"ITEM-3","itemData":{"ISSN":"0265-0746","PMID":"1517673","abstract":"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gonorrhoea.","author":[{"dropping-particle":"","family":"Swinton","given":"J","non-dropping-particle":"","parse-names":false,"suffix":""},{"dropping-particle":"","family":"Garnett","given":"G P","non-dropping-particle":"","parse-names":false,"suffix":""},{"dropping-particle":"","family":"Brunham","given":"R C","non-dropping-particle":"","parse-names":false,"suffix":""},{"dropping-particle":"","family":"Anderson","given":"R M","non-dropping-particle":"","parse-names":false,"suffix":""}],"container-title":"IMA J Math Appl Med Biol","id":"ITEM-3","issue":"2","issued":{"date-parts":[["1992"]]},"page":"107-26","title":"Gonococcal infection, infertility, and population growth: I. Endemic states in behaviourally homogeneous growing populations.","type":"article-journal","volume":"9"},"uris":["http://www.mendeley.com/documents/?uuid=a9f6bed3-5634-43ba-b20e-a0b8932feab2","http://www.mendeley.com/documents/?uuid=54b6137f-184c-3b3a-a9e5-1d7a30ac7f97"]}],"mendeley":{"formattedCitation":"&lt;sup&gt;56,89,90&lt;/sup&gt;","plainTextFormattedCitation":"56,89,90","previouslyFormattedCitation":"&lt;sup&gt;56,89,90&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56,89,90</w:t>
      </w:r>
      <w:r w:rsidRPr="0024409C">
        <w:rPr>
          <w:rFonts w:ascii="Helvetica Neue" w:hAnsi="Helvetica Neue"/>
        </w:rPr>
        <w:fldChar w:fldCharType="end"/>
      </w:r>
      <w:r w:rsidRPr="0024409C">
        <w:rPr>
          <w:rFonts w:ascii="Helvetica Neue" w:hAnsi="Helvetica Neue"/>
        </w:rPr>
        <w:t xml:space="preserve"> When FTM transmission was distinguished, the per-act</w:t>
      </w:r>
      <w:r w:rsidRPr="0024409C">
        <w:rPr>
          <w:rFonts w:ascii="Helvetica Neue" w:hAnsi="Helvetica Neue"/>
        </w:rPr>
        <w:fldChar w:fldCharType="begin" w:fldLock="1"/>
      </w:r>
      <w:r w:rsidR="00291558">
        <w:rPr>
          <w:rFonts w:ascii="Helvetica Neue" w:hAnsi="Helvetica Neue"/>
        </w:rPr>
        <w:instrText>ADDIN CSL_CITATION {"citationItems":[{"id":"ITEM-1","itemData":{"ISSN":"0148-5717","PMID":"8836026","abstract":"BACKGROUND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behav…","author":[{"dropping-particle":"","family":"Boily","given":"M C","non-dropping-particle":"","parse-names":false,"suffix":""},{"dropping-particle":"","family":"Anderson","given":"R M","non-dropping-particle":"","parse-names":false,"suffix":""}],"container-title":"Sex Transm Dis","id":"ITEM-1","issue":"4","issued":{"date-parts":[["1996"]]},"page":"312-32","title":"Human immunodeficiency virus transmission and the role of other sexually transmitted diseases. Measures of association and study design.","type":"article-journal","volume":"23"},"uris":["http://www.mendeley.com/documents/?uuid=973f7399-68f9-4c40-a0d7-bae81ca8a778","http://www.mendeley.com/documents/?uuid=c3294f5e-676e-3257-b978-06db0c39a45d"]},{"id":"ITEM-2","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Health","id":"ITEM-2","issue":"2","issued":{"date-parts":[["2012","2"]]},"page":"161-8","title":"The role of sexually transmitted infections in the evolution of the South African HIV epidemic.","type":"article-journal","volume":"17"},"uris":["http://www.mendeley.com/documents/?uuid=0e1ea8f2-849f-41da-864c-66e864358726"]},{"id":"ITEM-3","itemData":{"ISSN":"0269-9370","PMID":"10780720","abstract":"OBJECTIVES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D","non-dropping-particle":"","parse-names":false,"suffix":""}],"container-title":"AIDS","id":"ITEM-3","issue":"5","issued":{"date-parts":[["2000","3"]]},"page":"573-93","title":"Model-based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e8c52459-e327-4486-ad65-5a04f691ca3c"]},{"id":"ITEM-4","itemData":{"ISSN":"0277-9536","PMID":"11144911","abstract":"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Africa.","author":[{"dropping-particle":"","family":"Marseille","given":"E","non-dropping-particle":"","parse-names":false,"suffix":""},{"dropping-particle":"","family":"Kahn","given":"J G","non-dropping-particle":"","parse-names":false,"suffix":""},{"dropping-particle":"","family":"Billinghurst","given":"K","non-dropping-particle":"","parse-names":false,"suffix":""},{"dropping-particle":"","family":"Saba","given":"J","non-dropping-particle":"","parse-names":false,"suffix":""}],"container-title":"Soc Sci Med","id":"ITEM-4","issue":"1","issued":{"date-parts":[["2001","1"]]},"page":"135-48","title":"Cost-effectiveness of the female condom in preventing HIV and STDs in commercial sex workers in rural South Africa.","type":"article-journal","volume":"52"},"uris":["http://www.mendeley.com/documents/?uuid=4375174b-6f5e-498f-9a66-4bc3fbb570fd","http://www.mendeley.com/documents/?uuid=bd626c35-2926-3dfb-8e87-42c0328aed1e","http://www.mendeley.com/documents/?uuid=9ddd7fb7-197e-4dd2-a141-2372603fb7e5"]},{"id":"ITEM-5","itemData":{"ISSN":"0956-4624","PMID":"12803939","abstract":"The same sexual behaviours that transmit HIV are implicated in the transmission of certain other STDs, including chlamydia, gonorrhoea, and syphilis. Consequently, it is often assumed that preventive methods that are effective against HIV should be equally effective against other STDs. The purpose of this study was to examine this assumption. We applied a mathematical model of HIV/STD transmission to empirical data from a large HIV prevention intervention that stressed sexual behaviour change. We modelled the effects of two behavioural strategies - reducing the number of sex partners and increasing condom use-on the proportionate change in intervention participants' cumulative risk of acquiring HIV or a highly-infectious STD, such as gonorrhoea. The results of this modelling exercise indicate that decreasing the number of partners is a more effective strategy for reducing STD risk than it is for HIV risk. In contrast, condoms are somewhat more effective at reducing the cumulative transmission risk for HIV than for highly infectious STDs. The protection provided by condoms for multiple acts of intercourse critically depends on the infectiousness of the STD. The results of this study suggest caution in extrapolating from one STD to another, or from one behavioural risk reduction strategy to another.","author":[{"dropping-particle":"","family":"Pinkerton","given":"S D","non-dropping-particle":"","parse-names":false,"suffix":""},{"dropping-particle":"","family":"Layde","given":"P M","non-dropping-particle":"","parse-names":false,"suffix":""},{"dropping-particle":"","family":"DiFranceisco","given":"W","non-dropping-particle":"","parse-names":false,"suffix":""},{"dropping-particle":"","family":"Chesson","given":"H W","non-dropping-particle":"","parse-names":false,"suffix":""},{"dropping-particle":"","family":"NIMH Multisite HIV Prevention Trial Group","given":"","non-dropping-particle":"","parse-names":false,"suffix":""}],"container-title":"Int J STD AIDS","id":"ITEM-5","issue":"5","issued":{"date-parts":[["2003","5"]]},"page":"320-8","title":"All STDs are not created equal: An analysis of the differential effects of sexual behaviour changes on different STDs","type":"article-journal","volume":"14"},"uris":["http://www.mendeley.com/documents/?uuid=52fb46aa-46a1-4af9-9eca-f3a2fe822614"]},{"id":"ITEM-6","itemData":{"ISSN":"1525-4135","PMID":"12352153","abstract":"Most sexually transmitted disease (STD)/HIV sexual risk reduction intervention trials are evaluated using behavioral outcomes as their main indicators of intervention effectiveness. How good are behavioral measures as surrogate markers for STD infection? Do the behavioral changes that are commonly assessed in risk reduction interventions accurately reflect changes in STD risk? We applied a mathematical model of STD/HIV transmission to empiric data from a large HIV prevention intervention to estimate pre- to postintervention changes in intervention participants' STD risk. We then used the coefficient of determination (R(2)) to assess the strength of association between changes in STD risk and changes in three behavioral measures: proportion of acts of intercourse for which condoms were used, number of sex partners, and number of acts of unprotected intercourse. The results indicate that change in the number of acts of unprotected intercourse is a superior marker of STD risk changes for less infectious STDs such as HIV, whereas change in the number of partners may be preferable for highly infectious STDs such as gonorrhea. Changes in the proportion of acts of intercourse for which condoms were used were not strongly correlated with changes in STD risk under most of the conditions examined in this analysis. The utility of different measures of sexual behavior change as markers for changes in STD risk and, hence, expected incidence, depends on the infectivity and prevalence of the target STD.","author":[{"dropping-particle":"","family":"Pinkerton","given":"Steven David","non-dropping-particle":"","parse-names":false,"suffix":""},{"dropping-particle":"","family":"Chesson","given":"Harrell Warren","non-dropping-particle":"","parse-names":false,"suffix":""},{"dropping-particle":"","family":"Layde","given":"Peter Mark","non-dropping-particle":"","parse-names":false,"suffix":""},{"dropping-particle":"","family":"National Institute of Mental Health Multisite HIV Prevention Trial Group","given":"","non-dropping-particle":"","parse-names":false,"suffix":""}],"container-title":"J Acquir Immune Defic Syndr","id":"ITEM-6","issue":"1","issued":{"date-parts":[["2002","9","1"]]},"page":"71-9","title":"Utility of behavioral changes as markers of sexually transmitted disease risk reduction in sexually transmitted disease/HIV prevention trials.","type":"article-journal","volume":"31"},"uris":["http://www.mendeley.com/documents/?uuid=4972f14e-cde3-40ed-a29b-99061b6c5d9f"]},{"id":"ITEM-7","itemData":{"ISSN":"0148-5717","PMID":"18446084","abstract":"OBJECTIVE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lengths.","author":[{"dropping-particle":"","family":"Chen","given":"Mark I","non-dropping-particle":"","parse-names":false,"suffix":""},{"dropping-particle":"","family":"Ghani","given":"Azra C","non-dropping-particle":"","parse-names":false,"suffix":""},{"dropping-particle":"","family":"Edmunds","given":"John","non-dropping-particle":"","parse-names":false,"suffix":""}],"container-title":"Sex Transm Dis","id":"ITEM-7","issue":"5","issued":{"date-parts":[["2008","5"]]},"page":"435-44","title":"Mind the gap: the role of time between sex with two consecutive partners on the transmission dynamics of gonorrhea.","type":"article-journal","volume":"35"},"uris":["http://www.mendeley.com/documents/?uuid=bd0cdbab-ee77-44b3-893c-f837cf17d3b1"]},{"id":"ITEM-8","itemData":{"ISSN":"1742-5662","PMID":"25808340","abstract":"Neisseria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Interface","id":"ITEM-8","issue":"106","issued":{"date-parts":[["2015"]]},"page":"20150067","title":"An anthropologically based model of the impact of asymptomatic cases on the spread of Neisseria gonorrhoeae.","type":"article-journal","volume":"12"},"uris":["http://www.mendeley.com/documents/?uuid=80f6739b-9b41-4722-bd93-001e23ac65df","http://www.mendeley.com/documents/?uuid=1bdee7b1-90d9-34ba-9adf-8d5afad96b0e","http://www.mendeley.com/documents/?uuid=13c9ad1c-e3c6-4852-a5a0-13204be0dd93"]},{"id":"ITEM-9","itemData":{"ISSN":"1932-6203","PMID":"26181042","abstract":"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AMR.","author":[{"dropping-particle":"","family":"Hui","given":"Ben B","non-dropping-particle":"","parse-names":false,"suffix":""},{"dropping-particle":"","family":"Ryder","given":"Nathan","non-dropping-particle":"","parse-names":false,"suffix":""},{"dropping-particle":"","family":"Su","given":"Jiunn-Yih","non-dropping-particle":"","parse-names":false,"suffix":""},{"dropping-particle":"","family":"Ward","given":"James","non-dropping-particle":"","parse-names":false,"suffix":""},{"dropping-particle":"","family":"Chen","given":"Marcus Y","non-dropping-particle":"","parse-names":false,"suffix":""},{"dropping-particle":"","family":"Donovan","given":"Basil","non-dropping-particle":"","parse-names":false,"suffix":""},{"dropping-particle":"","family":"Fairley","given":"Christopher K","non-dropping-particle":"","parse-names":false,"suffix":""},{"dropping-particle":"","family":"Guy","given":"Rebecca J","non-dropping-particle":"","parse-names":false,"suffix":""},{"dropping-particle":"","family":"Lahra","given":"Monica M","non-dropping-particle":"","parse-names":false,"suffix":""},{"dropping-particle":"","family":"Law","given":"Mathew G","non-dropping-particle":"","parse-names":false,"suffix":""},{"dropping-particle":"","family":"Whiley","given":"David M","non-dropping-particle":"","parse-names":false,"suffix":""},{"dropping-particle":"","family":"Regan","given":"David G","non-dropping-particle":"","parse-names":false,"suffix":""}],"container-title":"PLoS ONE","id":"ITEM-9","issue":"7","issued":{"date-parts":[["2015"]]},"page":"e0133202","title":"Exploring the benefits of molecular testing for gonorrhoea antibiotic resistance surveillance in remote settings","type":"article-journal","volume":"10"},"uris":["http://www.mendeley.com/documents/?uuid=853244d6-109b-48aa-ba0a-5a4ae2a51e59","http://www.mendeley.com/documents/?uuid=85aa5e13-fa6a-3558-a9cb-11a0e8643472","http://www.mendeley.com/documents/?uuid=26621f6c-4b76-4f13-9566-38ea06b6eb6f"]},{"id":"ITEM-10","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Epidemiol","id":"ITEM-10","issue":"3","issued":{"date-parts":[["1996","8"]]},"page":"306-17","title":"Modeling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e3dfa712-8f86-4bbd-989f-922597abab70"]},{"id":"ITEM-11","itemData":{"ISSN":"1042-0533","PMID":"15849707","abstract":"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partnerships.","author":[{"dropping-particle":"","family":"McCluskey","given":"C Connell","non-dropping-particle":"","parse-names":false,"suffix":""},{"dropping-particle":"","family":"Roth","given":"Eric","non-dropping-particle":"","parse-names":false,"suffix":""},{"dropping-particle":"","family":"Driessche","given":"P","non-dropping-particle":"van den","parse-names":false,"suffix":""}],"container-title":"Am J Hum Biol","id":"ITEM-11","issue":"3","issued":{"date-parts":[["2005"]]},"page":"293-301","title":"Implication of Ariaal sexual mixing on gonorrhea.","type":"article-journal","volume":"17"},"uris":["http://www.mendeley.com/documents/?uuid=0a147076-4e1b-483a-adaa-bfb19b9a51d5","http://www.mendeley.com/documents/?uuid=120743b7-6e07-33c5-bad3-e213a34d5683","http://www.mendeley.com/documents/?uuid=17f32b05-a4e3-4922-831f-42b65046d9e8"]},{"id":"ITEM-12","itemData":{"ISSN":"0265-0746","PMID":"1517673","abstract":"Sexually transmitted diseases such as gonorrhoea are a significant cause of infertility in women when the infection is untreated. They have the potential to alter human population growth rates in many developing countries where sexually transmitted diseases are prevalent due to limited public health facilities for diagnosis and treatment. The authors develop a simple model describing the conditions under which such a disease can exist in a growing population in which sexual partners are chosen at random by proportionate mixing. Using the model, the impact that such a disease could have for a range of possible parameters is examined. Then a full parameter set for gonorrhoea in a developing country is estimated. Analysis demonstrates the significant influence gonococcal infection may have in reducing population growth rate in some communities. For example, the simple model predicts that a prevalence of 20% in sexually active adults results in a 50% reduction in the population growth rate. Finally, the authors discuss how potential control initiatives may change the parameter values that determine transmission and alter the demographic impact of gonorrhoea.","author":[{"dropping-particle":"","family":"Swinton","given":"J","non-dropping-particle":"","parse-names":false,"suffix":""},{"dropping-particle":"","family":"Garnett","given":"G P","non-dropping-particle":"","parse-names":false,"suffix":""},{"dropping-particle":"","family":"Brunham","given":"R C","non-dropping-particle":"","parse-names":false,"suffix":""},{"dropping-particle":"","family":"Anderson","given":"R M","non-dropping-particle":"","parse-names":false,"suffix":""}],"container-title":"IMA J Math Appl Med Biol","id":"ITEM-12","issue":"2","issued":{"date-parts":[["1992"]]},"page":"107-26","title":"Gonococcal infection, infertility, and population growth: I. Endemic states in behaviourally homogeneous growing populations.","type":"article-journal","volume":"9"},"uris":["http://www.mendeley.com/documents/?uuid=a9f6bed3-5634-43ba-b20e-a0b8932feab2","http://www.mendeley.com/documents/?uuid=54b6137f-184c-3b3a-a9e5-1d7a30ac7f97","http://www.mendeley.com/documents/?uuid=594a0e9b-18a5-43ad-92eb-1c4d44c1e12c"]},{"id":"ITEM-13","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Infect","id":"ITEM-13","issue":"3","issued":{"date-parts":[["2010","6","1"]]},"page":"169-174","title":"A Bayesian approach to uncertainty analysis of sexually transmitted infection models","type":"article-journal","volume":"86"},"uris":["http://www.mendeley.com/documents/?uuid=31e9dca7-f246-4670-9001-4c78d9774ec7"]}],"mendeley":{"formattedCitation":"&lt;sup&gt;39,40,45,46,56,67,75,76,78,82–84,89&lt;/sup&gt;","plainTextFormattedCitation":"39,40,45,46,56,67,75,76,78,82–84,89","previouslyFormattedCitation":"&lt;sup&gt;39,40,45,46,56,67,75,76,78,82–84,89&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39,40,45,46,56,67,75,76,78,82–84,89</w:t>
      </w:r>
      <w:r w:rsidRPr="0024409C">
        <w:rPr>
          <w:rFonts w:ascii="Helvetica Neue" w:hAnsi="Helvetica Neue"/>
        </w:rPr>
        <w:fldChar w:fldCharType="end"/>
      </w:r>
      <w:r w:rsidRPr="0024409C">
        <w:rPr>
          <w:rFonts w:ascii="Helvetica Neue" w:hAnsi="Helvetica Neue"/>
        </w:rPr>
        <w:t xml:space="preserve"> and per-partnership</w:t>
      </w:r>
      <w:r w:rsidRPr="0024409C">
        <w:rPr>
          <w:rFonts w:ascii="Helvetica Neue" w:hAnsi="Helvetica Neue"/>
        </w:rPr>
        <w:fldChar w:fldCharType="begin" w:fldLock="1"/>
      </w:r>
      <w:r w:rsidR="00665BF2">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Sci","id":"ITEM-2","issue":"1384","issued":{"date-parts":[["1999","4"]]},"page":"787-97","title":"The transmission dynamics of gonorrhoea: modelling the reported behaviour of infected patients from Newark, New Jersey.","type":"article-journal","volume":"354"},"uris":["http://www.mendeley.com/documents/?uuid=a0924c6a-947c-4c24-a77d-49f8d1ee76f0","http://www.mendeley.com/documents/?uuid=0e7600dd-68c6-3779-a988-e44f217aaaf2","http://www.mendeley.com/documents/?uuid=365dabb1-12ea-44f3-ac50-c6bbbd5bba07"]}],"mendeley":{"formattedCitation":"&lt;sup&gt;54,90&lt;/sup&gt;","plainTextFormattedCitation":"54,90","previouslyFormattedCitation":"&lt;sup&gt;54,90&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54,90</w:t>
      </w:r>
      <w:r w:rsidRPr="0024409C">
        <w:rPr>
          <w:rFonts w:ascii="Helvetica Neue" w:hAnsi="Helvetica Neue"/>
        </w:rPr>
        <w:fldChar w:fldCharType="end"/>
      </w:r>
      <w:r w:rsidRPr="0024409C">
        <w:rPr>
          <w:rFonts w:ascii="Helvetica Neue" w:hAnsi="Helvetica Neue"/>
        </w:rPr>
        <w:t xml:space="preserve"> estimated risk tended to be decreased or halved, compared to the MTF risk, with some exceptions in which the FTM risk was estimated to be greater.</w:t>
      </w:r>
      <w:r w:rsidRPr="0024409C">
        <w:rPr>
          <w:rFonts w:ascii="Helvetica Neue" w:hAnsi="Helvetica Neue"/>
        </w:rPr>
        <w:fldChar w:fldCharType="begin" w:fldLock="1"/>
      </w:r>
      <w:r w:rsidR="00291558">
        <w:rPr>
          <w:rFonts w:ascii="Helvetica Neue" w:hAnsi="Helvetica Neue"/>
        </w:rPr>
        <w:instrText>ADDIN CSL_CITATION {"citationItems":[{"id":"ITEM-1","itemData":{"ISSN":"0148-5717","PMID":"18446084","abstract":"OBJECTIVE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lengths.","author":[{"dropping-particle":"","family":"Chen","given":"Mark I","non-dropping-particle":"","parse-names":false,"suffix":""},{"dropping-particle":"","family":"Ghani","given":"Azra C","non-dropping-particle":"","parse-names":false,"suffix":""},{"dropping-particle":"","family":"Edmunds","given":"John","non-dropping-particle":"","parse-names":false,"suffix":""}],"container-title":"Sex Transm Dis","id":"ITEM-1","issue":"5","issued":{"date-parts":[["2008","5"]]},"page":"435-44","title":"Mind the gap: the role of time between sex with two consecutive partners on the transmission dynamics of gonorrhea.","type":"article-journal","volume":"35"},"uris":["http://www.mendeley.com/documents/?uuid=bd0cdbab-ee77-44b3-893c-f837cf17d3b1"]},{"id":"ITEM-2","itemData":{"ISSN":"1471-2334","PMID":"23618061","abstract":"BACKGROUND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Dis","id":"ITEM-2","issued":{"date-parts":[["2013"]]},"page":"188","title":"Population movement can sustain STI prevalence in remote Australian indigenous communities.","type":"article-journal","volume":"13"},"uris":["http://www.mendeley.com/documents/?uuid=439c8ade-8864-4f5e-9dff-966b3d367e00"]},{"id":"ITEM-3","itemData":{"ISSN":"1368-4973","PMID":"15459406","abstract":"OBJECTIVES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community.","author":[{"dropping-particle":"","family":"Turner","given":"K M E","non-dropping-particle":"","parse-names":false,"suffix":""},{"dropping-particle":"","family":"Garnett","given":"G P","non-dropping-particle":"","parse-names":false,"suffix":""},{"dropping-particle":"","family":"Ghani","given":"A C","non-dropping-particle":"","parse-names":false,"suffix":""},{"dropping-particle":"","family":"Sterne","given":"J A C","non-dropping-particle":"","parse-names":false,"suffix":""},{"dropping-particle":"","family":"Low","given":"N","non-dropping-particle":"","parse-names":false,"suffix":""}],"container-title":"Sex Transm Infect","id":"ITEM-3","issue":"5","issued":{"date-parts":[["2004","10"]]},"page":"379-85","title":"Investigating ethnic inequalities in the incidence of sexually transmitted infections: mathematical modelling study.","type":"article-journal","volume":"80"},"uris":["http://www.mendeley.com/documents/?uuid=b741299d-47c9-4745-8a29-1a358d689962"]}],"mendeley":{"formattedCitation":"&lt;sup&gt;53,78,85&lt;/sup&gt;","plainTextFormattedCitation":"53,78,85","previouslyFormattedCitation":"&lt;sup&gt;53,78,85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53,78,85</w:t>
      </w:r>
      <w:r w:rsidRPr="0024409C">
        <w:rPr>
          <w:rFonts w:ascii="Helvetica Neue" w:hAnsi="Helvetica Neue"/>
        </w:rPr>
        <w:fldChar w:fldCharType="end"/>
      </w:r>
    </w:p>
    <w:p w14:paraId="69C71456" w14:textId="554F9822" w:rsidR="00EA384A" w:rsidRPr="0024409C" w:rsidRDefault="00EA384A" w:rsidP="00574651">
      <w:pPr>
        <w:spacing w:before="120" w:line="360" w:lineRule="auto"/>
        <w:rPr>
          <w:rFonts w:ascii="Helvetica Neue" w:hAnsi="Helvetica Neue"/>
        </w:rPr>
      </w:pPr>
      <w:r w:rsidRPr="0024409C">
        <w:rPr>
          <w:rFonts w:ascii="Helvetica Neue" w:hAnsi="Helvetica Neue"/>
        </w:rPr>
        <w:lastRenderedPageBreak/>
        <w:t>Compared to CT infection, the baseline transmission probability per sex-act for male-male anal intercourse in STI models has been better characterized for NG infection. Estimates of these risks have ranged widely from 0.02 and 0.8,</w:t>
      </w:r>
      <w:r w:rsidRPr="0024409C">
        <w:rPr>
          <w:rFonts w:ascii="Helvetica Neue" w:hAnsi="Helvetica Neue"/>
        </w:rPr>
        <w:fldChar w:fldCharType="begin" w:fldLock="1"/>
      </w:r>
      <w:r w:rsidR="00665BF2">
        <w:rPr>
          <w:rFonts w:ascii="Helvetica Neue" w:hAnsi="Helvetica Neue"/>
        </w:rPr>
        <w:instrText>ADDIN CSL_CITATION {"citationItems":[{"id":"ITEM-1","itemData":{"ISSN":"1469-4409","PMID":"25275435","abstract":"Gonorrhoea is one of the most common sexually transmitted infections. The control of gonorrhoea is extremely challenging because of the repeated development of resistance to the antibiotics used for its treatment. We explored different strategies to control the spread of antimicrobial resistance and prevent increases in gonorrhoea prevalence. We used a mathematical model that describes gonorrhoea transmission among men who have sex with men and distinguishes gonorrhoea strains sensitive or resistant to three antibiotics. We investigated the impact of combination therapy, switching first-line antibiotics according to resistance thresholds, and other control efforts (reduced sexual risk behaviour, increased treatment rate). Combination therapy can delay the spread of resistance better than using the 5% resistance threshold. Increased treatment rates, expected to enhance gonorrhoea control, may reduce gonorrhoea prevalence only in the short term, but could lead to more resistance and higher prevalence in the long term. Re-treatment of resistant cases with alternative antibiotics can substantially delay the spread of resistance. In conclusion, combination therapy and re-treatment of resistant cases with alternative antibiotics could be the most effective strategies to prevent increases in gonorrhoea prevalence due to antimicrobial resistance.","author":[{"dropping-particle":"","family":"Xiridou","given":"M","non-dropping-particle":"","parse-names":false,"suffix":""},{"dropping-particle":"","family":"Soetens","given":"L C","non-dropping-particle":"","parse-names":false,"suffix":""},{"dropping-particle":"","family":"Koedijk","given":"F D H","non-dropping-particle":"","parse-names":false,"suffix":""},{"dropping-particle":"","family":"Sande","given":"M A B","non-dropping-particle":"VAN DER","parse-names":false,"suffix":""},{"dropping-particle":"","family":"Wallinga","given":"J","non-dropping-particle":"","parse-names":false,"suffix":""}],"container-title":"Epidemiol Infect","id":"ITEM-1","issue":"8","issued":{"date-parts":[["2015","6"]]},"page":"1575-84","title":"Public health measures to control the spread of antimicrobial resistance in Neisseria gonorrhoeae in men who have sex with men.","type":"article-journal","volume":"143"},"uris":["http://www.mendeley.com/documents/?uuid=0d337c92-4226-4587-8090-8dd0ab6eab49"]},{"id":"ITEM-2","itemData":{"ISSN":"1095-8541","PMID":"20670632","abstract":"An SIS/SAS model of gonorrhea transmission in a population of highly active men-having-sex-with-men (MSM) is presented in this paper to study the impact of safe behavior on the dynamics of gonorrhea prevalence. Safe behaviors may fall into two categories-prevention and self-awareness. Prevention will be modeled via consistent condom use and self-awareness via STD testing frequency. Stability conditions for the disease free equilibrium and endemic equilibrium are determined along with a complete analysis of global dynamics. The control reproductive number is used as a means for measuring the effect of changes to model parameters on the prevalence of the disease. We also find that appropriate intervention would be in the form of a multifaceted approach at overall risk reduction rather than tackling one specific control individually.","author":[{"dropping-particle":"","family":"Morin","given":"Benjamin R","non-dropping-particle":"","parse-names":false,"suffix":""},{"dropping-particle":"","family":"Medina-Rios","given":"Liana","non-dropping-particle":"","parse-names":false,"suffix":""},{"dropping-particle":"","family":"Camacho","given":"Erika T","non-dropping-particle":"","parse-names":false,"suffix":""},{"dropping-particle":"","family":"Castillo-Chavez","given":"Carlos","non-dropping-particle":"","parse-names":false,"suffix":""}],"container-title":"J Theor Biol","id":"ITEM-2","issue":"1","issued":{"date-parts":[["2010","11"]]},"page":"35-40","title":"Static behavioral effects on gonorrhea transmission dynamics in a MSM population.","type":"article-journal","volume":"267"},"uris":["http://www.mendeley.com/documents/?uuid=38850dea-b69a-32f5-93c4-9264082ff84f","http://www.mendeley.com/documents/?uuid=2d3e36cd-50b1-4c54-bdf5-595e25f2ca6d"]},{"id":"ITEM-3","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Dis","id":"ITEM-3","issue":"9","issued":{"date-parts":[["2016","9"]]},"page":"542-548","title":"Cost-effectiveness of dual antimicrobial therapy for gonococcal infections among men who have sex with men in the Netherlands","type":"article-journal","volume":"43"},"uris":["http://www.mendeley.com/documents/?uuid=bef10dd7-5fdc-4432-817f-0c375883981c"]},{"id":"ITEM-4","itemData":{"DOI":"10.1136/sextrans-2014-051760","ISSN":"1368-4973","PMID":"25596192","abstract":"OBJECTIVES Despite early treatment of urethral infection, gonorrhoea is endemic in urban populations of men who have sex with men (MSM) in Australia. By contrast, gonorrhoea is not common in urban heterosexual populations. Sexual activities among MSM usually involve anal or oral sex, and as these behaviours are becoming increasingly common among heterosexuals, there is a need to investigate their roles in transmission of gonorrhoea. METHODS We developed individual-based models of transmission of gonorrhoea in MSM and heterosexuals that incorporate anatomical site-specific transmission of gonorrhoea. We estimated the probabilities of transmission for anal sex and oral sex by calibrating an MSM model against prevalence of gonorrhoea and sexual activity data. These probabilities were then applied to a heterosexual model in order to examine whether gonorrhoea can persist in a heterosexual population through the addition of anal sex and oral sex. RESULTS In the MSM model, gonorrhoea can persist despite prompt treatment of urethral infections. The probability of gonorrhoea persisting is reduced if use of condom for oral sex is increased to more than 15% of acts. Assuming that treatment of symptomatic infections is prompt, gonorrhoea is unlikely to persist in a heterosexual population even with the addition of anal and oral sex. CONCLUSIONS Our models suggest that oral sex has an important role in sustaining gonorrhoea in a population of MSM by providing a pool of untreated asymptomatic infection. The importance of anal sex or oral sex in sustaining gonorrhoea in a heterosexual population remains uncertain due to the lack of information linking different types of sex acts and transmissibility.","author":[{"dropping-particle":"","family":"Hui","given":"B","non-dropping-particle":"","parse-names":false,"suffix":""},{"dropping-particle":"","family":"Fairley","given":"C K","non-dropping-particle":"","parse-names":false,"suffix":""},{"dropping-particle":"","family":"Chen","given":"M","non-dropping-particle":"","parse-names":false,"suffix":""},{"dropping-particle":"","family":"Grulich","given":"A","non-dropping-particle":"","parse-names":false,"suffix":""},{"dropping-particle":"","family":"Hocking","given":"J","non-dropping-particle":"","parse-names":false,"suffix":""},{"dropping-particle":"","family":"Prestage","given":"G","non-dropping-particle":"","parse-names":false,"suffix":""},{"dropping-particle":"","family":"Walker","given":"S","non-dropping-particle":"","parse-names":false,"suffix":""},{"dropping-particle":"","family":"Law","given":"M","non-dropping-particle":"","parse-names":false,"suffix":""},{"dropping-particle":"","family":"Regan","given":"D","non-dropping-particle":"","parse-names":false,"suffix":""}],"container-title":"Sexually Transmitted Infections","id":"ITEM-4","issue":"5","issued":{"date-parts":[["2015","8"]]},"page":"365-369","title":"Oral and anal sex are key to sustaining gonorrhoea at endemic levels in MSM populations: a mathematical model","type":"article-journal","volume":"91"},"uris":["http://www.mendeley.com/documents/?uuid=8a9cd155-0623-3cf9-82f0-a9f556df594d"]},{"id":"ITEM-5","itemData":{"ISSN":"1537-4521","PMID":"18303352","abstract":"OBJECTIVES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Dis","id":"ITEM-5","issue":"2 Suppl","issued":{"date-parts":[["2009","2"]]},"page":"S41-8","title":"Preventing sexually transmitted infections among incarcerated men who have sex with men: a cost-effectiveness analysis.","type":"article-journal","volume":"36"},"uris":["http://www.mendeley.com/documents/?uuid=99e32213-3087-4c26-aa3a-0cb6b7d6e381"]},{"id":"ITEM-6","itemData":{"ISSN":"1944-7884","PMID":"26102448","abstract":"OBJECTIVE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Syndr","id":"ITEM-6","issue":"2","issued":{"date-parts":[["2015","10","1"]]},"page":"186-94","title":"A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71,72,91–94&lt;/sup&gt;","plainTextFormattedCitation":"71,72,91–94","previouslyFormattedCitation":"&lt;sup&gt;71,72,91–94&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71,72,91–94</w:t>
      </w:r>
      <w:r w:rsidRPr="0024409C">
        <w:rPr>
          <w:rFonts w:ascii="Helvetica Neue" w:hAnsi="Helvetica Neue"/>
        </w:rPr>
        <w:fldChar w:fldCharType="end"/>
      </w:r>
      <w:r w:rsidRPr="0024409C">
        <w:rPr>
          <w:rFonts w:ascii="Helvetica Neue" w:hAnsi="Helvetica Neue"/>
        </w:rPr>
        <w:t xml:space="preserve"> with greater risks assumed for receptive anal intercourse compared to </w:t>
      </w:r>
      <w:proofErr w:type="spellStart"/>
      <w:r w:rsidRPr="0024409C">
        <w:rPr>
          <w:rFonts w:ascii="Helvetica Neue" w:hAnsi="Helvetica Neue"/>
        </w:rPr>
        <w:t>insertive</w:t>
      </w:r>
      <w:proofErr w:type="spellEnd"/>
      <w:r w:rsidRPr="0024409C">
        <w:rPr>
          <w:rFonts w:ascii="Helvetica Neue" w:hAnsi="Helvetica Neue"/>
        </w:rPr>
        <w:t xml:space="preserve"> anal intercourse. </w:t>
      </w:r>
      <w:r w:rsidR="00411AE7" w:rsidRPr="0024409C">
        <w:rPr>
          <w:rFonts w:ascii="Helvetica Neue" w:hAnsi="Helvetica Neue"/>
        </w:rPr>
        <w:t>To account for the uncertainty in this parameter estimate, we established a prior distribution of 0.</w:t>
      </w:r>
      <w:r w:rsidR="00411AE7">
        <w:rPr>
          <w:rFonts w:ascii="Helvetica Neue" w:hAnsi="Helvetica Neue"/>
        </w:rPr>
        <w:t>1</w:t>
      </w:r>
      <w:r w:rsidR="00411AE7" w:rsidRPr="0024409C">
        <w:rPr>
          <w:rFonts w:ascii="Helvetica Neue" w:hAnsi="Helvetica Neue"/>
        </w:rPr>
        <w:t xml:space="preserve">0–0.60 for the per-act rectal NG transmission likelihood, and a distribution of 0.10–0.50 for urethral NG transmission to incorporate site-specific infection. Bayesian calibration </w:t>
      </w:r>
      <w:r w:rsidR="00411AE7" w:rsidRPr="004F341D">
        <w:rPr>
          <w:rFonts w:ascii="Helvetica Neue" w:hAnsi="Helvetica Neue"/>
        </w:rPr>
        <w:t>generated posterior values of 0.</w:t>
      </w:r>
      <w:r w:rsidR="00411AE7">
        <w:rPr>
          <w:rFonts w:ascii="Helvetica Neue" w:hAnsi="Helvetica Neue"/>
        </w:rPr>
        <w:t>5364</w:t>
      </w:r>
      <w:r w:rsidR="00411AE7" w:rsidRPr="004F341D">
        <w:rPr>
          <w:rFonts w:ascii="Helvetica Neue" w:hAnsi="Helvetica Neue"/>
        </w:rPr>
        <w:t xml:space="preserve"> for per sex-act rectal NG transmission probability and 0.</w:t>
      </w:r>
      <w:r w:rsidR="00411AE7">
        <w:rPr>
          <w:rFonts w:ascii="Helvetica Neue" w:hAnsi="Helvetica Neue"/>
        </w:rPr>
        <w:t>4347</w:t>
      </w:r>
      <w:r w:rsidR="00411AE7" w:rsidRPr="004F341D">
        <w:rPr>
          <w:rFonts w:ascii="Helvetica Neue" w:hAnsi="Helvetica Neue"/>
        </w:rPr>
        <w:t xml:space="preserve"> for per sex-act urethral NG transmission</w:t>
      </w:r>
      <w:r w:rsidR="00411AE7" w:rsidRPr="0024409C">
        <w:rPr>
          <w:rFonts w:ascii="Helvetica Neue" w:hAnsi="Helvetica Neue"/>
        </w:rPr>
        <w:t xml:space="preserve"> probability.</w:t>
      </w:r>
      <w:r w:rsidRPr="0024409C">
        <w:rPr>
          <w:rFonts w:ascii="Helvetica Neue" w:hAnsi="Helvetica Neue"/>
        </w:rPr>
        <w:t xml:space="preserve"> </w:t>
      </w:r>
      <w:r w:rsidR="00827D41" w:rsidRPr="0024409C">
        <w:rPr>
          <w:rFonts w:ascii="Helvetica Neue" w:hAnsi="Helvetica Neue"/>
        </w:rPr>
        <w:t>Like</w:t>
      </w:r>
      <w:r w:rsidRPr="0024409C">
        <w:rPr>
          <w:rFonts w:ascii="Helvetica Neue" w:hAnsi="Helvetica Neue"/>
        </w:rPr>
        <w:t xml:space="preserve"> CT, we also included a multiplier of 0.30 for the effect of condom usage on NG transmission probability to reflect the decreased probability of transmission in protected sex acts</w:t>
      </w:r>
      <w:r w:rsidR="00232595" w:rsidRPr="0024409C">
        <w:rPr>
          <w:rFonts w:ascii="Helvetica Neue" w:hAnsi="Helvetica Neue"/>
        </w:rPr>
        <w:t>.</w:t>
      </w:r>
    </w:p>
    <w:p w14:paraId="3CC1FED9" w14:textId="3736CFD1" w:rsidR="00690949" w:rsidRPr="0024409C" w:rsidRDefault="00273CDD" w:rsidP="007E3E53">
      <w:pPr>
        <w:pStyle w:val="Heading1"/>
        <w:spacing w:before="300"/>
        <w:rPr>
          <w:rFonts w:ascii="Helvetica Neue" w:hAnsi="Helvetica Neue"/>
        </w:rPr>
      </w:pPr>
      <w:bookmarkStart w:id="36" w:name="_Toc466401462"/>
      <w:bookmarkStart w:id="37" w:name="_Toc2361391"/>
      <w:r w:rsidRPr="0024409C">
        <w:rPr>
          <w:rFonts w:ascii="Helvetica Neue" w:hAnsi="Helvetica Neue"/>
        </w:rPr>
        <w:t>9</w:t>
      </w:r>
      <w:r w:rsidR="00EA384A" w:rsidRPr="0024409C">
        <w:rPr>
          <w:rFonts w:ascii="Helvetica Neue" w:hAnsi="Helvetica Neue"/>
        </w:rPr>
        <w:t xml:space="preserve"> </w:t>
      </w:r>
      <w:r w:rsidR="00EA384A" w:rsidRPr="0024409C">
        <w:rPr>
          <w:rFonts w:ascii="Helvetica Neue" w:hAnsi="Helvetica Neue"/>
        </w:rPr>
        <w:tab/>
        <w:t xml:space="preserve">STI </w:t>
      </w:r>
      <w:r w:rsidR="00A10467">
        <w:rPr>
          <w:rFonts w:ascii="Helvetica Neue" w:hAnsi="Helvetica Neue"/>
        </w:rPr>
        <w:t xml:space="preserve">SYMPTOMS </w:t>
      </w:r>
      <w:r w:rsidR="00A10467" w:rsidRPr="0024409C">
        <w:rPr>
          <w:rFonts w:ascii="Helvetica Neue" w:hAnsi="Helvetica Neue"/>
        </w:rPr>
        <w:t>AND</w:t>
      </w:r>
      <w:r w:rsidR="00EA384A" w:rsidRPr="0024409C">
        <w:rPr>
          <w:rFonts w:ascii="Helvetica Neue" w:hAnsi="Helvetica Neue"/>
        </w:rPr>
        <w:t xml:space="preserve"> TREATMENT</w:t>
      </w:r>
      <w:bookmarkEnd w:id="36"/>
      <w:bookmarkEnd w:id="37"/>
    </w:p>
    <w:p w14:paraId="2204725C" w14:textId="496908A7" w:rsidR="00690949" w:rsidRPr="0024409C" w:rsidRDefault="007C5047" w:rsidP="00F743AB">
      <w:pPr>
        <w:pStyle w:val="Heading2"/>
        <w:rPr>
          <w:rFonts w:ascii="Helvetica Neue" w:hAnsi="Helvetica Neue"/>
          <w:i w:val="0"/>
        </w:rPr>
      </w:pPr>
      <w:bookmarkStart w:id="38" w:name="_Toc2361392"/>
      <w:r w:rsidRPr="0024409C">
        <w:rPr>
          <w:rFonts w:ascii="Helvetica Neue" w:hAnsi="Helvetica Neue"/>
          <w:szCs w:val="22"/>
        </w:rPr>
        <w:t xml:space="preserve">9.1 </w:t>
      </w:r>
      <w:r w:rsidRPr="0024409C">
        <w:rPr>
          <w:rFonts w:ascii="Helvetica Neue" w:hAnsi="Helvetica Neue"/>
          <w:szCs w:val="22"/>
        </w:rPr>
        <w:tab/>
      </w:r>
      <w:r w:rsidR="0040790C">
        <w:rPr>
          <w:rFonts w:ascii="Helvetica Neue" w:hAnsi="Helvetica Neue"/>
        </w:rPr>
        <w:t>Treatment</w:t>
      </w:r>
      <w:bookmarkEnd w:id="38"/>
    </w:p>
    <w:p w14:paraId="2D0D4DEB" w14:textId="6EB7137E" w:rsidR="007D2AC0" w:rsidRDefault="00BE4399" w:rsidP="007D5FA6">
      <w:pPr>
        <w:spacing w:line="360" w:lineRule="auto"/>
        <w:rPr>
          <w:rFonts w:ascii="Helvetica Neue" w:hAnsi="Helvetica Neue"/>
        </w:rPr>
      </w:pPr>
      <w:r w:rsidRPr="0024409C">
        <w:rPr>
          <w:rFonts w:ascii="Helvetica Neue" w:hAnsi="Helvetica Neue"/>
        </w:rPr>
        <w:t>Testing and treatment for NG</w:t>
      </w:r>
      <w:r w:rsidR="001C0A82">
        <w:rPr>
          <w:rFonts w:ascii="Helvetica Neue" w:hAnsi="Helvetica Neue"/>
        </w:rPr>
        <w:t xml:space="preserve"> and</w:t>
      </w:r>
      <w:r w:rsidRPr="0024409C">
        <w:rPr>
          <w:rFonts w:ascii="Helvetica Neue" w:hAnsi="Helvetica Neue"/>
        </w:rPr>
        <w:t xml:space="preserve"> </w:t>
      </w:r>
      <w:r w:rsidR="00EA384A" w:rsidRPr="0024409C">
        <w:rPr>
          <w:rFonts w:ascii="Helvetica Neue" w:hAnsi="Helvetica Neue"/>
        </w:rPr>
        <w:t>CT</w:t>
      </w:r>
      <w:r w:rsidRPr="0024409C">
        <w:rPr>
          <w:rFonts w:ascii="Helvetica Neue" w:hAnsi="Helvetica Neue"/>
        </w:rPr>
        <w:t>s</w:t>
      </w:r>
      <w:r w:rsidR="00EA384A" w:rsidRPr="0024409C">
        <w:rPr>
          <w:rFonts w:ascii="Helvetica Neue" w:hAnsi="Helvetica Neue"/>
        </w:rPr>
        <w:t xml:space="preserve"> was a function of whether the infection was symptomatic or asymptomatic. Treatment status was assigned stochastically among those with either</w:t>
      </w:r>
      <w:r w:rsidR="00702CF6" w:rsidRPr="0024409C">
        <w:rPr>
          <w:rFonts w:ascii="Helvetica Neue" w:hAnsi="Helvetica Neue"/>
        </w:rPr>
        <w:t xml:space="preserve"> symptomatic or asymptomatic NG</w:t>
      </w:r>
      <w:r w:rsidR="00094359">
        <w:rPr>
          <w:rFonts w:ascii="Helvetica Neue" w:hAnsi="Helvetica Neue"/>
        </w:rPr>
        <w:t xml:space="preserve"> or</w:t>
      </w:r>
      <w:r w:rsidR="007411AE">
        <w:rPr>
          <w:rFonts w:ascii="Helvetica Neue" w:hAnsi="Helvetica Neue"/>
        </w:rPr>
        <w:t xml:space="preserve"> </w:t>
      </w:r>
      <w:r w:rsidR="00EA384A" w:rsidRPr="0024409C">
        <w:rPr>
          <w:rFonts w:ascii="Helvetica Neue" w:hAnsi="Helvetica Neue"/>
        </w:rPr>
        <w:t>CT infection acquired prior to the current time step. Following empirical data, we simulated that 90% of men with NG and 85% of men with CT who have symptomatic infection successfully</w:t>
      </w:r>
      <w:r w:rsidR="0022392A" w:rsidRPr="0024409C">
        <w:rPr>
          <w:rFonts w:ascii="Helvetica Neue" w:hAnsi="Helvetica Neue"/>
        </w:rPr>
        <w:t xml:space="preserve"> sought and</w:t>
      </w:r>
      <w:r w:rsidR="00EA384A" w:rsidRPr="0024409C">
        <w:rPr>
          <w:rFonts w:ascii="Helvetica Neue" w:hAnsi="Helvetica Neue"/>
        </w:rPr>
        <w:t xml:space="preserve"> completed treatment.</w:t>
      </w:r>
      <w:r w:rsidR="00EA384A" w:rsidRPr="0024409C">
        <w:rPr>
          <w:rFonts w:ascii="Helvetica Neue" w:hAnsi="Helvetica Neue"/>
        </w:rPr>
        <w:fldChar w:fldCharType="begin" w:fldLock="1"/>
      </w:r>
      <w:r w:rsidR="00665BF2">
        <w:rPr>
          <w:rFonts w:ascii="Helvetica Neue" w:hAnsi="Helvetica Neue"/>
        </w:rPr>
        <w:instrText>ADDIN CSL_CITATION {"citationItems":[{"id":"ITEM-1","itemData":{"PMID":"12649059","abstract":"BACKGROUND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sites.","author":[{"dropping-particle":"","family":"Farley","given":"Thomas A","non-dropping-particle":"","parse-names":false,"suffix":""},{"dropping-particle":"","family":"Cohen","given":"Deborah A","non-dropping-particle":"","parse-names":false,"suffix":""},{"dropping-particle":"","family":"Elkins","given":"Whitney","non-dropping-particle":"","parse-names":false,"suffix":""}],"container-title":"Preventive Medicine","id":"ITEM-1","issue":"4","issued":{"date-parts":[["2003","4"]]},"page":"502-9","title":"Asymptomatic sexually transmitted diseases: The case for screening.","type":"article-journal","volume":"36"},"uris":["http://www.mendeley.com/documents/?uuid=e989fc63-4be0-42c0-8dac-482d0edf0142"]}],"mendeley":{"formattedCitation":"&lt;sup&gt;95&lt;/sup&gt;","plainTextFormattedCitation":"95","previouslyFormattedCitation":"&lt;sup&gt;95&lt;/sup&gt;"},"properties":{"noteIndex":0},"schema":"https://github.com/citation-style-language/schema/raw/master/csl-citation.json"}</w:instrText>
      </w:r>
      <w:r w:rsidR="00EA384A" w:rsidRPr="0024409C">
        <w:rPr>
          <w:rFonts w:ascii="Helvetica Neue" w:hAnsi="Helvetica Neue"/>
        </w:rPr>
        <w:fldChar w:fldCharType="separate"/>
      </w:r>
      <w:r w:rsidR="00DB1A5C" w:rsidRPr="00DB1A5C">
        <w:rPr>
          <w:rFonts w:ascii="Helvetica Neue" w:hAnsi="Helvetica Neue"/>
          <w:noProof/>
          <w:vertAlign w:val="superscript"/>
        </w:rPr>
        <w:t>95</w:t>
      </w:r>
      <w:r w:rsidR="00EA384A" w:rsidRPr="0024409C">
        <w:rPr>
          <w:rFonts w:ascii="Helvetica Neue" w:hAnsi="Helvetica Neue"/>
        </w:rPr>
        <w:fldChar w:fldCharType="end"/>
      </w:r>
      <w:r w:rsidR="00EA384A" w:rsidRPr="0024409C">
        <w:rPr>
          <w:rFonts w:ascii="Helvetica Neue" w:hAnsi="Helvetica Neue"/>
        </w:rPr>
        <w:t xml:space="preserve"> </w:t>
      </w:r>
      <w:r w:rsidR="001748F3">
        <w:rPr>
          <w:rFonts w:ascii="Helvetica Neue" w:hAnsi="Helvetica Neue"/>
        </w:rPr>
        <w:t xml:space="preserve">Symptoms-driven testing was correlated, in that a man presenting with rectal symptoms was tested for both NG and CT at a rectal site. </w:t>
      </w:r>
      <w:r w:rsidR="003449DB" w:rsidRPr="00A75815">
        <w:rPr>
          <w:rFonts w:ascii="Helvetica Neue" w:hAnsi="Helvetica Neue"/>
          <w:highlight w:val="yellow"/>
        </w:rPr>
        <w:t>We assumed that treatment entailed sufficient antibiotic dosage to fully treat the infection. Additionally, we assumed that, for men with concurrent infection by the same bacterial STI at both rectal and urethral sites, treatment at one anatomic site would result in effective treatment at the other anatomic site. There are some data suggesting that certain antibiotics may be less effective at treating the bacterial STI at some anatomic sites, which may be a potential limitation for those modeled individuals who have concurrent dual site infection.</w:t>
      </w:r>
    </w:p>
    <w:p w14:paraId="4B82A96E" w14:textId="34199933" w:rsidR="005849CF" w:rsidRDefault="00EA384A" w:rsidP="005849CF">
      <w:pPr>
        <w:spacing w:line="360" w:lineRule="auto"/>
        <w:rPr>
          <w:rFonts w:ascii="Helvetica Neue" w:hAnsi="Helvetica Neue"/>
        </w:rPr>
      </w:pPr>
      <w:bookmarkStart w:id="39" w:name="_Hlk2331001"/>
      <w:r w:rsidRPr="0024409C">
        <w:rPr>
          <w:rFonts w:ascii="Helvetica Neue" w:hAnsi="Helvetica Neue"/>
        </w:rPr>
        <w:lastRenderedPageBreak/>
        <w:t>The average time on treatment</w:t>
      </w:r>
      <w:r w:rsidR="00F743AB" w:rsidRPr="0024409C">
        <w:rPr>
          <w:rFonts w:ascii="Helvetica Neue" w:hAnsi="Helvetica Neue"/>
        </w:rPr>
        <w:t>/in recovery</w:t>
      </w:r>
      <w:r w:rsidRPr="0024409C">
        <w:rPr>
          <w:rFonts w:ascii="Helvetica Neue" w:hAnsi="Helvetica Neue"/>
        </w:rPr>
        <w:t xml:space="preserve"> was </w:t>
      </w:r>
      <w:r w:rsidR="00AC00C5">
        <w:rPr>
          <w:rFonts w:ascii="Helvetica Neue" w:hAnsi="Helvetica Neue"/>
        </w:rPr>
        <w:t>1</w:t>
      </w:r>
      <w:r w:rsidR="00AC00C5" w:rsidRPr="0024409C">
        <w:rPr>
          <w:rFonts w:ascii="Helvetica Neue" w:hAnsi="Helvetica Neue"/>
        </w:rPr>
        <w:t xml:space="preserve"> </w:t>
      </w:r>
      <w:r w:rsidRPr="0024409C">
        <w:rPr>
          <w:rFonts w:ascii="Helvetica Neue" w:hAnsi="Helvetica Neue"/>
        </w:rPr>
        <w:t>week</w:t>
      </w:r>
      <w:r w:rsidR="00F743AB" w:rsidRPr="0024409C">
        <w:rPr>
          <w:rFonts w:ascii="Helvetica Neue" w:hAnsi="Helvetica Neue"/>
        </w:rPr>
        <w:t xml:space="preserve"> for NG and CT</w:t>
      </w:r>
      <w:r w:rsidRPr="0024409C">
        <w:rPr>
          <w:rFonts w:ascii="Helvetica Neue" w:hAnsi="Helvetica Neue"/>
        </w:rPr>
        <w:t>, with a stochastic recovery process described below.</w:t>
      </w:r>
      <w:r w:rsidR="00BE4399" w:rsidRPr="0024409C">
        <w:rPr>
          <w:rFonts w:ascii="Helvetica Neue" w:hAnsi="Helvetica Neue"/>
        </w:rPr>
        <w:t xml:space="preserve"> A background screening process for the identification </w:t>
      </w:r>
      <w:r w:rsidR="002500E7">
        <w:rPr>
          <w:rFonts w:ascii="Helvetica Neue" w:hAnsi="Helvetica Neue"/>
        </w:rPr>
        <w:t xml:space="preserve">of </w:t>
      </w:r>
      <w:r w:rsidR="00BE4399" w:rsidRPr="0024409C">
        <w:rPr>
          <w:rFonts w:ascii="Helvetica Neue" w:hAnsi="Helvetica Neue"/>
        </w:rPr>
        <w:t xml:space="preserve">asymptomatic infection was newly implemented, with more details in Section 11. Any individual who had been sexually active, e.g. in an </w:t>
      </w:r>
      <w:proofErr w:type="spellStart"/>
      <w:r w:rsidR="00BE4399" w:rsidRPr="0024409C">
        <w:rPr>
          <w:rFonts w:ascii="Helvetica Neue" w:hAnsi="Helvetica Neue"/>
        </w:rPr>
        <w:t>edgelist</w:t>
      </w:r>
      <w:proofErr w:type="spellEnd"/>
      <w:r w:rsidR="00BE4399" w:rsidRPr="0024409C">
        <w:rPr>
          <w:rFonts w:ascii="Helvetica Neue" w:hAnsi="Helvetica Neue"/>
        </w:rPr>
        <w:t xml:space="preserve"> in a non-dissolved partnership, in the previous year was </w:t>
      </w:r>
      <w:r w:rsidR="00702CF6" w:rsidRPr="0024409C">
        <w:rPr>
          <w:rFonts w:ascii="Helvetica Neue" w:hAnsi="Helvetica Neue"/>
        </w:rPr>
        <w:t>eligible fo</w:t>
      </w:r>
      <w:r w:rsidR="007D5FA6" w:rsidRPr="0024409C">
        <w:rPr>
          <w:rFonts w:ascii="Helvetica Neue" w:hAnsi="Helvetica Neue"/>
        </w:rPr>
        <w:t>r screening. Screening was</w:t>
      </w:r>
      <w:r w:rsidR="00702CF6" w:rsidRPr="0024409C">
        <w:rPr>
          <w:rFonts w:ascii="Helvetica Neue" w:hAnsi="Helvetica Neue"/>
        </w:rPr>
        <w:t xml:space="preserve"> implemented as a</w:t>
      </w:r>
      <w:r w:rsidR="00241EC1" w:rsidRPr="0024409C">
        <w:rPr>
          <w:rFonts w:ascii="Helvetica Neue" w:hAnsi="Helvetica Neue"/>
        </w:rPr>
        <w:t xml:space="preserve"> deterministic</w:t>
      </w:r>
      <w:r w:rsidR="00702CF6" w:rsidRPr="0024409C">
        <w:rPr>
          <w:rFonts w:ascii="Helvetica Neue" w:hAnsi="Helvetica Neue"/>
        </w:rPr>
        <w:t xml:space="preserve"> process</w:t>
      </w:r>
      <w:r w:rsidR="00241EC1" w:rsidRPr="0024409C">
        <w:rPr>
          <w:rFonts w:ascii="Helvetica Neue" w:hAnsi="Helvetica Neue"/>
        </w:rPr>
        <w:t xml:space="preserve"> for each STI,</w:t>
      </w:r>
      <w:r w:rsidR="00702CF6" w:rsidRPr="0024409C">
        <w:rPr>
          <w:rFonts w:ascii="Helvetica Neue" w:hAnsi="Helvetica Neue"/>
        </w:rPr>
        <w:t xml:space="preserve"> </w:t>
      </w:r>
      <w:r w:rsidR="00241EC1" w:rsidRPr="0024409C">
        <w:rPr>
          <w:rFonts w:ascii="Helvetica Neue" w:hAnsi="Helvetica Neue"/>
        </w:rPr>
        <w:t xml:space="preserve">stratified by HIV </w:t>
      </w:r>
      <w:proofErr w:type="spellStart"/>
      <w:r w:rsidR="00241EC1" w:rsidRPr="0024409C">
        <w:rPr>
          <w:rFonts w:ascii="Helvetica Neue" w:hAnsi="Helvetica Neue"/>
        </w:rPr>
        <w:t>serostatus</w:t>
      </w:r>
      <w:proofErr w:type="spellEnd"/>
      <w:r w:rsidR="00241EC1" w:rsidRPr="0024409C">
        <w:rPr>
          <w:rFonts w:ascii="Helvetica Neue" w:hAnsi="Helvetica Neue"/>
        </w:rPr>
        <w:t xml:space="preserve">, </w:t>
      </w:r>
      <w:r w:rsidR="00702CF6" w:rsidRPr="0024409C">
        <w:rPr>
          <w:rFonts w:ascii="Helvetica Neue" w:hAnsi="Helvetica Neue"/>
        </w:rPr>
        <w:t>with</w:t>
      </w:r>
      <w:r w:rsidR="00241EC1" w:rsidRPr="0024409C">
        <w:rPr>
          <w:rFonts w:ascii="Helvetica Neue" w:hAnsi="Helvetica Neue"/>
        </w:rPr>
        <w:t xml:space="preserve"> a certain proportion of individuals who met eligibility criteria screening every 365 days for </w:t>
      </w:r>
      <w:r w:rsidR="00AC00C5">
        <w:rPr>
          <w:rFonts w:ascii="Helvetica Neue" w:hAnsi="Helvetica Neue"/>
        </w:rPr>
        <w:t>both NG and CT</w:t>
      </w:r>
      <w:r w:rsidR="00702CF6" w:rsidRPr="0024409C">
        <w:rPr>
          <w:rFonts w:ascii="Helvetica Neue" w:hAnsi="Helvetica Neue"/>
        </w:rPr>
        <w:t xml:space="preserve">. </w:t>
      </w:r>
      <w:r w:rsidR="00474A51" w:rsidRPr="0024409C">
        <w:rPr>
          <w:rFonts w:ascii="Helvetica Neue" w:hAnsi="Helvetica Neue"/>
        </w:rPr>
        <w:t>We explored i</w:t>
      </w:r>
      <w:r w:rsidR="00A12E56" w:rsidRPr="0024409C">
        <w:rPr>
          <w:rFonts w:ascii="Helvetica Neue" w:hAnsi="Helvetica Neue"/>
        </w:rPr>
        <w:t>mperfect adherence to asymptomatic screening and associated treatment for any identified asymptomatic infection in a sensitivity analysis of treatment completion for asymptomatic infections</w:t>
      </w:r>
      <w:r w:rsidR="00474A51" w:rsidRPr="0024409C">
        <w:rPr>
          <w:rFonts w:ascii="Helvetica Neue" w:hAnsi="Helvetica Neue"/>
        </w:rPr>
        <w:t>, varying completion of an assigned screen/treat from 0% to 100%</w:t>
      </w:r>
      <w:r w:rsidR="00A12E56" w:rsidRPr="0024409C">
        <w:rPr>
          <w:rFonts w:ascii="Helvetica Neue" w:hAnsi="Helvetica Neue"/>
        </w:rPr>
        <w:t>.</w:t>
      </w:r>
    </w:p>
    <w:bookmarkEnd w:id="39"/>
    <w:p w14:paraId="3608BF26" w14:textId="77777777" w:rsidR="005849CF" w:rsidRDefault="005849CF" w:rsidP="005849CF">
      <w:pPr>
        <w:spacing w:line="360" w:lineRule="auto"/>
        <w:rPr>
          <w:rFonts w:ascii="Helvetica Neue" w:hAnsi="Helvetica Neue"/>
        </w:rPr>
      </w:pPr>
    </w:p>
    <w:p w14:paraId="72804B17" w14:textId="23277BBD" w:rsidR="007D5FA6" w:rsidRPr="005849CF" w:rsidRDefault="00EA384A" w:rsidP="005849CF">
      <w:pPr>
        <w:spacing w:line="360" w:lineRule="auto"/>
        <w:rPr>
          <w:rFonts w:ascii="Helvetica Neue" w:hAnsi="Helvetica Neue"/>
        </w:rPr>
      </w:pPr>
      <w:r w:rsidRPr="001F1E58">
        <w:rPr>
          <w:rFonts w:ascii="Helvetica Neue" w:hAnsi="Helvetica Neue"/>
        </w:rPr>
        <w:t xml:space="preserve">A flow diagram showing the trajectories of STI testing and treatment off </w:t>
      </w:r>
      <w:proofErr w:type="spellStart"/>
      <w:r w:rsidRPr="001F1E58">
        <w:rPr>
          <w:rFonts w:ascii="Helvetica Neue" w:hAnsi="Helvetica Neue"/>
        </w:rPr>
        <w:t>PrEP</w:t>
      </w:r>
      <w:proofErr w:type="spellEnd"/>
      <w:r w:rsidRPr="001F1E58">
        <w:rPr>
          <w:rFonts w:ascii="Helvetica Neue" w:hAnsi="Helvetica Neue"/>
        </w:rPr>
        <w:t xml:space="preserve"> is shown in Figure </w:t>
      </w:r>
      <w:r w:rsidR="0099181A" w:rsidRPr="001F1E58">
        <w:rPr>
          <w:rFonts w:ascii="Helvetica Neue" w:hAnsi="Helvetica Neue"/>
        </w:rPr>
        <w:t>S</w:t>
      </w:r>
      <w:r w:rsidR="0099181A">
        <w:rPr>
          <w:rFonts w:ascii="Helvetica Neue" w:hAnsi="Helvetica Neue"/>
        </w:rPr>
        <w:t>1</w:t>
      </w:r>
      <w:r w:rsidRPr="001F1E58">
        <w:rPr>
          <w:rFonts w:ascii="Helvetica Neue" w:hAnsi="Helvetica Neue"/>
        </w:rPr>
        <w:t>. The site of</w:t>
      </w:r>
      <w:r w:rsidRPr="0024409C">
        <w:rPr>
          <w:rFonts w:ascii="Helvetica Neue" w:hAnsi="Helvetica Neue"/>
        </w:rPr>
        <w:t xml:space="preserve"> infection influenced the symptomatic status of a given infection, with rectal infections more likely to be asymptomatic and urethral infections more likely to be symptomatic.</w:t>
      </w:r>
      <w:r w:rsidRPr="0024409C">
        <w:rPr>
          <w:rFonts w:ascii="Helvetica Neue" w:hAnsi="Helvetica Neue"/>
          <w:u w:color="000000"/>
        </w:rPr>
        <w:fldChar w:fldCharType="begin" w:fldLock="1"/>
      </w:r>
      <w:r w:rsidR="00665BF2">
        <w:rPr>
          <w:rFonts w:ascii="Helvetica Neue" w:hAnsi="Helvetica Neue"/>
          <w:u w:color="000000"/>
        </w:rPr>
        <w:instrText>ADDIN CSL_CITATION {"citationItems":[{"id":"ITEM-1","itemData":{"ISSN":"1537-6591","PMID":"15937765","abstract":"BACKGROUND: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NAATs.","author":[{"dropping-particle":"","family":"Kent","given":"Charlotte K","non-dropping-particle":"","parse-names":false,"suffix":""},{"dropping-particle":"","family":"Chaw","given":"Janice K","non-dropping-particle":"","parse-names":false,"suffix":""},{"dropping-particle":"","family":"Wong","given":"William","non-dropping-particle":"","parse-names":false,"suffix":""},{"dropping-particle":"","family":"Liska","given":"Sally","non-dropping-particle":"","parse-names":false,"suffix":""},{"dropping-particle":"","family":"Gibson","given":"Steven","non-dropping-particle":"","parse-names":false,"suffix":""},{"dropping-particle":"","family":"Hubbard","given":"Gregory","non-dropping-particle":"","parse-names":false,"suffix":""},{"dropping-particle":"","family":"Klausner","given":"Jeffrey D","non-dropping-particle":"","parse-names":false,"suffix":""}],"container-title":"Clin Infect Dis","id":"ITEM-1","issue":"1","issued":{"date-parts":[["2005","7"]]},"page":"67-74","title":"Prevalence of rectal, urethral, and pharyngeal chlamydia and gonorrhea detected in 2 clinical settings among men who have sex with men: San Francisco, California, 2003.","type":"article-journal","volume":"41"},"uris":["http://www.mendeley.com/documents/?uuid=ac78ab87-47aa-43f8-8ea6-83eabe6a5918"]}],"mendeley":{"formattedCitation":"&lt;sup&gt;96&lt;/sup&gt;","plainTextFormattedCitation":"96","previouslyFormattedCitation":"&lt;sup&gt;96&lt;/sup&gt;"},"properties":{"noteIndex":0},"schema":"https://github.com/citation-style-language/schema/raw/master/csl-citation.json"}</w:instrText>
      </w:r>
      <w:r w:rsidRPr="0024409C">
        <w:rPr>
          <w:rFonts w:ascii="Helvetica Neue" w:hAnsi="Helvetica Neue"/>
          <w:u w:color="000000"/>
        </w:rPr>
        <w:fldChar w:fldCharType="separate"/>
      </w:r>
      <w:r w:rsidR="00DB1A5C" w:rsidRPr="00DB1A5C">
        <w:rPr>
          <w:rFonts w:ascii="Helvetica Neue" w:hAnsi="Helvetica Neue"/>
          <w:noProof/>
          <w:u w:color="000000"/>
          <w:vertAlign w:val="superscript"/>
        </w:rPr>
        <w:t>96</w:t>
      </w:r>
      <w:r w:rsidRPr="0024409C">
        <w:rPr>
          <w:rFonts w:ascii="Helvetica Neue" w:hAnsi="Helvetica Neue"/>
          <w:u w:color="000000"/>
        </w:rPr>
        <w:fldChar w:fldCharType="end"/>
      </w:r>
      <w:r w:rsidRPr="0024409C">
        <w:rPr>
          <w:rFonts w:ascii="Helvetica Neue" w:hAnsi="Helvetica Neue"/>
          <w:u w:color="000000"/>
        </w:rPr>
        <w:t xml:space="preserve"> The symptomatic status of an infection was assigned stochastically from a binomial distribution at the time of infection according to site-specific and infection-specific probability parameters for symptomatic status</w:t>
      </w:r>
      <w:r w:rsidR="002C7562">
        <w:rPr>
          <w:rFonts w:ascii="Helvetica Neue" w:hAnsi="Helvetica Neue"/>
          <w:u w:color="000000"/>
        </w:rPr>
        <w:t xml:space="preserve">. </w:t>
      </w:r>
      <w:r w:rsidR="004B3B0B">
        <w:rPr>
          <w:rFonts w:ascii="Helvetica Neue" w:hAnsi="Helvetica Neue"/>
          <w:u w:color="000000"/>
        </w:rPr>
        <w:t>Treatment of asymptomatic infection required diagnosis through the screening process that is</w:t>
      </w:r>
      <w:r w:rsidR="00D55B5C">
        <w:rPr>
          <w:rFonts w:ascii="Helvetica Neue" w:hAnsi="Helvetica Neue"/>
          <w:u w:color="000000"/>
        </w:rPr>
        <w:t xml:space="preserve"> </w:t>
      </w:r>
      <w:r w:rsidR="000D249B" w:rsidRPr="0024409C">
        <w:rPr>
          <w:rFonts w:ascii="Helvetica Neue" w:hAnsi="Helvetica Neue"/>
          <w:u w:color="000000"/>
        </w:rPr>
        <w:t>described further in Section 11.</w:t>
      </w:r>
    </w:p>
    <w:p w14:paraId="1C7D9DF6" w14:textId="296E1495" w:rsidR="00EA384A" w:rsidRDefault="00EA384A" w:rsidP="00EA384A">
      <w:pPr>
        <w:spacing w:before="120" w:line="360" w:lineRule="auto"/>
        <w:jc w:val="center"/>
        <w:rPr>
          <w:rFonts w:ascii="Helvetica Neue" w:hAnsi="Helvetica Neue"/>
          <w:sz w:val="20"/>
          <w:szCs w:val="20"/>
        </w:rPr>
      </w:pPr>
      <w:r w:rsidRPr="0024409C">
        <w:rPr>
          <w:rFonts w:ascii="Helvetica Neue" w:hAnsi="Helvetica Neue"/>
          <w:b/>
          <w:sz w:val="20"/>
          <w:szCs w:val="20"/>
        </w:rPr>
        <w:t>F</w:t>
      </w:r>
      <w:r w:rsidR="00782595">
        <w:rPr>
          <w:rFonts w:ascii="Helvetica Neue" w:hAnsi="Helvetica Neue"/>
          <w:b/>
          <w:sz w:val="20"/>
          <w:szCs w:val="20"/>
        </w:rPr>
        <w:t>igure S</w:t>
      </w:r>
      <w:r w:rsidR="003E0D07">
        <w:rPr>
          <w:rFonts w:ascii="Helvetica Neue" w:hAnsi="Helvetica Neue"/>
          <w:b/>
          <w:sz w:val="20"/>
          <w:szCs w:val="20"/>
        </w:rPr>
        <w:t>1</w:t>
      </w:r>
      <w:r w:rsidRPr="0024409C">
        <w:rPr>
          <w:rFonts w:ascii="Helvetica Neue" w:hAnsi="Helvetica Neue"/>
          <w:b/>
          <w:sz w:val="20"/>
          <w:szCs w:val="20"/>
        </w:rPr>
        <w:t xml:space="preserve">. </w:t>
      </w:r>
      <w:r w:rsidRPr="0024409C">
        <w:rPr>
          <w:rFonts w:ascii="Helvetica Neue" w:hAnsi="Helvetica Neue"/>
          <w:sz w:val="20"/>
          <w:szCs w:val="20"/>
        </w:rPr>
        <w:t>Schematic Flow Diagram of STI Testing and Treatment</w:t>
      </w:r>
    </w:p>
    <w:p w14:paraId="1D55C900" w14:textId="746999A6" w:rsidR="006A1664" w:rsidRDefault="00CC552E" w:rsidP="00EA384A">
      <w:pPr>
        <w:spacing w:before="120" w:line="360" w:lineRule="auto"/>
        <w:jc w:val="center"/>
        <w:rPr>
          <w:rFonts w:ascii="Helvetica Neue" w:hAnsi="Helvetica Neue"/>
          <w:sz w:val="20"/>
          <w:szCs w:val="20"/>
        </w:rPr>
      </w:pPr>
      <w:r>
        <w:rPr>
          <w:rFonts w:ascii="Helvetica Neue" w:hAnsi="Helvetica Neue"/>
          <w:noProof/>
          <w:sz w:val="20"/>
          <w:szCs w:val="20"/>
        </w:rPr>
        <w:lastRenderedPageBreak/>
        <w:drawing>
          <wp:inline distT="0" distB="0" distL="0" distR="0" wp14:anchorId="1BEFF2DE" wp14:editId="5F292278">
            <wp:extent cx="5453073" cy="61271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5895" cy="6130286"/>
                    </a:xfrm>
                    <a:prstGeom prst="rect">
                      <a:avLst/>
                    </a:prstGeom>
                    <a:noFill/>
                  </pic:spPr>
                </pic:pic>
              </a:graphicData>
            </a:graphic>
          </wp:inline>
        </w:drawing>
      </w:r>
    </w:p>
    <w:p w14:paraId="1A219520" w14:textId="2709DFD9" w:rsidR="00EA384A" w:rsidRPr="0024409C" w:rsidRDefault="00EA384A" w:rsidP="00EA384A">
      <w:pPr>
        <w:spacing w:before="120" w:line="360" w:lineRule="auto"/>
        <w:rPr>
          <w:rFonts w:ascii="Helvetica Neue" w:hAnsi="Helvetica Neue"/>
          <w:sz w:val="20"/>
          <w:szCs w:val="20"/>
        </w:rPr>
      </w:pPr>
    </w:p>
    <w:p w14:paraId="1562AD4B" w14:textId="2B560792" w:rsidR="00EA384A" w:rsidRPr="0024409C" w:rsidRDefault="00273CDD" w:rsidP="004B3747">
      <w:pPr>
        <w:pStyle w:val="Heading2"/>
        <w:rPr>
          <w:rFonts w:ascii="Helvetica Neue" w:hAnsi="Helvetica Neue"/>
          <w:szCs w:val="22"/>
        </w:rPr>
      </w:pPr>
      <w:bookmarkStart w:id="40" w:name="_Toc466401463"/>
      <w:bookmarkStart w:id="41" w:name="_Toc2361393"/>
      <w:r w:rsidRPr="0024409C">
        <w:rPr>
          <w:rFonts w:ascii="Helvetica Neue" w:hAnsi="Helvetica Neue"/>
          <w:szCs w:val="22"/>
        </w:rPr>
        <w:t>9</w:t>
      </w:r>
      <w:r w:rsidR="00690949" w:rsidRPr="0024409C">
        <w:rPr>
          <w:rFonts w:ascii="Helvetica Neue" w:hAnsi="Helvetica Neue"/>
          <w:szCs w:val="22"/>
        </w:rPr>
        <w:t>.2</w:t>
      </w:r>
      <w:r w:rsidR="00EA384A" w:rsidRPr="0024409C">
        <w:rPr>
          <w:rFonts w:ascii="Helvetica Neue" w:hAnsi="Helvetica Neue"/>
          <w:szCs w:val="22"/>
        </w:rPr>
        <w:t xml:space="preserve"> </w:t>
      </w:r>
      <w:r w:rsidR="00EA384A" w:rsidRPr="0024409C">
        <w:rPr>
          <w:rFonts w:ascii="Helvetica Neue" w:hAnsi="Helvetica Neue"/>
          <w:szCs w:val="22"/>
        </w:rPr>
        <w:tab/>
        <w:t>Chlamydia Symptoms</w:t>
      </w:r>
      <w:bookmarkEnd w:id="40"/>
      <w:bookmarkEnd w:id="41"/>
    </w:p>
    <w:p w14:paraId="059EC05C" w14:textId="278A6117" w:rsidR="00EA384A" w:rsidRPr="0024409C" w:rsidRDefault="00EA384A" w:rsidP="004B3747">
      <w:pPr>
        <w:spacing w:line="360" w:lineRule="auto"/>
        <w:rPr>
          <w:rFonts w:ascii="Helvetica Neue" w:hAnsi="Helvetica Neue"/>
        </w:rPr>
      </w:pPr>
      <w:r w:rsidRPr="0024409C">
        <w:rPr>
          <w:rFonts w:ascii="Helvetica Neue" w:hAnsi="Helvetica Neue"/>
        </w:rPr>
        <w:t>The asymptomatic nature of some CT infections can have an impact on the risk of transmission, as well as the dynamics of spread in a population. These estimates have varied widely for CT. For men, the middle 50% of estimates of the proportion of infections that are symptomatic from STI or HIV/STI models has ranged from 0.3–0.5,</w:t>
      </w:r>
      <w:r w:rsidRPr="0024409C">
        <w:rPr>
          <w:rFonts w:ascii="Helvetica Neue" w:hAnsi="Helvetica Neue"/>
        </w:rPr>
        <w:fldChar w:fldCharType="begin" w:fldLock="1"/>
      </w:r>
      <w:r w:rsidR="00291558">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Health","id":"ITEM-2","issue":"2","issued":{"date-parts":[["2012","2"]]},"page":"161-8","title":"The role of sexually transmitted infections in the evolution of the South African HIV epidemic.","type":"article-journal","volume":"17"},"uris":["http://www.mendeley.com/documents/?uuid=0e1ea8f2-849f-41da-864c-66e864358726"]},{"id":"ITEM-3","itemData":{"ISSN":"0269-9370","PMID":"10780720","abstract":"OBJECTIVES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D","non-dropping-particle":"","parse-names":false,"suffix":""}],"container-title":"AIDS","id":"ITEM-3","issue":"5","issued":{"date-parts":[["2000","3"]]},"page":"573-93","title":"Model-based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0a2526ac-9c2f-4d05-a843-3e15b26c329a"]},{"id":"ITEM-4","itemData":{"ISSN":"1471-2334","PMID":"24047261","abstract":"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HIV.","author":[{"dropping-particle":"","family":"Xiridou","given":"Maria","non-dropping-particle":"","parse-names":false,"suffix":""},{"dropping-particle":"","family":"Vriend","given":"Henrike J","non-dropping-particle":"","parse-names":false,"suffix":""},{"dropping-particle":"","family":"Lugner","given":"Anna K","non-dropping-particle":"","parse-names":false,"suffix":""},{"dropping-particle":"","family":"Wallinga","given":"Jacco","non-dropping-particle":"","parse-names":false,"suffix":""},{"dropping-particle":"","family":"Fennema","given":"Johannes S","non-dropping-particle":"","parse-names":false,"suffix":""},{"dropping-particle":"","family":"Prins","given":"Jan M","non-dropping-particle":"","parse-names":false,"suffix":""},{"dropping-particle":"","family":"Geerlings","given":"Suzanne E","non-dropping-particle":"","parse-names":false,"suffix":""},{"dropping-particle":"","family":"Rijnders","given":"Bart J A","non-dropping-particle":"","parse-names":false,"suffix":""},{"dropping-particle":"","family":"Prins","given":"Maria","non-dropping-particle":"","parse-names":false,"suffix":""},{"dropping-particle":"","family":"Vries","given":"Henry J C","non-dropping-particle":"de","parse-names":false,"suffix":""},{"dropping-particle":"","family":"Postma","given":"Maarten J","non-dropping-particle":"","parse-names":false,"suffix":""},{"dropping-particle":"","family":"Veen","given":"Maaike G","non-dropping-particle":"van","parse-names":false,"suffix":""},{"dropping-particle":"","family":"Schim van der Loeff","given":"Maarten F","non-dropping-particle":"","parse-names":false,"suffix":""},{"dropping-particle":"","family":"Sande","given":"Marianne A B","non-dropping-particle":"van der","parse-names":false,"suffix":""}],"container-title":"BMC Infect Dis","id":"ITEM-4","issued":{"date-parts":[["2013"]]},"page":"436","title":"Modelling the impact of chlamydia screening on the transmission of HIV among men who have sex with men.","type":"article-journal","volume":"13"},"uris":["http://www.mendeley.com/documents/?uuid=7ec86703-a8f1-47e5-ac4b-e7b75b8fa671"]},{"id":"ITEM-5","itemData":{"ISSN":"0148-5717","PMID":"16601656","abstract":"OBJECTIVE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author":[{"dropping-particle":"","family":"Andersen","given":"Berit","non-dropping-particle":"","parse-names":false,"suffix":""},{"dropping-particle":"","family":"Gundgaard","given":"Jens","non-dropping-particle":"","parse-names":false,"suffix":""},{"dropping-particle":"","family":"Kretzschmar","given":"Mirjam","non-dropping-particle":"","parse-names":false,"suffix":""},{"dropping-particle":"","family":"Olsen","given":"Jens","non-dropping-particle":"","parse-names":false,"suffix":""},{"dropping-particle":"","family":"Welte","given":"Robert","non-dropping-particle":"","parse-names":false,"suffix":""},{"dropping-particle":"","family":"Oster-Gaard","given":"Lars","non-dropping-particle":"","parse-names":false,"suffix":""}],"container-title":"Sex Transm Dis","id":"ITEM-5","issue":"7","issued":{"date-parts":[["2006","7"]]},"page":"407-15","title":"Prediction of costs, effectiveness, and disease control of a population-based program using home sampling for diagnosis of urogenital Chlamydia trachomatis infections","type":"article-journal","volume":"33"},"uris":["http://www.mendeley.com/documents/?uuid=ad4655e6-1796-4a64-b0b1-a55b81b1875a"]},{"id":"ITEM-6","itemData":{"ISSN":"1098-3015","PMID":"16441519","abstract":"OBJECTIVE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CT.","author":[{"dropping-particle":"","family":"Vries","given":"Robin","non-dropping-particle":"de","parse-names":false,"suffix":""},{"dropping-particle":"","family":"Bergen","given":"Jan E A M","non-dropping-particle":"van","parse-names":false,"suffix":""},{"dropping-particle":"","family":"Jong-van den Berg","given":"Lolkje T W","non-dropping-particle":"de","parse-names":false,"suffix":""},{"dropping-particle":"","family":"Postma","given":"Maarten J","non-dropping-particle":"","parse-names":false,"suffix":""},{"dropping-particle":"","family":"PILOT-CT Study Group","given":"","non-dropping-particle":"","parse-names":false,"suffix":""}],"container-title":"Value Health","id":"ITEM-6","issue":"1","issued":{"date-parts":[["2006"]]},"page":"1-11","title":"Systematic screening for Chlamydia trachomatis: estimating cost-effectiveness using dynamic modeling and Dutch data.","type":"article-journal","volume":"9"},"uris":["http://www.mendeley.com/documents/?uuid=61604c03-0238-4209-a717-7a9a4a4c0970","http://www.mendeley.com/documents/?uuid=e6b2746c-5513-35bc-a1ee-f7a7254cb93e","http://www.mendeley.com/documents/?uuid=65ad76ee-d201-41de-9bbc-78422d645e36"]},{"id":"ITEM-7","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Dis","id":"ITEM-7","issue":"10","issued":{"date-parts":[["2013","10"]]},"page":"776-83","title":"Cost-effectiveness of screening men in Maricopa County jails for chlamydia and gonorrhea to avert infections in women.","type":"article-journal","volume":"40"},"uris":["http://www.mendeley.com/documents/?uuid=ffb1178c-a6e8-4076-8f5b-4bfe4e98d860"]},{"id":"ITEM-8","itemData":{"ISSN":"1471-2334","PMID":"23618061","abstract":"BACKGROUND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Dis","id":"ITEM-8","issued":{"date-parts":[["2013"]]},"page":"188","title":"Population movement can sustain STI prevalence in remote Australian indigenous communities.","type":"article-journal","volume":"13"},"uris":["http://www.mendeley.com/documents/?uuid=439c8ade-8864-4f5e-9dff-966b3d367e00"]},{"id":"ITEM-9","itemData":{"ISSN":"0002-9262","PMID":"11159151","abstract":"The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author":[{"dropping-particle":"","family":"Kretzschmar","given":"M","non-dropping-particle":"","parse-names":false,"suffix":""},{"dropping-particle":"","family":"Welte","given":"R","non-dropping-particle":"","parse-names":false,"suffix":""},{"dropping-particle":"","family":"Hoek","given":"A","non-dropping-particle":"van den","parse-names":false,"suffix":""},{"dropping-particle":"","family":"Postma","given":"M J","non-dropping-particle":"","parse-names":false,"suffix":""}],"container-title":"Am J Epidemiol","id":"ITEM-9","issue":"1","issued":{"date-parts":[["2001","1","1"]]},"page":"90-101","title":"Comparative model-based analysis of screening programs for Chlamydia trachomatis infections.","type":"article-journal","volume":"153"},"uris":["http://www.mendeley.com/documents/?uuid=37158024-4fed-4aa7-8960-1c7d1c10b124"]},{"id":"ITEM-10","itemData":{"ISSN":"1873-2607","PMID":"26952078","abstract":"INTRODUCTION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care.","author":[{"dropping-particle":"","family":"Owusu-Edusei","given":"Kwame","non-dropping-particle":"","parse-names":false,"suffix":""},{"dropping-particle":"","family":"Hoover","given":"Karen W","non-dropping-particle":"","parse-names":false,"suffix":""},{"dropping-particle":"","family":"Gift","given":"Thomas L","non-dropping-particle":"","parse-names":false,"suffix":""}],"container-title":"Am J Prev Med","id":"ITEM-10","issue":"2","issued":{"date-parts":[["2016","8"]]},"page":"216-24","title":"Cost-effectiveness of opt-out chlamydia testing for high-risk young women in the US","type":"article-journal","volume":"51"},"uris":["http://www.mendeley.com/documents/?uuid=9fdf9f8a-a31a-4318-b59a-dcc965726109"]},{"id":"ITEM-11","itemData":{"ISSN":"1932-6203","PMID":"23527005","abstract":"BACKGROUND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limited.","author":[{"dropping-particle":"V","family":"Schmid","given":"Boris","non-dropping-particle":"","parse-names":false,"suffix":""},{"dropping-particle":"","family":"Over","given":"Eelco A B","non-dropping-particle":"","parse-names":false,"suffix":""},{"dropping-particle":"","family":"Broek","given":"Ingrid V F","non-dropping-particle":"van den","parse-names":false,"suffix":""},{"dropping-particle":"","family":"Coul","given":"Eline L M","non-dropping-particle":"Op de","parse-names":false,"suffix":""},{"dropping-particle":"","family":"Bergen","given":"Jan E A M","non-dropping-particle":"van","parse-names":false,"suffix":""},{"dropping-particle":"","family":"Fennema","given":"Johan S A","non-dropping-particle":"","parse-names":false,"suffix":""},{"dropping-particle":"","family":"Götz","given":"Hannelore M","non-dropping-particle":"","parse-names":false,"suffix":""},{"dropping-particle":"","family":"Hoebe","given":"Christian J P A","non-dropping-particle":"","parse-names":false,"suffix":""},{"dropping-particle":"","family":"Wit","given":"G Ardine","non-dropping-particle":"de","parse-names":false,"suffix":""},{"dropping-particle":"","family":"Sande","given":"Marianne A B","non-dropping-particle":"van der","parse-names":false,"suffix":""},{"dropping-particle":"","family":"Kretzschmar","given":"Mirjam E E","non-dropping-particle":"","parse-names":false,"suffix":""}],"container-title":"PloS One","id":"ITEM-11","issue":"3","issued":{"date-parts":[["2013"]]},"page":"e58674","title":"Effects of population based screening for Chlamydia infections in the Netherlands limited by declining participation rates.","type":"article-journal","volume":"8"},"uris":["http://www.mendeley.com/documents/?uuid=b7c5011a-ab95-4c43-aaa8-4cb74bf719e5"]},{"id":"ITEM-12","itemData":{"ISSN":"1472-3263","PMID":"24273127","abstract":"OBJECTIVES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£103.9 million compared with £115.6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treatment.","author":[{"dropping-particle":"","family":"Turner","given":"Katherine M E","non-dropping-particle":"","parse-names":false,"suffix":""},{"dropping-particle":"","family":"Round","given":"Jeff","non-dropping-particle":"","parse-names":false,"suffix":""},{"dropping-particle":"","family":"Horner","given":"Patrick","non-dropping-particle":"","parse-names":false,"suffix":""},{"dropping-particle":"","family":"Macleod","given":"John","non-dropping-particle":"","parse-names":false,"suffix":""},{"dropping-particle":"","family":"Goldenberg","given":"Simon","non-dropping-particle":"","parse-names":false,"suffix":""},{"dropping-particle":"","family":"Deol","given":"Arminder","non-dropping-particle":"","parse-names":false,"suffix":""},{"dropping-particle":"","family":"Adams","given":"Elisabeth J","non-dropping-particle":"","parse-names":false,"suffix":""}],"container-title":"Sex Transm Infect","id":"ITEM-12","issue":"2","issued":{"date-parts":[["2014","3"]]},"page":"104-11","title":"An early evaluation of clinical and economic costs and benefits of implementing point of care NAAT tests for Chlamydia trachomatis and Neisseria gonorrhoea in genitourinary medicine clinics in England.","type":"article-journal","volume":"90"},"uris":["http://www.mendeley.com/documents/?uuid=839e0394-dfc6-4cc9-a76a-47483ec8b07d","http://www.mendeley.com/documents/?uuid=a5843ce2-3049-36bd-81de-6855a2dcb6c5","http://www.mendeley.com/documents/?uuid=5e8b8b56-a0aa-438f-b266-c987de427a61"]},{"id":"ITEM-13","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Infect","id":"ITEM-13","issue":"3","issued":{"date-parts":[["2010","6","1"]]},"page":"169-174","title":"A Bayesian approach to uncertainty analysis of sexually transmitted infection models","type":"article-journal","volume":"86"},"uris":["http://www.mendeley.com/documents/?uuid=31e9dca7-f246-4670-9001-4c78d9774ec7"]}],"mendeley":{"formattedCitation":"&lt;sup&gt;39,42,45,50,53,54,57,60,64,65,69,70,75&lt;/sup&gt;","plainTextFormattedCitation":"39,42,45,50,53,54,57,60,64,65,69,70,75","previouslyFormattedCitation":"&lt;sup&gt;39,42,45,50,53,54,57,60,64,65,69,70,75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39,42,45,50,53,54,57,60,64,65,69,70,75</w:t>
      </w:r>
      <w:r w:rsidRPr="0024409C">
        <w:rPr>
          <w:rFonts w:ascii="Helvetica Neue" w:hAnsi="Helvetica Neue"/>
        </w:rPr>
        <w:fldChar w:fldCharType="end"/>
      </w:r>
      <w:r w:rsidRPr="0024409C">
        <w:rPr>
          <w:rFonts w:ascii="Helvetica Neue" w:hAnsi="Helvetica Neue"/>
        </w:rPr>
        <w:t xml:space="preserve"> </w:t>
      </w:r>
      <w:r w:rsidRPr="0024409C">
        <w:rPr>
          <w:rFonts w:ascii="Helvetica Neue" w:hAnsi="Helvetica Neue"/>
        </w:rPr>
        <w:lastRenderedPageBreak/>
        <w:t>with an outer range of 0–0.75</w:t>
      </w:r>
      <w:r w:rsidRPr="0024409C">
        <w:rPr>
          <w:rFonts w:ascii="Helvetica Neue" w:hAnsi="Helvetica Neue"/>
        </w:rPr>
        <w:fldChar w:fldCharType="begin" w:fldLock="1"/>
      </w:r>
      <w:r w:rsidR="00291558">
        <w:rPr>
          <w:rFonts w:ascii="Helvetica Neue" w:hAnsi="Helvetica Neue"/>
        </w:rPr>
        <w:instrText>ADDIN CSL_CITATION {"citationItems":[{"id":"ITEM-1","itemData":{"DOI":"10.1097/OLQ.0b013e31822e9192","ISSN":"1537-4521","PMID":"21992986","abstract":"BACKGROUND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≥32% to 37% of male index patients' female partners or ≥29%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payer.","author":[{"dropping-particle":"","family":"Gift","given":"Thomas L","non-dropping-particle":"","parse-names":false,"suffix":""},{"dropping-particle":"","family":"Kissinger","given":"Patricia","non-dropping-particle":"","parse-names":false,"suffix":""},{"dropping-particle":"","family":"Mohammed","given":"Hamish","non-dropping-particle":"","parse-names":false,"suffix":""},{"dropping-particle":"","family":"Leichliter","given":"Jami S","non-dropping-particle":"","parse-names":false,"suffix":""},{"dropping-particle":"","family":"Hogben","given":"Matthew","non-dropping-particle":"","parse-names":false,"suffix":""},{"dropping-particle":"","family":"Golden","given":"Matthew R","non-dropping-particle":"","parse-names":false,"suffix":""}],"container-title":"Sexually transmitted diseases","id":"ITEM-1","issue":"11","issued":{"date-parts":[["2011","11"]]},"page":"1067-73","title":"The cost and cost-effectiveness of expedited partner therapy compared with standard partner referral for the treatment of chlamydia or gonorrhea.","type":"article-journal","volume":"38"},"uris":["http://www.mendeley.com/documents/?uuid=4eeec641-58bf-3a80-9d3e-c5d6d9b87eb4"]},{"id":"ITEM-2","itemData":{"ISSN":"1537-4521","PMID":"22421691","abstract":"BACKGROUND Rates of Chlamydia trachomatis (CT) infection in Canada have been increasing since the mid-1990s. We sought to estimate the burden of CT in this population. METHODS We developed an age- and sex-structured mathematical model parameterized to reproduce trends in CT prevalence between 1991 and 2009 in the Canadian population aged 10 to 39 years. Costs were identified, measured, and valued using a modified societal perspective and converted to year 2009 Canadian dollars. Cost-effectiveness of the implemented policy of enhanced screening for asymptomatic infections was estimated by comparison with model-projected trends in the absence of increased screening. Main outcome measures were current net cost and burden of illness attributable to CT infection, and incremental cost-effectiveness ratios. RESULTS Under base case model assumptions, there was a trend of increasing detection of CT cases (due to increases in screening), despite an underlying stabilization of actual CT infections. Average estimated costs associated with CT infection over this period were $51.4 million per year. Costs of screening and treatment of asymptomatic infections as a proportion of total CT costs were estimated to have increased over time, whereas costs of long-term sequelae associated with untreated infections declined over the same period. Compared with no change in screening, enhanced screening was estimated to be highly cost-effective, with an incremental cost-effectiveness ratio of $2910 per quality-adjusted life year. CONCLUSIONS Despite increases in screening, the economic burden of CT in Canada remains high. Further investigation of trends in chlamydia-associated complications is required to better understand the impact of screening on incidence.","author":[{"dropping-particle":"","family":"Tuite","given":"Ashleigh R","non-dropping-particle":"","parse-names":false,"suffix":""},{"dropping-particle":"","family":"Jayaraman","given":"Gayatri C","non-dropping-particle":"","parse-names":false,"suffix":""},{"dropping-particle":"","family":"Allen","given":"Vanessa G","non-dropping-particle":"","parse-names":false,"suffix":""},{"dropping-particle":"","family":"Fisman","given":"David N","non-dropping-particle":"","parse-names":false,"suffix":""}],"container-title":"Sex Transm Dis","id":"ITEM-2","issue":"4","issued":{"date-parts":[["2012","4"]]},"page":"260-7","title":"Estimation of the burden of disease and costs of genital Chlamydia trachomatis infection in Canada.","type":"article-journal","volume":"39"},"uris":["http://www.mendeley.com/documents/?uuid=5fbc594f-47d4-3825-b783-ffaffc9001ae","http://www.mendeley.com/documents/?uuid=77d327f5-5df4-429f-b85b-0821bbac064e"]},{"id":"ITEM-3","itemData":{"ISSN":"1368-4973","PMID":"17012515","abstract":"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author":[{"dropping-particle":"","family":"Vickerman","given":"P","non-dropping-particle":"","parse-names":false,"suffix":""},{"dropping-particle":"","family":"Watts","given":"C","non-dropping-particle":"","parse-names":false,"suffix":""},{"dropping-particle":"","family":"Peeling","given":"R W","non-dropping-particle":"","parse-names":false,"suffix":""},{"dropping-particle":"","family":"Mabey","given":"D","non-dropping-particle":"","parse-names":false,"suffix":""},{"dropping-particle":"","family":"Alary","given":"M","non-dropping-particle":"","parse-names":false,"suffix":""}],"container-title":"Sex Transm Infect","id":"ITEM-3","issue":"5","issued":{"date-parts":[["2006","10"]]},"page":"403-12","title":"Modelling the cost effectiveness of rapid point of care diagnostic tests for the control of HIV and other sexually transmitted infections among female sex workers.","type":"article-journal","volume":"82"},"uris":["http://www.mendeley.com/documents/?uuid=34653315-add2-4125-a9d5-d49b26f46065"]},{"id":"ITEM-4","itemData":{"ISSN":"1537-4521","PMID":"22504590","abstract":"OBJECTIVES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author":[{"dropping-particle":"","family":"Kretzschmar","given":"Mirjam","non-dropping-particle":"","parse-names":false,"suffix":""},{"dropping-particle":"","family":"Satterwhite","given":"Catherine","non-dropping-particle":"","parse-names":false,"suffix":""},{"dropping-particle":"","family":"Leichliter","given":"Jami","non-dropping-particle":"","parse-names":false,"suffix":""},{"dropping-particle":"","family":"Berman","given":"Stuart","non-dropping-particle":"","parse-names":false,"suffix":""}],"container-title":"Sex Transm Dis","id":"ITEM-4","issue":"5","issued":{"date-parts":[["2012","5"]]},"page":"325-31","title":"Effects of screening and partner notification on Chlamydia positivity in the United States: a modeling study.","type":"article-journal","volume":"39"},"uris":["http://www.mendeley.com/documents/?uuid=9e28b657-b832-4f92-822f-ede371cccbda"]},{"id":"ITEM-5","itemData":{"ISSN":"1742-4682","PMID":"16426453","abstract":"BACKGROUND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makers.","author":[{"dropping-particle":"","family":"Turner","given":"Katherine M E","non-dropping-particle":"","parse-names":false,"suffix":""},{"dropping-particle":"","family":"Adams","given":"Elisabeth J","non-dropping-particle":"","parse-names":false,"suffix":""},{"dropping-particle":"","family":"Gay","given":"Nigel","non-dropping-particle":"","parse-names":false,"suffix":""},{"dropping-particle":"","family":"Ghani","given":"Azra C","non-dropping-particle":"","parse-names":false,"suffix":""},{"dropping-particle":"","family":"Mercer","given":"Catherine","non-dropping-particle":"","parse-names":false,"suffix":""},{"dropping-particle":"","family":"Edmunds","given":"W John","non-dropping-particle":"","parse-names":false,"suffix":""}],"container-title":"Theor Biol Med Model","id":"ITEM-5","issued":{"date-parts":[["2006"]]},"page":"3","title":"Developing a realistic sexual network model of chlamydia transmission in Britain.","type":"article-journal","volume":"3"},"uris":["http://www.mendeley.com/documents/?uuid=d5089e58-930f-47f0-8958-55ecbfb070a5"]}],"mendeley":{"formattedCitation":"&lt;sup&gt;41,44,48,97,98&lt;/sup&gt;","plainTextFormattedCitation":"41,44,48,97,98","previouslyFormattedCitation":"&lt;sup&gt;41,44,48,97,98&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41,44,48,97,98</w:t>
      </w:r>
      <w:r w:rsidRPr="0024409C">
        <w:rPr>
          <w:rFonts w:ascii="Helvetica Neue" w:hAnsi="Helvetica Neue"/>
        </w:rPr>
        <w:fldChar w:fldCharType="end"/>
      </w:r>
      <w:r w:rsidRPr="0024409C">
        <w:rPr>
          <w:rFonts w:ascii="Helvetica Neue" w:hAnsi="Helvetica Neue"/>
        </w:rPr>
        <w:t xml:space="preserve"> and a sizable cluster of estimates at 0.75.</w:t>
      </w:r>
      <w:r w:rsidRPr="0024409C">
        <w:rPr>
          <w:rFonts w:ascii="Helvetica Neue" w:hAnsi="Helvetica Neue"/>
        </w:rPr>
        <w:fldChar w:fldCharType="begin" w:fldLock="1"/>
      </w:r>
      <w:r w:rsidR="00665BF2">
        <w:rPr>
          <w:rFonts w:ascii="Helvetica Neue" w:hAnsi="Helvetica Neue"/>
        </w:rPr>
        <w:instrText>ADDIN CSL_CITATION {"citationItems":[{"id":"ITEM-1","itemData":{"ISSN":"0022-1899","PMID":"19432550","abstract":"BACKGROUND We investigated the likely impact of vaccines on the prevalence of and morbidity due to Chlamydia trachomatis (chlamydia) infections in heterosexual populations. METHODS An individual-based mathematical model of chlamydia transmission was developed and linked to the infection course in chlamydia-infected individuals. The model describes the impact of a vaccine through its effect on the chlamydial load required to infect susceptible individuals (the \"critical load\"), the load in infected individuals, and their subsequent infectiousness. The model was calibrated using behavioral, biological, and clinical data. RESULTS A fully protective chlamydia vaccine administered before sexual debut can theoretically eliminate chlamydia epidemics within 20 years. Partially effective vaccines can still greatly reduce the incidence of chlamydia infection. Vaccines should aim primarily to increase the critical load in susceptible individuals and secondarily to decrease the peak load and/or the duration of infection in vaccinated individuals who become infected. Vaccinating both sexes has a beneficial impact on chlamydia-related morbidity, but targeting women is more effective than targeting men. CONCLUSIONS Our findings can be used in laboratory settings to evaluate vaccine candidates in animal models, by regulatory bodies in the promotion of candidates for clinical trials, and by public health authorities in deciding on optimal intervention strategies.","author":[{"dropping-particle":"","family":"Gray","given":"Richard T","non-dropping-particle":"","parse-names":false,"suffix":""},{"dropping-particle":"","family":"Beagley","given":"Kenneth W","non-dropping-particle":"","parse-names":false,"suffix":""},{"dropping-particle":"","family":"Timms","given":"Peter","non-dropping-particle":"","parse-names":false,"suffix":""},{"dropping-particle":"","family":"Wilson","given":"David P","non-dropping-particle":"","parse-names":false,"suffix":""}],"container-title":"J Inf Dis","id":"ITEM-1","issue":"11","issued":{"date-parts":[["2009","6"]]},"page":"1680-8","title":"Modeling the impact of potential vaccines on epidemics of sexually transmitted Chlamydia trachomatis infection.","type":"article-journal","volume":"199"},"uris":["http://www.mendeley.com/documents/?uuid=b8f7da0c-a8c0-45b8-b274-a0d3b3bc2eb6","http://www.mendeley.com/documents/?uuid=30257bd5-5f99-38b8-a1d8-dabd11bf07b4"]},{"id":"ITEM-2","itemData":{"ISSN":"1553-7358","PMID":"22570594","abstract":"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author":[{"dropping-particle":"V","family":"Schmid","given":"Boris","non-dropping-particle":"","parse-names":false,"suffix":""},{"dropping-particle":"","family":"Kretzschmar","given":"Mirjam","non-dropping-particle":"","parse-names":false,"suffix":""}],"container-title":"PLoS Comput Biol","id":"ITEM-2","issue":"4","issued":{"date-parts":[["2012"]]},"page":"e1002470","title":"Determinants of sexual network structure and their impact on cumulative network measures.","type":"article-journal","volume":"8"},"uris":["http://www.mendeley.com/documents/?uuid=a1e755bd-090b-4a64-adb0-52e0b3ce18c7","http://www.mendeley.com/documents/?uuid=5decc760-231c-3da7-ae50-cbe56f48b440","http://www.mendeley.com/documents/?uuid=8dd344a6-f0b6-4c4c-8dd6-1dff97bca25b"]},{"id":"ITEM-3","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Epidemiol","id":"ITEM-3","issue":"3","issued":{"date-parts":[["1996","8"]]},"page":"306-17","title":"Modeling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47d12065-64d6-4c88-b142-bab9b2de6c4a"]},{"id":"ITEM-4","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-4","issue":"7614","issued":{"date-parts":[["2007","8"]]},"page":"291","title":"Cost effectiveness of home based population screening for Chlamydia trachomatis in the UK: economic evaluation of chlamydia screening studies (ClaSS) project.","type":"article-journal","volume":"335"},"uris":["http://www.mendeley.com/documents/?uuid=068ae4c2-fc1a-407c-9042-659f35956723","http://www.mendeley.com/documents/?uuid=79167eaa-7546-3c44-8cc8-210cd54f8e72","http://www.mendeley.com/documents/?uuid=5fb2b580-64d5-479e-989a-85a9961eaadf"]},{"id":"ITEM-5","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Dis","id":"ITEM-5","issue":"2 Suppl","issued":{"date-parts":[["2009","2"]]},"page":"S41-8","title":"Preventing sexually transmitted infections among incarcerated men who have sex with men: a cost-effectiveness analysis.","type":"article-journal","volume":"36"},"uris":["http://www.mendeley.com/documents/?uuid=99e32213-3087-4c26-aa3a-0cb6b7d6e381"]}],"mendeley":{"formattedCitation":"&lt;sup&gt;58,59,67,68,72&lt;/sup&gt;","plainTextFormattedCitation":"58,59,67,68,72","previouslyFormattedCitation":"&lt;sup&gt;58,59,67,68,72&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58,59,67,68,72</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differentiated between the probability of symptoms of urethral and rectal CT infections in MSM, estimating a 4-fold increase in the likelihood of symptoms (0.58 versus 0.14) at the urethral site. The proportion symptomatic in males tends to be increased 1.5–3 fold over the same proportion in women,</w:t>
      </w:r>
      <w:r w:rsidRPr="0024409C">
        <w:rPr>
          <w:rFonts w:ascii="Helvetica Neue" w:hAnsi="Helvetica Neue"/>
        </w:rPr>
        <w:fldChar w:fldCharType="begin" w:fldLock="1"/>
      </w:r>
      <w:r w:rsidR="00291558">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Health","id":"ITEM-2","issue":"2","issued":{"date-parts":[["2012","2"]]},"page":"161-8","title":"The role of sexually transmitted infections in the evolution of the South African HIV epidemic.","type":"article-journal","volume":"17"},"uris":["http://www.mendeley.com/documents/?uuid=0e1ea8f2-849f-41da-864c-66e864358726"]},{"id":"ITEM-3","itemData":{"ISSN":"0269-9370","PMID":"10780720","abstract":"OBJECTIVES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D","non-dropping-particle":"","parse-names":false,"suffix":""}],"container-title":"AIDS","id":"ITEM-3","issue":"5","issued":{"date-parts":[["2000","3"]]},"page":"573-93","title":"Model-based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2648772e-edde-461a-8e03-7b3f465934c1"]},{"id":"ITEM-4","itemData":{"ISSN":"0148-5717","PMID":"16601656","abstract":"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author":[{"dropping-particle":"","family":"Andersen","given":"Berit","non-dropping-particle":"","parse-names":false,"suffix":""},{"dropping-particle":"","family":"Gundgaard","given":"Jens","non-dropping-particle":"","parse-names":false,"suffix":""},{"dropping-particle":"","family":"Kretzschmar","given":"Mirjam","non-dropping-particle":"","parse-names":false,"suffix":""},{"dropping-particle":"","family":"Olsen","given":"Jens","non-dropping-particle":"","parse-names":false,"suffix":""},{"dropping-particle":"","family":"Welte","given":"Robert","non-dropping-particle":"","parse-names":false,"suffix":""},{"dropping-particle":"","family":"Oster-Gaard","given":"Lars","non-dropping-particle":"","parse-names":false,"suffix":""}],"container-title":"Sex Transm Dis","id":"ITEM-4","issue":"7","issued":{"date-parts":[["2006","7"]]},"page":"407-15","title":"Prediction of costs, effectiveness, and disease control of a population-based program using home sampling for diagnosis of urogenital Chlamydia trachomatis infections","type":"article-journal","volume":"33"},"uris":["http://www.mendeley.com/documents/?uuid=ad4655e6-1796-4a64-b0b1-a55b81b1875a"]},{"id":"ITEM-5","itemData":{"ISSN":"1098-3015","PMID":"16441519","abstract":"OBJECTIVE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CT.","author":[{"dropping-particle":"","family":"Vries","given":"Robin","non-dropping-particle":"de","parse-names":false,"suffix":""},{"dropping-particle":"","family":"Bergen","given":"Jan E A M","non-dropping-particle":"van","parse-names":false,"suffix":""},{"dropping-particle":"","family":"Jong-van den Berg","given":"Lolkje T W","non-dropping-particle":"de","parse-names":false,"suffix":""},{"dropping-particle":"","family":"Postma","given":"Maarten J","non-dropping-particle":"","parse-names":false,"suffix":""},{"dropping-particle":"","family":"PILOT-CT Study Group","given":"","non-dropping-particle":"","parse-names":false,"suffix":""}],"container-title":"Value Health","id":"ITEM-5","issue":"1","issued":{"date-parts":[["2006"]]},"page":"1-11","title":"Systematic screening for Chlamydia trachomatis: estimating cost-effectiveness using dynamic modeling and Dutch data.","type":"article-journal","volume":"9"},"uris":["http://www.mendeley.com/documents/?uuid=61604c03-0238-4209-a717-7a9a4a4c0970","http://www.mendeley.com/documents/?uuid=e6b2746c-5513-35bc-a1ee-f7a7254cb93e","http://www.mendeley.com/documents/?uuid=8e96c8da-077a-4c30-a080-f80beaaff04a"]},{"id":"ITEM-6","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Dis","id":"ITEM-6","issued":{"date-parts":[["2013"]]},"page":"188","title":"Population movement can sustain STI prevalence in remote Australian indigenous communities.","type":"article-journal","volume":"13"},"uris":["http://www.mendeley.com/documents/?uuid=439c8ade-8864-4f5e-9dff-966b3d367e00"]},{"id":"ITEM-7","itemData":{"ISSN":"1537-4521","PMID":"22504590","abstract":"OBJECTIVES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author":[{"dropping-particle":"","family":"Kretzschmar","given":"Mirjam","non-dropping-particle":"","parse-names":false,"suffix":""},{"dropping-particle":"","family":"Satterwhite","given":"Catherine","non-dropping-particle":"","parse-names":false,"suffix":""},{"dropping-particle":"","family":"Leichliter","given":"Jami","non-dropping-particle":"","parse-names":false,"suffix":""},{"dropping-particle":"","family":"Berman","given":"Stuart","non-dropping-particle":"","parse-names":false,"suffix":""}],"container-title":"Sex Transm Dis","id":"ITEM-7","issue":"5","issued":{"date-parts":[["2012","5"]]},"page":"325-31","title":"Effects of screening and partner notification on Chlamydia positivity in the United States: a modeling study.","type":"article-journal","volume":"39"},"uris":["http://www.mendeley.com/documents/?uuid=9e28b657-b832-4f92-822f-ede371cccbda"]},{"id":"ITEM-8","itemData":{"ISSN":"0002-9262","PMID":"11159151","abstract":"The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author":[{"dropping-particle":"","family":"Kretzschmar","given":"M","non-dropping-particle":"","parse-names":false,"suffix":""},{"dropping-particle":"","family":"Welte","given":"R","non-dropping-particle":"","parse-names":false,"suffix":""},{"dropping-particle":"","family":"Hoek","given":"A","non-dropping-particle":"van den","parse-names":false,"suffix":""},{"dropping-particle":"","family":"Postma","given":"M J","non-dropping-particle":"","parse-names":false,"suffix":""}],"container-title":"Am J Epidemiol","id":"ITEM-8","issue":"1","issued":{"date-parts":[["2001","1","1"]]},"page":"90-101","title":"Comparative model-based analysis of screening programs for Chlamydia trachomatis infections.","type":"article-journal","volume":"153"},"uris":["http://www.mendeley.com/documents/?uuid=37158024-4fed-4aa7-8960-1c7d1c10b124"]},{"id":"ITEM-9","itemData":{"ISSN":"0002-9262","PMID":"8686700","abstract":"A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Epidemiol","id":"ITEM-9","issue":"3","issued":{"date-parts":[["1996","8"]]},"page":"306-17","title":"Modeling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3c299a64-056b-481b-b77b-d107cfd9d041"]},{"id":"ITEM-10","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-10","issue":"7614","issued":{"date-parts":[["2007","8"]]},"page":"291","title":"Cost effectiveness of home based population screening for Chlamydia trachomatis in the UK: economic evaluation of chlamydia screening studies (ClaSS) project.","type":"article-journal","volume":"335"},"uris":["http://www.mendeley.com/documents/?uuid=068ae4c2-fc1a-407c-9042-659f35956723","http://www.mendeley.com/documents/?uuid=79167eaa-7546-3c44-8cc8-210cd54f8e72","http://www.mendeley.com/documents/?uuid=a1d09876-2864-4d96-8f80-5a8f4d192176"]},{"id":"ITEM-11","itemData":{"ISSN":"1873-2607","PMID":"26952078","abstract":"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care.","author":[{"dropping-particle":"","family":"Owusu-Edusei","given":"Kwame","non-dropping-particle":"","parse-names":false,"suffix":""},{"dropping-particle":"","family":"Hoover","given":"Karen W","non-dropping-particle":"","parse-names":false,"suffix":""},{"dropping-particle":"","family":"Gift","given":"Thomas L","non-dropping-particle":"","parse-names":false,"suffix":""}],"container-title":"Am J Prev Med","id":"ITEM-11","issue":"2","issued":{"date-parts":[["2016","8"]]},"page":"216-24","title":"Cost-effectiveness of opt-out chlamydia testing for high-risk young women in the US","type":"article-journal","volume":"51"},"uris":["http://www.mendeley.com/documents/?uuid=9fdf9f8a-a31a-4318-b59a-dcc965726109"]},{"id":"ITEM-12","itemData":{"ISSN":"1932-6203","PMID":"23527005","abstract":"BACKGROUND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limited.","author":[{"dropping-particle":"V","family":"Schmid","given":"Boris","non-dropping-particle":"","parse-names":false,"suffix":""},{"dropping-particle":"","family":"Over","given":"Eelco A B","non-dropping-particle":"","parse-names":false,"suffix":""},{"dropping-particle":"","family":"Broek","given":"Ingrid V F","non-dropping-particle":"van den","parse-names":false,"suffix":""},{"dropping-particle":"","family":"Coul","given":"Eline L M","non-dropping-particle":"Op de","parse-names":false,"suffix":""},{"dropping-particle":"","family":"Bergen","given":"Jan E A M","non-dropping-particle":"van","parse-names":false,"suffix":""},{"dropping-particle":"","family":"Fennema","given":"Johan S A","non-dropping-particle":"","parse-names":false,"suffix":""},{"dropping-particle":"","family":"Götz","given":"Hannelore M","non-dropping-particle":"","parse-names":false,"suffix":""},{"dropping-particle":"","family":"Hoebe","given":"Christian J P A","non-dropping-particle":"","parse-names":false,"suffix":""},{"dropping-particle":"","family":"Wit","given":"G Ardine","non-dropping-particle":"de","parse-names":false,"suffix":""},{"dropping-particle":"","family":"Sande","given":"Marianne A B","non-dropping-particle":"van der","parse-names":false,"suffix":""},{"dropping-particle":"","family":"Kretzschmar","given":"Mirjam E E","non-dropping-particle":"","parse-names":false,"suffix":""}],"container-title":"PloS One","id":"ITEM-12","issue":"3","issued":{"date-parts":[["2013"]]},"page":"e58674","title":"Effects of population based screening for Chlamydia infections in the Netherlands limited by declining participation rates.","type":"article-journal","volume":"8"},"uris":["http://www.mendeley.com/documents/?uuid=b7c5011a-ab95-4c43-aaa8-4cb74bf719e5"]},{"id":"ITEM-13","itemData":{"ISSN":"1368-4973","author":[{"dropping-particle":"","family":"Johnson","given":"L.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Infect","id":"ITEM-13","issue":"3","issued":{"date-parts":[["2010","6","1"]]},"page":"169-174","title":"A Bayesian approach to uncertainty analysis of sexually transmitted infection models","type":"article-journal","volume":"86"},"uris":["http://www.mendeley.com/documents/?uuid=31e9dca7-f246-4670-9001-4c78d9774ec7"]}],"mendeley":{"formattedCitation":"&lt;sup&gt;39,41,42,45,50,53,54,64,65,67–69,75&lt;/sup&gt;","plainTextFormattedCitation":"39,41,42,45,50,53,54,64,65,67–69,75","previouslyFormattedCitation":"&lt;sup&gt;39,41,42,45,50,53,54,64,65,67–69,75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39,41,42,45,50,53,54,64,65,67–69,75</w:t>
      </w:r>
      <w:r w:rsidRPr="0024409C">
        <w:rPr>
          <w:rFonts w:ascii="Helvetica Neue" w:hAnsi="Helvetica Neue"/>
        </w:rPr>
        <w:fldChar w:fldCharType="end"/>
      </w:r>
      <w:r w:rsidRPr="0024409C">
        <w:rPr>
          <w:rFonts w:ascii="Helvetica Neue" w:hAnsi="Helvetica Neue"/>
        </w:rPr>
        <w:t xml:space="preserve"> with a few exceptions where women are estimated to be more symptomatic.</w:t>
      </w:r>
      <w:r w:rsidRPr="0024409C">
        <w:rPr>
          <w:rFonts w:ascii="Helvetica Neue" w:hAnsi="Helvetica Neue"/>
        </w:rPr>
        <w:fldChar w:fldCharType="begin" w:fldLock="1"/>
      </w:r>
      <w:r w:rsidR="00291558">
        <w:rPr>
          <w:rFonts w:ascii="Helvetica Neue" w:hAnsi="Helvetica Neue"/>
        </w:rPr>
        <w:instrText>ADDIN CSL_CITATION {"citationItems":[{"id":"ITEM-1","itemData":{"ISSN":"1537-4521","PMID":"22421691","abstract":"BACKGROUND Rates of Chlamydia trachomatis (CT) infection in Canada have been increasing since the mid-1990s. We sought to estimate the burden of CT in this population. METHODS We developed an age- and sex-structured mathematical model parameterized to reproduce trends in CT prevalence between 1991 and 2009 in the Canadian population aged 10 to 39 years. Costs were identified, measured, and valued using a modified societal perspective and converted to year 2009 Canadian dollars. Cost-effectiveness of the implemented policy of enhanced screening for asymptomatic infections was estimated by comparison with model-projected trends in the absence of increased screening. Main outcome measures were current net cost and burden of illness attributable to CT infection, and incremental cost-effectiveness ratios. RESULTS Under base case model assumptions, there was a trend of increasing detection of CT cases (due to increases in screening), despite an underlying stabilization of actual CT infections. Average estimated costs associated with CT infection over this period were $51.4 million per year. Costs of screening and treatment of asymptomatic infections as a proportion of total CT costs were estimated to have increased over time, whereas costs of long-term sequelae associated with untreated infections declined over the same period. Compared with no change in screening, enhanced screening was estimated to be highly cost-effective, with an incremental cost-effectiveness ratio of $2910 per quality-adjusted life year. CONCLUSIONS Despite increases in screening, the economic burden of CT in Canada remains high. Further investigation of trends in chlamydia-associated complications is required to better understand the impact of screening on incidence.","author":[{"dropping-particle":"","family":"Tuite","given":"Ashleigh R","non-dropping-particle":"","parse-names":false,"suffix":""},{"dropping-particle":"","family":"Jayaraman","given":"Gayatri C","non-dropping-particle":"","parse-names":false,"suffix":""},{"dropping-particle":"","family":"Allen","given":"Vanessa G","non-dropping-particle":"","parse-names":false,"suffix":""},{"dropping-particle":"","family":"Fisman","given":"David N","non-dropping-particle":"","parse-names":false,"suffix":""}],"container-title":"Sex Transm Dis","id":"ITEM-1","issue":"4","issued":{"date-parts":[["2012","4"]]},"page":"260-7","title":"Estimation of the burden of disease and costs of genital Chlamydia trachomatis infection in Canada.","type":"article-journal","volume":"39"},"uris":["http://www.mendeley.com/documents/?uuid=77d327f5-5df4-429f-b85b-0821bbac064e","http://www.mendeley.com/documents/?uuid=5fbc594f-47d4-3825-b783-ffaffc9001ae"]},{"id":"ITEM-2","itemData":{"ISSN":"1472-3263","PMID":"24273127","abstract":"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£103.9 million compared with £115.6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treatment.","author":[{"dropping-particle":"","family":"Turner","given":"Katherine M E","non-dropping-particle":"","parse-names":false,"suffix":""},{"dropping-particle":"","family":"Round","given":"Jeff","non-dropping-particle":"","parse-names":false,"suffix":""},{"dropping-particle":"","family":"Horner","given":"Patrick","non-dropping-particle":"","parse-names":false,"suffix":""},{"dropping-particle":"","family":"Macleod","given":"John","non-dropping-particle":"","parse-names":false,"suffix":""},{"dropping-particle":"","family":"Goldenberg","given":"Simon","non-dropping-particle":"","parse-names":false,"suffix":""},{"dropping-particle":"","family":"Deol","given":"Arminder","non-dropping-particle":"","parse-names":false,"suffix":""},{"dropping-particle":"","family":"Adams","given":"Elisabeth J","non-dropping-particle":"","parse-names":false,"suffix":""}],"container-title":"Sex Transm Infect","id":"ITEM-2","issue":"2","issued":{"date-parts":[["2014","3"]]},"page":"104-11","title":"An early evaluation of clinical and economic costs and benefits of implementing point of care NAAT tests for Chlamydia trachomatis and Neisseria gonorrhoea in genitourinary medicine clinics in England.","type":"article-journal","volume":"90"},"uris":["http://www.mendeley.com/documents/?uuid=839e0394-dfc6-4cc9-a76a-47483ec8b07d","http://www.mendeley.com/documents/?uuid=a5843ce2-3049-36bd-81de-6855a2dcb6c5","http://www.mendeley.com/documents/?uuid=ad6f843b-9224-4c4e-ad62-0208e1f78bab"]},{"id":"ITEM-3","itemData":{"ISSN":"1742-4682","PMID":"16426453","abstract":"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makers.","author":[{"dropping-particle":"","family":"Turner","given":"Katherine M E","non-dropping-particle":"","parse-names":false,"suffix":""},{"dropping-particle":"","family":"Adams","given":"Elisabeth J","non-dropping-particle":"","parse-names":false,"suffix":""},{"dropping-particle":"","family":"Gay","given":"Nigel","non-dropping-particle":"","parse-names":false,"suffix":""},{"dropping-particle":"","family":"Ghani","given":"Azra C","non-dropping-particle":"","parse-names":false,"suffix":""},{"dropping-particle":"","family":"Mercer","given":"Catherine","non-dropping-particle":"","parse-names":false,"suffix":""},{"dropping-particle":"","family":"Edmunds","given":"W John","non-dropping-particle":"","parse-names":false,"suffix":""}],"container-title":"Theor Biol Med Model","id":"ITEM-3","issued":{"date-parts":[["2006"]]},"page":"3","title":"Developing a realistic sexual network model of chlamydia transmission in Britain.","type":"article-journal","volume":"3"},"uris":["http://www.mendeley.com/documents/?uuid=d5089e58-930f-47f0-8958-55ecbfb070a5"]}],"mendeley":{"formattedCitation":"&lt;sup&gt;44,60,98&lt;/sup&gt;","plainTextFormattedCitation":"44,60,98","previouslyFormattedCitation":"&lt;sup&gt;44,60,98&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44,60,98</w:t>
      </w:r>
      <w:r w:rsidRPr="0024409C">
        <w:rPr>
          <w:rFonts w:ascii="Helvetica Neue" w:hAnsi="Helvetica Neue"/>
        </w:rPr>
        <w:fldChar w:fldCharType="end"/>
      </w:r>
      <w:r w:rsidRPr="0024409C">
        <w:rPr>
          <w:rFonts w:ascii="Helvetica Neue" w:hAnsi="Helvetica Neue"/>
        </w:rPr>
        <w:t xml:space="preserve"> </w:t>
      </w:r>
      <w:r w:rsidR="001002FC" w:rsidRPr="0024409C">
        <w:rPr>
          <w:rFonts w:ascii="Helvetica Neue" w:hAnsi="Helvetica Neue"/>
        </w:rPr>
        <w:t>In our prior STI model</w:t>
      </w:r>
      <w:r w:rsidR="001002FC" w:rsidRPr="0024409C">
        <w:rPr>
          <w:rFonts w:ascii="Helvetica Neue" w:hAnsi="Helvetica Neue"/>
        </w:rPr>
        <w:fldChar w:fldCharType="begin" w:fldLock="1"/>
      </w:r>
      <w:r w:rsidR="00665BF2">
        <w:rPr>
          <w:rFonts w:ascii="Helvetica Neue" w:hAnsi="Helvetica Neue"/>
        </w:rPr>
        <w:instrText>ADDIN CSL_CITATION {"citationItems":[{"id":"ITEM-1","itemData":{"ISSN":"1058-4838","PMID":"28505240","abstract":"Background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Diseases","id":"ITEM-1","issue":"5","issued":{"date-parts":[["2017","5","13"]]},"page":"712-718","title":"Incidence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5&lt;/sup&gt;","plainTextFormattedCitation":"5","previouslyFormattedCitation":"&lt;sup&gt;5&lt;/sup&gt;"},"properties":{"noteIndex":0},"schema":"https://github.com/citation-style-language/schema/raw/master/csl-citation.json"}</w:instrText>
      </w:r>
      <w:r w:rsidR="001002FC" w:rsidRPr="0024409C">
        <w:rPr>
          <w:rFonts w:ascii="Helvetica Neue" w:hAnsi="Helvetica Neue"/>
        </w:rPr>
        <w:fldChar w:fldCharType="separate"/>
      </w:r>
      <w:r w:rsidR="001002FC" w:rsidRPr="0024409C">
        <w:rPr>
          <w:rFonts w:ascii="Helvetica Neue" w:hAnsi="Helvetica Neue"/>
          <w:noProof/>
          <w:vertAlign w:val="superscript"/>
        </w:rPr>
        <w:t>5</w:t>
      </w:r>
      <w:r w:rsidR="001002FC" w:rsidRPr="0024409C">
        <w:rPr>
          <w:rFonts w:ascii="Helvetica Neue" w:hAnsi="Helvetica Neue"/>
        </w:rPr>
        <w:fldChar w:fldCharType="end"/>
      </w:r>
      <w:r w:rsidR="001002FC" w:rsidRPr="0024409C">
        <w:rPr>
          <w:rFonts w:ascii="Helvetica Neue" w:hAnsi="Helvetica Neue"/>
        </w:rPr>
        <w:t xml:space="preserve">, we used a Bayesian approach to address uncertainty, </w:t>
      </w:r>
      <w:r w:rsidRPr="0024409C">
        <w:rPr>
          <w:rFonts w:ascii="Helvetica Neue" w:hAnsi="Helvetica Neue"/>
        </w:rPr>
        <w:t>establish</w:t>
      </w:r>
      <w:r w:rsidR="001002FC" w:rsidRPr="0024409C">
        <w:rPr>
          <w:rFonts w:ascii="Helvetica Neue" w:hAnsi="Helvetica Neue"/>
        </w:rPr>
        <w:t>ing</w:t>
      </w:r>
      <w:r w:rsidRPr="0024409C">
        <w:rPr>
          <w:rFonts w:ascii="Helvetica Neue" w:hAnsi="Helvetica Neue"/>
        </w:rPr>
        <w:t xml:space="preserve"> a prior distribution for calibration of 0.01–0.15 for the probability that a rectal CT infection would be symptomatic, and a distribution of 0.60–0.95 for the probability that a urethral CT infection would be symptomatic to incorporate site-specific infection. The</w:t>
      </w:r>
      <w:r w:rsidR="001002FC" w:rsidRPr="0024409C">
        <w:rPr>
          <w:rFonts w:ascii="Helvetica Neue" w:hAnsi="Helvetica Neue"/>
        </w:rPr>
        <w:t>se</w:t>
      </w:r>
      <w:r w:rsidRPr="0024409C">
        <w:rPr>
          <w:rFonts w:ascii="Helvetica Neue" w:hAnsi="Helvetica Neue"/>
        </w:rPr>
        <w:t xml:space="preserve"> estimated posterior values were 0.1035 for the probability of symptomatic rectal CT, and a probability of 0.8850 for symptomatic urethral CT.</w:t>
      </w:r>
      <w:r w:rsidR="001002FC" w:rsidRPr="0024409C">
        <w:rPr>
          <w:rFonts w:ascii="Helvetica Neue" w:hAnsi="Helvetica Neue"/>
        </w:rPr>
        <w:t xml:space="preserve"> </w:t>
      </w:r>
      <w:r w:rsidR="00BF6BFE" w:rsidRPr="0024409C">
        <w:rPr>
          <w:rFonts w:ascii="Helvetica Neue" w:hAnsi="Helvetica Neue"/>
        </w:rPr>
        <w:t>For this model, however, we reverted to the Beck values of 0.14 for the probability of symptomatic rectal CT infection and 0.</w:t>
      </w:r>
      <w:r w:rsidR="00BF6BFE">
        <w:rPr>
          <w:rFonts w:ascii="Helvetica Neue" w:hAnsi="Helvetica Neue"/>
        </w:rPr>
        <w:t>4</w:t>
      </w:r>
      <w:r w:rsidR="00BF6BFE" w:rsidRPr="0024409C">
        <w:rPr>
          <w:rFonts w:ascii="Helvetica Neue" w:hAnsi="Helvetica Neue"/>
        </w:rPr>
        <w:t>8 for the probability of symptomatic urethral CT infection</w:t>
      </w:r>
      <w:r w:rsidR="00BF6BFE">
        <w:rPr>
          <w:rFonts w:ascii="Helvetica Neue" w:hAnsi="Helvetica Neue"/>
        </w:rPr>
        <w:t xml:space="preserve"> (the Beck value subtracting a correction of 0.10</w:t>
      </w:r>
      <w:r w:rsidR="00AB7DF1">
        <w:rPr>
          <w:rFonts w:ascii="Helvetica Neue" w:hAnsi="Helvetica Neue"/>
        </w:rPr>
        <w:t xml:space="preserve"> to account for references focusing on participants attending STD clinics</w:t>
      </w:r>
      <w:r w:rsidR="00BF6BFE">
        <w:rPr>
          <w:rFonts w:ascii="Helvetica Neue" w:hAnsi="Helvetica Neue"/>
        </w:rPr>
        <w:t>)</w:t>
      </w:r>
      <w:r w:rsidR="00BF6BFE" w:rsidRPr="0024409C">
        <w:rPr>
          <w:rFonts w:ascii="Helvetica Neue" w:hAnsi="Helvetica Neue"/>
        </w:rPr>
        <w:t>, increasing the probability of symptoms at a rectal site but decreasing the probability of symptoms at a urethral site.</w:t>
      </w:r>
    </w:p>
    <w:p w14:paraId="3646400C" w14:textId="5E419B63" w:rsidR="00EA384A" w:rsidRPr="0024409C" w:rsidRDefault="00273CDD" w:rsidP="001002FC">
      <w:pPr>
        <w:pStyle w:val="Heading2"/>
        <w:rPr>
          <w:rFonts w:ascii="Helvetica Neue" w:hAnsi="Helvetica Neue"/>
          <w:szCs w:val="22"/>
        </w:rPr>
      </w:pPr>
      <w:bookmarkStart w:id="42" w:name="_Toc466401464"/>
      <w:bookmarkStart w:id="43" w:name="_Toc2361394"/>
      <w:r w:rsidRPr="0024409C">
        <w:rPr>
          <w:rFonts w:ascii="Helvetica Neue" w:hAnsi="Helvetica Neue"/>
          <w:szCs w:val="22"/>
        </w:rPr>
        <w:t>9</w:t>
      </w:r>
      <w:r w:rsidR="00690949" w:rsidRPr="0024409C">
        <w:rPr>
          <w:rFonts w:ascii="Helvetica Neue" w:hAnsi="Helvetica Neue"/>
          <w:szCs w:val="22"/>
        </w:rPr>
        <w:t>.3</w:t>
      </w:r>
      <w:r w:rsidR="00EA384A" w:rsidRPr="0024409C">
        <w:rPr>
          <w:rFonts w:ascii="Helvetica Neue" w:hAnsi="Helvetica Neue"/>
          <w:szCs w:val="22"/>
        </w:rPr>
        <w:t xml:space="preserve"> </w:t>
      </w:r>
      <w:r w:rsidR="00EA384A" w:rsidRPr="0024409C">
        <w:rPr>
          <w:rFonts w:ascii="Helvetica Neue" w:hAnsi="Helvetica Neue"/>
          <w:szCs w:val="22"/>
        </w:rPr>
        <w:tab/>
        <w:t>Gonorrhea Symptoms</w:t>
      </w:r>
      <w:bookmarkEnd w:id="42"/>
      <w:bookmarkEnd w:id="43"/>
    </w:p>
    <w:p w14:paraId="4013CFCC" w14:textId="644B20F5" w:rsidR="00EA384A" w:rsidRPr="0024409C" w:rsidRDefault="00EA384A" w:rsidP="001002FC">
      <w:pPr>
        <w:spacing w:line="360" w:lineRule="auto"/>
        <w:rPr>
          <w:rFonts w:ascii="Helvetica Neue" w:hAnsi="Helvetica Neue"/>
        </w:rPr>
      </w:pPr>
      <w:r w:rsidRPr="0024409C">
        <w:rPr>
          <w:rFonts w:ascii="Helvetica Neue" w:hAnsi="Helvetica Neue"/>
        </w:rPr>
        <w:t xml:space="preserve">NG infections can also be present with or without </w:t>
      </w:r>
      <w:r w:rsidR="00827D41" w:rsidRPr="0024409C">
        <w:rPr>
          <w:rFonts w:ascii="Helvetica Neue" w:hAnsi="Helvetica Neue"/>
        </w:rPr>
        <w:t>symptoms and</w:t>
      </w:r>
      <w:r w:rsidRPr="0024409C">
        <w:rPr>
          <w:rFonts w:ascii="Helvetica Neue" w:hAnsi="Helvetica Neue"/>
        </w:rPr>
        <w:t xml:space="preserve"> estimates of the proportion of infections that are symptomatic have varied. The middle 50% of estimates of this proportion from STI or HIV/STI models for men has ranged from 0.35–0.88,</w:t>
      </w:r>
      <w:r w:rsidRPr="0024409C">
        <w:rPr>
          <w:rFonts w:ascii="Helvetica Neue" w:hAnsi="Helvetica Neue"/>
        </w:rPr>
        <w:fldChar w:fldCharType="begin" w:fldLock="1"/>
      </w:r>
      <w:r w:rsidR="00291558">
        <w:rPr>
          <w:rFonts w:ascii="Helvetica Neue" w:hAnsi="Helvetica Neue"/>
        </w:rPr>
        <w:instrText>ADDIN CSL_CITATION {"citationItems":[{"id":"ITEM-1","itemData":{"ISSN":"1365-3156","PMID":"22035250","abstract":"OBJECTIVES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Health","id":"ITEM-1","issue":"2","issued":{"date-parts":[["2012","2"]]},"page":"161-8","title":"The role of sexually transmitted infections in the evolution of the South African HIV epidemic.","type":"article-journal","volume":"17"},"uris":["http://www.mendeley.com/documents/?uuid=0e1ea8f2-849f-41da-864c-66e864358726"]},{"id":"ITEM-2","itemData":{"ISSN":"0269-9370","PMID":"10780720","abstract":"OBJECTIVES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D","non-dropping-particle":"","parse-names":false,"suffix":""}],"container-title":"AIDS","id":"ITEM-2","issue":"5","issued":{"date-parts":[["2000","3"]]},"page":"573-93","title":"Model-based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b518b616-8d4c-4be2-b73f-161ab815c250"]},{"id":"ITEM-3","itemData":{"ISSN":"1386-9620","PMID":"18074967","abstract":"Contact tracing (also known as partner notification) is a primary means of controlling infectious diseases such as tuberculosis (TB), human immunodeficiency virus (HIV), and sexually transmitted diseases (STDs). However, little work has been done to determine the optimal level of investment in contact tracing. In this paper, we present a methodology for evaluating the appropriate level of investment in contact tracing. We develop and apply a simulation model of contact tracing and the spread of an infectious disease among a network of individuals in order to evaluate the cost and effectiveness of different levels of contact tracing. We show that contact tracing is likely to have diminishing returns to scale in investment: incremental investments in contact tracing yield diminishing reductions in disease prevalence. In conjunction with a cost-effectiveness threshold, we then determine the optimal amount that should be invested in contact tracing. We first assume that the only incremental disease control is contact tracing. We then extend the analysis to consider the optimal allocation of a budget between contact tracing and screening for exogenous infection, and between contact tracing and screening for endogenous infection. We discuss how a simulation model of this type, appropriately tailored, could be used as a policy tool for determining the appropriate level of investment in contact tracing for a specific disease in a specific population. We present an example application to contact tracing for chlamydia control.","author":[{"dropping-particle":"","family":"Armbruster","given":"Benjamin","non-dropping-particle":"","parse-names":false,"suffix":""},{"dropping-particle":"","family":"Brandeau","given":"Margaret L","non-dropping-particle":"","parse-names":false,"suffix":""}],"container-title":"Health Care Manag Sci","id":"ITEM-3","issue":"4","issued":{"date-parts":[["2007","12"]]},"page":"341-55","title":"Contact tracing to control infectious disease: when enough is enough.","type":"article-journal","volume":"10"},"uris":["http://www.mendeley.com/documents/?uuid=a259d1eb-ded8-4212-8b42-2d47ef69c8b6","http://www.mendeley.com/documents/?uuid=08bf6bbf-3be1-350b-81e0-dff9e63bc8e7","http://www.mendeley.com/documents/?uuid=21d1fe76-5293-4cbf-a74d-34826f9c3a97"]},{"id":"ITEM-4","itemData":{"ISSN":"0264410X","abstract":"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(10–100%) and duration of protection (2.5–20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people.","author":[{"dropping-particle":"","family":"Craig","given":"Andrew P.","non-dropping-particle":"","parse-names":false,"suffix":""},{"dropping-particle":"","family":"Gray","given":"Richard T.","non-dropping-particle":"","parse-names":false,"suffix":""},{"dropping-particle":"","family":"Edwards","given":"Jennifer L.","non-dropping-particle":"","parse-names":false,"suffix":""},{"dropping-particle":"","family":"Apicella","given":"Michael A.","non-dropping-particle":"","parse-names":false,"suffix":""},{"dropping-particle":"","family":"Jennings","given":"Michael P.","non-dropping-particle":"","parse-names":false,"suffix":""},{"dropping-particle":"","family":"Wilson","given":"David P.","non-dropping-particle":"","parse-names":false,"suffix":""},{"dropping-particle":"","family":"Seib","given":"Kate L.","non-dropping-particle":"","parse-names":false,"suffix":""}],"container-title":"Vaccine","id":"ITEM-4","issue":"36","issued":{"date-parts":[["2015"]]},"page":"4520-4525","title":"The potential impact of vaccination on the prevalence of gonorrhea","type":"article-journal","volume":"33"},"uris":["http://www.mendeley.com/documents/?uuid=f7ca839a-9977-4bb8-9aac-adf22570110c","http://www.mendeley.com/documents/?uuid=68d9b0c6-5bf1-3557-8f4b-a46d0f1c8a01","http://www.mendeley.com/documents/?uuid=56470fa4-3a2d-4916-bb5a-ebc96aedd6aa"]},{"id":"ITEM-5","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Dis","id":"ITEM-5","issue":"10","issued":{"date-parts":[["2013","10"]]},"page":"776-83","title":"Cost-effectiveness of screening men in Maricopa County jails for chlamydia and gonorrhea to avert infections in women.","type":"article-journal","volume":"40"},"uris":["http://www.mendeley.com/documents/?uuid=ffb1178c-a6e8-4076-8f5b-4bfe4e98d860"]},{"id":"ITEM-6","itemData":{"ISSN":"1932-6203","PMID":"26181042","abstract":"BACKGROUND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AMR.","author":[{"dropping-particle":"","family":"Hui","given":"Ben B","non-dropping-particle":"","parse-names":false,"suffix":""},{"dropping-particle":"","family":"Ryder","given":"Nathan","non-dropping-particle":"","parse-names":false,"suffix":""},{"dropping-particle":"","family":"Su","given":"Jiunn-Yih","non-dropping-particle":"","parse-names":false,"suffix":""},{"dropping-particle":"","family":"Ward","given":"James","non-dropping-particle":"","parse-names":false,"suffix":""},{"dropping-particle":"","family":"Chen","given":"Marcus Y","non-dropping-particle":"","parse-names":false,"suffix":""},{"dropping-particle":"","family":"Donovan","given":"Basil","non-dropping-particle":"","parse-names":false,"suffix":""},{"dropping-particle":"","family":"Fairley","given":"Christopher K","non-dropping-particle":"","parse-names":false,"suffix":""},{"dropping-particle":"","family":"Guy","given":"Rebecca J","non-dropping-particle":"","parse-names":false,"suffix":""},{"dropping-particle":"","family":"Lahra","given":"Monica M","non-dropping-particle":"","parse-names":false,"suffix":""},{"dropping-particle":"","family":"Law","given":"Mathew G","non-dropping-particle":"","parse-names":false,"suffix":""},{"dropping-particle":"","family":"Whiley","given":"David M","non-dropping-particle":"","parse-names":false,"suffix":""},{"dropping-particle":"","family":"Regan","given":"David G","non-dropping-particle":"","parse-names":false,"suffix":""}],"container-title":"PLoS ONE","id":"ITEM-6","issue":"7","issued":{"date-parts":[["2015"]]},"page":"e0133202","title":"Exploring the benefits of molecular testing for gonorrhoea antibiotic resistance surveillance in remote settings","type":"article-journal","volume":"10"},"uris":["http://www.mendeley.com/documents/?uuid=853244d6-109b-48aa-ba0a-5a4ae2a51e59","http://www.mendeley.com/documents/?uuid=85aa5e13-fa6a-3558-a9cb-11a0e8643472","http://www.mendeley.com/documents/?uuid=44679961-6cce-4588-ad9f-08555995ca7c"]},{"id":"ITEM-7","itemData":{"ISSN":"1095-8541","PMID":"20670632","abstract":"An SIS/SAS model of gonorrhea transmission in a population of highly active men-having-sex-with-men (MSM) is presented in this paper to study the impact of safe behavior on the dynamics of gonorrhea prevalence. Safe behaviors may fall into two categories-prevention and self-awareness. Prevention will be modeled via consistent condom use and self-awareness via STD testing frequency. Stability conditions for the disease free equilibrium and endemic equilibrium are determined along with a complete analysis of global dynamics. The control reproductive number is used as a means for measuring the effect of changes to model parameters on the prevalence of the disease. We also find that appropriate intervention would be in the form of a multifaceted approach at overall risk reduction rather than tackling one specific control individually.","author":[{"dropping-particle":"","family":"Morin","given":"Benjamin R","non-dropping-particle":"","parse-names":false,"suffix":""},{"dropping-particle":"","family":"Medina-Rios","given":"Liana","non-dropping-particle":"","parse-names":false,"suffix":""},{"dropping-particle":"","family":"Camacho","given":"Erika T","non-dropping-particle":"","parse-names":false,"suffix":""},{"dropping-particle":"","family":"Castillo-Chavez","given":"Carlos","non-dropping-particle":"","parse-names":false,"suffix":""}],"container-title":"J Theor Biol","id":"ITEM-7","issue":"1","issued":{"date-parts":[["2010","11"]]},"page":"35-40","title":"Static behavioral effects on gonorrhea transmission dynamics in a MSM population.","type":"article-journal","volume":"267"},"uris":["http://www.mendeley.com/documents/?uuid=2d3e36cd-50b1-4c54-bdf5-595e25f2ca6d","http://www.mendeley.com/documents/?uuid=38850dea-b69a-32f5-93c4-9264082ff84f","http://www.mendeley.com/documents/?uuid=2061f037-0d6b-4650-9303-0cee1a192a38"]},{"id":"ITEM-8","itemData":{"ISSN":"1472-3263","PMID":"24273127","abstract":"OBJECTIVES To estimate the costs and benefits of clinical pathways incorporating a point of care (POC) nucleic acid amplification test (NAAT) for chlamydia and gonorrhoea in genitourinary medicine (GUM) clinics compared with standard off-site laboratory testing. METHOD We simulated 1.2 million GUM clinic attendees in England. A simulation in Microsoft Excel was developed to compare existing standard pathways of management for chlamydia and gonorrhoea with a POC NAAT. We conducted scenario analyses to evaluate the robustness of the model findings. The primary outcome was the incremental cost-effectiveness ratio. Secondary outcomes included the number of inappropriate treatments, complications and transmissions averted. RESULTS The baseline cost of using the point of POC NAAT was £103.9 million compared with £115.6 million for standard care. The POC NAAT was also associated with a small increase of 46 quality adjusted life years, making the new test both more effective and cheaper. Over 95 000 inappropriate treatments might be avoided by using a POC NAAT. Patients receive diagnosis and treatment on the same day as testing, which may also prevent 189 cases of pelvic inflammatory disease and 17 561 onward transmissions annually. DISCUSSION Replacing standard laboratory tests for chlamydia and gonorrhoea with a POC test could be cost saving and patients would benefit from more accurate diagnosis and less unnecessary treatment. Overtreatment currently accounts for about a tenth of the reported treatments for chlamydia and gonorrhoea and POC NAATs would effectively eliminate the need for presumptive treatment.","author":[{"dropping-particle":"","family":"Turner","given":"Katherine M E","non-dropping-particle":"","parse-names":false,"suffix":""},{"dropping-particle":"","family":"Round","given":"Jeff","non-dropping-particle":"","parse-names":false,"suffix":""},{"dropping-particle":"","family":"Horner","given":"Patrick","non-dropping-particle":"","parse-names":false,"suffix":""},{"dropping-particle":"","family":"Macleod","given":"John","non-dropping-particle":"","parse-names":false,"suffix":""},{"dropping-particle":"","family":"Goldenberg","given":"Simon","non-dropping-particle":"","parse-names":false,"suffix":""},{"dropping-particle":"","family":"Deol","given":"Arminder","non-dropping-particle":"","parse-names":false,"suffix":""},{"dropping-particle":"","family":"Adams","given":"Elisabeth J","non-dropping-particle":"","parse-names":false,"suffix":""}],"container-title":"Sex Transm Infect","id":"ITEM-8","issue":"2","issued":{"date-parts":[["2014","3"]]},"page":"104-11","title":"An early evaluation of clinical and economic costs and benefits of implementing point of care NAAT tests for Chlamydia trachomatis and Neisseria gonorrhoea in genitourinary medicine clinics in England.","type":"article-journal","volume":"90"},"uris":["http://www.mendeley.com/documents/?uuid=839e0394-dfc6-4cc9-a76a-47483ec8b07d","http://www.mendeley.com/documents/?uuid=a5843ce2-3049-36bd-81de-6855a2dcb6c5","http://www.mendeley.com/documents/?uuid=5ff9b4a5-7a6a-4d15-bdf9-aaa69d9618af"]},{"id":"ITEM-9","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Infect","id":"ITEM-9","issue":"3","issued":{"date-parts":[["2010","6","1"]]},"page":"169-174","title":"A Bayesian approach to uncertainty analysis of sexually transmitted infection models","type":"article-journal","volume":"86"},"uris":["http://www.mendeley.com/documents/?uuid=31e9dca7-f246-4670-9001-4c78d9774ec7"]},{"id":"ITEM-10","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Dis","id":"ITEM-10","issue":"9","issued":{"date-parts":[["2016","9"]]},"page":"542-548","title":"Cost-effectiveness of dual antimicrobial therapy for gonococcal infections among men who have sex with men in the Netherlands","type":"article-journal","volume":"43"},"uris":["http://www.mendeley.com/documents/?uuid=bef10dd7-5fdc-4432-817f-0c375883981c"]}],"mendeley":{"formattedCitation":"&lt;sup&gt;39,45,57,60,75,77,83,87,92,93&lt;/sup&gt;","plainTextFormattedCitation":"39,45,57,60,75,77,83,87,92,93","previouslyFormattedCitation":"&lt;sup&gt;39,45,57,60,75,77,83,87,92,93&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39,45,57,60,75,77,83,87,92,93</w:t>
      </w:r>
      <w:r w:rsidRPr="0024409C">
        <w:rPr>
          <w:rFonts w:ascii="Helvetica Neue" w:hAnsi="Helvetica Neue"/>
        </w:rPr>
        <w:fldChar w:fldCharType="end"/>
      </w:r>
      <w:r w:rsidRPr="0024409C">
        <w:rPr>
          <w:rFonts w:ascii="Helvetica Neue" w:hAnsi="Helvetica Neue"/>
        </w:rPr>
        <w:t xml:space="preserve"> with a lower quartile of 0.11 to 0.25</w:t>
      </w:r>
      <w:r w:rsidRPr="0024409C">
        <w:rPr>
          <w:rFonts w:ascii="Helvetica Neue" w:hAnsi="Helvetica Neue"/>
        </w:rPr>
        <w:fldChar w:fldCharType="begin" w:fldLock="1"/>
      </w:r>
      <w:r w:rsidR="00291558">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1"},"uris":["http://www.mendeley.com/documents/?uuid=7e2d643a-2494-4c7a-a5d0-ab0e53ceb072"]},{"id":"ITEM-2","itemData":{"ISSN":"1368-4973","PMID":"17012515","abstract":"BACKGROUND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author":[{"dropping-particle":"","family":"Vickerman","given":"P","non-dropping-particle":"","parse-names":false,"suffix":""},{"dropping-particle":"","family":"Watts","given":"C","non-dropping-particle":"","parse-names":false,"suffix":""},{"dropping-particle":"","family":"Peeling","given":"R W","non-dropping-particle":"","parse-names":false,"suffix":""},{"dropping-particle":"","family":"Mabey","given":"D","non-dropping-particle":"","parse-names":false,"suffix":""},{"dropping-particle":"","family":"Alary","given":"M","non-dropping-particle":"","parse-names":false,"suffix":""}],"container-title":"Sex Transm Infect","id":"ITEM-2","issue":"5","issued":{"date-parts":[["2006","10"]]},"page":"403-12","title":"Modelling the cost effectiveness of rapid point of care diagnostic tests for the control of HIV and other sexually transmitted infections among female sex workers.","type":"article-journal","volume":"82"},"uris":["http://www.mendeley.com/documents/?uuid=34653315-add2-4125-a9d5-d49b26f46065"]},{"id":"ITEM-3","itemData":{"DOI":"10.1097/OLQ.0b013e31822e9192","ISSN":"1537-4521","PMID":"21992986","abstract":"BACKGROUND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≥32% to 37% of male index patients' female partners or ≥29%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payer.","author":[{"dropping-particle":"","family":"Gift","given":"Thomas L","non-dropping-particle":"","parse-names":false,"suffix":""},{"dropping-particle":"","family":"Kissinger","given":"Patricia","non-dropping-particle":"","parse-names":false,"suffix":""},{"dropping-particle":"","family":"Mohammed","given":"Hamish","non-dropping-particle":"","parse-names":false,"suffix":""},{"dropping-particle":"","family":"Leichliter","given":"Jami S","non-dropping-particle":"","parse-names":false,"suffix":""},{"dropping-particle":"","family":"Hogben","given":"Matthew","non-dropping-particle":"","parse-names":false,"suffix":""},{"dropping-particle":"","family":"Golden","given":"Matthew R","non-dropping-particle":"","parse-names":false,"suffix":""}],"container-title":"Sexually transmitted diseases","id":"ITEM-3","issue":"11","issued":{"date-parts":[["2011","11"]]},"page":"1067-73","title":"The cost and cost-effectiveness of expedited partner therapy compared with standard partner referral for the treatment of chlamydia or gonorrhea.","type":"article-journal","volume":"38"},"uris":["http://www.mendeley.com/documents/?uuid=4eeec641-58bf-3a80-9d3e-c5d6d9b87eb4"]},{"id":"ITEM-4","itemData":{"ISSN":"1742-5662","PMID":"25808340","abstract":"Neisseria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Interface","id":"ITEM-4","issue":"106","issued":{"date-parts":[["2015"]]},"page":"20150067","title":"An anthropologically based model of the impact of asymptomatic cases on the spread of Neisseria gonorrhoeae.","type":"article-journal","volume":"12"},"uris":["http://www.mendeley.com/documents/?uuid=80f6739b-9b41-4722-bd93-001e23ac65df","http://www.mendeley.com/documents/?uuid=1bdee7b1-90d9-34ba-9adf-8d5afad96b0e","http://www.mendeley.com/documents/?uuid=17c0e1e3-adb7-482c-8972-1dfd064ca54b"]}],"mendeley":{"formattedCitation":"&lt;sup&gt;48,54,82,97&lt;/sup&gt;","plainTextFormattedCitation":"48,54,82,97","previouslyFormattedCitation":"&lt;sup&gt;48,54,82,97&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48,54,82,97</w:t>
      </w:r>
      <w:r w:rsidRPr="0024409C">
        <w:rPr>
          <w:rFonts w:ascii="Helvetica Neue" w:hAnsi="Helvetica Neue"/>
        </w:rPr>
        <w:fldChar w:fldCharType="end"/>
      </w:r>
      <w:r w:rsidRPr="0024409C">
        <w:rPr>
          <w:rFonts w:ascii="Helvetica Neue" w:hAnsi="Helvetica Neue"/>
        </w:rPr>
        <w:t xml:space="preserve"> with a sizable group of estimates between 0.9 to 0.95.</w:t>
      </w:r>
      <w:r w:rsidRPr="0024409C">
        <w:rPr>
          <w:rFonts w:ascii="Helvetica Neue" w:hAnsi="Helvetica Neue"/>
        </w:rPr>
        <w:fldChar w:fldCharType="begin" w:fldLock="1"/>
      </w:r>
      <w:r w:rsidR="00291558">
        <w:rPr>
          <w:rFonts w:ascii="Helvetica Neue" w:hAnsi="Helvetica Neue"/>
        </w:rPr>
        <w:instrText>ADDIN CSL_CITATION {"citationItems":[{"id":"ITEM-1","itemData":{"ISSN":"0022-1899","PMID":"16088832","abstract":"Prompt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health.","author":[{"dropping-particle":"","family":"White","given":"Peter J","non-dropping-particle":"","parse-names":false,"suffix":""},{"dropping-particle":"","family":"Ward","given":"Helen","non-dropping-particle":"","parse-names":false,"suffix":""},{"dropping-particle":"","family":"Cassell","given":"Jackie A","non-dropping-particle":"","parse-names":false,"suffix":""},{"dropping-particle":"","family":"Mercer","given":"Catherine H","non-dropping-particle":"","parse-names":false,"suffix":""},{"dropping-particle":"","family":"Garnett","given":"Geoff P","non-dropping-particle":"","parse-names":false,"suffix":""}],"container-title":"J Inf Dis","id":"ITEM-1","issue":"5","issued":{"date-parts":[["2005","9"]]},"page":"824-36","title":"Vicious and virtuous circles in the dynamics of infectious disease and the provision of health care: gonorrhea in Britain as an example.","type":"article-journal","volume":"192"},"uris":["http://www.mendeley.com/documents/?uuid=0b14f72c-4310-3a51-9740-8acbb798132f","http://www.mendeley.com/documents/?uuid=2f38a072-ac48-434b-9215-817a45c054f4"]},{"id":"ITEM-2","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Sci","id":"ITEM-2","issue":"1384","issued":{"date-parts":[["1999","4"]]},"page":"787-97","title":"The transmission dynamics of gonorrhoea: modelling the reported behaviour of infected patients from Newark, New Jersey.","type":"article-journal","volume":"354"},"uris":["http://www.mendeley.com/documents/?uuid=a0924c6a-947c-4c24-a77d-49f8d1ee76f0","http://www.mendeley.com/documents/?uuid=0e7600dd-68c6-3779-a988-e44f217aaaf2"]},{"id":"ITEM-3","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Dis","id":"ITEM-3","issued":{"date-parts":[["2013"]]},"page":"188","title":"Population movement can sustain STI prevalence in remote Australian indigenous communities.","type":"article-journal","volume":"13"},"uris":["http://www.mendeley.com/documents/?uuid=439c8ade-8864-4f5e-9dff-966b3d367e00"]},{"id":"ITEM-4","itemData":{"ISSN":"0002-9262","PMID":"8686700","abstract":"A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Epidemiol","id":"ITEM-4","issue":"3","issued":{"date-parts":[["1996","8"]]},"page":"306-17","title":"Modeling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dcd54a91-e010-4404-92c6-d7d7aa9c95bf"]},{"id":"ITEM-5","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Dis","id":"ITEM-5","issue":"2 Suppl","issued":{"date-parts":[["2009","2"]]},"page":"S41-8","title":"Preventing sexually transmitted infections among incarcerated men who have sex with men: a cost-effectiveness analysis.","type":"article-journal","volume":"36"},"uris":["http://www.mendeley.com/documents/?uuid=99e32213-3087-4c26-aa3a-0cb6b7d6e381"]}],"mendeley":{"formattedCitation":"&lt;sup&gt;53,67,72,90,99&lt;/sup&gt;","plainTextFormattedCitation":"53,67,72,90,99","previouslyFormattedCitation":"&lt;sup&gt;53,67,72,90,99&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53,67,72,90,99</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differentiated between the probability of symptoms of urethral and rectal NG infections in MSM, estimating a nearly 6-fold increase in the likelihood of symptoms (0.90 versus 0.16) at the urethral site. The proportion symptomatic in males tends to be increased 1.5–3 fold over the same proportion in women for NG.</w:t>
      </w:r>
      <w:r w:rsidRPr="0024409C">
        <w:rPr>
          <w:rFonts w:ascii="Helvetica Neue" w:hAnsi="Helvetica Neue"/>
        </w:rPr>
        <w:fldChar w:fldCharType="begin" w:fldLock="1"/>
      </w:r>
      <w:r w:rsidR="00291558">
        <w:rPr>
          <w:rFonts w:ascii="Helvetica Neue" w:hAnsi="Helvetica Neue"/>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Health","id":"ITEM-2","issue":"2","issued":{"date-parts":[["2012","2"]]},"page":"161-8","title":"The role of sexually transmitted infections in the evolution of the South African HIV epidemic.","type":"article-journal","volume":"17"},"uris":["http://www.mendeley.com/documents/?uuid=0e1ea8f2-849f-41da-864c-66e864358726"]},{"id":"ITEM-3","itemData":{"ISSN":"0269-9370","PMID":"10780720","abstract":"OBJECTIVES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D","non-dropping-particle":"","parse-names":false,"suffix":""}],"container-title":"AIDS","id":"ITEM-3","issue":"5","issued":{"date-parts":[["2000","3"]]},"page":"573-93","title":"Model-based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e0572282-216e-4770-9495-4f107cf36e97"]},{"id":"ITEM-4","itemData":{"ISSN":"0264410X","abstract":"Gonorrhea, one of the most common sexually transmitted infections worldwide, can lead to serious sequelae, including infertility and increased HIV transmission. Recently, untreatable, multidrug-resistant Neisseria gonorrhoeae strains have been reported. In the absence of new antibiotics, and given the speed with which resistance has emerged to all previously used antibiotics, development of a vaccine would be the ideal solution to this public health emergency. Understanding the desired characteristics, target population, and expected impact of an anti-gonococcal vaccine is essential to facilitate vaccine design, assessment and implementation. The modeling presented herein aims to fill these conceptual gaps, and inform future gonococcal vaccine development. Using an individual-based, epidemiological simulation model, gonococcal prevalence was simulated in a heterosexual population of 100,000 individuals after the introduction of vaccines with varied efficacy (10–100%) and duration of protection (2.5–20 years). Model simulations predict that gonococcal prevalence could be reduced by at least 90% after 20 years, if all 13-year-olds were given a non-waning vaccine with 50% efficacy, or a vaccine with 100% efficacy that wanes after 7.5 years. A 40% reduction in prevalence is achievable with a non-waning vaccine of only 20% efficacy. We conclude that a vaccine of moderate efficacy and duration could have a substantive impact on gonococcal prevalence, and disease sequelae, if coverage is high and protection lasts over the highest risk period (i.e., most sexual partner change) among young people.","author":[{"dropping-particle":"","family":"Craig","given":"Andrew P.","non-dropping-particle":"","parse-names":false,"suffix":""},{"dropping-particle":"","family":"Gray","given":"Richard T.","non-dropping-particle":"","parse-names":false,"suffix":""},{"dropping-particle":"","family":"Edwards","given":"Jennifer L.","non-dropping-particle":"","parse-names":false,"suffix":""},{"dropping-particle":"","family":"Apicella","given":"Michael A.","non-dropping-particle":"","parse-names":false,"suffix":""},{"dropping-particle":"","family":"Jennings","given":"Michael P.","non-dropping-particle":"","parse-names":false,"suffix":""},{"dropping-particle":"","family":"Wilson","given":"David P.","non-dropping-particle":"","parse-names":false,"suffix":""},{"dropping-particle":"","family":"Seib","given":"Kate L.","non-dropping-particle":"","parse-names":false,"suffix":""}],"container-title":"Vaccine","id":"ITEM-4","issue":"36","issued":{"date-parts":[["2015"]]},"page":"4520-4525","title":"The potential impact of vaccination on the prevalence of gonorrhea","type":"article-journal","volume":"33"},"uris":["http://www.mendeley.com/documents/?uuid=f7ca839a-9977-4bb8-9aac-adf22570110c","http://www.mendeley.com/documents/?uuid=68d9b0c6-5bf1-3557-8f4b-a46d0f1c8a01","http://www.mendeley.com/documents/?uuid=c8cc1e9b-0da5-4003-a671-2a62f4934c0f"]},{"id":"ITEM-5","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Sci","id":"ITEM-5","issue":"1384","issued":{"date-parts":[["1999","4"]]},"page":"787-97","title":"The transmission dynamics of gonorrhoea: modelling the reported behaviour of infected patients from Newark, New Jersey.","type":"article-journal","volume":"354"},"uris":["http://www.mendeley.com/documents/?uuid=a0924c6a-947c-4c24-a77d-49f8d1ee76f0","http://www.mendeley.com/documents/?uuid=0e7600dd-68c6-3779-a988-e44f217aaaf2","http://www.mendeley.com/documents/?uuid=97994c86-934a-43ce-b175-7c6303318d1f"]},{"id":"ITEM-6","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Interface","id":"ITEM-6","issue":"106","issued":{"date-parts":[["2015"]]},"page":"20150067","title":"An anthropologically based model of the impact of asymptomatic cases on the spread of Neisseria gonorrhoeae.","type":"article-journal","volume":"12"},"uris":["http://www.mendeley.com/documents/?uuid=80f6739b-9b41-4722-bd93-001e23ac65df","http://www.mendeley.com/documents/?uuid=1bdee7b1-90d9-34ba-9adf-8d5afad96b0e","http://www.mendeley.com/documents/?uuid=8f070df8-e8f4-4469-ad79-fd8d8906d556"]},{"id":"ITEM-7","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Dis","id":"ITEM-7","issued":{"date-parts":[["2013"]]},"page":"188","title":"Population movement can sustain STI prevalence in remote Australian indigenous communities.","type":"article-journal","volume":"13"},"uris":["http://www.mendeley.com/documents/?uuid=439c8ade-8864-4f5e-9dff-966b3d367e00"]},{"id":"ITEM-8","itemData":{"ISSN":"1932-6203","PMID":"26181042","abstract":"BACKGROUND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AMR.","author":[{"dropping-particle":"","family":"Hui","given":"Ben B","non-dropping-particle":"","parse-names":false,"suffix":""},{"dropping-particle":"","family":"Ryder","given":"Nathan","non-dropping-particle":"","parse-names":false,"suffix":""},{"dropping-particle":"","family":"Su","given":"Jiunn-Yih","non-dropping-particle":"","parse-names":false,"suffix":""},{"dropping-particle":"","family":"Ward","given":"James","non-dropping-particle":"","parse-names":false,"suffix":""},{"dropping-particle":"","family":"Chen","given":"Marcus Y","non-dropping-particle":"","parse-names":false,"suffix":""},{"dropping-particle":"","family":"Donovan","given":"Basil","non-dropping-particle":"","parse-names":false,"suffix":""},{"dropping-particle":"","family":"Fairley","given":"Christopher K","non-dropping-particle":"","parse-names":false,"suffix":""},{"dropping-particle":"","family":"Guy","given":"Rebecca J","non-dropping-particle":"","parse-names":false,"suffix":""},{"dropping-particle":"","family":"Lahra","given":"Monica M","non-dropping-particle":"","parse-names":false,"suffix":""},{"dropping-particle":"","family":"Law","given":"Mathew G","non-dropping-particle":"","parse-names":false,"suffix":""},{"dropping-particle":"","family":"Whiley","given":"David M","non-dropping-particle":"","parse-names":false,"suffix":""},{"dropping-particle":"","family":"Regan","given":"David G","non-dropping-particle":"","parse-names":false,"suffix":""}],"container-title":"PLoS ONE","id":"ITEM-8","issue":"7","issued":{"date-parts":[["2015"]]},"page":"e0133202","title":"Exploring the benefits of molecular testing for gonorrhoea antibiotic resistance surveillance in remote settings","type":"article-journal","volume":"10"},"uris":["http://www.mendeley.com/documents/?uuid=853244d6-109b-48aa-ba0a-5a4ae2a51e59","http://www.mendeley.com/documents/?uuid=85aa5e13-fa6a-3558-a9cb-11a0e8643472","http://www.mendeley.com/documents/?uuid=9a4b598e-20ec-4d5d-a462-f2e3a81fc462"]},{"id":"ITEM-9","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Epidemiol","id":"ITEM-9","issue":"3","issued":{"date-parts":[["1996","8"]]},"page":"306-17","title":"Modeling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701ed559-3fe1-4d32-b05d-3d12786099f1"]},{"id":"ITEM-10","itemData":{"ISSN":"0022-1899","PMID":"16088832","abstract":"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health.","author":[{"dropping-particle":"","family":"White","given":"Peter J","non-dropping-particle":"","parse-names":false,"suffix":""},{"dropping-particle":"","family":"Ward","given":"Helen","non-dropping-particle":"","parse-names":false,"suffix":""},{"dropping-particle":"","family":"Cassell","given":"Jackie A","non-dropping-particle":"","parse-names":false,"suffix":""},{"dropping-particle":"","family":"Mercer","given":"Catherine H","non-dropping-particle":"","parse-names":false,"suffix":""},{"dropping-particle":"","family":"Garnett","given":"Geoff P","non-dropping-particle":"","parse-names":false,"suffix":""}],"container-title":"J Inf Dis","id":"ITEM-10","issue":"5","issued":{"date-parts":[["2005","9"]]},"page":"824-36","title":"Vicious and virtuous circles in the dynamics of infectious disease and the provision of health care: gonorrhea in Britain as an example.","type":"article-journal","volume":"192"},"uris":["http://www.mendeley.com/documents/?uuid=2f38a072-ac48-434b-9215-817a45c054f4","http://www.mendeley.com/documents/?uuid=0b14f72c-4310-3a51-9740-8acbb798132f","http://www.mendeley.com/documents/?uuid=0e83d243-5089-464e-9bbe-35cb316d7341"]},{"id":"ITEM-11","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Infect","id":"ITEM-11","issue":"3","issued":{"date-parts":[["2010","6","1"]]},"page":"169-174","title":"A Bayesian approach to uncertainty analysis of sexually transmitted infection models","type":"article-journal","volume":"86"},"uris":["http://www.mendeley.com/documents/?uuid=31e9dca7-f246-4670-9001-4c78d9774ec7"]}],"mendeley":{"formattedCitation":"&lt;sup&gt;39,45,53,54,67,75,82,83,87,90,99&lt;/sup&gt;","plainTextFormattedCitation":"39,45,53,54,67,75,82,83,87,90,99","previouslyFormattedCitation":"&lt;sup&gt;39,45,53,54,67,75,82,83,87,90,99&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39,45,53,54,67,75,82,83,87,90,99</w:t>
      </w:r>
      <w:r w:rsidRPr="0024409C">
        <w:rPr>
          <w:rFonts w:ascii="Helvetica Neue" w:hAnsi="Helvetica Neue"/>
        </w:rPr>
        <w:fldChar w:fldCharType="end"/>
      </w:r>
      <w:r w:rsidRPr="0024409C">
        <w:rPr>
          <w:rFonts w:ascii="Helvetica Neue" w:hAnsi="Helvetica Neue"/>
        </w:rPr>
        <w:t xml:space="preserve"> </w:t>
      </w:r>
      <w:r w:rsidR="001002FC" w:rsidRPr="0024409C">
        <w:rPr>
          <w:rFonts w:ascii="Helvetica Neue" w:hAnsi="Helvetica Neue"/>
        </w:rPr>
        <w:t>In our prior STI model</w:t>
      </w:r>
      <w:r w:rsidR="001002FC" w:rsidRPr="0024409C">
        <w:rPr>
          <w:rFonts w:ascii="Helvetica Neue" w:hAnsi="Helvetica Neue"/>
        </w:rPr>
        <w:fldChar w:fldCharType="begin" w:fldLock="1"/>
      </w:r>
      <w:r w:rsidR="00665BF2">
        <w:rPr>
          <w:rFonts w:ascii="Helvetica Neue" w:hAnsi="Helvetica Neue"/>
        </w:rPr>
        <w:instrText>ADDIN CSL_CITATION {"citationItems":[{"id":"ITEM-1","itemData":{"ISSN":"1058-4838","PMID":"28505240","abstract":"Background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Diseases","id":"ITEM-1","issue":"5","issued":{"date-parts":[["2017","5","13"]]},"page":"712-718","title":"Incidence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5&lt;/sup&gt;","plainTextFormattedCitation":"5","previouslyFormattedCitation":"&lt;sup&gt;5&lt;/sup&gt;"},"properties":{"noteIndex":0},"schema":"https://github.com/citation-style-language/schema/raw/master/csl-citation.json"}</w:instrText>
      </w:r>
      <w:r w:rsidR="001002FC" w:rsidRPr="0024409C">
        <w:rPr>
          <w:rFonts w:ascii="Helvetica Neue" w:hAnsi="Helvetica Neue"/>
        </w:rPr>
        <w:fldChar w:fldCharType="separate"/>
      </w:r>
      <w:r w:rsidR="001002FC" w:rsidRPr="0024409C">
        <w:rPr>
          <w:rFonts w:ascii="Helvetica Neue" w:hAnsi="Helvetica Neue"/>
          <w:noProof/>
          <w:vertAlign w:val="superscript"/>
        </w:rPr>
        <w:t>5</w:t>
      </w:r>
      <w:r w:rsidR="001002FC" w:rsidRPr="0024409C">
        <w:rPr>
          <w:rFonts w:ascii="Helvetica Neue" w:hAnsi="Helvetica Neue"/>
        </w:rPr>
        <w:fldChar w:fldCharType="end"/>
      </w:r>
      <w:r w:rsidR="001002FC" w:rsidRPr="0024409C">
        <w:rPr>
          <w:rFonts w:ascii="Helvetica Neue" w:hAnsi="Helvetica Neue"/>
        </w:rPr>
        <w:t>, we used a Bayesian approach to address uncertainty, e</w:t>
      </w:r>
      <w:r w:rsidRPr="0024409C">
        <w:rPr>
          <w:rFonts w:ascii="Helvetica Neue" w:hAnsi="Helvetica Neue"/>
        </w:rPr>
        <w:t>stablish</w:t>
      </w:r>
      <w:r w:rsidR="001002FC" w:rsidRPr="0024409C">
        <w:rPr>
          <w:rFonts w:ascii="Helvetica Neue" w:hAnsi="Helvetica Neue"/>
        </w:rPr>
        <w:t>ing</w:t>
      </w:r>
      <w:r w:rsidRPr="0024409C">
        <w:rPr>
          <w:rFonts w:ascii="Helvetica Neue" w:hAnsi="Helvetica Neue"/>
        </w:rPr>
        <w:t xml:space="preserve"> a </w:t>
      </w:r>
      <w:r w:rsidRPr="0024409C">
        <w:rPr>
          <w:rFonts w:ascii="Helvetica Neue" w:hAnsi="Helvetica Neue"/>
        </w:rPr>
        <w:lastRenderedPageBreak/>
        <w:t xml:space="preserve">prior distribution of 0.01–0.15 for the probability that a rectal NG infection would be symptomatic, and a distribution of 0.60–0.95 for the probability that a urethral NG infection. </w:t>
      </w:r>
      <w:r w:rsidR="001002FC" w:rsidRPr="0024409C">
        <w:rPr>
          <w:rFonts w:ascii="Helvetica Neue" w:hAnsi="Helvetica Neue"/>
        </w:rPr>
        <w:t xml:space="preserve">These generated </w:t>
      </w:r>
      <w:r w:rsidRPr="0024409C">
        <w:rPr>
          <w:rFonts w:ascii="Helvetica Neue" w:hAnsi="Helvetica Neue"/>
        </w:rPr>
        <w:t xml:space="preserve">posterior values </w:t>
      </w:r>
      <w:r w:rsidR="001002FC" w:rsidRPr="0024409C">
        <w:rPr>
          <w:rFonts w:ascii="Helvetica Neue" w:hAnsi="Helvetica Neue"/>
        </w:rPr>
        <w:t>of</w:t>
      </w:r>
      <w:r w:rsidRPr="0024409C">
        <w:rPr>
          <w:rFonts w:ascii="Helvetica Neue" w:hAnsi="Helvetica Neue"/>
        </w:rPr>
        <w:t xml:space="preserve"> 0.0770 for the probability of symptomatic rectal NG, and 0.8244 for the probability of symptomatic urethral NG. As with CT, these reflect an increased likelihood of symptomatic urethral infection, which could be due to easier detection at a urethral site.</w:t>
      </w:r>
      <w:r w:rsidR="001002FC" w:rsidRPr="0024409C">
        <w:rPr>
          <w:rFonts w:ascii="Helvetica Neue" w:hAnsi="Helvetica Neue"/>
        </w:rPr>
        <w:t xml:space="preserve"> </w:t>
      </w:r>
      <w:r w:rsidR="00AB7DF1" w:rsidRPr="0024409C">
        <w:rPr>
          <w:rFonts w:ascii="Helvetica Neue" w:hAnsi="Helvetica Neue"/>
        </w:rPr>
        <w:t>For this model, however, we reverted to the Beck values of 0.16 for the probability of symptom</w:t>
      </w:r>
      <w:r w:rsidR="00AB7DF1">
        <w:rPr>
          <w:rFonts w:ascii="Helvetica Neue" w:hAnsi="Helvetica Neue"/>
        </w:rPr>
        <w:t>atic rectal NG infection and 0.8</w:t>
      </w:r>
      <w:r w:rsidR="00AB7DF1" w:rsidRPr="0024409C">
        <w:rPr>
          <w:rFonts w:ascii="Helvetica Neue" w:hAnsi="Helvetica Neue"/>
        </w:rPr>
        <w:t>0 for the probability of symptomatic urethral NG infection</w:t>
      </w:r>
      <w:r w:rsidR="00AB7DF1">
        <w:rPr>
          <w:rFonts w:ascii="Helvetica Neue" w:hAnsi="Helvetica Neue"/>
        </w:rPr>
        <w:t xml:space="preserve"> (the Beck value subtracting a correction of 0.10 to account for references focusing on participants attending STD clinics)</w:t>
      </w:r>
      <w:r w:rsidR="00AB7DF1" w:rsidRPr="0024409C">
        <w:rPr>
          <w:rFonts w:ascii="Helvetica Neue" w:hAnsi="Helvetica Neue"/>
        </w:rPr>
        <w:t>, increasing the probability of symptoms at a rectal site but decreasing the probability of symptoms at a urethral site.</w:t>
      </w:r>
    </w:p>
    <w:p w14:paraId="4937449C" w14:textId="6FF326B6" w:rsidR="00EA384A" w:rsidRPr="0024409C" w:rsidRDefault="00273CDD" w:rsidP="000B56F8">
      <w:pPr>
        <w:pStyle w:val="Heading1"/>
        <w:spacing w:before="300"/>
        <w:rPr>
          <w:rFonts w:ascii="Helvetica Neue" w:hAnsi="Helvetica Neue"/>
        </w:rPr>
      </w:pPr>
      <w:bookmarkStart w:id="44" w:name="_Toc466401465"/>
      <w:bookmarkStart w:id="45" w:name="_Toc2361395"/>
      <w:r w:rsidRPr="0024409C">
        <w:rPr>
          <w:rFonts w:ascii="Helvetica Neue" w:hAnsi="Helvetica Neue"/>
        </w:rPr>
        <w:t>10</w:t>
      </w:r>
      <w:r w:rsidR="00EA384A" w:rsidRPr="0024409C">
        <w:rPr>
          <w:rFonts w:ascii="Helvetica Neue" w:hAnsi="Helvetica Neue"/>
        </w:rPr>
        <w:t xml:space="preserve"> </w:t>
      </w:r>
      <w:r w:rsidR="00EA384A" w:rsidRPr="0024409C">
        <w:rPr>
          <w:rFonts w:ascii="Helvetica Neue" w:hAnsi="Helvetica Neue"/>
        </w:rPr>
        <w:tab/>
        <w:t xml:space="preserve">STI </w:t>
      </w:r>
      <w:r w:rsidR="00A10467">
        <w:rPr>
          <w:rFonts w:ascii="Helvetica Neue" w:hAnsi="Helvetica Neue"/>
        </w:rPr>
        <w:t xml:space="preserve">DURATION AND </w:t>
      </w:r>
      <w:r w:rsidR="00EA384A" w:rsidRPr="0024409C">
        <w:rPr>
          <w:rFonts w:ascii="Helvetica Neue" w:hAnsi="Helvetica Neue"/>
        </w:rPr>
        <w:t>RECOVERY</w:t>
      </w:r>
      <w:bookmarkEnd w:id="44"/>
      <w:bookmarkEnd w:id="45"/>
    </w:p>
    <w:p w14:paraId="684FE5F8" w14:textId="46E2B71A" w:rsidR="00EA384A" w:rsidRPr="0024409C" w:rsidRDefault="000B56F8" w:rsidP="000B56F8">
      <w:pPr>
        <w:spacing w:line="360" w:lineRule="auto"/>
        <w:rPr>
          <w:rFonts w:ascii="Helvetica Neue" w:hAnsi="Helvetica Neue"/>
        </w:rPr>
      </w:pPr>
      <w:r w:rsidRPr="0024409C">
        <w:rPr>
          <w:rFonts w:ascii="Helvetica Neue" w:hAnsi="Helvetica Neue"/>
        </w:rPr>
        <w:t>We modeled recovery from NG</w:t>
      </w:r>
      <w:r w:rsidR="00547C8D">
        <w:rPr>
          <w:rFonts w:ascii="Helvetica Neue" w:hAnsi="Helvetica Neue"/>
        </w:rPr>
        <w:t xml:space="preserve"> or</w:t>
      </w:r>
      <w:r w:rsidR="00547C8D" w:rsidRPr="0024409C">
        <w:rPr>
          <w:rFonts w:ascii="Helvetica Neue" w:hAnsi="Helvetica Neue"/>
        </w:rPr>
        <w:t xml:space="preserve"> </w:t>
      </w:r>
      <w:r w:rsidR="00EA384A" w:rsidRPr="0024409C">
        <w:rPr>
          <w:rFonts w:ascii="Helvetica Neue" w:hAnsi="Helvetica Neue"/>
        </w:rPr>
        <w:t xml:space="preserve">CT according to whether men were treated for their infection. Recovery from infection back to susceptibility </w:t>
      </w:r>
      <w:r w:rsidR="00676107" w:rsidRPr="0024409C">
        <w:rPr>
          <w:rFonts w:ascii="Helvetica Neue" w:hAnsi="Helvetica Neue"/>
        </w:rPr>
        <w:t>could</w:t>
      </w:r>
      <w:r w:rsidR="00EA384A" w:rsidRPr="0024409C">
        <w:rPr>
          <w:rFonts w:ascii="Helvetica Neue" w:hAnsi="Helvetica Neue"/>
        </w:rPr>
        <w:t xml:space="preserve"> occur through natural clearance of each infection or through effective antibiotic treatm</w:t>
      </w:r>
      <w:r w:rsidR="0090720B" w:rsidRPr="0024409C">
        <w:rPr>
          <w:rFonts w:ascii="Helvetica Neue" w:hAnsi="Helvetica Neue"/>
        </w:rPr>
        <w:t xml:space="preserve">ent. </w:t>
      </w:r>
      <w:r w:rsidR="00DF36B2" w:rsidRPr="0024409C">
        <w:rPr>
          <w:rFonts w:ascii="Helvetica Neue" w:hAnsi="Helvetica Neue"/>
        </w:rPr>
        <w:t>Recovery from untreated NG</w:t>
      </w:r>
      <w:r w:rsidR="005451D3">
        <w:rPr>
          <w:rFonts w:ascii="Helvetica Neue" w:hAnsi="Helvetica Neue"/>
        </w:rPr>
        <w:t xml:space="preserve"> or</w:t>
      </w:r>
      <w:r w:rsidR="005451D3" w:rsidRPr="0024409C">
        <w:rPr>
          <w:rFonts w:ascii="Helvetica Neue" w:hAnsi="Helvetica Neue"/>
        </w:rPr>
        <w:t xml:space="preserve"> </w:t>
      </w:r>
      <w:r w:rsidR="00DF36B2" w:rsidRPr="0024409C">
        <w:rPr>
          <w:rFonts w:ascii="Helvetica Neue" w:hAnsi="Helvetica Neue"/>
        </w:rPr>
        <w:t xml:space="preserve">CT infection was simulated as a stochastic process among those whose infection, whether symptomatic or asymptomatic, had been present for </w:t>
      </w:r>
      <w:proofErr w:type="gramStart"/>
      <w:r w:rsidR="00DF36B2" w:rsidRPr="0024409C">
        <w:rPr>
          <w:rFonts w:ascii="Helvetica Neue" w:hAnsi="Helvetica Neue"/>
        </w:rPr>
        <w:t>a duration</w:t>
      </w:r>
      <w:proofErr w:type="gramEnd"/>
      <w:r w:rsidR="00DF36B2" w:rsidRPr="0024409C">
        <w:rPr>
          <w:rFonts w:ascii="Helvetica Neue" w:hAnsi="Helvetica Neue"/>
        </w:rPr>
        <w:t xml:space="preserve"> of time greater than the natural history of asymptomatic infection</w:t>
      </w:r>
      <w:r w:rsidR="00140FAC">
        <w:rPr>
          <w:rFonts w:ascii="Helvetica Neue" w:hAnsi="Helvetica Neue"/>
        </w:rPr>
        <w:t>.</w:t>
      </w:r>
      <w:r w:rsidR="00EA384A" w:rsidRPr="0024409C">
        <w:rPr>
          <w:rFonts w:ascii="Helvetica Neue" w:hAnsi="Helvetica Neue"/>
        </w:rPr>
        <w:t xml:space="preserve"> The probability of recovery per time-step for symptomatic and asymptomatic untreated infection was the reciprocal of the duration of infection. Recovery</w:t>
      </w:r>
      <w:r w:rsidR="00C91431" w:rsidRPr="0024409C">
        <w:rPr>
          <w:rFonts w:ascii="Helvetica Neue" w:hAnsi="Helvetica Neue"/>
        </w:rPr>
        <w:t xml:space="preserve"> from treated NG</w:t>
      </w:r>
      <w:r w:rsidR="00140FAC">
        <w:rPr>
          <w:rFonts w:ascii="Helvetica Neue" w:hAnsi="Helvetica Neue"/>
        </w:rPr>
        <w:t xml:space="preserve"> or</w:t>
      </w:r>
      <w:r w:rsidR="00140FAC" w:rsidRPr="0024409C">
        <w:rPr>
          <w:rFonts w:ascii="Helvetica Neue" w:hAnsi="Helvetica Neue"/>
        </w:rPr>
        <w:t xml:space="preserve"> </w:t>
      </w:r>
      <w:r w:rsidR="00EA384A" w:rsidRPr="0024409C">
        <w:rPr>
          <w:rFonts w:ascii="Helvetica Neue" w:hAnsi="Helvetica Neue"/>
        </w:rPr>
        <w:t>CT infection was a stochastic process based on draws from a binomial distribution among those treated for their infection, occurring with a per-time-step probability equal to the reciprocal of the duration of the length of treatment. Upon recovery, individuals were immediately susceptible to reinfection.</w:t>
      </w:r>
    </w:p>
    <w:p w14:paraId="514793F1" w14:textId="28CAB3C9" w:rsidR="00E23942" w:rsidRPr="0024409C" w:rsidRDefault="00E23942" w:rsidP="009D649E">
      <w:pPr>
        <w:pStyle w:val="Heading2"/>
        <w:rPr>
          <w:rFonts w:ascii="Helvetica Neue" w:hAnsi="Helvetica Neue"/>
          <w:szCs w:val="22"/>
        </w:rPr>
      </w:pPr>
      <w:bookmarkStart w:id="46" w:name="_Toc2361396"/>
      <w:r w:rsidRPr="0024409C">
        <w:rPr>
          <w:rFonts w:ascii="Helvetica Neue" w:hAnsi="Helvetica Neue"/>
          <w:szCs w:val="22"/>
        </w:rPr>
        <w:t>10.1</w:t>
      </w:r>
      <w:r w:rsidRPr="0024409C">
        <w:rPr>
          <w:rFonts w:ascii="Helvetica Neue" w:hAnsi="Helvetica Neue"/>
          <w:szCs w:val="22"/>
        </w:rPr>
        <w:tab/>
      </w:r>
      <w:r w:rsidRPr="0024409C">
        <w:rPr>
          <w:rFonts w:ascii="Helvetica Neue" w:hAnsi="Helvetica Neue"/>
          <w:szCs w:val="22"/>
        </w:rPr>
        <w:tab/>
        <w:t>Duration of Chlamydia Infection</w:t>
      </w:r>
      <w:bookmarkEnd w:id="46"/>
    </w:p>
    <w:p w14:paraId="565FE22F" w14:textId="2B8B40FC" w:rsidR="00750A39" w:rsidRDefault="00EA384A" w:rsidP="00A5457A">
      <w:pPr>
        <w:spacing w:line="360" w:lineRule="auto"/>
        <w:rPr>
          <w:rFonts w:ascii="Helvetica Neue" w:hAnsi="Helvetica Neue"/>
        </w:rPr>
      </w:pPr>
      <w:r w:rsidRPr="0024409C">
        <w:rPr>
          <w:rFonts w:ascii="Helvetica Neue" w:hAnsi="Helvetica Neue"/>
        </w:rPr>
        <w:t xml:space="preserve">Estimates of the duration of CT infection have varied broadly depending on whether the infection was symptomatic. STI and HIV/STI models have generally estimated the duration </w:t>
      </w:r>
      <w:r w:rsidRPr="0024409C">
        <w:rPr>
          <w:rFonts w:ascii="Helvetica Neue" w:hAnsi="Helvetica Neue"/>
        </w:rPr>
        <w:lastRenderedPageBreak/>
        <w:t>of symptomatic CT infection in men primarily as 30–35 days,</w:t>
      </w:r>
      <w:r w:rsidRPr="0024409C">
        <w:rPr>
          <w:rFonts w:ascii="Helvetica Neue" w:hAnsi="Helvetica Neue"/>
        </w:rPr>
        <w:fldChar w:fldCharType="begin" w:fldLock="1"/>
      </w:r>
      <w:r w:rsidR="00291558">
        <w:rPr>
          <w:rFonts w:ascii="Helvetica Neue" w:hAnsi="Helvetica Neue"/>
        </w:rPr>
        <w:instrText>ADDIN CSL_CITATION {"citationItems":[{"id":"ITEM-1","itemData":{"ISSN":"0148-5717","PMID":"16601656","abstract":"OBJECTIVE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author":[{"dropping-particle":"","family":"Andersen","given":"Berit","non-dropping-particle":"","parse-names":false,"suffix":""},{"dropping-particle":"","family":"Gundgaard","given":"Jens","non-dropping-particle":"","parse-names":false,"suffix":""},{"dropping-particle":"","family":"Kretzschmar","given":"Mirjam","non-dropping-particle":"","parse-names":false,"suffix":""},{"dropping-particle":"","family":"Olsen","given":"Jens","non-dropping-particle":"","parse-names":false,"suffix":""},{"dropping-particle":"","family":"Welte","given":"Robert","non-dropping-particle":"","parse-names":false,"suffix":""},{"dropping-particle":"","family":"Oster-Gaard","given":"Lars","non-dropping-particle":"","parse-names":false,"suffix":""}],"container-title":"Sex Transm Dis","id":"ITEM-1","issue":"7","issued":{"date-parts":[["2006","7"]]},"page":"407-15","title":"Prediction of costs, effectiveness, and disease control of a population-based program using home sampling for diagnosis of urogenital Chlamydia trachomatis infections","type":"article-journal","volume":"33"},"uris":["http://www.mendeley.com/documents/?uuid=ad4655e6-1796-4a64-b0b1-a55b81b1875a"]},{"id":"ITEM-2","itemData":{"ISSN":"1537-4521","PMID":"22504590","abstract":"OBJECTIVES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author":[{"dropping-particle":"","family":"Kretzschmar","given":"Mirjam","non-dropping-particle":"","parse-names":false,"suffix":""},{"dropping-particle":"","family":"Satterwhite","given":"Catherine","non-dropping-particle":"","parse-names":false,"suffix":""},{"dropping-particle":"","family":"Leichliter","given":"Jami","non-dropping-particle":"","parse-names":false,"suffix":""},{"dropping-particle":"","family":"Berman","given":"Stuart","non-dropping-particle":"","parse-names":false,"suffix":""}],"container-title":"Sex Transm Dis","id":"ITEM-2","issue":"5","issued":{"date-parts":[["2012","5"]]},"page":"325-31","title":"Effects of screening and partner notification on Chlamydia positivity in the United States: a modeling study.","type":"article-journal","volume":"39"},"uris":["http://www.mendeley.com/documents/?uuid=9e28b657-b832-4f92-822f-ede371cccbda"]},{"id":"ITEM-3","itemData":{"ISSN":"0002-9262","PMID":"11159151","abstract":"The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author":[{"dropping-particle":"","family":"Kretzschmar","given":"M","non-dropping-particle":"","parse-names":false,"suffix":""},{"dropping-particle":"","family":"Welte","given":"R","non-dropping-particle":"","parse-names":false,"suffix":""},{"dropping-particle":"","family":"Hoek","given":"A","non-dropping-particle":"van den","parse-names":false,"suffix":""},{"dropping-particle":"","family":"Postma","given":"M J","non-dropping-particle":"","parse-names":false,"suffix":""}],"container-title":"Am J Epidemiol","id":"ITEM-3","issue":"1","issued":{"date-parts":[["2001","1","1"]]},"page":"90-101","title":"Comparative model-based analysis of screening programs for Chlamydia trachomatis infections.","type":"article-journal","volume":"153"},"uris":["http://www.mendeley.com/documents/?uuid=37158024-4fed-4aa7-8960-1c7d1c10b124"]},{"id":"ITEM-4","itemData":{"ISSN":"0002-9262","PMID":"8686700","abstract":"A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Epidemiol","id":"ITEM-4","issue":"3","issued":{"date-parts":[["1996","8"]]},"page":"306-17","title":"Modeling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2908b183-9770-497f-882d-14396e8ea618"]},{"id":"ITEM-5","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-5","issue":"7614","issued":{"date-parts":[["2007","8"]]},"page":"291","title":"Cost effectiveness of home based population screening for Chlamydia trachomatis in the UK: economic evaluation of chlamydia screening studies (ClaSS) project.","type":"article-journal","volume":"335"},"uris":["http://www.mendeley.com/documents/?uuid=068ae4c2-fc1a-407c-9042-659f35956723","http://www.mendeley.com/documents/?uuid=79167eaa-7546-3c44-8cc8-210cd54f8e72","http://www.mendeley.com/documents/?uuid=bf7ba67b-bdba-4eb3-91b4-1ef1f96dccda"]},{"id":"ITEM-6","itemData":{"ISSN":"0148-5717","PMID":"16041248","abstract":"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author":[{"dropping-particle":"","family":"Welte","given":"Robert","non-dropping-particle":"","parse-names":false,"suffix":""},{"dropping-particle":"","family":"Postma","given":"Maarten","non-dropping-particle":"","parse-names":false,"suffix":""},{"dropping-particle":"","family":"Leidl","given":"Reiner","non-dropping-particle":"","parse-names":false,"suffix":""},{"dropping-particle":"","family":"Kretzschmar","given":"Mirjam","non-dropping-particle":"","parse-names":false,"suffix":""}],"container-title":"Sex Transm Dis","id":"ITEM-6","issue":"8","issued":{"date-parts":[["2005","8"]]},"page":"474-83","title":"Costs and effects of chlamydial screening: dynamic versus static modeling.","type":"article-journal","volume":"32"},"uris":["http://www.mendeley.com/documents/?uuid=e09e3f5e-a85f-4dde-85a0-b1861d31674c","http://www.mendeley.com/documents/?uuid=450d2aca-0702-33b7-a297-9c0c2cb83c3b","http://www.mendeley.com/documents/?uuid=a908310f-f6ff-4006-9318-c6f5f73ca2b7"]},{"id":"ITEM-7","itemData":{"ISSN":"1742-4682","PMID":"16426453","abstract":"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makers.","author":[{"dropping-particle":"","family":"Turner","given":"Katherine M E","non-dropping-particle":"","parse-names":false,"suffix":""},{"dropping-particle":"","family":"Adams","given":"Elisabeth J","non-dropping-particle":"","parse-names":false,"suffix":""},{"dropping-particle":"","family":"Gay","given":"Nigel","non-dropping-particle":"","parse-names":false,"suffix":""},{"dropping-particle":"","family":"Ghani","given":"Azra C","non-dropping-particle":"","parse-names":false,"suffix":""},{"dropping-particle":"","family":"Mercer","given":"Catherine","non-dropping-particle":"","parse-names":false,"suffix":""},{"dropping-particle":"","family":"Edmunds","given":"W John","non-dropping-particle":"","parse-names":false,"suffix":""}],"container-title":"Theor Biol Med Model","id":"ITEM-7","issued":{"date-parts":[["2006"]]},"page":"3","title":"Developing a realistic sexual network model of chlamydia transmission in Britain.","type":"article-journal","volume":"3"},"uris":["http://www.mendeley.com/documents/?uuid=d5089e58-930f-47f0-8958-55ecbfb070a5"]},{"id":"ITEM-8","itemData":{"ISSN":"1098-3015","PMID":"16441519","abstract":"OBJECTIVE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CT.","author":[{"dropping-particle":"","family":"Vries","given":"Robin","non-dropping-particle":"de","parse-names":false,"suffix":""},{"dropping-particle":"","family":"Bergen","given":"Jan E A M","non-dropping-particle":"van","parse-names":false,"suffix":""},{"dropping-particle":"","family":"Jong-van den Berg","given":"Lolkje T W","non-dropping-particle":"de","parse-names":false,"suffix":""},{"dropping-particle":"","family":"Postma","given":"Maarten J","non-dropping-particle":"","parse-names":false,"suffix":""},{"dropping-particle":"","family":"PILOT-CT Study Group","given":"","non-dropping-particle":"","parse-names":false,"suffix":""}],"container-title":"Value Health","id":"ITEM-8","issue":"1","issued":{"date-parts":[["2006"]]},"page":"1-11","title":"Systematic screening for Chlamydia trachomatis: estimating cost-effectiveness using dynamic modeling and Dutch data.","type":"article-journal","volume":"9"},"uris":["http://www.mendeley.com/documents/?uuid=61604c03-0238-4209-a717-7a9a4a4c0970","http://www.mendeley.com/documents/?uuid=e6b2746c-5513-35bc-a1ee-f7a7254cb93e","http://www.mendeley.com/documents/?uuid=2d61563e-8684-4feb-ba43-30397835661b"]},{"id":"ITEM-9","itemData":{"ISSN":"1742-4682","PMID":"24476335","abstract":"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author":[{"dropping-particle":"","family":"Davies","given":"Bethan","non-dropping-particle":"","parse-names":false,"suffix":""},{"dropping-particle":"","family":"Anderson","given":"Sarah-Jane","non-dropping-particle":"","parse-names":false,"suffix":""},{"dropping-particle":"","family":"Turner","given":"Katy M E","non-dropping-particle":"","parse-names":false,"suffix":""},{"dropping-particle":"","family":"Ward","given":"Helen","non-dropping-particle":"","parse-names":false,"suffix":""}],"container-title":"Theor Biol Med Model","id":"ITEM-9","issued":{"date-parts":[["2014"]]},"page":"8","title":"How robust are the natural history parameters used in chlamydia transmission dynamic models? A systematic review.","type":"article-journal","volume":"11"},"uris":["http://www.mendeley.com/documents/?uuid=f90fe104-71cf-4538-a950-a8847e13cd93"]},{"id":"ITEM-10","itemData":{"ISSN":"1553-7358","PMID":"22570594","abstract":"There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author":[{"dropping-particle":"V","family":"Schmid","given":"Boris","non-dropping-particle":"","parse-names":false,"suffix":""},{"dropping-particle":"","family":"Kretzschmar","given":"Mirjam","non-dropping-particle":"","parse-names":false,"suffix":""}],"container-title":"PLoS Comput Biol","id":"ITEM-10","issue":"4","issued":{"date-parts":[["2012"]]},"page":"e1002470","title":"Determinants of sexual network structure and their impact on cumulative network measures.","type":"article-journal","volume":"8"},"uris":["http://www.mendeley.com/documents/?uuid=a1e755bd-090b-4a64-adb0-52e0b3ce18c7","http://www.mendeley.com/documents/?uuid=5decc760-231c-3da7-ae50-cbe56f48b440","http://www.mendeley.com/documents/?uuid=3e29bc31-8840-48d7-8340-83e6c302c110"]}],"mendeley":{"formattedCitation":"&lt;sup&gt;41–44,50,51,59,65,67,68&lt;/sup&gt;","plainTextFormattedCitation":"41–44,50,51,59,65,67,68","previouslyFormattedCitation":"&lt;sup&gt;41–44,50,51,59,65,67,68&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41–44,50,51,59,65,67,68</w:t>
      </w:r>
      <w:r w:rsidRPr="0024409C">
        <w:rPr>
          <w:rFonts w:ascii="Helvetica Neue" w:hAnsi="Helvetica Neue"/>
        </w:rPr>
        <w:fldChar w:fldCharType="end"/>
      </w:r>
      <w:r w:rsidRPr="0024409C">
        <w:rPr>
          <w:rFonts w:ascii="Helvetica Neue" w:hAnsi="Helvetica Neue"/>
        </w:rPr>
        <w:t xml:space="preserve"> but some models have estimates closer to 13–14 days for treated men</w:t>
      </w:r>
      <w:r w:rsidRPr="0024409C">
        <w:rPr>
          <w:rFonts w:ascii="Helvetica Neue" w:hAnsi="Helvetica Neue"/>
        </w:rPr>
        <w:fldChar w:fldCharType="begin" w:fldLock="1"/>
      </w:r>
      <w:r w:rsidR="00665BF2">
        <w:rPr>
          <w:rFonts w:ascii="Helvetica Neue" w:hAnsi="Helvetica Neue"/>
        </w:rPr>
        <w:instrText>ADDIN CSL_CITATION {"citationItems":[{"id":"ITEM-1","itemData":{"ISSN":"1537-4521","PMID":"24275727","abstract":"BACKGROUND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Dis","id":"ITEM-1","issue":"10","issued":{"date-parts":[["2013","10"]]},"page":"776-83","title":"Cost-effectiveness of screening men in Maricopa County jails for chlamydia and gonorrhea to avert infections in women.","type":"article-journal","volume":"40"},"uris":["http://www.mendeley.com/documents/?uuid=ffb1178c-a6e8-4076-8f5b-4bfe4e98d860"]},{"id":"ITEM-2","itemData":{"ISSN":"1944-7884","PMID":"26102448","abstract":"OBJECTIVE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Syndr","id":"ITEM-2","issue":"2","issued":{"date-parts":[["2015","10","1"]]},"page":"186-94","title":"A data-driven simulation of HIV spread among young men who have sex with men: Role of age and race mixing and STIs","type":"article-journal","volume":"70"},"uris":["http://www.mendeley.com/documents/?uuid=cce0386d-0de1-4180-8bc8-5bad7d021421"]},{"id":"ITEM-3","itemData":{"ISSN":"1873-2607","PMID":"26952078","abstract":"INTRODUCTION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care.","author":[{"dropping-particle":"","family":"Owusu-Edusei","given":"Kwame","non-dropping-particle":"","parse-names":false,"suffix":""},{"dropping-particle":"","family":"Hoover","given":"Karen W","non-dropping-particle":"","parse-names":false,"suffix":""},{"dropping-particle":"","family":"Gift","given":"Thomas L","non-dropping-particle":"","parse-names":false,"suffix":""}],"container-title":"Am J Prev Med","id":"ITEM-3","issue":"2","issued":{"date-parts":[["2016","8"]]},"page":"216-24","title":"Cost-effectiveness of opt-out chlamydia testing for high-risk young women in the US","type":"article-journal","volume":"51"},"uris":["http://www.mendeley.com/documents/?uuid=9fdf9f8a-a31a-4318-b59a-dcc965726109"]}],"mendeley":{"formattedCitation":"&lt;sup&gt;57,64,71&lt;/sup&gt;","plainTextFormattedCitation":"57,64,71","previouslyFormattedCitation":"&lt;sup&gt;57,64,71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57,64,71</w:t>
      </w:r>
      <w:r w:rsidRPr="0024409C">
        <w:rPr>
          <w:rFonts w:ascii="Helvetica Neue" w:hAnsi="Helvetica Neue"/>
        </w:rPr>
        <w:fldChar w:fldCharType="end"/>
      </w:r>
      <w:r w:rsidRPr="0024409C">
        <w:rPr>
          <w:rFonts w:ascii="Helvetica Neue" w:hAnsi="Helvetica Neue"/>
        </w:rPr>
        <w:t xml:space="preserve"> or at a higher range between 112–365 days.</w:t>
      </w:r>
      <w:r w:rsidRPr="0024409C">
        <w:rPr>
          <w:rFonts w:ascii="Helvetica Neue" w:hAnsi="Helvetica Neue"/>
        </w:rPr>
        <w:fldChar w:fldCharType="begin" w:fldLock="1"/>
      </w:r>
      <w:r w:rsidR="00291558">
        <w:rPr>
          <w:rFonts w:ascii="Helvetica Neue" w:hAnsi="Helvetica Neue"/>
        </w:rPr>
        <w:instrText>ADDIN CSL_CITATION {"citationItems":[{"id":"ITEM-1","itemData":{"ISSN":"1471-2334","PMID":"23618061","abstract":"BACKGROUND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Dis","id":"ITEM-1","issued":{"date-parts":[["2013"]]},"page":"188","title":"Population movement can sustain STI prevalence in remote Australian indigenous communities.","type":"article-journal","volume":"13"},"uris":["http://www.mendeley.com/documents/?uuid=439c8ade-8864-4f5e-9dff-966b3d367e00"]},{"id":"ITEM-2","itemData":{"ISSN":"1368-4973","PMID":"17405782","abstract":"OBJECTIVE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Infect","id":"ITEM-2","issued":{"date-parts":[["2007","8"]]},"page":"i17-24","title":"Proportion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1"},"uris":["http://www.mendeley.com/documents/?uuid=7e2d643a-2494-4c7a-a5d0-ab0e53ceb072"]},{"id":"ITEM-3","itemData":{"ISSN":"1944-7884","PMID":"26102448","abstract":"OBJECTIVE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Syndr","id":"ITEM-3","issue":"2","issued":{"date-parts":[["2015","10","1"]]},"page":"186-94","title":"A data-driven simulation of HIV spread among young men who have sex with men: Role of age and race mixing and STIs","type":"article-journal","volume":"70"},"uris":["http://www.mendeley.com/documents/?uuid=cce0386d-0de1-4180-8bc8-5bad7d021421"]},{"id":"ITEM-4","itemData":{"ISSN":"1368-4973","author":[{"dropping-particle":"","family":"Johnson","given":"L.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Infect","id":"ITEM-4","issue":"3","issued":{"date-parts":[["2010","6","1"]]},"page":"169-174","title":"A Bayesian approach to uncertainty analysis of sexually transmitted infection models","type":"article-journal","volume":"86"},"uris":["http://www.mendeley.com/documents/?uuid=31e9dca7-f246-4670-9001-4c78d9774ec7"]}],"mendeley":{"formattedCitation":"&lt;sup&gt;45,53,54,71&lt;/sup&gt;","plainTextFormattedCitation":"45,53,54,71","previouslyFormattedCitation":"&lt;sup&gt;45,53,54,71&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45,53,54,71</w:t>
      </w:r>
      <w:r w:rsidRPr="0024409C">
        <w:rPr>
          <w:rFonts w:ascii="Helvetica Neue" w:hAnsi="Helvetica Neue"/>
        </w:rPr>
        <w:fldChar w:fldCharType="end"/>
      </w:r>
      <w:r w:rsidRPr="0024409C">
        <w:rPr>
          <w:rFonts w:ascii="Helvetica Neue" w:hAnsi="Helvetica Neue"/>
        </w:rPr>
        <w:t xml:space="preserve"> Models which have not specified whether the infection is symptomatic or asymptomatic have widely divergent estimates ranging from 60 days up to 370 days.</w:t>
      </w:r>
      <w:r w:rsidRPr="0024409C">
        <w:rPr>
          <w:rFonts w:ascii="Helvetica Neue" w:hAnsi="Helvetica Neue"/>
        </w:rPr>
        <w:fldChar w:fldCharType="begin" w:fldLock="1"/>
      </w:r>
      <w:r w:rsidR="00291558">
        <w:rPr>
          <w:rFonts w:ascii="Helvetica Neue" w:hAnsi="Helvetica Neue"/>
        </w:rPr>
        <w:instrText>ADDIN CSL_CITATION {"citationItems":[{"id":"ITEM-1","itemData":{"ISSN":"1472-3263","PMID":"19854700","abstract":"BACKGROUND In settings with poor sexually transmitted infection (STI) control in high-risk groups, periodic presumptive treatment (PPT) can quickly reduce the prevalence of genital ulcers, Neisseria gonorrhoeae (NG) and Chlamydia trachomatis (CT). However, few studies have assessed the impact on HIV. Mathematical modelling is used to quantify the likely HIV impact of different PPT interventions. METHODS A mathematical model was developed to project the impact of PPT on STI/HIV transmission amongst a homogeneous population of female sex workers (FSWs) and their clients. Using data from Johannesburg, the impact of PPT interventions with different coverages and PPT frequencies was estimated. A sensitivity analysis explored how the projections were affected by different model parameters or if the intervention was undertaken elsewhere. RESULTS Substantial decreases in NG/CT prevalence are achieved among FSWs receiving PPT. Although less impact is achieved among all FSWs, large decreases in NG/CT prevalence (&gt;50%) are possible with &gt;30% coverage and supplying PPT every month. Higher PPT frequencies achieve little additional impact, whereas improving coverage increases impact until NG/CT becomes negligible. The impact on HIV incidence is smaller, longer to achieve, and depends heavily on the assumed NG/CT cofactors, whether they are additive, the assumed STI/HIV transmission probabilities and STI durations. Greater HIV impact can be achieved in settings with lower sexual activity (except at high coverage), less STI treatment or high prevalences of Haemophilus ducreyi. CONCLUSIONS Despite the model's assumption of homogeneous risk behaviour probably resulting in optimistic projections, and uncertainty in STI cofactors and transmission probabilities, projections suggest PPT interventions with sufficient coverage (&gt; or = 40%) and follow-up (&gt; or = 2 years) could noticeably decrease the HIV incidence (&gt;20%) among FSW populations with inadequate STI treatment.","author":[{"dropping-particle":"","family":"Vickerman","given":"Peter","non-dropping-particle":"","parse-names":false,"suffix":""},{"dropping-particle":"","family":"Ndowa","given":"Francis","non-dropping-particle":"","parse-names":false,"suffix":""},{"dropping-particle":"","family":"O'Farrell","given":"Nigel","non-dropping-particle":"","parse-names":false,"suffix":""},{"dropping-particle":"","family":"Steen","given":"Richard","non-dropping-particle":"","parse-names":false,"suffix":""},{"dropping-particle":"","family":"Alary","given":"Michel","non-dropping-particle":"","parse-names":false,"suffix":""},{"dropping-particle":"","family":"Delany-Moretlwe","given":"Sinead","non-dropping-particle":"","parse-names":false,"suffix":""}],"container-title":"Sex Transm Infect","id":"ITEM-1","issue":"3","issued":{"date-parts":[["2010","6"]]},"page":"163-8","title":"Using mathematical modelling to estimate the impact of periodic presumptive treatment on the transmission of sexually transmitted infections and HIV among female sex workers.","type":"article-journal","volume":"86"},"uris":["http://www.mendeley.com/documents/?uuid=a144e9a2-eb8c-34a9-8395-1ed13bd74440","http://www.mendeley.com/documents/?uuid=a78f9cc5-0c6f-41b1-91c9-c31233f6e918"]},{"id":"ITEM-2","itemData":{"ISSN":"0022-1899","PMID":"16235186","abstract":"BACKGROUND After the introduction of a program to control Chlamydia trachomatis infection in British Columbia, Canada, case rates fell from 216 cases/100,000 population in 1991 to 104 cases/100,000 population in 1997. Since 1998, rates have increased, and case counts now exceed those recorded before the intervention. METHODS We used Cox proportional-hazards survival analysis and developed a compartmental mathematical model to investigate the cause of resurgence in chlamydia cases. RESULTS Cox proportional-hazards survival analysis showed that the relative risk of C. trachomatis reinfection has increased 4.6% per year since 1989, with the increased risk greatest among the young and greater among women than men. A compartmental mathematical model of C. trachomatis transmission showed that a control strategy based on shortening the average duration of infection results in an early reduction in prevalence followed by a rebound in prevalence, reproducing the observed trends. CONCLUSIONS We speculate that a C. trachomatis infection control program based on early case identification and treatment interferes with the effects of immunity on population susceptibility to infection and that, in the absence of strategies to alter sexual networks, a vaccine will be needed to halt the spread of infection at the population level.","author":[{"dropping-particle":"","family":"Brunham","given":"Robert C","non-dropping-particle":"","parse-names":false,"suffix":""},{"dropping-particle":"","family":"Pourbohloul","given":"Babak","non-dropping-particle":"","parse-names":false,"suffix":""},{"dropping-particle":"","family":"Mak","given":"Sunny","non-dropping-particle":"","parse-names":false,"suffix":""},{"dropping-particle":"","family":"White","given":"Rick","non-dropping-particle":"","parse-names":false,"suffix":""},{"dropping-particle":"","family":"Rekart","given":"Michael L","non-dropping-particle":"","parse-names":false,"suffix":""}],"container-title":"J Inf Dis","id":"ITEM-2","issue":"10","issued":{"date-parts":[["2005","11"]]},"page":"1836-44","title":"The unexpected impact of a Chlamydia trachomatis infection control program on susceptibility to reinfection.","type":"article-journal","volume":"192"},"uris":["http://www.mendeley.com/documents/?uuid=ca251dcb-b2d8-3918-bf93-c2a4d049648a","http://www.mendeley.com/documents/?uuid=187a20b4-7c75-4d09-b1c6-99a502546ada"]},{"id":"ITEM-3","itemData":{"ISSN":"1932-6203","PMID":"23251534","abstract":"Partner notification (PN or contact tracing) is an important aspect of treating bacterial sexually transmitted infections (STIs), such as Chlamydia trachomatis. It facilitates the identification of new infected cases that can be treated through individual case management. PN also acts indirectly by limiting onward transmission in the general population. However, the impact of PN, both at the level of individuals and the population, remains unclear. Since it is difficult to study the effects of PN empirically, mathematical and computational models are useful tools for investigating its potential as a public health intervention. To this end, we developed an individual-based modeling framework called Rstisim. It allows the implementation of different models of STI transmission with various levels of complexity and the reconstruction of the complete dynamic sexual partnership network over any time period. A key feature of this framework is that we can trace an individual's partnership history in detail and investigate the outcome of different PN strategies for C. trachomatis. For individual case management, the results suggest that notifying three or more partners from the preceding 18 months yields substantial numbers of new cases. In contrast, the successful treatment of current partners is most important for preventing re-infection of index cases and reducing further transmission of C. trachomatis at the population level. The findings of this study demonstrate the difference between individual and population level outcomes of public health interventions for STIs.","author":[{"dropping-particle":"","family":"Althaus","given":"Christian L","non-dropping-particle":"","parse-names":false,"suffix":""},{"dropping-particle":"","family":"Heijne","given":"Janneke C M","non-dropping-particle":"","parse-names":false,"suffix":""},{"dropping-particle":"","family":"Herzog","given":"Sereina A","non-dropping-particle":"","parse-names":false,"suffix":""},{"dropping-particle":"","family":"Roellin","given":"Adrian","non-dropping-particle":"","parse-names":false,"suffix":""},{"dropping-particle":"","family":"Low","given":"Nicola","non-dropping-particle":"","parse-names":false,"suffix":""}],"container-title":"PLoS ONE","id":"ITEM-3","issue":"12","issued":{"date-parts":[["2012"]]},"page":"e51438","title":"Individual and population level effects of partner notification for Chlamydia trachomatis.","type":"article-journal","volume":"7"},"uris":["http://www.mendeley.com/documents/?uuid=44fbd593-42c5-44d8-b09b-d3a92ac88f8b"]},{"id":"ITEM-4","itemData":{"ISSN":"1472-3263","PMID":"22683893","abstract":"OBJECTIVES The objective of this study was to determine the optimal time interval for a repeated Chlamydia trachomatis (chlamydia) test. METHODS The authors used claims data for US women aged 15-25 years who were enrolled in commercial health insurance plans in the MarketScan database between 2002 and 2006. The authors determined the numbers of initial positive and negative tests that were followed by a repeated test and the positivity of repeated tests. The authors used a dynamic transmission pair model that reflects the partnership formation and separation processes in 15-25 year olds to determine the time course of repeated infections in women under different levels of notifying the current partner. The authors then explored the additional impact of repeated testing uptake on reducing chlamydia prevalence. RESULTS 40% (4949/12 413) of positive tests were followed by a repeated test compared with 22% (89 119/402 659) of negative tests at any time. Positivity of repeated tests followed by an initial positive test was high: 15% (736) after a positive test versus 3% (2886) after a negative test. The transmission model showed a peak in repeated infections between 2 and 5 months after treatment. For a chlamydia testing uptake of 10% per year, the additional impact of repeated testing on reducing chlamydia population prevalence was modest. CONCLUSIONS The mathematical model predictions support the recommended interval for repeat chlamydia testing. This study provides information that can be used to design randomised controlled trials to determine more effective interventions to prevent chlamydial reinfection.","author":[{"dropping-particle":"","family":"Heijne","given":"Janneke Cornelia Maria","non-dropping-particle":"","parse-names":false,"suffix":""},{"dropping-particle":"","family":"Herzog","given":"Sereina Annik","non-dropping-particle":"","parse-names":false,"suffix":""},{"dropping-particle":"","family":"Althaus","given":"Christian Lorenz","non-dropping-particle":"","parse-names":false,"suffix":""},{"dropping-particle":"","family":"Tao","given":"Guoyu","non-dropping-particle":"","parse-names":false,"suffix":""},{"dropping-particle":"","family":"Kent","given":"Charlotte Kathleen","non-dropping-particle":"","parse-names":false,"suffix":""},{"dropping-particle":"","family":"Low","given":"Nicola","non-dropping-particle":"","parse-names":false,"suffix":""}],"container-title":"Sex Transm Infect","id":"ITEM-4","issue":"1","issued":{"date-parts":[["2013","2"]]},"page":"57-62","title":"Insights into the timing of repeated testing after treatment for Chlamydia trachomatis: data and modelling study.","type":"article-journal","volume":"89"},"uris":["http://www.mendeley.com/documents/?uuid=9698cc20-2eec-4f3d-a54d-c48f804eb8ae"]},{"id":"ITEM-5","itemData":{"ISSN":"1537-4521","PMID":"18303352","abstract":"OBJECTIVES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Dis","id":"ITEM-5","issue":"2 Suppl","issued":{"date-parts":[["2009","2"]]},"page":"S41-8","title":"Preventing sexually transmitted infections among incarcerated men who have sex with men: a cost-effectiveness analysis.","type":"article-journal","volume":"36"},"uris":["http://www.mendeley.com/documents/?uuid=99e32213-3087-4c26-aa3a-0cb6b7d6e381"]},{"id":"ITEM-6","itemData":{"ISSN":"1522-9602","PMID":"23812958","abstract":"Using a modified one-dimensional model for the spread of an SIS disease on a network, we show that the behaviour of complex network simulations can be replicated with a simpler model. This model is then used to design optimal controls for use on the network, which would otherwise be unfeasible to obtain, resulting in information about how best to combine a population-level random intervention with one that is more targeted. This technique is used to minimise intervention costs over a short time interval with a target prevalence, and also to minimise prevalence with a specified budget. When applied to chlamydia, we find results consistent with previous work; that is maximising targeted control (contact tracing) is important to using resources effectively, while high-intensity bursts of population control (screening) are more effective than maintaining a high level of coverage.","author":[{"dropping-particle":"","family":"Clarke","given":"James","non-dropping-particle":"","parse-names":false,"suffix":""},{"dropping-particle":"","family":"White","given":"K A Jane","non-dropping-particle":"","parse-names":false,"suffix":""},{"dropping-particle":"","family":"Turner","given":"Katy","non-dropping-particle":"","parse-names":false,"suffix":""}],"container-title":"Bull Math Biol","id":"ITEM-6","issue":"10","issued":{"date-parts":[["2013","10"]]},"page":"1747-77","title":"Approximating optimal controls for networks when there are combinations of population-level and targeted measures available: chlamydia infection as a case-study.","type":"article-journal","volume":"75"},"uris":["http://www.mendeley.com/documents/?uuid=b36455f4-14c8-46ca-a3d7-23ea1b621524","http://www.mendeley.com/documents/?uuid=9e713392-1194-3468-8c9c-f68ada75ebb0","http://www.mendeley.com/documents/?uuid=c2407835-d010-421e-bb74-c067f56c266b"]},{"id":"ITEM-7","itemData":{"ISSN":"1368-4973","PMID":"17151036","abstract":"BACKGROUND Several developed countries have initiated chlamydia screening programmes. Screening for a sexually transmitted infection has both direct individual and indirect population-wide effects. Mathematical models can incorporate these non-linear effects and estimate the likely impact of different screening programmes and identify areas where more data are needed. METHODS A stochastic, individual based dynamic network model, parameterised from UK screening studies and data on sexual behaviour and chlamydia epidemiology, was used to investigate the likely impact of opportunistic screening on chlamydia prevalence. Three main strategies were considered for &lt;25 year olds: (1) annual offer to women; (2) annual offer to women or if changed partner within last 6 months; (3) annual offer to men and women. Sensitivity analyses were performed for key screening parameters including uptake rate, targeted age range, percentage of partners notified, and screening interval. RESULTS Under strategy 1, continuous opportunistic screening of women &lt;25 years of age is expected to reduce the population prevalence by over 50% after 5 years. Prevalence is also expected to decrease in unscreened older women and in men. For all three strategies screening those aged over 25 results in small additional reductions in prevalence. Including men led to a faster and greater reduction in overall prevalence, but involved approximately twice as many tests as strategy 1 and 10% more than strategy 2. The frequency of attendance at healthcare sites limits the number of opportunities to screen and the effect of changing the screening interval. CONCLUSIONS The model suggests that continuous opportunistic screening at high uptake rates could significantly reduced chlamydia prevalence within a few years. Opportunistic programmes depend on regular attendance at healthcare providers, but there is a lack of high quality data on patterns of attendance. Inequalities in coverage may result in a less efficient and less equitable outcome.","author":[{"dropping-particle":"","family":"Turner","given":"K M E","non-dropping-particle":"","parse-names":false,"suffix":""},{"dropping-particle":"","family":"Adams","given":"E J","non-dropping-particle":"","parse-names":false,"suffix":""},{"dropping-particle":"","family":"Lamontagne","given":"D S","non-dropping-particle":"","parse-names":false,"suffix":""},{"dropping-particle":"","family":"Emmett","given":"L","non-dropping-particle":"","parse-names":false,"suffix":""},{"dropping-particle":"","family":"Baster","given":"K","non-dropping-particle":"","parse-names":false,"suffix":""},{"dropping-particle":"","family":"Edmunds","given":"W J","non-dropping-particle":"","parse-names":false,"suffix":""}],"container-title":"Sex Transm Infect","id":"ITEM-7","issue":"6","issued":{"date-parts":[["2006","12"]]},"page":"496-502","title":"Modelling the effectiveness of chlamydia screening in England.","type":"article-journal","volume":"82"},"uris":["http://www.mendeley.com/documents/?uuid=0adc53e8-21ac-464f-a345-005c96085f03","http://www.mendeley.com/documents/?uuid=3fae35ac-da4e-3e19-968e-7807db9e3f34","http://www.mendeley.com/documents/?uuid=a21c980e-1ec8-4fdd-8cd6-5c52ec096ae0"]}],"mendeley":{"formattedCitation":"&lt;sup&gt;49,52,61,66,72,100,101&lt;/sup&gt;","plainTextFormattedCitation":"49,52,61,66,72,100,101","previouslyFormattedCitation":"&lt;sup&gt;49,52,61,66,72,100,101&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49,52,61,66,72,100,101</w:t>
      </w:r>
      <w:r w:rsidRPr="0024409C">
        <w:rPr>
          <w:rFonts w:ascii="Helvetica Neue" w:hAnsi="Helvetica Neue"/>
        </w:rPr>
        <w:fldChar w:fldCharType="end"/>
      </w:r>
      <w:r w:rsidRPr="0024409C">
        <w:rPr>
          <w:rFonts w:ascii="Helvetica Neue" w:hAnsi="Helvetica Neue"/>
        </w:rPr>
        <w:t xml:space="preserve"> Some models specify the length of an infectious stage ranging from 3 weeks in treated infection up to 457 days,</w:t>
      </w:r>
      <w:r w:rsidRPr="0024409C">
        <w:rPr>
          <w:rFonts w:ascii="Helvetica Neue" w:hAnsi="Helvetica Neue"/>
        </w:rPr>
        <w:fldChar w:fldCharType="begin" w:fldLock="1"/>
      </w:r>
      <w:r w:rsidR="00291558">
        <w:rPr>
          <w:rFonts w:ascii="Helvetica Neue" w:hAnsi="Helvetica Neue"/>
        </w:rPr>
        <w:instrText>ADDIN CSL_CITATION {"citationItems":[{"id":"ITEM-1","itemData":{"ISSN":"0269-9370","PMID":"10780720","abstract":"OBJECTIVES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D","non-dropping-particle":"","parse-names":false,"suffix":""}],"container-title":"AIDS","id":"ITEM-1","issue":"5","issued":{"date-parts":[["2000","3"]]},"page":"573-93","title":"Model-based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id":"ITEM-2","itemData":{"ISSN":"0300-5771","author":[{"dropping-particle":"","family":"Stigum","given":"Hein","non-dropping-particle":"","parse-names":false,"suffix":""},{"dropping-particle":"","family":"Magnus","given":"Per","non-dropping-particle":"","parse-names":false,"suffix":""},{"dropping-particle":"","family":"Veierod","given":"Marit","non-dropping-particle":"","parse-names":false,"suffix":""},{"dropping-particle":"","family":"Bakketeig","given":"Leiv S","non-dropping-particle":"","parse-names":false,"suffix":""}],"container-title":"Int J Epidem","id":"ITEM-2","issue":"4","issued":{"date-parts":[["1995"]]},"page":"813-820","publisher":"Oxford University Press","title":"Impact on Sexually Transmitted Disease Spread of Increased Condom Use by Young Females, 1987–1992","type":"article-journal","volume":"24"},"uris":["http://www.mendeley.com/documents/?uuid=fc5b02b4-bb3e-4e0f-9e83-3adac47bbe37"]}],"mendeley":{"formattedCitation":"&lt;sup&gt;47,75&lt;/sup&gt;","plainTextFormattedCitation":"47,75","previouslyFormattedCitation":"&lt;sup&gt;47,75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47,75</w:t>
      </w:r>
      <w:r w:rsidRPr="0024409C">
        <w:rPr>
          <w:rFonts w:ascii="Helvetica Neue" w:hAnsi="Helvetica Neue"/>
        </w:rPr>
        <w:fldChar w:fldCharType="end"/>
      </w:r>
      <w:r w:rsidRPr="0024409C">
        <w:rPr>
          <w:rFonts w:ascii="Helvetica Neue" w:hAnsi="Helvetica Neue"/>
        </w:rPr>
        <w:t xml:space="preserve"> while </w:t>
      </w:r>
      <w:proofErr w:type="spellStart"/>
      <w:r w:rsidRPr="0024409C">
        <w:rPr>
          <w:rFonts w:ascii="Helvetica Neue" w:hAnsi="Helvetica Neue"/>
        </w:rPr>
        <w:t>Welte</w:t>
      </w:r>
      <w:proofErr w:type="spellEnd"/>
      <w:r w:rsidRPr="0024409C">
        <w:rPr>
          <w:rFonts w:ascii="Helvetica Neue" w:hAnsi="Helvetica Neue"/>
        </w:rPr>
        <w:t xml:space="preserve"> et al. estimate the incubation time of CT as 12 days.</w:t>
      </w:r>
      <w:r w:rsidRPr="0024409C">
        <w:rPr>
          <w:rFonts w:ascii="Helvetica Neue" w:hAnsi="Helvetica Neue"/>
        </w:rPr>
        <w:fldChar w:fldCharType="begin" w:fldLock="1"/>
      </w:r>
      <w:r w:rsidR="00291558">
        <w:rPr>
          <w:rFonts w:ascii="Helvetica Neue" w:hAnsi="Helvetica Neue"/>
        </w:rPr>
        <w:instrText>ADDIN CSL_CITATION {"citationItems":[{"id":"ITEM-1","itemData":{"ISSN":"0148-5717","PMID":"16041248","abstract":"OBJECTIVE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author":[{"dropping-particle":"","family":"Welte","given":"Robert","non-dropping-particle":"","parse-names":false,"suffix":""},{"dropping-particle":"","family":"Postma","given":"Maarten","non-dropping-particle":"","parse-names":false,"suffix":""},{"dropping-particle":"","family":"Leidl","given":"Reiner","non-dropping-particle":"","parse-names":false,"suffix":""},{"dropping-particle":"","family":"Kretzschmar","given":"Mirjam","non-dropping-particle":"","parse-names":false,"suffix":""}],"container-title":"Sex Transm Dis","id":"ITEM-1","issue":"8","issued":{"date-parts":[["2005","8"]]},"page":"474-83","title":"Costs and effects of chlamydial screening: dynamic versus static modeling.","type":"article-journal","volume":"32"},"uris":["http://www.mendeley.com/documents/?uuid=e09e3f5e-a85f-4dde-85a0-b1861d31674c","http://www.mendeley.com/documents/?uuid=450d2aca-0702-33b7-a297-9c0c2cb83c3b"]}],"mendeley":{"formattedCitation":"&lt;sup&gt;43&lt;/sup&gt;","plainTextFormattedCitation":"43","previouslyFormattedCitation":"&lt;sup&gt;43&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43</w:t>
      </w:r>
      <w:r w:rsidRPr="0024409C">
        <w:rPr>
          <w:rFonts w:ascii="Helvetica Neue" w:hAnsi="Helvetica Neue"/>
        </w:rPr>
        <w:fldChar w:fldCharType="end"/>
      </w:r>
    </w:p>
    <w:p w14:paraId="1410850C" w14:textId="021AB923" w:rsidR="00EA384A" w:rsidRPr="0024409C" w:rsidRDefault="00EA384A" w:rsidP="00A5457A">
      <w:pPr>
        <w:spacing w:line="360" w:lineRule="auto"/>
        <w:rPr>
          <w:rFonts w:ascii="Helvetica Neue" w:hAnsi="Helvetica Neue"/>
        </w:rPr>
      </w:pPr>
      <w:r w:rsidRPr="0024409C">
        <w:rPr>
          <w:rFonts w:ascii="Helvetica Neue" w:hAnsi="Helvetica Neue"/>
        </w:rPr>
        <w:t>For models specifying the duration of an asymptomatic CT infection, estimates tend to cluster between 200–240 days</w:t>
      </w:r>
      <w:r w:rsidRPr="0024409C">
        <w:rPr>
          <w:rFonts w:ascii="Helvetica Neue" w:hAnsi="Helvetica Neue"/>
        </w:rPr>
        <w:fldChar w:fldCharType="begin" w:fldLock="1"/>
      </w:r>
      <w:r w:rsidR="00291558">
        <w:rPr>
          <w:rFonts w:ascii="Helvetica Neue" w:hAnsi="Helvetica Neue"/>
        </w:rPr>
        <w:instrText>ADDIN CSL_CITATION {"citationItems":[{"id":"ITEM-1","itemData":{"ISSN":"1471-2334","PMID":"23618061","abstract":"BACKGROUND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Dis","id":"ITEM-1","issued":{"date-parts":[["2013"]]},"page":"188","title":"Population movement can sustain STI prevalence in remote Australian indigenous communities.","type":"article-journal","volume":"13"},"uris":["http://www.mendeley.com/documents/?uuid=439c8ade-8864-4f5e-9dff-966b3d367e00"]},{"id":"ITEM-2","itemData":{"ISSN":"1537-4521","PMID":"24275727","abstract":"BACKGROUND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Dis","id":"ITEM-2","issue":"10","issued":{"date-parts":[["2013","10"]]},"page":"776-83","title":"Cost-effectiveness of screening men in Maricopa County jails for chlamydia and gonorrhea to avert infections in women.","type":"article-journal","volume":"40"},"uris":["http://www.mendeley.com/documents/?uuid=ffb1178c-a6e8-4076-8f5b-4bfe4e98d860"]},{"id":"ITEM-3","itemData":{"ISSN":"1537-4521","PMID":"22504590","abstract":"OBJECTIVES Model impact of increasing screening and partner notification (PN) on chlamydia positivity. METHODS We used a stochastic simulation model describing pair formation and dissolution in an age-structured heterosexual population. The model accounts for steady, casual, and concurrent partnerships and a highly sexually active core group. The model used existing sexual behavior data from the United States and was validated using chlamydia positivity data from Region X (Alaska, Idaho, Oregon, Washington). A screening program with a coverage rate of 20% was implemented among women aged 15 to 24 years. After 10 years, we increased screening coverage to 35%, 50%, and 65% and partner treatment rates from 20% to 40% and 55%. Finally, we included male screening (aged 15-24, screening coverage: 20% and 35%, partner treatment: 25% and 40%). We analyzed the effects on chlamydia positivity in women and the frequency of reinfection 6 months after treatment. RESULTS The model described the decline in positivity observed from 1988 to 1997 in Region X, given screening coverage of 20% and a 25% partner treatment rate. Increasing screening coverage from 35% to 65% resulted in incremental decreases in positivity as did increasing the PN rate; a 23% reduction in positivity was achieved by either increasing screening by 3-fold or PN by 2-fold. Adding male screening to the program had less impact than increasing screening coverage or PN among women. Increased PN and treatment reduced reinfection rates considerably. CONCLUSIONS Increasing efforts in PN may contribute at least as much to control of chlamydia infection as increasing screening coverage rates.","author":[{"dropping-particle":"","family":"Kretzschmar","given":"Mirjam","non-dropping-particle":"","parse-names":false,"suffix":""},{"dropping-particle":"","family":"Satterwhite","given":"Catherine","non-dropping-particle":"","parse-names":false,"suffix":""},{"dropping-particle":"","family":"Leichliter","given":"Jami","non-dropping-particle":"","parse-names":false,"suffix":""},{"dropping-particle":"","family":"Berman","given":"Stuart","non-dropping-particle":"","parse-names":false,"suffix":""}],"container-title":"Sex Transm Dis","id":"ITEM-3","issue":"5","issued":{"date-parts":[["2012","5"]]},"page":"325-31","title":"Effects of screening and partner notification on Chlamydia positivity in the United States: a modeling study.","type":"article-journal","volume":"39"},"uris":["http://www.mendeley.com/documents/?uuid=9e28b657-b832-4f92-822f-ede371cccbda"]},{"id":"ITEM-4","itemData":{"ISSN":"0148-5717","PMID":"16601656","abstract":"OBJECTIVE To estimate the incremental effects and costs of a home sampling screening approach for Chlamydia trachomatis over the current in-office screening practice in Denmark. GOALS To assess the effect of a new screening strategy. STUDY DESIGN A dynamic Monte Carlo model estimated prevalence and incidence over 10 years for a home sampling screening program and the current in-office screening. Subsequently, the incremental number of major outcomes averted (MOA) and the related direct and indirect costs were estimated. RESULTS Infection prevalence after 10 years was 1.0% with a home sampling program and 4.2% with the current in-office screening practice. The total costs per MOA reached 3186 US dollars during the first year of the home sampling strategy, but in year 4, the accumulated indirect costs offset the direct costs, and the program henceforth saved society costs. CONCLUSIONS Home sampling should be considered a relevant alternative to the current practice of in-office screening.","author":[{"dropping-particle":"","family":"Andersen","given":"Berit","non-dropping-particle":"","parse-names":false,"suffix":""},{"dropping-particle":"","family":"Gundgaard","given":"Jens","non-dropping-particle":"","parse-names":false,"suffix":""},{"dropping-particle":"","family":"Kretzschmar","given":"Mirjam","non-dropping-particle":"","parse-names":false,"suffix":""},{"dropping-particle":"","family":"Olsen","given":"Jens","non-dropping-particle":"","parse-names":false,"suffix":""},{"dropping-particle":"","family":"Welte","given":"Robert","non-dropping-particle":"","parse-names":false,"suffix":""},{"dropping-particle":"","family":"Oster-Gaard","given":"Lars","non-dropping-particle":"","parse-names":false,"suffix":""}],"container-title":"Sex Transm Dis","id":"ITEM-4","issue":"7","issued":{"date-parts":[["2006","7"]]},"page":"407-15","title":"Prediction of costs, effectiveness, and disease control of a population-based program using home sampling for diagnosis of urogenital Chlamydia trachomatis infections","type":"article-journal","volume":"33"},"uris":["http://www.mendeley.com/documents/?uuid=ad4655e6-1796-4a64-b0b1-a55b81b1875a"]},{"id":"ITEM-5","itemData":{"ISSN":"1471-2334","PMID":"24047261","abstract":"BACKGROUND Recent studies have found high prevalences of asymptomatic rectal chlamydia among HIV-infected men who have sex with men (MSM). Chlamydia could increase the infectivity of HIV and the susceptibility to HIV infection. We investigate the role of chlamydia in the spread of HIV among MSM and the possible impact of routine chlamydia screening among HIV-infected MSM at HIV treatment centres on the incidence of chlamydia and HIV in the overall MSM population. METHODS A mathematical model was developed to describe the transmission of HIV and chlamydia among MSM. Parameters relating to sexual behaviour were estimated from data from the Amsterdam Cohort Study among MSM. Uncertainty analysis was carried out for model parameters without confident estimates. The effects of different screening strategies for chlamydia were investigated. RESULTS Among all new HIV infections in MSM, 15% can be attributed to chlamydia infection. Introduction of routine chlamydia screening every six months among HIV-infected MSM during regular HIV consultations can reduce the incidence of both infections among MSM: after 10 years, the relative percentage reduction in chlamydia incidence would be 15% and in HIV incidence 4%, compared to the current situation. Chlamydia screening is more effective in reducing HIV incidence with more frequent screening and with higher participation of the most risky MSM in the screening program. CONCLUSIONS Chlamydia infection could contribute to the transmission of HIV among MSM. Preventive measures reducing chlamydia prevalence, such as routine chlamydia screening of HIV-infected MSM, can result in a decline in the incidence of chlamydia and HIV.","author":[{"dropping-particle":"","family":"Xiridou","given":"Maria","non-dropping-particle":"","parse-names":false,"suffix":""},{"dropping-particle":"","family":"Vriend","given":"Henrike J","non-dropping-particle":"","parse-names":false,"suffix":""},{"dropping-particle":"","family":"Lugner","given":"Anna K","non-dropping-particle":"","parse-names":false,"suffix":""},{"dropping-particle":"","family":"Wallinga","given":"Jacco","non-dropping-particle":"","parse-names":false,"suffix":""},{"dropping-particle":"","family":"Fennema","given":"Johannes S","non-dropping-particle":"","parse-names":false,"suffix":""},{"dropping-particle":"","family":"Prins","given":"Jan M","non-dropping-particle":"","parse-names":false,"suffix":""},{"dropping-particle":"","family":"Geerlings","given":"Suzanne E","non-dropping-particle":"","parse-names":false,"suffix":""},{"dropping-particle":"","family":"Rijnders","given":"Bart J A","non-dropping-particle":"","parse-names":false,"suffix":""},{"dropping-particle":"","family":"Prins","given":"Maria","non-dropping-particle":"","parse-names":false,"suffix":""},{"dropping-particle":"","family":"Vries","given":"Henry J C","non-dropping-particle":"de","parse-names":false,"suffix":""},{"dropping-particle":"","family":"Postma","given":"Maarten J","non-dropping-particle":"","parse-names":false,"suffix":""},{"dropping-particle":"","family":"Veen","given":"Maaike G","non-dropping-particle":"van","parse-names":false,"suffix":""},{"dropping-particle":"","family":"Schim van der Loeff","given":"Maarten F","non-dropping-particle":"","parse-names":false,"suffix":""},{"dropping-particle":"","family":"Sande","given":"Marianne A B","non-dropping-particle":"van der","parse-names":false,"suffix":""}],"container-title":"BMC Infect Dis","id":"ITEM-5","issued":{"date-parts":[["2013"]]},"page":"436","title":"Modelling the impact of chlamydia screening on the transmission of HIV among men who have sex with men.","type":"article-journal","volume":"13"},"uris":["http://www.mendeley.com/documents/?uuid=7ec86703-a8f1-47e5-ac4b-e7b75b8fa671"]},{"id":"ITEM-6","itemData":{"ISSN":"0002-9262","PMID":"11159151","abstract":"The design of a screening program for asymptomatic genital infections with Chlamydia trachomatis, requires decisions about which sex or age group should be targeted and whether partner referral should be included in the program. To investigate the effects of various screening programs on the prevalence and incidence of asymptomatic C. trachomatis infections in women, in May 1996 to April 1997 in Bilthoven, the Netherlands, the authors used a stochastic simulation model for C. trachomatis transmission in an age-structured, heterosexual population with a sexually highly active core group. Different screening scenarios were implemented over a time period of 10 years. Prevalence, incidence, and the fraction of infected persons found by partner referral were computed. Through screening of men and women between ages 15 and 24 years (baseline scenario), the prevalence of asymptomatic infections in women could be reduced from 4.2% to 1.4% in 10 years. Increasing the age range of screening up to ages 29 or 34 years led to prevalences of 0.4% and 0.06%, respectively, after 10 years. About 28% of all infected persons were found via partner referral. There are considerable indirect positive effects of screening on those population groups that are not included in the screening because of the reduced risk of becoming infected. Partner referral contributes substantially to prevalence reduction.","author":[{"dropping-particle":"","family":"Kretzschmar","given":"M","non-dropping-particle":"","parse-names":false,"suffix":""},{"dropping-particle":"","family":"Welte","given":"R","non-dropping-particle":"","parse-names":false,"suffix":""},{"dropping-particle":"","family":"Hoek","given":"A","non-dropping-particle":"van den","parse-names":false,"suffix":""},{"dropping-particle":"","family":"Postma","given":"M J","non-dropping-particle":"","parse-names":false,"suffix":""}],"container-title":"Am J Epidemiol","id":"ITEM-6","issue":"1","issued":{"date-parts":[["2001","1","1"]]},"page":"90-101","title":"Comparative model-based analysis of screening programs for Chlamydia trachomatis infections.","type":"article-journal","volume":"153"},"uris":["http://www.mendeley.com/documents/?uuid=37158024-4fed-4aa7-8960-1c7d1c10b124"]},{"id":"ITEM-7","itemData":{"ISSN":"0002-9262","PMID":"8686700","abstract":"A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Epidemiol","id":"ITEM-7","issue":"3","issued":{"date-parts":[["1996","8"]]},"page":"306-17","title":"Modeling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93e7454a-e118-4317-ab45-7e66a2966e79"]},{"id":"ITEM-8","itemData":{"ISSN":"1756-1833","PMID":"17656504","abstract":"OBJECTIVE To investigate the cost effectiveness of screening for Chlamydia trachomatis compared with a policy of no organised screening in the United Kingdom. DESIGN Economic evaluation using a transmission dynamic mathematical model. SETTING Central and southwest England. PARTICIPANTS Hypothetical population of 50,000 men and women, in which all those aged 16-24 years were invited to be screened each year. MAIN OUTCOME MEASURES Cost effectiveness based on major outcomes averted, defined as pelvic inflammatory disease, ectopic pregnancy, infertility, or neonatal complications. RESULTS The incremental cost per major outcome averted for a programme of screening women only (assuming eight years of screening) was 22,300 pounds (33,000 euros; $45,000) compared with no organised screening. For a programme screening both men and women, the incremental cost effectiveness ratio was approximately 28,900 pounds. Pelvic inflammatory disease leading to hospital admission was the most frequently averted major outcome. The model was highly sensitive to the incidence of major outcomes and to uptake of screening. When both were increased the cost effectiveness ratio fell to 6200 pound per major outcome averted for screening women only. CONCLUSIONS Proactive register based screening for chlamydia is not cost effective if the uptake of screening and incidence of complications are based on contemporary empirical studies, which show lower rates than commonly assumed. These data are relevant to discussions about the cost effectiveness of the opportunistic model of chlamydia screening being introduced in England.","author":[{"dropping-particle":"","family":"Roberts","given":"Tracy E","non-dropping-particle":"","parse-names":false,"suffix":""},{"dropping-particle":"","family":"Robinson","given":"Suzanne","non-dropping-particle":"","parse-names":false,"suffix":""},{"dropping-particle":"","family":"Barton","given":"Pelham M","non-dropping-particle":"","parse-names":false,"suffix":""},{"dropping-particle":"","family":"Bryan","given":"Stirling","non-dropping-particle":"","parse-names":false,"suffix":""},{"dropping-particle":"","family":"McCarthy","given":"Anne","non-dropping-particle":"","parse-names":false,"suffix":""},{"dropping-particle":"","family":"Macleod","given":"John","non-dropping-particle":"","parse-names":false,"suffix":""},{"dropping-particle":"","family":"Egger","given":"Matthias","non-dropping-particle":"","parse-names":false,"suffix":""},{"dropping-particle":"","family":"Low","given":"Nicola","non-dropping-particle":"","parse-names":false,"suffix":""}],"container-title":"BMJ","id":"ITEM-8","issue":"7614","issued":{"date-parts":[["2007","8"]]},"page":"291","title":"Cost effectiveness of home based population screening for Chlamydia trachomatis in the UK: economic evaluation of chlamydia screening studies (ClaSS) project.","type":"article-journal","volume":"335"},"uris":["http://www.mendeley.com/documents/?uuid=068ae4c2-fc1a-407c-9042-659f35956723","http://www.mendeley.com/documents/?uuid=79167eaa-7546-3c44-8cc8-210cd54f8e72","http://www.mendeley.com/documents/?uuid=45732253-fb4b-4ce3-8e72-6956596383ca"]},{"id":"ITEM-9","itemData":{"ISSN":"0148-5717","PMID":"16041248","abstract":"OBJECTIVE The objective of this study was to assess the impact of modeling type on the economic evaluation of screening programs for asymptomatic Chlamydia trachomatis infections. STUDY We compared a stochastic network simulation model (dynamic model) with a decision analysis model (static model) for estimating the cost-effectiveness of an opportunistic screening program. The influence of the model type on the required data, the computed results, and the sensitivity of model parameters were investigated. RESULTS When compared with static modeling, dynamic modeling yielded different cost-effectiveness ratios and identified other optimal screening strategies as it considers changes in the force of infection caused by screening. However, it is more complex, data- and time-demanding, and more sensitive to some parameters affecting the force of infection than static modeling. CONCLUSIONS Dynamic models should be applied for the economic evaluation of prevention measures that have the potential to lower the force of infection such as large-scale chlamydial screening programs.","author":[{"dropping-particle":"","family":"Welte","given":"Robert","non-dropping-particle":"","parse-names":false,"suffix":""},{"dropping-particle":"","family":"Postma","given":"Maarten","non-dropping-particle":"","parse-names":false,"suffix":""},{"dropping-particle":"","family":"Leidl","given":"Reiner","non-dropping-particle":"","parse-names":false,"suffix":""},{"dropping-particle":"","family":"Kretzschmar","given":"Mirjam","non-dropping-particle":"","parse-names":false,"suffix":""}],"container-title":"Sex Transm Dis","id":"ITEM-9","issue":"8","issued":{"date-parts":[["2005","8"]]},"page":"474-83","title":"Costs and effects of chlamydial screening: dynamic versus static modeling.","type":"article-journal","volume":"32"},"uris":["http://www.mendeley.com/documents/?uuid=e09e3f5e-a85f-4dde-85a0-b1861d31674c","http://www.mendeley.com/documents/?uuid=450d2aca-0702-33b7-a297-9c0c2cb83c3b","http://www.mendeley.com/documents/?uuid=aabdde68-9f37-4f57-a5c9-8f8d2c187b37"]}],"mendeley":{"formattedCitation":"&lt;sup&gt;41–43,50,53,57,67,68,70&lt;/sup&gt;","plainTextFormattedCitation":"41–43,50,53,57,67,68,70","previouslyFormattedCitation":"&lt;sup&gt;41–43,50,53,57,67,68,70&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41–43,50,53,57,67,68,70</w:t>
      </w:r>
      <w:r w:rsidRPr="0024409C">
        <w:rPr>
          <w:rFonts w:ascii="Helvetica Neue" w:hAnsi="Helvetica Neue"/>
        </w:rPr>
        <w:fldChar w:fldCharType="end"/>
      </w:r>
      <w:r w:rsidRPr="0024409C">
        <w:rPr>
          <w:rFonts w:ascii="Helvetica Neue" w:hAnsi="Helvetica Neue"/>
        </w:rPr>
        <w:t xml:space="preserve"> and 433–497 days.</w:t>
      </w:r>
      <w:r w:rsidRPr="0024409C">
        <w:rPr>
          <w:rFonts w:ascii="Helvetica Neue" w:hAnsi="Helvetica Neue"/>
        </w:rPr>
        <w:fldChar w:fldCharType="begin" w:fldLock="1"/>
      </w:r>
      <w:r w:rsidR="00291558">
        <w:rPr>
          <w:rFonts w:ascii="Helvetica Neue" w:hAnsi="Helvetica Neue"/>
        </w:rPr>
        <w:instrText>ADDIN CSL_CITATION {"citationItems":[{"id":"ITEM-1","itemData":{"ISSN":"1878-0067","PMID":"21352783","abstract":"To assess the impact of screening programmes in reducing the prevalence of Chlamydia trachomatis, mathematical and computational models are used as a guideline for decision support. Unfortunately, large uncertainties exist about the parameters that determine the transmission dynamics of C. trachomatis. Here, we use a SEIRS (susceptible-exposed-infected-recovered-susceptible) model to critically analyze the turnover of C. trachomatis in a population and the impact of a screening programme. We perform a sensitivity analysis on the most important steps during an infection with C. trachomatis. Varying the fraction of the infections becoming symptomatic as well as the duration of the symptomatic period within the range of previously used parameter estimates has little effect on the transmission dynamics. However, uncertainties in the duration of temporary immunity and the asymptomatic period can result in large differences in the predicted impact of a screening programme. We therefore analyze previously published data on the persistence of asymptomatic C. trachomatis infection in women and estimate the mean duration of the asymptomatic period to be longer than anticipated so far, namely 433 days (95% CI: 420-447 days). Our study shows that a longer duration of the asymptomatic period results in a more pronounced impact of a screening programme. However, due to the slower turnover of the infection, a substantial reduction in prevalence can only be achieved after screening for several years or decades.","author":[{"dropping-particle":"","family":"Althaus","given":"Christian L","non-dropping-particle":"","parse-names":false,"suffix":""},{"dropping-particle":"","family":"Heijne","given":"Janneke C M","non-dropping-particle":"","parse-names":false,"suffix":""},{"dropping-particle":"","family":"Roellin","given":"Adrian","non-dropping-particle":"","parse-names":false,"suffix":""},{"dropping-particle":"","family":"Low","given":"Nicola","non-dropping-particle":"","parse-names":false,"suffix":""}],"container-title":"Epidemics","id":"ITEM-1","issue":"3","issued":{"date-parts":[["2010","9"]]},"page":"123-31","title":"Transmission dynamics of Chlamydia trachomatis affect the impact of screening programmes.","type":"article-journal","volume":"2"},"uris":["http://www.mendeley.com/documents/?uuid=e50fde79-d768-4fd0-98ed-5f5a7ea8b9d1"]},{"id":"ITEM-2","itemData":{"ISSN":"1932-6203","PMID":"23527005","abstract":"BACKGROUND A large trial to investigate the effectiveness of population based screening for chlamydia infections was conducted in the Netherlands in 2008-2012. The trial was register based and consisted of four rounds of screening of women and men in the age groups 16-29 years in three regions in the Netherlands. Data were collected on participation rates and positivity rates per round. A modeling study was conducted to project screening effects for various screening strategies into the future. METHODS AND FINDINGS We used a stochastic network simulation model incorporating partnership formation and dissolution, aging and a sexual life course perspective. Trends in baseline rates of chlamydia testing and treatment were used to describe the epidemiological situation before the start of the screening program. Data on participation rates was used to describe screening uptake in rural and urban areas. Simulations were used to project the effectiveness of screening on chlamydia prevalence for a time period of 10 years. In addition, we tested alternative screening strategies, such as including only women, targeting different age groups, and biennial screening. Screening reduced prevalence by about 1% in the first two screening rounds and leveled off after that. Extrapolating observed participation rates into the future indicated very low participation in the long run. Alternative strategies only marginally changed the effectiveness of screening. Higher participation rates as originally foreseen in the program would have succeeded in reducing chlamydia prevalence to very low levels in the long run. CONCLUSIONS Decreasing participation rates over time profoundly impact the effectiveness of population based screening for chlamydia infections. Using data from several consecutive rounds of screening in a simulation model enabled us to assess the future effectiveness of screening on prevalence. If participation rates cannot be kept at a sufficient level, the effectiveness of screening on prevalence will remain limited.","author":[{"dropping-particle":"V","family":"Schmid","given":"Boris","non-dropping-particle":"","parse-names":false,"suffix":""},{"dropping-particle":"","family":"Over","given":"Eelco A B","non-dropping-particle":"","parse-names":false,"suffix":""},{"dropping-particle":"","family":"Broek","given":"Ingrid V F","non-dropping-particle":"van den","parse-names":false,"suffix":""},{"dropping-particle":"","family":"Coul","given":"Eline L M","non-dropping-particle":"Op de","parse-names":false,"suffix":""},{"dropping-particle":"","family":"Bergen","given":"Jan E A M","non-dropping-particle":"van","parse-names":false,"suffix":""},{"dropping-particle":"","family":"Fennema","given":"Johan S A","non-dropping-particle":"","parse-names":false,"suffix":""},{"dropping-particle":"","family":"Götz","given":"Hannelore M","non-dropping-particle":"","parse-names":false,"suffix":""},{"dropping-particle":"","family":"Hoebe","given":"Christian J P A","non-dropping-particle":"","parse-names":false,"suffix":""},{"dropping-particle":"","family":"Wit","given":"G Ardine","non-dropping-particle":"de","parse-names":false,"suffix":""},{"dropping-particle":"","family":"Sande","given":"Marianne A B","non-dropping-particle":"van der","parse-names":false,"suffix":""},{"dropping-particle":"","family":"Kretzschmar","given":"Mirjam E E","non-dropping-particle":"","parse-names":false,"suffix":""}],"container-title":"PloS One","id":"ITEM-2","issue":"3","issued":{"date-parts":[["2013"]]},"page":"e58674","title":"Effects of population based screening for Chlamydia infections in the Netherlands limited by declining participation rates.","type":"article-journal","volume":"8"},"uris":["http://www.mendeley.com/documents/?uuid=b7c5011a-ab95-4c43-aaa8-4cb74bf719e5"]},{"id":"ITEM-3","itemData":{"ISSN":"1553-7358","PMID":"22570594","abstract":"There are four major quantities that are measured in sexual behavior surveys that are thought to be especially relevant for the performance of sexual network models in terms of disease transmission. These are (i) the cumulative distribution of lifetime number of partners, (ii) the distribution of partnership durations, (iii) the distribution of gap lengths between partnerships, and (iv) the number of recent partners. Fitting a network model to these quantities as measured in sexual behavior surveys is expected to result in a good description of Chlamydia trachomatis transmission in terms of the heterogeneity of the distribution of infection in the population. Here we present a simulation model of a sexual contact network, in which we explored the role of behavioral heterogeneity of simulated individuals on the ability of the model to reproduce population-level sexual survey data from the Netherlands and UK. We find that a high level of heterogeneity in the ability of individuals to acquire and maintain (additional) partners strongly facilitates the ability of the model to accurately simulate the powerlaw-like distribution of the lifetime number of partners, and the age at which these partnerships were accumulated, as surveyed in actual sexual contact networks. Other sexual network features, such as the gap length between partnerships and the partnership duration, could-at the current level of detail of sexual survey data against which they were compared-be accurately modeled by a constant value (for transitional concurrency) and by exponential distributions (for partnership duration). Furthermore, we observe that epidemiological measures on disease prevalence in survey data can be used as a powerful tool for building accurate sexual contact networks, as these measures provide information on the level of mixing between individuals of different levels of sexual activity in the population, a parameter that is hard to acquire through surveying individuals.","author":[{"dropping-particle":"V","family":"Schmid","given":"Boris","non-dropping-particle":"","parse-names":false,"suffix":""},{"dropping-particle":"","family":"Kretzschmar","given":"Mirjam","non-dropping-particle":"","parse-names":false,"suffix":""}],"container-title":"PLoS Comput Biol","id":"ITEM-3","issue":"4","issued":{"date-parts":[["2012"]]},"page":"e1002470","title":"Determinants of sexual network structure and their impact on cumulative network measures.","type":"article-journal","volume":"8"},"uris":["http://www.mendeley.com/documents/?uuid=a1e755bd-090b-4a64-adb0-52e0b3ce18c7","http://www.mendeley.com/documents/?uuid=5decc760-231c-3da7-ae50-cbe56f48b440","http://www.mendeley.com/documents/?uuid=e640dd2d-a1f6-49d9-a8e9-22b9cad56bb2"]},{"id":"ITEM-4","itemData":{"ISSN":"1742-4682","PMID":"24476335","abstract":"Transmission dynamic models linked to economic analyses often form part of the decision making process when introducing new chlamydia screening interventions. Outputs from these transmission dynamic models can vary depending on the values of the parameters used to describe the infection. Therefore these values can have an important influence on policy and resource allocation. The risk of progression from infection to pelvic inflammatory disease has been extensively studied but the parameters which govern the transmission dynamics are frequently neglected. We conducted a systematic review of transmission dynamic models linked to economic analyses of chlamydia screening interventions to critically assess the source and variability of the proportion of infections that are asymptomatic, the duration of infection and the transmission probability. We identified nine relevant studies in Pubmed, Embase and the Cochrane database. We found that there is a wide variation in their natural history parameters, including an absolute difference in the proportion of asymptomatic infections of 25% in women and 75% in men, a six-fold difference in the duration of asymptomatic infection and a four-fold difference in the per act transmission probability. We consider that much of this variation can be explained by a lack of consensus in the literature. We found that a significant proportion of parameter values were referenced back to the early chlamydia literature, before the introduction of nucleic acid modes of diagnosis and the widespread testing of asymptomatic individuals. In conclusion, authors should use high quality contemporary evidence to inform their parameter values, clearly document their assumptions and make appropriate use of sensitivity analysis. This will help to make models more transparent and increase their utility to policy makers.","author":[{"dropping-particle":"","family":"Davies","given":"Bethan","non-dropping-particle":"","parse-names":false,"suffix":""},{"dropping-particle":"","family":"Anderson","given":"Sarah-Jane","non-dropping-particle":"","parse-names":false,"suffix":""},{"dropping-particle":"","family":"Turner","given":"Katy M E","non-dropping-particle":"","parse-names":false,"suffix":""},{"dropping-particle":"","family":"Ward","given":"Helen","non-dropping-particle":"","parse-names":false,"suffix":""}],"container-title":"Theor Biol Med Model","id":"ITEM-4","issued":{"date-parts":[["2014"]]},"page":"8","title":"How robust are the natural history parameters used in chlamydia transmission dynamic models? A systematic review.","type":"article-journal","volume":"11"},"uris":["http://www.mendeley.com/documents/?uuid=f90fe104-71cf-4538-a950-a8847e13cd93"]}],"mendeley":{"formattedCitation":"&lt;sup&gt;51,59,69,102&lt;/sup&gt;","plainTextFormattedCitation":"51,59,69,102","previouslyFormattedCitation":"&lt;sup&gt;51,59,69,102&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51,59,69,102</w:t>
      </w:r>
      <w:r w:rsidRPr="0024409C">
        <w:rPr>
          <w:rFonts w:ascii="Helvetica Neue" w:hAnsi="Helvetica Neue"/>
        </w:rPr>
        <w:fldChar w:fldCharType="end"/>
      </w:r>
      <w:r w:rsidRPr="0024409C">
        <w:rPr>
          <w:rFonts w:ascii="Helvetica Neue" w:hAnsi="Helvetica Neue"/>
        </w:rPr>
        <w:t xml:space="preserve"> Some models estimated 180 days,</w:t>
      </w:r>
      <w:r w:rsidRPr="0024409C">
        <w:rPr>
          <w:rFonts w:ascii="Helvetica Neue" w:hAnsi="Helvetica Neue"/>
        </w:rPr>
        <w:fldChar w:fldCharType="begin" w:fldLock="1"/>
      </w:r>
      <w:r w:rsidR="00291558">
        <w:rPr>
          <w:rFonts w:ascii="Helvetica Neue" w:hAnsi="Helvetica Neue"/>
        </w:rPr>
        <w:instrText>ADDIN CSL_CITATION {"citationItems":[{"id":"ITEM-1","itemData":{"ISSN":"1742-4682","PMID":"16426453","abstract":"BACKGROUND A national chlamydia screening programme is currently being rolled out in the UK and other countries. However, much of the epidemiology remains poorly understood. In this paper we present a stochastic, individual based, dynamic sexual network model of chlamydia transmission and its parameterisation. Mathematical models provide a theoretical framework for understanding the key epidemiological features of chlamydia: sexual behaviour, health care seeking and transmission dynamics. RESULTS The model parameters were estimated either directly or by systematic fitting to a variety of appropriate data sources. The fitted model was representative of sexual behaviour, chlamydia epidemiology and health care use in England. We were able to recapture the observed age distribution of chlamydia prevalence. CONCLUSION Estimating parameters for models of sexual behaviour and transmission of chlamydia is complex. Most of the parameter values are highly correlated, highly variable and there is little empirical evidence to inform estimates. We used a novel approach to estimate the rate of active treatment seeking, by combining data sources, which improved the credibility of the model results. The model structure is flexible and is broadly applicable to other developed world settings and provides a practical tool for public health decision makers.","author":[{"dropping-particle":"","family":"Turner","given":"Katherine M E","non-dropping-particle":"","parse-names":false,"suffix":""},{"dropping-particle":"","family":"Adams","given":"Elisabeth J","non-dropping-particle":"","parse-names":false,"suffix":""},{"dropping-particle":"","family":"Gay","given":"Nigel","non-dropping-particle":"","parse-names":false,"suffix":""},{"dropping-particle":"","family":"Ghani","given":"Azra C","non-dropping-particle":"","parse-names":false,"suffix":""},{"dropping-particle":"","family":"Mercer","given":"Catherine","non-dropping-particle":"","parse-names":false,"suffix":""},{"dropping-particle":"","family":"Edmunds","given":"W John","non-dropping-particle":"","parse-names":false,"suffix":""}],"container-title":"Theor Biol Med Model","id":"ITEM-1","issued":{"date-parts":[["2006"]]},"page":"3","title":"Developing a realistic sexual network model of chlamydia transmission in Britain.","type":"article-journal","volume":"3"},"uris":["http://www.mendeley.com/documents/?uuid=d5089e58-930f-47f0-8958-55ecbfb070a5"]},{"id":"ITEM-2","itemData":{"ISSN":"1873-2607","PMID":"26952078","abstract":"INTRODUCTION In spite of chlamydia screening recommendations, U.S. testing coverage continues to be low. This study explored the cost-effectiveness of a patient-directed, universal, opportunistic Opt-Out Testing strategy (based on insurance coverage, healthcare utilization, and test acceptance probabilities) for all women aged 15-24 years compared with current Risk-Based Screening (30% coverage) from a societal perspective. METHODS Based on insurance coverage (80%); healthcare utilization (83%); and test acceptance (75%), the proposed Opt-Out Testing strategy would have an expected annual testing coverage of approximately 50% for sexually active women aged 15-24 years. A basic compartmental heterosexual transmission model was developed to account for population-level transmission dynamics. Two groups were assumed based on self-reported sexual activity. All model parameters were obtained from the literature. Costs and benefits were tracked over a 50-year period. The relative sensitivity of the estimated incremental cost-effectiveness ratios to the variables/parameters was determined. This study was conducted in 2014-2015. RESULTS Based on the model, the Opt-Out Testing strategy decreased the overall chlamydia prevalence by &gt;55% (2.7% to 1.2%). The Opt-Out Testing strategy was cost saving compared with the current Risk-Based Screening strategy. The estimated incremental cost-effectiveness ratio was most sensitive to the female pre-opt out prevalence, followed by the probability of female sequelae and discount rate. CONCLUSIONS The proposed Opt-Out Testing strategy was cost saving, improving health outcomes at a lower net cost than current testing. However, testing gaps would remain because many women might not have health insurance coverage, or not utilize health care.","author":[{"dropping-particle":"","family":"Owusu-Edusei","given":"Kwame","non-dropping-particle":"","parse-names":false,"suffix":""},{"dropping-particle":"","family":"Hoover","given":"Karen W","non-dropping-particle":"","parse-names":false,"suffix":""},{"dropping-particle":"","family":"Gift","given":"Thomas L","non-dropping-particle":"","parse-names":false,"suffix":""}],"container-title":"Am J Prev Med","id":"ITEM-2","issue":"2","issued":{"date-parts":[["2016","8"]]},"page":"216-24","title":"Cost-effectiveness of opt-out chlamydia testing for high-risk young women in the US","type":"article-journal","volume":"51"},"uris":["http://www.mendeley.com/documents/?uuid=9fdf9f8a-a31a-4318-b59a-dcc965726109"]}],"mendeley":{"formattedCitation":"&lt;sup&gt;44,64&lt;/sup&gt;","plainTextFormattedCitation":"44,64","previouslyFormattedCitation":"&lt;sup&gt;44,64&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44,64</w:t>
      </w:r>
      <w:r w:rsidRPr="0024409C">
        <w:rPr>
          <w:rFonts w:ascii="Helvetica Neue" w:hAnsi="Helvetica Neue"/>
        </w:rPr>
        <w:fldChar w:fldCharType="end"/>
      </w:r>
      <w:r w:rsidRPr="0024409C">
        <w:rPr>
          <w:rFonts w:ascii="Helvetica Neue" w:hAnsi="Helvetica Neue"/>
        </w:rPr>
        <w:t xml:space="preserve"> 365 days,</w:t>
      </w:r>
      <w:r w:rsidRPr="0024409C">
        <w:rPr>
          <w:rFonts w:ascii="Helvetica Neue" w:hAnsi="Helvetica Neue"/>
        </w:rPr>
        <w:fldChar w:fldCharType="begin" w:fldLock="1"/>
      </w:r>
      <w:r w:rsidR="00665BF2">
        <w:rPr>
          <w:rFonts w:ascii="Helvetica Neue" w:hAnsi="Helvetica Neue"/>
        </w:rPr>
        <w:instrText>ADDIN CSL_CITATION {"citationItems":[{"id":"ITEM-1","itemData":{"ISSN":"1098-3015","PMID":"16441519","abstract":"OBJECTIVE To estimate the cost-effectiveness of a systematic one-off Chlamydia trachomatis (CT) screening program including partner treatment for Dutch young adults. METHODS Data on infection prevalence, participation rates, and sexual behavior were obtained from a large pilot study conducted in The Netherlands. Opposite to almost all previous economic evaluations of CT screening, we developed a dynamic Susceptible-Infected-Susceptible (SIS) model to estimate the impact of the screening program on the incidence and prevalence of CT in the population. SIS models are widely used in epidemiology of infectious diseases, for modeling the transmission dynamics over time. Subsequently, a predictive decision model was used to calculate the complications averted by the screening program. Cost-effectiveness was expressed as the net costs per major outcome averted (MOA) and was estimated in the baseline analysis and in sensitivity analysis. RESULTS The overall prevalence decreased from 1.79% to 1.05% as a result of the screening program directed at both men and women. The program costs were mainly offset by the averted costs, although not fully. Resulting net costs per MOA were 373 euro sin the baseline analysis. Sensitivity analysis showed that partner treatment and sending a reminder are important aspects improving cost-effectiveness. Additionally, restricting the screening to women only was estimated to save costs. CONCLUSIONS Our cost-effectiveness analysis shows that the Dutch society has net to pay for the prevention of CT-complications through screening young men and women. One could argue although that 373 euros per MOA presents a reasonable cost. A screening program consisting of screening women only should always be adopted from a pharmacoeconomic point of view. Our dynamic approach appreciates better the specific characteristics of an infectious disease, such as CT.","author":[{"dropping-particle":"","family":"Vries","given":"Robin","non-dropping-particle":"de","parse-names":false,"suffix":""},{"dropping-particle":"","family":"Bergen","given":"Jan E A M","non-dropping-particle":"van","parse-names":false,"suffix":""},{"dropping-particle":"","family":"Jong-van den Berg","given":"Lolkje T W","non-dropping-particle":"de","parse-names":false,"suffix":""},{"dropping-particle":"","family":"Postma","given":"Maarten J","non-dropping-particle":"","parse-names":false,"suffix":""},{"dropping-particle":"","family":"PILOT-CT Study Group","given":"","non-dropping-particle":"","parse-names":false,"suffix":""}],"container-title":"Value Health","id":"ITEM-1","issue":"1","issued":{"date-parts":[["2006"]]},"page":"1-11","title":"Systematic screening for Chlamydia trachomatis: estimating cost-effectiveness using dynamic modeling and Dutch data.","type":"article-journal","volume":"9"},"uris":["http://www.mendeley.com/documents/?uuid=61604c03-0238-4209-a717-7a9a4a4c0970","http://www.mendeley.com/documents/?uuid=e6b2746c-5513-35bc-a1ee-f7a7254cb93e"]}],"mendeley":{"formattedCitation":"&lt;sup&gt;65&lt;/sup&gt;","plainTextFormattedCitation":"65","previouslyFormattedCitation":"&lt;sup&gt;65&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65</w:t>
      </w:r>
      <w:r w:rsidRPr="0024409C">
        <w:rPr>
          <w:rFonts w:ascii="Helvetica Neue" w:hAnsi="Helvetica Neue"/>
        </w:rPr>
        <w:fldChar w:fldCharType="end"/>
      </w:r>
      <w:r w:rsidRPr="0024409C">
        <w:rPr>
          <w:rFonts w:ascii="Helvetica Neue" w:hAnsi="Helvetica Neue"/>
        </w:rPr>
        <w:t xml:space="preserve"> or 622 days,</w:t>
      </w:r>
      <w:r w:rsidRPr="0024409C">
        <w:rPr>
          <w:rFonts w:ascii="Helvetica Neue" w:hAnsi="Helvetica Neue"/>
        </w:rPr>
        <w:fldChar w:fldCharType="begin" w:fldLock="1"/>
      </w:r>
      <w:r w:rsidR="00291558">
        <w:rPr>
          <w:rFonts w:ascii="Helvetica Neue" w:hAnsi="Helvetica Neue"/>
        </w:rPr>
        <w:instrText>ADDIN CSL_CITATION {"citationItems":[{"id":"ITEM-1","itemData":{"ISSN":"1365-3156","PMID":"22035250","abstract":"OBJECTIVES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Health","id":"ITEM-1","issue":"2","issued":{"date-parts":[["2012","2"]]},"page":"161-8","title":"The role of sexually transmitted infections in the evolution of the South African HIV epidemic.","type":"article-journal","volume":"17"},"uris":["http://www.mendeley.com/documents/?uuid=0e1ea8f2-849f-41da-864c-66e864358726"]},{"id":"ITEM-2","itemData":{"ISSN":"1368-4973","author":[{"dropping-particle":"","family":"Johnson","given":"L.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Infect","id":"ITEM-2","issue":"3","issued":{"date-parts":[["2010","6","1"]]},"page":"169-174","title":"A Bayesian approach to uncertainty analysis of sexually transmitted infection models","type":"article-journal","volume":"86"},"uris":["http://www.mendeley.com/documents/?uuid=31e9dca7-f246-4670-9001-4c78d9774ec7"]}],"mendeley":{"formattedCitation":"&lt;sup&gt;39,45&lt;/sup&gt;","plainTextFormattedCitation":"39,45","previouslyFormattedCitation":"&lt;sup&gt;39,45&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39,45</w:t>
      </w:r>
      <w:r w:rsidRPr="0024409C">
        <w:rPr>
          <w:rFonts w:ascii="Helvetica Neue" w:hAnsi="Helvetica Neue"/>
        </w:rPr>
        <w:fldChar w:fldCharType="end"/>
      </w:r>
      <w:r w:rsidRPr="0024409C">
        <w:rPr>
          <w:rFonts w:ascii="Helvetica Neue" w:hAnsi="Helvetica Neue"/>
        </w:rPr>
        <w:t xml:space="preserve"> reflecting a range of uncertainty. Beck et al.</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have estimated 240 days for urethral infection and 497 days for rectal infection. Given this uncertainty, we established a prior distribution of </w:t>
      </w:r>
      <w:r w:rsidR="00B3585F">
        <w:rPr>
          <w:rFonts w:ascii="Helvetica Neue" w:hAnsi="Helvetica Neue"/>
        </w:rPr>
        <w:t>26</w:t>
      </w:r>
      <w:r w:rsidRPr="0024409C">
        <w:rPr>
          <w:rFonts w:ascii="Helvetica Neue" w:hAnsi="Helvetica Neue"/>
        </w:rPr>
        <w:t xml:space="preserve">–65 weeks for the duration of asymptomatic rectal or urethral CT infection. </w:t>
      </w:r>
      <w:r w:rsidR="00060AE0" w:rsidRPr="0024409C">
        <w:rPr>
          <w:rFonts w:ascii="Helvetica Neue" w:hAnsi="Helvetica Neue"/>
        </w:rPr>
        <w:t>These resulted in posterior values of 44.2</w:t>
      </w:r>
      <w:r w:rsidR="00060AE0">
        <w:rPr>
          <w:rFonts w:ascii="Helvetica Neue" w:hAnsi="Helvetica Neue"/>
        </w:rPr>
        <w:t>8</w:t>
      </w:r>
      <w:r w:rsidR="00060AE0" w:rsidRPr="0024409C">
        <w:rPr>
          <w:rFonts w:ascii="Helvetica Neue" w:hAnsi="Helvetica Neue"/>
        </w:rPr>
        <w:t xml:space="preserve"> weeks, or </w:t>
      </w:r>
      <w:r w:rsidR="00060AE0">
        <w:rPr>
          <w:rFonts w:ascii="Helvetica Neue" w:hAnsi="Helvetica Neue"/>
        </w:rPr>
        <w:t xml:space="preserve">about </w:t>
      </w:r>
      <w:r w:rsidR="00060AE0" w:rsidRPr="0024409C">
        <w:rPr>
          <w:rFonts w:ascii="Helvetica Neue" w:hAnsi="Helvetica Neue"/>
        </w:rPr>
        <w:t>310 days</w:t>
      </w:r>
      <w:r w:rsidR="00060AE0">
        <w:rPr>
          <w:rFonts w:ascii="Helvetica Neue" w:hAnsi="Helvetica Neue"/>
        </w:rPr>
        <w:t>,</w:t>
      </w:r>
      <w:r w:rsidR="00060AE0" w:rsidRPr="0024409C">
        <w:rPr>
          <w:rFonts w:ascii="Helvetica Neue" w:hAnsi="Helvetica Neue"/>
        </w:rPr>
        <w:t xml:space="preserve"> </w:t>
      </w:r>
      <w:r w:rsidRPr="0024409C">
        <w:rPr>
          <w:rFonts w:ascii="Helvetica Neue" w:hAnsi="Helvetica Neue"/>
        </w:rPr>
        <w:t>for the duration of asymptomatic CT infection</w:t>
      </w:r>
      <w:r w:rsidR="0003703E" w:rsidRPr="0024409C">
        <w:rPr>
          <w:rFonts w:ascii="Helvetica Neue" w:hAnsi="Helvetica Neue"/>
        </w:rPr>
        <w:t>, consistent with our previous STI model.</w:t>
      </w:r>
      <w:r w:rsidR="0003703E" w:rsidRPr="0024409C">
        <w:rPr>
          <w:rFonts w:ascii="Helvetica Neue" w:hAnsi="Helvetica Neue"/>
        </w:rPr>
        <w:fldChar w:fldCharType="begin" w:fldLock="1"/>
      </w:r>
      <w:r w:rsidR="00665BF2">
        <w:rPr>
          <w:rFonts w:ascii="Helvetica Neue" w:hAnsi="Helvetica Neue"/>
        </w:rPr>
        <w:instrText>ADDIN CSL_CITATION {"citationItems":[{"id":"ITEM-1","itemData":{"ISSN":"1058-4838","PMID":"28505240","abstract":"Background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Diseases","id":"ITEM-1","issue":"5","issued":{"date-parts":[["2017","5","13"]]},"page":"712-718","title":"Incidence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5&lt;/sup&gt;","plainTextFormattedCitation":"5","previouslyFormattedCitation":"&lt;sup&gt;5&lt;/sup&gt;"},"properties":{"noteIndex":0},"schema":"https://github.com/citation-style-language/schema/raw/master/csl-citation.json"}</w:instrText>
      </w:r>
      <w:r w:rsidR="0003703E" w:rsidRPr="0024409C">
        <w:rPr>
          <w:rFonts w:ascii="Helvetica Neue" w:hAnsi="Helvetica Neue"/>
        </w:rPr>
        <w:fldChar w:fldCharType="separate"/>
      </w:r>
      <w:r w:rsidR="0003703E" w:rsidRPr="0024409C">
        <w:rPr>
          <w:rFonts w:ascii="Helvetica Neue" w:hAnsi="Helvetica Neue"/>
          <w:noProof/>
          <w:vertAlign w:val="superscript"/>
        </w:rPr>
        <w:t>5</w:t>
      </w:r>
      <w:r w:rsidR="0003703E" w:rsidRPr="0024409C">
        <w:rPr>
          <w:rFonts w:ascii="Helvetica Neue" w:hAnsi="Helvetica Neue"/>
        </w:rPr>
        <w:fldChar w:fldCharType="end"/>
      </w:r>
    </w:p>
    <w:p w14:paraId="135D153F" w14:textId="14BF2E68" w:rsidR="00E23942" w:rsidRPr="0024409C" w:rsidRDefault="00E23942" w:rsidP="00777796">
      <w:pPr>
        <w:pStyle w:val="Heading2"/>
        <w:rPr>
          <w:rFonts w:ascii="Helvetica Neue" w:hAnsi="Helvetica Neue"/>
          <w:szCs w:val="22"/>
        </w:rPr>
      </w:pPr>
      <w:bookmarkStart w:id="47" w:name="_Toc2361397"/>
      <w:r w:rsidRPr="0024409C">
        <w:rPr>
          <w:rFonts w:ascii="Helvetica Neue" w:hAnsi="Helvetica Neue"/>
          <w:szCs w:val="22"/>
        </w:rPr>
        <w:t>10.2</w:t>
      </w:r>
      <w:r w:rsidRPr="0024409C">
        <w:rPr>
          <w:rFonts w:ascii="Helvetica Neue" w:hAnsi="Helvetica Neue"/>
          <w:szCs w:val="22"/>
        </w:rPr>
        <w:tab/>
      </w:r>
      <w:r w:rsidRPr="0024409C">
        <w:rPr>
          <w:rFonts w:ascii="Helvetica Neue" w:hAnsi="Helvetica Neue"/>
          <w:szCs w:val="22"/>
        </w:rPr>
        <w:tab/>
        <w:t>Duration of Gonorrhea Infection</w:t>
      </w:r>
      <w:bookmarkEnd w:id="47"/>
    </w:p>
    <w:p w14:paraId="13C068BB" w14:textId="10DE48D6" w:rsidR="00A5457A" w:rsidRDefault="00EA384A" w:rsidP="00A5457A">
      <w:pPr>
        <w:spacing w:line="360" w:lineRule="auto"/>
        <w:rPr>
          <w:rFonts w:ascii="Helvetica Neue" w:hAnsi="Helvetica Neue"/>
        </w:rPr>
      </w:pPr>
      <w:r w:rsidRPr="0024409C">
        <w:rPr>
          <w:rFonts w:ascii="Helvetica Neue" w:hAnsi="Helvetica Neue"/>
        </w:rPr>
        <w:t>Estimates of NG duration have also varied widely depending on whether the infection was symptomatic. STI and HIV/STI models have modeled the duration of symptomatic NG infection as bimodal, with some estimates as low as 12–13 days,</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STIs","type":"article-journal","volume":"70"},"uris":["http://www.mendeley.com/documents/?uuid=cce0386d-0de1-4180-8bc8-5bad7d021421"]},{"id":"ITEM-2","itemData":{"ISSN":"0148-5717","PMID":"18446084","abstract":"OBJECTIVE Both the duration of sexual partnerships and the time between two consecutive partnerships (gap length) varies between populations. We use a mathematical model with multiple partnership durations and gap lengths to identify the types of relationship cycles that sustain gonorrhea transmission in the United Kingdom. STUDY DESIGN A mathematical model for gonorrhea transmission was constructed which tracks the duration of partnerships and their preceding gap lengths. The National Survey of Sexual Attitudes and Lifestyles was used to parameterize the model population into 5 different partnership lengths (mean of 1 day, 2 weeks, 8 weeks, 30 weeks, and 10 years) and 3 preceding gap lengths (14 days, 8 weeks, and 1.5 years). RESULTS The model was able to reproduce patterns of gonococcal infection in the United Kingdom. Assortative (like-with-like) mixing of individuals with short gaps between partnerships was required for gonorrhea infection to persist. Prevalence was highest in individuals with short (&gt;1 day-&lt;1 month) and midterm partnership durations (&gt;1 month-&lt;3 months). Interventions (such as increased condom use) targeted at those with medium-term partnerships were most effective at reducing prevalence; in contrast targeting interventions at those with short partnerships but longer gap lengths (i.e., the group with the highest number of sexual partners) had relatively less impact. CONCLUSION Our model suggests that gonorrhea is sustained by the presence of a small group of individuals with short gap lengths and medium length partnerships. Interventions targeted at this group are more effective than those targeted at individuals with high numbers of sexual partners but longer gap lengths.","author":[{"dropping-particle":"","family":"Chen","given":"Mark I","non-dropping-particle":"","parse-names":false,"suffix":""},{"dropping-particle":"","family":"Ghani","given":"Azra C","non-dropping-particle":"","parse-names":false,"suffix":""},{"dropping-particle":"","family":"Edmunds","given":"John","non-dropping-particle":"","parse-names":false,"suffix":""}],"container-title":"Sex Transm Dis","id":"ITEM-2","issue":"5","issued":{"date-parts":[["2008","5"]]},"page":"435-44","title":"Mind the gap: the role of time between sex with two consecutive partners on the transmission dynamics of gonorrhea.","type":"article-journal","volume":"35"},"uris":["http://www.mendeley.com/documents/?uuid=bd0cdbab-ee77-44b3-893c-f837cf17d3b1"]},{"id":"ITEM-3","itemData":{"ISSN":"0962-8436","PMID":"10365404","abstract":"A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Sci","id":"ITEM-3","issue":"1384","issued":{"date-parts":[["1999","4"]]},"page":"787-97","title":"The transmission dynamics of gonorrhoea: modelling the reported behaviour of infected patients from Newark, New Jersey.","type":"article-journal","volume":"354"},"uris":["http://www.mendeley.com/documents/?uuid=a0924c6a-947c-4c24-a77d-49f8d1ee76f0","http://www.mendeley.com/documents/?uuid=0e7600dd-68c6-3779-a988-e44f217aaaf2","http://www.mendeley.com/documents/?uuid=2587d425-5e29-4d62-85bd-783e552b846d"]},{"id":"ITEM-4","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Dis","id":"ITEM-4","issue":"10","issued":{"date-parts":[["2013","10"]]},"page":"776-83","title":"Cost-effectiveness of screening men in Maricopa County jails for chlamydia and gonorrhea to avert infections in women.","type":"article-journal","volume":"40"},"uris":["http://www.mendeley.com/documents/?uuid=ffb1178c-a6e8-4076-8f5b-4bfe4e98d860"]},{"id":"ITEM-5","itemData":{"ISSN":"0002-9262","PMID":"8686700","abstract":"A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Epidemiol","id":"ITEM-5","issue":"3","issued":{"date-parts":[["1996","8"]]},"page":"306-17","title":"Modeling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9e1335c0-735e-44cf-9cb3-3c60037ad388"]}],"mendeley":{"formattedCitation":"&lt;sup&gt;57,67,71,78,90&lt;/sup&gt;","plainTextFormattedCitation":"57,67,71,78,90","previouslyFormattedCitation":"&lt;sup&gt;57,67,71,78,90&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57,67,71,78,90</w:t>
      </w:r>
      <w:r w:rsidRPr="0024409C">
        <w:rPr>
          <w:rFonts w:ascii="Helvetica Neue" w:hAnsi="Helvetica Neue"/>
        </w:rPr>
        <w:fldChar w:fldCharType="end"/>
      </w:r>
      <w:r w:rsidRPr="0024409C">
        <w:rPr>
          <w:rFonts w:ascii="Helvetica Neue" w:hAnsi="Helvetica Neue"/>
        </w:rPr>
        <w:t>, generally for treated or care-seeking persons, and others between 105–185 days, including for untreated symptomatic infection.</w:t>
      </w:r>
      <w:r w:rsidRPr="0024409C">
        <w:rPr>
          <w:rFonts w:ascii="Helvetica Neue" w:hAnsi="Helvetica Neue"/>
        </w:rPr>
        <w:fldChar w:fldCharType="begin" w:fldLock="1"/>
      </w:r>
      <w:r w:rsidR="00291558">
        <w:rPr>
          <w:rFonts w:ascii="Helvetica Neue" w:hAnsi="Helvetica Neue"/>
        </w:rPr>
        <w:instrText>ADDIN CSL_CITATION {"citationItems":[{"id":"ITEM-1","itemData":{"ISSN":"1471-2334","PMID":"23618061","abstract":"BACKGROUND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Dis","id":"ITEM-1","issued":{"date-parts":[["2013"]]},"page":"188","title":"Population movement can sustain STI prevalence in remote Australian indigenous communities.","type":"article-journal","volume":"13"},"uris":["http://www.mendeley.com/documents/?uuid=439c8ade-8864-4f5e-9dff-966b3d367e00"]},{"id":"ITEM-2","itemData":{"ISSN":"1944-7884","PMID":"26102448","abstract":"OBJECTIVE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Syndr","id":"ITEM-2","issue":"2","issued":{"date-parts":[["2015","10","1"]]},"page":"186-94","title":"A data-driven simulation of HIV spread among young men who have sex with men: Role of age and race mixing and STIs","type":"article-journal","volume":"70"},"uris":["http://www.mendeley.com/documents/?uuid=cce0386d-0de1-4180-8bc8-5bad7d021421"]},{"id":"ITEM-3","itemData":{"ISSN":"1365-3156","PMID":"22035250","abstract":"OBJECTIVES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Health","id":"ITEM-3","issue":"2","issued":{"date-parts":[["2012","2"]]},"page":"161-8","title":"The role of sexually transmitted infections in the evolution of the South African HIV epidemic.","type":"article-journal","volume":"17"},"uris":["http://www.mendeley.com/documents/?uuid=0e1ea8f2-849f-41da-864c-66e864358726"]},{"id":"ITEM-4","itemData":{"ISSN":"1368-4973","author":[{"dropping-particle":"","family":"Johnson","given":"L.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Infect","id":"ITEM-4","issue":"3","issued":{"date-parts":[["2010","6","1"]]},"page":"169-174","title":"A Bayesian approach to uncertainty analysis of sexually transmitted infection models","type":"article-journal","volume":"86"},"uris":["http://www.mendeley.com/documents/?uuid=31e9dca7-f246-4670-9001-4c78d9774ec7"]}],"mendeley":{"formattedCitation":"&lt;sup&gt;39,45,53,71&lt;/sup&gt;","plainTextFormattedCitation":"39,45,53,71","previouslyFormattedCitation":"&lt;sup&gt;39,45,53,71&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39,45,53,71</w:t>
      </w:r>
      <w:r w:rsidRPr="0024409C">
        <w:rPr>
          <w:rFonts w:ascii="Helvetica Neue" w:hAnsi="Helvetica Neue"/>
        </w:rPr>
        <w:fldChar w:fldCharType="end"/>
      </w:r>
      <w:r w:rsidRPr="0024409C">
        <w:rPr>
          <w:rFonts w:ascii="Helvetica Neue" w:hAnsi="Helvetica Neue"/>
        </w:rPr>
        <w:t xml:space="preserve"> Models which have not specified whether the infection is symptomatic or asymptomatic have widely divergent estimates of duration, ranging from 10–60 days</w:t>
      </w:r>
      <w:r w:rsidRPr="0024409C">
        <w:rPr>
          <w:rFonts w:ascii="Helvetica Neue" w:hAnsi="Helvetica Neue"/>
        </w:rPr>
        <w:fldChar w:fldCharType="begin" w:fldLock="1"/>
      </w:r>
      <w:r w:rsidR="00665BF2">
        <w:rPr>
          <w:rFonts w:ascii="Helvetica Neue" w:hAnsi="Helvetica Neue"/>
        </w:rPr>
        <w:instrText>ADDIN CSL_CITATION {"citationItems":[{"id":"ITEM-1","itemData":{"ISSN":"1368-4973","PMID":"12083451","abstract":"Mathematical models have highlighted the disproportionate contribution of core group transmitters to the spread of sexually transmitted diseases. Because the effectiveness of interventions varies with time, it has been suggested that epidemic phases should be considered in the design of prevention strategies. This study aimed to examine the impact of HIV epidemic phases on the effectiveness of HIV interventions based on gonorrhoea screening and condom use, targeted to core groups. The results are based on a mathematical model of gonorrhoea and HIV transmission in a relatively slow spreading HIV epidemic using Cotonou (Benin) as an example. For epidemics with a low reproductive potential modest core group interventions can significantly reduce HIV incidence and prevalence. As the epidemic matures, effective interventions should also incorporate core and non-core populations. For epidemics with a high reproductive potential, core group interventions are necessary but not sufficient to have a rapid and large scale impact. A more general population approach is also needed early in the epidemic. Epidemic phases are also important in the evaluation of prevention strategies.","author":[{"dropping-particle":"","family":"Boily","given":"M C","non-dropping-particle":"","parse-names":false,"suffix":""},{"dropping-particle":"","family":"Lowndes","given":"C","non-dropping-particle":"","parse-names":false,"suffix":""},{"dropping-particle":"","family":"Alary","given":"M","non-dropping-particle":"","parse-names":false,"suffix":""}],"container-title":"Sex Transm Infect","id":"ITEM-1","issued":{"date-parts":[["2002","4"]]},"page":"i78-90","title":"The impact of HIV epidemic phases on the effectiveness of core group interventions: insights from mathematical models.","type":"article-journal","volume":"78 Suppl 1"},"uris":["http://www.mendeley.com/documents/?uuid=0c0617ec-bc11-3d81-8858-26ebfd888c5d","http://www.mendeley.com/documents/?uuid=5eb21c40-44ca-4bc5-8d4b-98326a35becd"]},{"id":"ITEM-2","itemData":{"ISSN":"1368-4973","PMID":"15459406","abstract":"OBJECTIVES To investigate ethnic differences in rates of gonorrhoea using empirical sexual behaviour data in a simple mathematical model. To explore the impact of different intervention strategies in this simulated population. METHODS The findings from cross sectional studies of gonorrhoea rates and sexual behaviour in three ethnic groups in south east London were used to determine the parameters for a deterministic, mathematical model of gonorrhoea transmission dynamics, in a population stratified by sex, sexual activity (rate of partner change), and ethnic group (white, black African, and black Caribbean). We compared predicted and observed rates of infection and simulated the effects of targeted and population-wide intervention strategies. RESULTS In model simulations the reported sexual behaviours and mixing patterns generated major differences in the rates of gonorrhoea experienced by each subpopulation. The fit of the model to observed data was sensitive to assumptions about the degree of mixing by level of sexual activity, the numbers of sexual partnerships reported by men and women, and the degree to which observed data underestimate female infection rates. Interventions to reduce duration of infection were most effective when targeted at black Caribbeans. CONCLUSIONS Average measures of sexual behaviour in large populations are inadequate descriptors for the epidemiology of gonorrhoea. The consistency between the model results and empirical data shows that profound differences in gonorrhoea rates between ethnic groups can be explained by modest differences in a limited number of sexual behaviours and mixing patterns. Targeting effective services to particular ethnic groups can have a disproportionate influence on disease reduction in the whole community.","author":[{"dropping-particle":"","family":"Turner","given":"K M E","non-dropping-particle":"","parse-names":false,"suffix":""},{"dropping-particle":"","family":"Garnett","given":"G P","non-dropping-particle":"","parse-names":false,"suffix":""},{"dropping-particle":"","family":"Ghani","given":"A C","non-dropping-particle":"","parse-names":false,"suffix":""},{"dropping-particle":"","family":"Sterne","given":"J A C","non-dropping-particle":"","parse-names":false,"suffix":""},{"dropping-particle":"","family":"Low","given":"N","non-dropping-particle":"","parse-names":false,"suffix":""}],"container-title":"Sex Transm Infect","id":"ITEM-2","issue":"5","issued":{"date-parts":[["2004","10"]]},"page":"379-85","title":"Investigating ethnic inequalities in the incidence of sexually transmitted infections: mathematical modelling study.","type":"article-journal","volume":"80"},"uris":["http://www.mendeley.com/documents/?uuid=b741299d-47c9-4745-8a29-1a358d689962"]},{"id":"ITEM-3","itemData":{"ISBN":"0022-1899 (Print)\\n0022-1899 (Linking)","ISSN":"0022-1899","PMID":"15627229","abstract":"Sex workers (SWs) and their clients are often identified as being central in transmission of sexually transmitted infections (STIs). Little is known about how patterns of contact between SWs and their clients influence the persistence of STIs. We developed an individual-based simulation model to explore how variation in number of client contacts per SW, whether clients repeatedly visited the same SW, and the relative sizes of the SW and client populations influence the endemic prevalence of gonorrhea and herpes simplex virus type 2 infection. Persistence of either infection was more likely if clients visited many different SWs, regardless of variation in the SW-client contact rate, and also resulted in a higher endemic prevalence in both populations and a greater likelihood of persistence of infection at lower levels in the general population. The size of the SW population (relative to the total population) was found to be most important in determining the overall prevalence of infection.","author":[{"dropping-particle":"","family":"Ghani","given":"A C","non-dropping-particle":"","parse-names":false,"suffix":""},{"dropping-particle":"","family":"Aral","given":"S O","non-dropping-particle":"","parse-names":false,"suffix":""}],"container-title":"J Inf Dis","id":"ITEM-3","issue":"Suppl 1","issued":{"date-parts":[["2005"]]},"page":"S34-S41","title":"Patterns of sex worker-client contacts and their implications for the persistence of sexually transmitted infections","type":"article-journal","volume":"191"},"uris":["http://www.mendeley.com/documents/?uuid=d076df03-d0a3-4faa-aa3c-2205d10fc5aa","http://www.mendeley.com/documents/?uuid=8787d319-0865-4ea8-9cc1-53dcf8e5c9d0","http://www.mendeley.com/documents/?uuid=25a5ed57-dc35-444a-a237-a0648acf12b8"]},{"id":"ITEM-4","itemData":{"ISSN":"0148-5717","PMID":"9018783","abstract":"BACKGROUND Empirical studies have the potential to collect data on patterns of sexual mixing and network structures. GOAL To explore the contribution of different network measures in sexually transmitted disease epidemiology. STUDY DESIGN Individual-based stochastic simulations of a network of sexual partnerships and sexually transmitted disease transmission are analyzed using logistic regression. RESULTS AND CONCLUSIONS Measures accumulated over times similar to the duration of infection are more informative than are static cross sections. The patterns of sexual mixing and network structure influence patterns of infection. In particular, the establishment of infection is most sensitive to the proportion of nonmonogamous pairs, the component distribution and cohesion among those with high activity. The subsequent prevalence is most sensitive to the assortativeness of mixing in the high-activity class and a measure of cohesion, both of which reflect the decrease in prevalence brought about by less widespread connections. A person's risk for infection is determined by local rather than global network structures.","author":[{"dropping-particle":"","family":"Ghani","given":"A C","non-dropping-particle":"","parse-names":false,"suffix":""},{"dropping-particle":"","family":"Swinton","given":"J","non-dropping-particle":"","parse-names":false,"suffix":""},{"dropping-particle":"","family":"Garnett","given":"G P","non-dropping-particle":"","parse-names":false,"suffix":""}],"container-title":"Sex Transm Dis","id":"ITEM-4","issue":"1","issued":{"date-parts":[["1997","1"]]},"page":"45-56","title":"The role of sexual partnership networks in the epidemiology of gonorrhea.","type":"article-journal","volume":"24"},"uris":["http://www.mendeley.com/documents/?uuid=4e4cde88-fc90-4d81-9873-d8b813abf16f","http://www.mendeley.com/documents/?uuid=13db5f77-c8c6-31f1-89c3-80b9317b49e8","http://www.mendeley.com/documents/?uuid=c6d4d36a-62fa-40fb-9e40-072378fb7919"]},{"id":"ITEM-5","itemData":{"ISSN":"1537-4521","PMID":"18303352","abstract":"OBJECTIVES We assessed the cost-effectiveness of a screening, treatment, and condom provision intervention for inmates of a segregated unit for men who have sex with men at the Los Angeles County Men's Jail. GOAL We conducted the study to determine whether the intervention provides good value for money. STUDY DESIGN We used a mathematical model to examine the effect of 10 years of intervention on sexually transmitted infections in 3 scenarios for incarcerated men who have sex with men: (a) no sex; (b) sex as before incarceration; (c) as in #2 and condom use by 20% of screened inmates. We calculated cost-effectiveness ratios as net cost per infection averted after subtracting averted treatment costs from intervention costs. RESULTS Modeling suggests that the intervention could avert 339 chlamydia, 276 gonorrhea, and 241 syphilis infections in scenario 1 (net cost $179,121); 593 chlamydia, 586 gonorrhea, and 367 syphilis infections in scenario 2 (with cost saving); and 746 chlamydia, 791 gonorrhea, 3 HIV, and 443 syphilis infections in scenario 3 (with cost saving). CONCLUSIONS Modeling indicates that the intervention can avert many sexually transmitted infections at low cost and can save costs in a scenario in which inmates continue to engage in sexual activity as they do outside jail. Modest success in efforts to promote condom use among inmates results in additional cost saving.","author":[{"dropping-particle":"","family":"Tuli","given":"Karunesh","non-dropping-particle":"","parse-names":false,"suffix":""},{"dropping-particle":"","family":"Kerndt","given":"Peter R","non-dropping-particle":"","parse-names":false,"suffix":""}],"container-title":"Sex Transm Dis","id":"ITEM-5","issue":"2 Suppl","issued":{"date-parts":[["2009","2"]]},"page":"S41-8","title":"Preventing sexually transmitted infections among incarcerated men who have sex with men: a cost-effectiveness analysis.","type":"article-journal","volume":"36"},"uris":["http://www.mendeley.com/documents/?uuid=99e32213-3087-4c26-aa3a-0cb6b7d6e381"]},{"id":"ITEM-6","itemData":{"ISSN":"1042-0533","PMID":"15849707","abstract":"Recent research on sexual mixing in populations of sub-Saharan Africa raises the question as to whether STDs can persist in these populations without the presence of a core group. A mathematical model is constructed for the spread of gonorrhea among the Ariaal population of Northern Kenya. A formula for the basic reproduction number R(0) (the expected number of secondary infections caused by a single new infective introduced into a susceptible population) is determined for this population in the absence of a core group. Survey data taken in 2003 on sexual behavior from the Ariaal population are used in the model which is formulated for their age-set system including four subpopulations: single and married, female and male. Parameters derived from the data, and other information from sub-Saharan Africa are used to estimate R(0). Results indicate that, even with the elevating effect of the age-set system, the disease should die out since R(0) &lt; 1. Thus, the persistence of gonorrhea in the population must be due to factors not included in the model, for example, a core group of commercial sex workers or concurrent partnerships.","author":[{"dropping-particle":"","family":"McCluskey","given":"C Connell","non-dropping-particle":"","parse-names":false,"suffix":""},{"dropping-particle":"","family":"Roth","given":"Eric","non-dropping-particle":"","parse-names":false,"suffix":""},{"dropping-particle":"","family":"Driessche","given":"P","non-dropping-particle":"van den","parse-names":false,"suffix":""}],"container-title":"Am J Hum Biol","id":"ITEM-6","issue":"3","issued":{"date-parts":[["2005"]]},"page":"293-301","title":"Implication of Ariaal sexual mixing on gonorrhea.","type":"article-journal","volume":"17"},"uris":["http://www.mendeley.com/documents/?uuid=0a147076-4e1b-483a-adaa-bfb19b9a51d5","http://www.mendeley.com/documents/?uuid=120743b7-6e07-33c5-bad3-e213a34d5683","http://www.mendeley.com/documents/?uuid=691f7f4e-51c7-4e1a-86eb-84a764a9bff6"]},{"id":"ITEM-7","itemData":{"ISSN":"1879-3134","PMID":"20043928","abstract":"A multigroup model is considered for a disease transmitted heterosexually in which there is a core group that has higher sexual activity than other groups. In order to develop control strategies to eradicate the disease, type reproduction numbers are determined. A graph-theoretic interpretation of type reproduction numbers for a star network with a core group at the center is established. Using these general formulas for the star network, a two-group model consisting of a core and a non-core group is considered. If disease can persist in the core group in isolation, then the amount of increase of treatment or decrease of the contact rate of infectious males (or females) in the core group that is required to eradicate the disease is expressed in terms of model parameters. If disease can persist but not in either group in isolation, then the amount of reduction of the connection between the two groups needed to eradicate the disease is determined. These two cases are illustrated with parameters applicable to gonorrhea in the US.","author":[{"dropping-particle":"","family":"Edwards","given":"R","non-dropping-particle":"","parse-names":false,"suffix":""},{"dropping-particle":"","family":"Kim","given":"Sehjeong","non-dropping-particle":"","parse-names":false,"suffix":""},{"dropping-particle":"","family":"Driessche","given":"Pauline","non-dropping-particle":"van den","parse-names":false,"suffix":""}],"container-title":"Math Biosci","id":"ITEM-7","issue":"2","issued":{"date-parts":[["2010","4"]]},"page":"87-94","title":"A multigroup model for a heterosexually transmitted disease.","type":"article-journal","volume":"224"},"uris":["http://www.mendeley.com/documents/?uuid=0490f6ec-2920-48e3-87f7-187e1dfdd212","http://www.mendeley.com/documents/?uuid=3df8a432-322c-380d-8aae-1c0dba5816b0","http://www.mendeley.com/documents/?uuid=b4ff027d-a08a-41d7-a934-cf3aff59bd4a"]}],"mendeley":{"formattedCitation":"&lt;sup&gt;72,80,81,84–86,103&lt;/sup&gt;","plainTextFormattedCitation":"72,80,81,84–86,103","previouslyFormattedCitation":"&lt;sup&gt;72,80,81,84–86,103&lt;/sup&gt;"},"properties":{"noteIndex":0},"schema":"https://github.com/citation-style-language/schema/raw/master/csl-citation.json"}</w:instrText>
      </w:r>
      <w:r w:rsidRPr="0024409C">
        <w:rPr>
          <w:rFonts w:ascii="Helvetica Neue" w:hAnsi="Helvetica Neue"/>
        </w:rPr>
        <w:fldChar w:fldCharType="separate"/>
      </w:r>
      <w:r w:rsidR="00DB1A5C" w:rsidRPr="00DB1A5C">
        <w:rPr>
          <w:rFonts w:ascii="Helvetica Neue" w:hAnsi="Helvetica Neue"/>
          <w:noProof/>
          <w:vertAlign w:val="superscript"/>
        </w:rPr>
        <w:t>72,80,81,84–86,103</w:t>
      </w:r>
      <w:r w:rsidRPr="0024409C">
        <w:rPr>
          <w:rFonts w:ascii="Helvetica Neue" w:hAnsi="Helvetica Neue"/>
        </w:rPr>
        <w:fldChar w:fldCharType="end"/>
      </w:r>
      <w:r w:rsidRPr="0024409C">
        <w:rPr>
          <w:rFonts w:ascii="Helvetica Neue" w:hAnsi="Helvetica Neue"/>
        </w:rPr>
        <w:t xml:space="preserve"> to 330–365 days</w:t>
      </w:r>
      <w:r w:rsidRPr="0024409C">
        <w:rPr>
          <w:rFonts w:ascii="Helvetica Neue" w:hAnsi="Helvetica Neue"/>
        </w:rPr>
        <w:fldChar w:fldCharType="begin" w:fldLock="1"/>
      </w:r>
      <w:r w:rsidR="00665BF2">
        <w:rPr>
          <w:rFonts w:ascii="Helvetica Neue" w:hAnsi="Helvetica Neue"/>
        </w:rPr>
        <w:instrText>ADDIN CSL_CITATION {"citationItems":[{"id":"ITEM-1","itemData":{"ISSN":"1742-5662","PMID":"25808340","abstract":"Neisseria gonorrhoeae (GC) remains a serious burden in many high-sexual-activity, undertreated populations. Using empirical data from a 2009 study of GC burden among pastoralists in Kaokoveld, Namibia, we expand the standard gonorrhoea transmission model by using locally derived sexual contact data to explore transmission dynamics in a population with high rates of partner exchange and low treatment-seeking behaviour. We use the model to generate ball-park estimates for transmission probabilities and other parameter values for low-level (i.e. less than approx. 1200 copies/20 µl PCR reaction) asymptomatic infections, which account for 74% of all GC infections found in Kaokoveld in 2009, and to describe the impact of asymptomatic, low-level infections on overall prevalence patterns. Our results suggest that GC transmission probabilities are higher than previously estimated, that untreated infections take longer to clear than previously estimated and that a high prevalence of low-level infections is partially due to larger numbers of untreated, asymptomatic infections. These results provide new insights into the natural history of GC and the challenge of syndromic management programmes for the eradication of endemic gonorrhoea.","author":[{"dropping-particle":"","family":"Hazel","given":"Ashley","non-dropping-particle":"","parse-names":false,"suffix":""},{"dropping-particle":"","family":"Marino","given":"Simeone","non-dropping-particle":"","parse-names":false,"suffix":""},{"dropping-particle":"","family":"Simon","given":"Carl","non-dropping-particle":"","parse-names":false,"suffix":""}],"container-title":"J R Soc Interface","id":"ITEM-1","issue":"106","issued":{"date-parts":[["2015"]]},"page":"20150067","title":"An anthropologically based model of the impact of asymptomatic cases on the spread of Neisseria gonorrhoeae.","type":"article-journal","volume":"12"},"uris":["http://www.mendeley.com/documents/?uuid=80f6739b-9b41-4722-bd93-001e23ac65df","http://www.mendeley.com/documents/?uuid=1bdee7b1-90d9-34ba-9adf-8d5afad96b0e"]},{"id":"ITEM-2","itemData":{"ISSN":"1472-3263","PMID":"19854700","abstract":"BACKGROUND In settings with poor sexually transmitted infection (STI) control in high-risk groups, periodic presumptive treatment (PPT) can quickly reduce the prevalence of genital ulcers, Neisseria gonorrhoeae (NG) and Chlamydia trachomatis (CT). However, few studies have assessed the impact on HIV. Mathematical modelling is used to quantify the likely HIV impact of different PPT interventions. METHODS A mathematical model was developed to project the impact of PPT on STI/HIV transmission amongst a homogeneous population of female sex workers (FSWs) and their clients. Using data from Johannesburg, the impact of PPT interventions with different coverages and PPT frequencies was estimated. A sensitivity analysis explored how the projections were affected by different model parameters or if the intervention was undertaken elsewhere. RESULTS Substantial decreases in NG/CT prevalence are achieved among FSWs receiving PPT. Although less impact is achieved among all FSWs, large decreases in NG/CT prevalence (&gt;50%) are possible with &gt;30% coverage and supplying PPT every month. Higher PPT frequencies achieve little additional impact, whereas improving coverage increases impact until NG/CT becomes negligible. The impact on HIV incidence is smaller, longer to achieve, and depends heavily on the assumed NG/CT cofactors, whether they are additive, the assumed STI/HIV transmission probabilities and STI durations. Greater HIV impact can be achieved in settings with lower sexual activity (except at high coverage), less STI treatment or high prevalences of Haemophilus ducreyi. CONCLUSIONS Despite the model's assumption of homogeneous risk behaviour probably resulting in optimistic projections, and uncertainty in STI cofactors and transmission probabilities, projections suggest PPT interventions with sufficient coverage (&gt; or = 40%) and follow-up (&gt; or = 2 years) could noticeably decrease the HIV incidence (&gt;20%) among FSW populations with inadequate STI treatment.","author":[{"dropping-particle":"","family":"Vickerman","given":"Peter","non-dropping-particle":"","parse-names":false,"suffix":""},{"dropping-particle":"","family":"Ndowa","given":"Francis","non-dropping-particle":"","parse-names":false,"suffix":""},{"dropping-particle":"","family":"O'Farrell","given":"Nigel","non-dropping-particle":"","parse-names":false,"suffix":""},{"dropping-particle":"","family":"Steen","given":"Richard","non-dropping-particle":"","parse-names":false,"suffix":""},{"dropping-particle":"","family":"Alary","given":"Michel","non-dropping-particle":"","parse-names":false,"suffix":""},{"dropping-particle":"","family":"Delany-Moretlwe","given":"Sinead","non-dropping-particle":"","parse-names":false,"suffix":""}],"container-title":"Sex Transm Infect","id":"ITEM-2","issue":"3","issued":{"date-parts":[["2010","6"]]},"page":"163-8","title":"Using mathematical modelling to estimate the impact of periodic presumptive treatment on the transmission of sexually transmitted infections and HIV among female sex workers.","type":"article-journal","volume":"86"},"uris":["http://www.mendeley.com/documents/?uuid=a78f9cc5-0c6f-41b1-91c9-c31233f6e918","http://www.mendeley.com/documents/?uuid=a144e9a2-eb8c-34a9-8395-1ed13bd74440","http://www.mendeley.com/documents/?uuid=54d00fea-3481-4c4a-a56e-c11758645fbc"]}],"mendeley":{"formattedCitation":"&lt;sup&gt;82,100&lt;/sup&gt;","plainTextFormattedCitation":"82,100","previouslyFormattedCitation":"&lt;sup&gt;82,100&lt;/sup&gt;"},"properties":{"noteIndex":0},"schema":"https://github.com/citation-style-language/schema/raw/master/csl-citation.json"}</w:instrText>
      </w:r>
      <w:r w:rsidRPr="0024409C">
        <w:rPr>
          <w:rFonts w:ascii="Helvetica Neue" w:hAnsi="Helvetica Neue"/>
        </w:rPr>
        <w:fldChar w:fldCharType="separate"/>
      </w:r>
      <w:r w:rsidR="00DB1A5C" w:rsidRPr="00DB1A5C">
        <w:rPr>
          <w:rFonts w:ascii="Helvetica Neue" w:hAnsi="Helvetica Neue"/>
          <w:noProof/>
          <w:vertAlign w:val="superscript"/>
        </w:rPr>
        <w:t>82,100</w:t>
      </w:r>
      <w:r w:rsidRPr="0024409C">
        <w:rPr>
          <w:rFonts w:ascii="Helvetica Neue" w:hAnsi="Helvetica Neue"/>
        </w:rPr>
        <w:fldChar w:fldCharType="end"/>
      </w:r>
      <w:r w:rsidRPr="0024409C">
        <w:rPr>
          <w:rFonts w:ascii="Helvetica Neue" w:hAnsi="Helvetica Neue"/>
        </w:rPr>
        <w:t xml:space="preserve"> with estimates also observed at 30-day intervals between 60 days and 200 days.</w:t>
      </w:r>
      <w:r w:rsidRPr="0024409C">
        <w:rPr>
          <w:rFonts w:ascii="Helvetica Neue" w:hAnsi="Helvetica Neue"/>
        </w:rPr>
        <w:fldChar w:fldCharType="begin" w:fldLock="1"/>
      </w:r>
      <w:r w:rsidR="00665BF2">
        <w:rPr>
          <w:rFonts w:ascii="Helvetica Neue" w:hAnsi="Helvetica Neue"/>
        </w:rPr>
        <w:instrText>ADDIN CSL_CITATION {"citationItems":[{"id":"ITEM-1","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Dis","id":"ITEM-1","issue":"9","issued":{"date-parts":[["2016","9"]]},"page":"542-548","title":"Cost-effectiveness of dual antimicrobial therapy for gonococcal infections among men who have sex with men in the Netherlands","type":"article-journal","volume":"43"},"uris":["http://www.mendeley.com/documents/?uuid=bef10dd7-5fdc-4432-817f-0c375883981c"]},{"id":"ITEM-2","itemData":{"ISSN":"1368-4973","PMID":"17405782","abstract":"OBJECTIVE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Infect","id":"ITEM-2","issued":{"date-parts":[["2007","8"]]},"page":"i17-24","title":"Proportion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1"},"uris":["http://www.mendeley.com/documents/?uuid=7e2d643a-2494-4c7a-a5d0-ab0e53ceb072"]},{"id":"ITEM-3","itemData":{"ISSN":"1368-4973","PMID":"12083451","abstract":"Mathematical models have highlighted the disproportionate contribution of core group transmitters to the spread of sexually transmitted diseases. Because the effectiveness of interventions varies with time, it has been suggested that epidemic phases should be considered in the design of prevention strategies. This study aimed to examine the impact of HIV epidemic phases on the effectiveness of HIV interventions based on gonorrhoea screening and condom use, targeted to core groups. The results are based on a mathematical model of gonorrhoea and HIV transmission in a relatively slow spreading HIV epidemic using Cotonou (Benin) as an example. For epidemics with a low reproductive potential modest core group interventions can significantly reduce HIV incidence and prevalence. As the epidemic matures, effective interventions should also incorporate core and non-core populations. For epidemics with a high reproductive potential, core group interventions are necessary but not sufficient to have a rapid and large scale impact. A more general population approach is also needed early in the epidemic. Epidemic phases are also important in the evaluation of prevention strategies.","author":[{"dropping-particle":"","family":"Boily","given":"M C","non-dropping-particle":"","parse-names":false,"suffix":""},{"dropping-particle":"","family":"Lowndes","given":"C","non-dropping-particle":"","parse-names":false,"suffix":""},{"dropping-particle":"","family":"Alary","given":"M","non-dropping-particle":"","parse-names":false,"suffix":""}],"container-title":"Sex Transm Infect","id":"ITEM-3","issued":{"date-parts":[["2002","4"]]},"page":"i78-90","title":"The impact of HIV epidemic phases on the effectiveness of core group interventions: insights from mathematical models.","type":"article-journal","volume":"78 Suppl 1"},"uris":["http://www.mendeley.com/documents/?uuid=5eb21c40-44ca-4bc5-8d4b-98326a35becd","http://www.mendeley.com/documents/?uuid=0c0617ec-bc11-3d81-8858-26ebfd888c5d","http://www.mendeley.com/documents/?uuid=f8ad8c98-0fcf-42bb-9500-8afbbdfdae5f"]},{"id":"ITEM-4","itemData":{"ISSN":"0148-5717","PMID":"8836026","abstract":"BACKGROUND Studies have reported that infection with certain sexually transmitted diseases (STD), such as chancroid, gonorrhea, and genital herpes, enhances the probability of human immunodeficiency virus (HIV) transmission by sexual contact with an infected partner. Epidemiologic studies vary in design from longitudinal to cross-sectional, with varying periods of follow-up or retrospective history of exposure to STD. The major difficulty in assessing the results of past work centers on the validity and precision of widely used measures of association, such as relative risk (RR) and odds ratio (OR), in situations in which common behavior (e.g., different facets of sexual behavior) underpins the acquisition of both the STD cofactor and HIV. GOAL To evaluate the quality of the cumulative incidence ratio (CIR), the hazard rate ratio (HRR), and the prevalence ratio (PR) as measures of association to estimate and test the increase in HIV transmission probabilities caused by the STD. STUDY DESIGN The study is based on a proportional hazard stochastic model of concomitant HIV and STD cofactor transmission. Analysis was performed using Monte-Carlo simulation. RESULTS Estimates of the HIV-STD association by the CIR, HRR, and PR, adjusted and nonadjusted for sexual activity, are shown to have poor validity and great variability. The adjusted CIR, HRR, and PR tend to underestimate the strength of the true association (specified in the model) in both longitudinal and cross-sectional designs. In the absence an HIV-STD association, the PR tends to overestimate the magnitude, whereas the CIR and HRR may either underestimate or overestimate it in longitudinal studies. These results have direct consequences on the reliability of the test of association showing both a lack of specificity (empirical type I error) and sensitivity (empirical power). Some reasons contributing to the bias in the estimates of the measures of association are the presence of confounding variables, namely the frequency of change of sex partner and the mixing pattern between sexual activity classes, as well as the adopted definition of exposure to the STD cofactor and the prevalence of both HIV and the STD cofactor. CONCLUSIONS The precision of estimates and reliability of the test of HIV-STD association could be improved through longitudinal studies using more careful definition and measurement of exposure to the STD cofactor and larger sample sizes permitting finer stratification of sexual behav…","author":[{"dropping-particle":"","family":"Boily","given":"M C","non-dropping-particle":"","parse-names":false,"suffix":""},{"dropping-particle":"","family":"Anderson","given":"R M","non-dropping-particle":"","parse-names":false,"suffix":""}],"container-title":"Sex Transm Dis","id":"ITEM-4","issue":"4","issued":{"date-parts":[["1996"]]},"page":"312-32","title":"Human immunodeficiency virus transmission and the role of other sexually transmitted diseases. Measures of association and study design.","type":"article-journal","volume":"23"},"uris":["http://www.mendeley.com/documents/?uuid=973f7399-68f9-4c40-a0d7-bae81ca8a778","http://www.mendeley.com/documents/?uuid=c3294f5e-676e-3257-b978-06db0c39a45d","http://www.mendeley.com/documents/?uuid=7b035853-41b5-459c-9603-832334bd49fd"]}],"mendeley":{"formattedCitation":"&lt;sup&gt;54,89,93,103&lt;/sup&gt;","plainTextFormattedCitation":"54,89,93,103","previouslyFormattedCitation":"&lt;sup&gt;54,89,93,103&lt;/sup&gt;"},"properties":{"noteIndex":0},"schema":"https://github.com/citation-style-language/schema/raw/master/csl-citation.json"}</w:instrText>
      </w:r>
      <w:r w:rsidRPr="0024409C">
        <w:rPr>
          <w:rFonts w:ascii="Helvetica Neue" w:hAnsi="Helvetica Neue"/>
        </w:rPr>
        <w:fldChar w:fldCharType="separate"/>
      </w:r>
      <w:r w:rsidR="00DB1A5C" w:rsidRPr="00DB1A5C">
        <w:rPr>
          <w:rFonts w:ascii="Helvetica Neue" w:hAnsi="Helvetica Neue"/>
          <w:noProof/>
          <w:vertAlign w:val="superscript"/>
        </w:rPr>
        <w:t>54,89,93,103</w:t>
      </w:r>
      <w:r w:rsidRPr="0024409C">
        <w:rPr>
          <w:rFonts w:ascii="Helvetica Neue" w:hAnsi="Helvetica Neue"/>
        </w:rPr>
        <w:fldChar w:fldCharType="end"/>
      </w:r>
      <w:r w:rsidRPr="0024409C">
        <w:rPr>
          <w:rFonts w:ascii="Helvetica Neue" w:hAnsi="Helvetica Neue"/>
        </w:rPr>
        <w:t xml:space="preserve"> Estimates of the duration of the infectious stage of NG ranged from 14 days in treated individuals</w:t>
      </w:r>
      <w:r w:rsidRPr="0024409C">
        <w:rPr>
          <w:rFonts w:ascii="Helvetica Neue" w:hAnsi="Helvetica Neue"/>
        </w:rPr>
        <w:fldChar w:fldCharType="begin" w:fldLock="1"/>
      </w:r>
      <w:r w:rsidR="00665BF2">
        <w:rPr>
          <w:rFonts w:ascii="Helvetica Neue" w:hAnsi="Helvetica Neue"/>
        </w:rPr>
        <w:instrText>ADDIN CSL_CITATION {"citationItems":[{"id":"ITEM-1","itemData":{"ISSN":"0269-9370","PMID":"10780720","abstract":"OBJECTIVES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D","non-dropping-particle":"","parse-names":false,"suffix":""}],"container-title":"AIDS","id":"ITEM-1","issue":"5","issued":{"date-parts":[["2000","3"]]},"page":"573-93","title":"Model-based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id":"ITEM-2","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Syndr","id":"ITEM-2","issue":"2","issued":{"date-parts":[["2015","10","1"]]},"page":"186-94","title":"A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71,75&lt;/sup&gt;","manualFormatting":"6","plainTextFormattedCitation":"71,75","previouslyFormattedCitation":"&lt;sup&gt;71,75&lt;/sup&gt;"},"properties":{"noteIndex":0},"schema":"https://github.com/citation-style-language/schema/raw/master/csl-citation.json"}</w:instrText>
      </w:r>
      <w:r w:rsidRPr="0024409C">
        <w:rPr>
          <w:rFonts w:ascii="Helvetica Neue" w:hAnsi="Helvetica Neue"/>
        </w:rPr>
        <w:fldChar w:fldCharType="separate"/>
      </w:r>
      <w:r w:rsidRPr="0024409C">
        <w:rPr>
          <w:rFonts w:ascii="Helvetica Neue" w:hAnsi="Helvetica Neue"/>
          <w:noProof/>
          <w:vertAlign w:val="superscript"/>
        </w:rPr>
        <w:t>6</w:t>
      </w:r>
      <w:r w:rsidRPr="0024409C">
        <w:rPr>
          <w:rFonts w:ascii="Helvetica Neue" w:hAnsi="Helvetica Neue"/>
        </w:rPr>
        <w:fldChar w:fldCharType="end"/>
      </w:r>
      <w:r w:rsidRPr="0024409C">
        <w:rPr>
          <w:rFonts w:ascii="Helvetica Neue" w:hAnsi="Helvetica Neue"/>
        </w:rPr>
        <w:t xml:space="preserve"> to 180–185 days in untreated individuals</w:t>
      </w:r>
      <w:r w:rsidRPr="0024409C">
        <w:rPr>
          <w:rFonts w:ascii="Helvetica Neue" w:hAnsi="Helvetica Neue"/>
        </w:rPr>
        <w:fldChar w:fldCharType="begin" w:fldLock="1"/>
      </w:r>
      <w:r w:rsidR="00665BF2">
        <w:rPr>
          <w:rFonts w:ascii="Helvetica Neue" w:hAnsi="Helvetica Neue"/>
        </w:rPr>
        <w:instrText>ADDIN CSL_CITATION {"citationItems":[{"id":"ITEM-1","itemData":{"ISSN":"1932-6203","PMID":"26181042","abstract":"BACKGROUND Surveillance for gonorrhoea antimicrobial resistance (AMR) is compromised by a move away from culture-based testing in favour of more convenient nucleic acid amplification test (NAAT) tests. We assessed the potential benefit of a molecular resistance test in terms of the timeliness of detection of gonorrhoea AMR. METHODS AND FINDINGS An individual-based mathematical model was developed to describe the transmission of gonorrhoea in a remote Indigenous population in Australia. We estimated the impact of the molecular test on the time delay between first importation and the first confirmation that the prevalence of gonorrhoea AMR (resistance proportion) has breached the WHO-recommended 5% threshold (when a change in antibiotic should occur). In the remote setting evaluated in this study, the model predicts that when culture is the only available means of testing for AMR, the breach will only be detected when the actual prevalence of AMR in the population has already reached 8 - 18%, with an associated delay of ~43 - 69 months between first importation and detection. With the addition of a molecular resistance test, the number of samples for which AMR can be determined increases facilitating earlier detection at a lower resistance proportion. For the best case scenario, where AMR can be determined for all diagnostic samples, the alert would be triggered at least 8 months earlier than using culture alone and the resistance proportion will have only slightly exceeded the 5% notification threshold. CONCLUSIONS Molecular tests have the potential to provide more timely warning of the emergence of gonorrhoea AMR. This in turn will facilitate earlier treatment switching and more targeted treatment, which has the potential to reduce the population impact of gonorrhoea AMR.","author":[{"dropping-particle":"","family":"Hui","given":"Ben B","non-dropping-particle":"","parse-names":false,"suffix":""},{"dropping-particle":"","family":"Ryder","given":"Nathan","non-dropping-particle":"","parse-names":false,"suffix":""},{"dropping-particle":"","family":"Su","given":"Jiunn-Yih","non-dropping-particle":"","parse-names":false,"suffix":""},{"dropping-particle":"","family":"Ward","given":"James","non-dropping-particle":"","parse-names":false,"suffix":""},{"dropping-particle":"","family":"Chen","given":"Marcus Y","non-dropping-particle":"","parse-names":false,"suffix":""},{"dropping-particle":"","family":"Donovan","given":"Basil","non-dropping-particle":"","parse-names":false,"suffix":""},{"dropping-particle":"","family":"Fairley","given":"Christopher K","non-dropping-particle":"","parse-names":false,"suffix":""},{"dropping-particle":"","family":"Guy","given":"Rebecca J","non-dropping-particle":"","parse-names":false,"suffix":""},{"dropping-particle":"","family":"Lahra","given":"Monica M","non-dropping-particle":"","parse-names":false,"suffix":""},{"dropping-particle":"","family":"Law","given":"Mathew G","non-dropping-particle":"","parse-names":false,"suffix":""},{"dropping-particle":"","family":"Whiley","given":"David M","non-dropping-particle":"","parse-names":false,"suffix":""},{"dropping-particle":"","family":"Regan","given":"David G","non-dropping-particle":"","parse-names":false,"suffix":""}],"container-title":"PLoS ONE","id":"ITEM-1","issue":"7","issued":{"date-parts":[["2015"]]},"page":"e0133202","title":"Exploring the benefits of molecular testing for gonorrhoea antibiotic resistance surveillance in remote settings","type":"article-journal","volume":"10"},"uris":["http://www.mendeley.com/documents/?uuid=853244d6-109b-48aa-ba0a-5a4ae2a51e59","http://www.mendeley.com/documents/?uuid=85aa5e13-fa6a-3558-a9cb-11a0e8643472"]},{"id":"ITEM-2","itemData":{"ISSN":"0265-0746","PMID":"1517674","abstract":"Heterogeneity in sexual behaviour has an important influence on the transmission dynamics of sexually transmitted diseases (STDs). The authors describe the development of a simple mathematical model, incorporating such heterogeneity, to investigate the demographic impact of gonorrhoea on human population growth in developing countries where the disease is endemic. Earlier predictions, based on a model with homogeneous mixing, are shown to be in good qualitative agreement with the predictions of a more complex mathematical framework in which the population is stratified both by sex and into two subgroups representing low and high sexual activity, defined on the basis of rates of sexual partner change. Analyses also demonstrate that the pattern of mixing (assortative to random) between the sexual activity classes has an important influence on the predicted prevalence of gonococcal infection in a defined community. The more complex model supports earlier conclusions that gonorrhoea, via its impact on fertility, can significantly reduce net population growth rates.","author":[{"dropping-particle":"","family":"Garnett","given":"G P","non-dropping-particle":"","parse-names":false,"suffix":""},{"dropping-particle":"","family":"Swinton","given":"J","non-dropping-particle":"","parse-names":false,"suffix":""},{"dropping-particle":"","family":"Brunham","given":"R C","non-dropping-particle":"","parse-names":false,"suffix":""},{"dropping-particle":"","family":"Anderson","given":"R M","non-dropping-particle":"","parse-names":false,"suffix":""}],"container-title":"IMA J Math Appl Med Biol","id":"ITEM-2","issue":"2","issued":{"date-parts":[["1992"]]},"page":"127-44","title":"Gonococcal infection, infertility, and population growth: II. The influence of heterogeneity in sexual behaviour.","type":"article-journal","volume":"9"},"uris":["http://www.mendeley.com/documents/?uuid=6b6c92de-982a-478d-a79f-e7f2af7be962","http://www.mendeley.com/documents/?uuid=754168b4-8f73-3e81-8ddf-90256ce32a54","http://www.mendeley.com/documents/?uuid=586d3186-2e8d-4d95-aec3-81baaa69cd87"]},{"id":"ITEM-3","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Syndr","id":"ITEM-3","issue":"2","issued":{"date-parts":[["2015","10","1"]]},"page":"186-94","title":"A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71,79,83&lt;/sup&gt;","plainTextFormattedCitation":"71,79,83","previouslyFormattedCitation":"&lt;sup&gt;71,79,83&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71,79,83</w:t>
      </w:r>
      <w:r w:rsidRPr="0024409C">
        <w:rPr>
          <w:rFonts w:ascii="Helvetica Neue" w:hAnsi="Helvetica Neue"/>
        </w:rPr>
        <w:fldChar w:fldCharType="end"/>
      </w:r>
      <w:r w:rsidRPr="0024409C">
        <w:rPr>
          <w:rFonts w:ascii="Helvetica Neue" w:hAnsi="Helvetica Neue"/>
        </w:rPr>
        <w:t xml:space="preserve"> but varied widely between those extremes.</w:t>
      </w:r>
      <w:r w:rsidRPr="0024409C">
        <w:rPr>
          <w:rFonts w:ascii="Helvetica Neue" w:hAnsi="Helvetica Neue"/>
        </w:rPr>
        <w:fldChar w:fldCharType="begin" w:fldLock="1"/>
      </w:r>
      <w:r w:rsidR="00291558">
        <w:rPr>
          <w:rFonts w:ascii="Helvetica Neue" w:hAnsi="Helvetica Neue"/>
        </w:rPr>
        <w:instrText>ADDIN CSL_CITATION {"citationItems":[{"id":"ITEM-1","itemData":{"ISSN":"0277-9536","PMID":"11144911","abstract":"We assessed the cost-effectiveness of the female condom (FC) in preventing HIV infection and other STDs among commercial sex workers (CSWs) and their clients in the Mpumulanga Province of South Africa. The health and economic outcomes of current levels of male condom (MC) use in 1000 CSWs who average 25 partners per year and have an HIV prevalence of 50.3% was compared with the expected outcomes resulting from the additional provision of FCs to these CSWs. A simulation model calculated health and public sector cost outcomes assuming 5 years of HIV infectivity, 1 month of syphilis and gonorrhea infectivity, and FC use in 12% of episodes of vaginal intercourse. Delayed infections and interactions between STDs and HIV were modeled. The simulation was extended to non-CSWs with as few as one casual partner per year. We conducted multiple sensitivity analyses. The program would distribute 6000 FCs annually at a cost of $4002 and would avert 5.9 HIV, 38 syphilis, and 33 gonorrhea cases. This would save the public sector health payer $12,090 in averted HIV/AIDS treatment costs, and $1,074 in averted syphilis and gonorrhea treatment costs for a net saving of $9163. Sensitivity analyses indicate that the economic findings are robust across a wide range of values for key inputs. The program generates net savings of $5421 if HIV prevalence in CSWs is 25% rather than 50.3% and savings of S3591 if each CSW has an average of 10 clients per year rather than 25. A program focusing on non-CSWs with only one casual partner would save $199. We conclude that a well-designed FC program oriented to CSWs and other women with casual partners is likely to be highly cost-effective and can save public sector health funds in rural South Africa.","author":[{"dropping-particle":"","family":"Marseille","given":"E","non-dropping-particle":"","parse-names":false,"suffix":""},{"dropping-particle":"","family":"Kahn","given":"J G","non-dropping-particle":"","parse-names":false,"suffix":""},{"dropping-particle":"","family":"Billinghurst","given":"K","non-dropping-particle":"","parse-names":false,"suffix":""},{"dropping-particle":"","family":"Saba","given":"J","non-dropping-particle":"","parse-names":false,"suffix":""}],"container-title":"Soc Sci Med","id":"ITEM-1","issue":"1","issued":{"date-parts":[["2001","1"]]},"page":"135-48","title":"Cost-effectiveness of the female condom in preventing HIV and STDs in commercial sex workers in rural South Africa.","type":"article-journal","volume":"52"},"uris":["http://www.mendeley.com/documents/?uuid=4375174b-6f5e-498f-9a66-4bc3fbb570fd","http://www.mendeley.com/documents/?uuid=bd626c35-2926-3dfb-8e87-42c0328aed1e"]},{"id":"ITEM-2","itemData":{"ISSN":"0300-5771","author":[{"dropping-particle":"","family":"Stigum","given":"Hein","non-dropping-particle":"","parse-names":false,"suffix":""},{"dropping-particle":"","family":"Magnus","given":"Per","non-dropping-particle":"","parse-names":false,"suffix":""},{"dropping-particle":"","family":"Veierod","given":"Marit","non-dropping-particle":"","parse-names":false,"suffix":""},{"dropping-particle":"","family":"Bakketeig","given":"Leiv S","non-dropping-particle":"","parse-names":false,"suffix":""}],"container-title":"Int J Epidem","id":"ITEM-2","issue":"4","issued":{"date-parts":[["1995"]]},"page":"813-820","publisher":"Oxford University Press","title":"Impact on Sexually Transmitted Disease Spread of Increased Condom Use by Young Females, 1987–1992","type":"article-journal","volume":"24"},"uris":["http://www.mendeley.com/documents/?uuid=fc5b02b4-bb3e-4e0f-9e83-3adac47bbe37"]},{"id":"ITEM-3","itemData":{"ISSN":"0022-1899","PMID":"16088832","abstract":"Prompt treatment of infectious diseases plays an important role in infection control. In the face of the increasing incidence of sexually transmitted infection, the ability of genitourinary medicine services to provide appropriate and timely care is reduced. To explore the relationship between capacity and demand for care, we developed and analyzed a mathematical model of gonorrhea transmission, incorporating patient flow through treatment services and heterogeneity in sexual risk behavior. Two equilibrium levels of infection incidence--\"high\" and \"low\"--exist for the same parameter values, and which of them occurs depends on starting conditions. At the high-incidence equilibrium, there is a \"vicious circle\" in which inadequate treatment capacity leads to many untreated infections, generating further high incidence and high demand and thus maintaining the inadequacy of services. A substantial increase in capacity is needed to interrupt this process and enter a \"virtuous circle,\" in which adequate service provision keeps demand low, offering cost savings as well as improvements in health.","author":[{"dropping-particle":"","family":"White","given":"Peter J","non-dropping-particle":"","parse-names":false,"suffix":""},{"dropping-particle":"","family":"Ward","given":"Helen","non-dropping-particle":"","parse-names":false,"suffix":""},{"dropping-particle":"","family":"Cassell","given":"Jackie A","non-dropping-particle":"","parse-names":false,"suffix":""},{"dropping-particle":"","family":"Mercer","given":"Catherine H","non-dropping-particle":"","parse-names":false,"suffix":""},{"dropping-particle":"","family":"Garnett","given":"Geoff P","non-dropping-particle":"","parse-names":false,"suffix":""}],"container-title":"J Inf Dis","id":"ITEM-3","issue":"5","issued":{"date-parts":[["2005","9"]]},"page":"824-36","title":"Vicious and virtuous circles in the dynamics of infectious disease and the provision of health care: gonorrhea in Britain as an example.","type":"article-journal","volume":"192"},"uris":["http://www.mendeley.com/documents/?uuid=2f38a072-ac48-434b-9215-817a45c054f4","http://www.mendeley.com/documents/?uuid=0b14f72c-4310-3a51-9740-8acbb798132f","http://www.mendeley.com/documents/?uuid=5b4cfbe8-a7e3-44c8-89fd-a787eec361de"]},{"id":"ITEM-4","itemData":{"ISSN":"0269-9370","PMID":"10780720","abstract":"OBJECTIVES To compare the impact of single-round mass treatment of sexually transmitted diseases (STD), sustained syndromic treatment and their combination on the incidence of HIV in rural Africa. METHODS We studied the effects of STD interventions by stochastic simulation using the model STDSIM. Parameters were fitted using data from a trial of improved STD treatment services in Mwanza, Tanzania. Effectiveness was assessed by comparing the prevalences of gonorrhoea, chlamydia, syphilis and chancroid, and the incidence of HIV, in the general adult population in simulations with and without intervention. RESULTS Single-round mass treatment was projected to achieve an immediate, substantial reduction in STD prevalences, which would return to baseline levels over 5-10 years. The effect on syphilis was somewhat larger if participants cured of latent syphilis were not immediately susceptible to re-infection. At 80% coverage, the model projected a reduction in cumulative HIV incidence over 2 years of 36%. A similar impact was achieved if treatment of syphilis was excluded from the intervention or confined to those in the infectious stages. In comparison with sustained syndromic treatment, single-round mass treatment had a greater short-term impact on HIV (36 versus 30% over 2 years), but a smaller long-term impact (24 versus 62% over 10 years). Mass treatment combined with improved treatment services led to a rapid and sustained fall in HIV incidence (57% over 2 years; 70% over 10 years). CONCLUSIONS In populations in which STD control can reduce HIV incidence, mass treatment may, in the short run, have an impact comparable to sustained syndromic treatment. Mass treatment combined with sustained syndromic treatment may be particularly effective.","author":[{"dropping-particle":"","family":"Korenromp","given":"E L","non-dropping-particle":"","parse-names":false,"suffix":""},{"dropping-particle":"","family":"Vliet","given":"C","non-dropping-particle":"Van","parse-names":false,"suffix":""},{"dropping-particle":"","family":"Grosskurth","given":"H","non-dropping-particle":"","parse-names":false,"suffix":""},{"dropping-particle":"","family":"Gavyole","given":"A","non-dropping-particle":"","parse-names":false,"suffix":""},{"dropping-particle":"","family":"Ploeg","given":"C P","non-dropping-particle":"Van der","parse-names":false,"suffix":""},{"dropping-particle":"","family":"Fransen","given":"L","non-dropping-particle":"","parse-names":false,"suffix":""},{"dropping-particle":"","family":"Hayes","given":"R J","non-dropping-particle":"","parse-names":false,"suffix":""},{"dropping-particle":"","family":"Habbema","given":"J D","non-dropping-particle":"","parse-names":false,"suffix":""}],"container-title":"AIDS","id":"ITEM-4","issue":"5","issued":{"date-parts":[["2000","3"]]},"page":"573-93","title":"Model-based evaluation of single-round mass treatment of sexually transmitted diseases for HIV control in a rural African population.","type":"article-journal","volume":"14"},"uris":["http://www.mendeley.com/documents/?uuid=370330dc-ca49-4e21-821c-f379f4836ea8","http://www.mendeley.com/documents/?uuid=814ef6e7-4efc-3227-a520-7d2796ec4d3f","http://www.mendeley.com/documents/?uuid=cc1fc8ee-961e-4dd1-b97e-4ea0690f9d6f"]}],"mendeley":{"formattedCitation":"&lt;sup&gt;47,75,76,99&lt;/sup&gt;","plainTextFormattedCitation":"47,75,76,99","previouslyFormattedCitation":"&lt;sup&gt;47,75,76,99&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47,75,76,99</w:t>
      </w:r>
      <w:r w:rsidRPr="0024409C">
        <w:rPr>
          <w:rFonts w:ascii="Helvetica Neue" w:hAnsi="Helvetica Neue"/>
        </w:rPr>
        <w:fldChar w:fldCharType="end"/>
      </w:r>
    </w:p>
    <w:p w14:paraId="48A1C3C2" w14:textId="77777777" w:rsidR="00A5457A" w:rsidRDefault="00A5457A" w:rsidP="00A5457A">
      <w:pPr>
        <w:spacing w:line="360" w:lineRule="auto"/>
        <w:rPr>
          <w:rFonts w:ascii="Helvetica Neue" w:hAnsi="Helvetica Neue"/>
        </w:rPr>
      </w:pPr>
    </w:p>
    <w:p w14:paraId="4C3D316E" w14:textId="386FE571" w:rsidR="00EA384A" w:rsidRPr="0024409C" w:rsidRDefault="00EA384A" w:rsidP="00A5457A">
      <w:pPr>
        <w:spacing w:line="360" w:lineRule="auto"/>
        <w:rPr>
          <w:rFonts w:ascii="Helvetica Neue" w:hAnsi="Helvetica Neue"/>
        </w:rPr>
      </w:pPr>
      <w:r w:rsidRPr="0024409C">
        <w:rPr>
          <w:rFonts w:ascii="Helvetica Neue" w:hAnsi="Helvetica Neue"/>
        </w:rPr>
        <w:lastRenderedPageBreak/>
        <w:t>For models specifying the duration of an asymptomatic NG infection, estimates were also bimodal, with clusters at 105–135 days</w:t>
      </w:r>
      <w:r w:rsidRPr="0024409C">
        <w:rPr>
          <w:rFonts w:ascii="Helvetica Neue" w:hAnsi="Helvetica Neue"/>
        </w:rPr>
        <w:fldChar w:fldCharType="begin" w:fldLock="1"/>
      </w:r>
      <w:r w:rsidR="00291558">
        <w:rPr>
          <w:rFonts w:ascii="Helvetica Neue" w:hAnsi="Helvetica Neue"/>
        </w:rPr>
        <w:instrText>ADDIN CSL_CITATION {"citationItems":[{"id":"ITEM-1","itemData":{"ISSN":"1368-4973","author":[{"dropping-particle":"","family":"Johnson","given":"L. F.","non-dropping-particle":"","parse-names":false,"suffix":""},{"dropping-particle":"","family":"Alkema","given":"L.","non-dropping-particle":"","parse-names":false,"suffix":""},{"dropping-particle":"","family":"Dorrington","given":"R. E.","non-dropping-particle":"","parse-names":false,"suffix":""}],"container-title":"Sex Transm Infect","id":"ITEM-1","issue":"3","issued":{"date-parts":[["2010","6","1"]]},"page":"169-174","title":"A Bayesian approach to uncertainty analysis of sexually transmitted infection models","type":"article-journal","volume":"86"},"uris":["http://www.mendeley.com/documents/?uuid=31e9dca7-f246-4670-9001-4c78d9774ec7"]},{"id":"ITEM-2","itemData":{"ISSN":"0002-9262","PMID":"8686700","abstract":"A simulation model was used to study the spread of two sexually transmitted diseases (STDs), namely gonorrhea and genital infection with Chlamydia trachomatis. The model is based on a stochastic pair formation and separation process, which describes the underlying structure of the sexual contact pattern. It is implemented as a Monte Carlo simulation model. Spread of the STDs was modeled in an age-structured heterosexual population with a highly sexually active core group. Contact tracing strategies, screening of various subgroups, and the effect of condom use were compared. The authors conclude that contact tracing is very effective as a prevention strategy, that screening should be targeted to the highly active core group, that age is not sufficient as a determinant for high sexual activity to make screening of certain age groups useful, and, finally, that consistent condom use by a fraction of the population can contribute substantially to the prevention of STDs. All strategies proved more effective for gonorrhea than for Chlamydia prevention, which may explain the relatively high prevalence of Chlamydia found in many heterosexual populations.","author":[{"dropping-particle":"","family":"Kretzschmar","given":"M","non-dropping-particle":"","parse-names":false,"suffix":""},{"dropping-particle":"","family":"Duynhoven","given":"Y T","non-dropping-particle":"van","parse-names":false,"suffix":""},{"dropping-particle":"","family":"Severijnen","given":"A J","non-dropping-particle":"","parse-names":false,"suffix":""}],"container-title":"Am J Epidemiol","id":"ITEM-2","issue":"3","issued":{"date-parts":[["1996","8"]]},"page":"306-17","title":"Modeling prevention strategies for gonorrhea and Chlamydia using stochastic network simulations.","type":"article-journal","volume":"144"},"uris":["http://www.mendeley.com/documents/?uuid=d8b3bfe1-8a1d-4217-9bab-df93a86643b5","http://www.mendeley.com/documents/?uuid=5b3af868-c441-32a9-bba7-3e96628e7836","http://www.mendeley.com/documents/?uuid=f3e3cfaa-debf-49f8-ac32-698732f5e778"]},{"id":"ITEM-3","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Health","id":"ITEM-3","issue":"2","issued":{"date-parts":[["2012","2"]]},"page":"161-8","title":"The role of sexually transmitted infections in the evolution of the South African HIV epidemic.","type":"article-journal","volume":"17"},"uris":["http://www.mendeley.com/documents/?uuid=0e1ea8f2-849f-41da-864c-66e864358726"]},{"id":"ITEM-4","itemData":{"ISSN":"1471-2334","PMID":"23618061","abstract":"BACKGROUND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Dis","id":"ITEM-4","issued":{"date-parts":[["2013"]]},"page":"188","title":"Population movement can sustain STI prevalence in remote Australian indigenous communities.","type":"article-journal","volume":"13"},"uris":["http://www.mendeley.com/documents/?uuid=439c8ade-8864-4f5e-9dff-966b3d367e00"]}],"mendeley":{"formattedCitation":"&lt;sup&gt;39,45,53,67&lt;/sup&gt;","plainTextFormattedCitation":"39,45,53,67","previouslyFormattedCitation":"&lt;sup&gt;39,45,53,67&lt;/sup&gt;"},"properties":{"noteIndex":0},"schema":"https://github.com/citation-style-language/schema/raw/master/csl-citation.json"}</w:instrText>
      </w:r>
      <w:r w:rsidRPr="0024409C">
        <w:rPr>
          <w:rFonts w:ascii="Helvetica Neue" w:hAnsi="Helvetica Neue"/>
        </w:rPr>
        <w:fldChar w:fldCharType="separate"/>
      </w:r>
      <w:r w:rsidR="00291558" w:rsidRPr="00291558">
        <w:rPr>
          <w:rFonts w:ascii="Helvetica Neue" w:hAnsi="Helvetica Neue"/>
          <w:noProof/>
          <w:vertAlign w:val="superscript"/>
        </w:rPr>
        <w:t>39,45,53,67</w:t>
      </w:r>
      <w:r w:rsidRPr="0024409C">
        <w:rPr>
          <w:rFonts w:ascii="Helvetica Neue" w:hAnsi="Helvetica Neue"/>
        </w:rPr>
        <w:fldChar w:fldCharType="end"/>
      </w:r>
      <w:r w:rsidRPr="0024409C">
        <w:rPr>
          <w:rFonts w:ascii="Helvetica Neue" w:hAnsi="Helvetica Neue"/>
        </w:rPr>
        <w:t xml:space="preserve"> and 180–185 days.</w:t>
      </w:r>
      <w:r w:rsidRPr="0024409C">
        <w:rPr>
          <w:rFonts w:ascii="Helvetica Neue" w:hAnsi="Helvetica Neue"/>
        </w:rPr>
        <w:fldChar w:fldCharType="begin" w:fldLock="1"/>
      </w:r>
      <w:r w:rsidR="00665BF2">
        <w:rPr>
          <w:rFonts w:ascii="Helvetica Neue" w:hAnsi="Helvetica Neue"/>
        </w:rPr>
        <w:instrText>ADDIN CSL_CITATION {"citationItems":[{"id":"ITEM-1","itemData":{"ISSN":"0962-8436","PMID":"10365404","abstract":"A survey of the sexual behaviour of gonorrhoea patients in Newark was undertaken to evaluate parameters within a model of gonorrhoea transmission. Modelling work aimed to explain observed epidemiological patterns and to explore the potential impact of interventions. Reported behaviours, along with values derived from the literature, were used within a standard deterministic model of gonorrhoea transmission, where the population was stratified according to sex and rates of sex-partner change. The behaviours reported, particularly among women, are insufficient by themselves to explain the continued existence of gonorrhoea within the population. The majority of symptomatic patients seek treatment within a few days, and report that they do not have unprotected sex while symptomatic. The proportion of patients with low numbers of sex partners suggests that sexual mixing between people categorized according to sexual behaviour is near random. To explain the persistence of gonorrhoea, there must be some patients who, when infected, do not seek care in public clinics. In addition, gonorrhoea incidence in the model is sensitive to change, such that very small reductions in risk behaviour could lead to its elimination. This does not accord with the observed failure of many interventions to eliminate infection, suggesting that the modelled infection is too sensitive to change. The model, which has been influential in gonorrhoea epidemiology, is not consistent with the observed epidemiology of gonorrhoea in populations. Alternative models need to explore the observed stability of gonorrhoea before robust modelling conclusions can be drawn on how best to control infection. However, the current results do highlight the potential importance of asymptomatic infections and infections in those who are diseased and do not attend public health services. Screening and contact-tracing to identify asymptomatic infections in both men and women will be more effective in reaching those who maintain the infection within the community rather than simply treating symptomatic cases.","author":[{"dropping-particle":"","family":"Garnett","given":"G P","non-dropping-particle":"","parse-names":false,"suffix":""},{"dropping-particle":"","family":"Mertz","given":"K J","non-dropping-particle":"","parse-names":false,"suffix":""},{"dropping-particle":"","family":"Finelli","given":"L","non-dropping-particle":"","parse-names":false,"suffix":""},{"dropping-particle":"","family":"Levine","given":"W C","non-dropping-particle":"","parse-names":false,"suffix":""},{"dropping-particle":"","family":"St Louis","given":"M E","non-dropping-particle":"","parse-names":false,"suffix":""}],"container-title":"Philos Trans R Soc Lond B Biol Sci","id":"ITEM-1","issue":"1384","issued":{"date-parts":[["1999","4"]]},"page":"787-97","title":"The transmission dynamics of gonorrhoea: modelling the reported behaviour of infected patients from Newark, New Jersey.","type":"article-journal","volume":"354"},"uris":["http://www.mendeley.com/documents/?uuid=a0924c6a-947c-4c24-a77d-49f8d1ee76f0","http://www.mendeley.com/documents/?uuid=0e7600dd-68c6-3779-a988-e44f217aaaf2"]},{"id":"ITEM-2","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Dis","id":"ITEM-2","issue":"10","issued":{"date-parts":[["2013","10"]]},"page":"776-83","title":"Cost-effectiveness of screening men in Maricopa County jails for chlamydia and gonorrhea to avert infections in women.","type":"article-journal","volume":"40"},"uris":["http://www.mendeley.com/documents/?uuid=ffb1178c-a6e8-4076-8f5b-4bfe4e98d860"]}],"mendeley":{"formattedCitation":"&lt;sup&gt;57,90&lt;/sup&gt;","plainTextFormattedCitation":"57,90","previouslyFormattedCitation":"&lt;sup&gt;57,90&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57,90</w:t>
      </w:r>
      <w:r w:rsidRPr="0024409C">
        <w:rPr>
          <w:rFonts w:ascii="Helvetica Neue" w:hAnsi="Helvetica Neue"/>
        </w:rPr>
        <w:fldChar w:fldCharType="end"/>
      </w:r>
      <w:r w:rsidRPr="0024409C">
        <w:rPr>
          <w:rFonts w:ascii="Helvetica Neue" w:hAnsi="Helvetica Neue"/>
        </w:rPr>
        <w:t xml:space="preserve"> Beck et al.</w:t>
      </w:r>
      <w:r w:rsidRPr="0024409C">
        <w:rPr>
          <w:rFonts w:ascii="Helvetica Neue" w:hAnsi="Helvetica Neue"/>
        </w:rPr>
        <w:fldChar w:fldCharType="begin" w:fldLock="1"/>
      </w:r>
      <w:r w:rsidR="00665BF2">
        <w:rPr>
          <w:rFonts w:ascii="Helvetica Neue" w:hAnsi="Helvetica Neue"/>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24409C">
        <w:rPr>
          <w:rFonts w:ascii="Helvetica Neue" w:hAnsi="Helvetica Neue"/>
        </w:rPr>
        <w:fldChar w:fldCharType="separate"/>
      </w:r>
      <w:r w:rsidR="00E52119" w:rsidRPr="0024409C">
        <w:rPr>
          <w:rFonts w:ascii="Helvetica Neue" w:hAnsi="Helvetica Neue"/>
          <w:noProof/>
          <w:vertAlign w:val="superscript"/>
        </w:rPr>
        <w:t>71</w:t>
      </w:r>
      <w:r w:rsidRPr="0024409C">
        <w:rPr>
          <w:rFonts w:ascii="Helvetica Neue" w:hAnsi="Helvetica Neue"/>
        </w:rPr>
        <w:fldChar w:fldCharType="end"/>
      </w:r>
      <w:r w:rsidRPr="0024409C">
        <w:rPr>
          <w:rFonts w:ascii="Helvetica Neue" w:hAnsi="Helvetica Neue"/>
        </w:rPr>
        <w:t xml:space="preserve"> have estimated 240 days for urethral infection and 300 days for rectal infection. </w:t>
      </w:r>
      <w:r w:rsidR="00E7183F" w:rsidRPr="0024409C">
        <w:rPr>
          <w:rFonts w:ascii="Helvetica Neue" w:hAnsi="Helvetica Neue"/>
        </w:rPr>
        <w:t xml:space="preserve">Given this uncertainty, we established a prior distribution of </w:t>
      </w:r>
      <w:r w:rsidR="00E7183F">
        <w:rPr>
          <w:rFonts w:ascii="Helvetica Neue" w:hAnsi="Helvetica Neue"/>
        </w:rPr>
        <w:t>15</w:t>
      </w:r>
      <w:r w:rsidR="00E7183F" w:rsidRPr="0024409C">
        <w:rPr>
          <w:rFonts w:ascii="Helvetica Neue" w:hAnsi="Helvetica Neue"/>
        </w:rPr>
        <w:t>–</w:t>
      </w:r>
      <w:r w:rsidR="00E7183F">
        <w:rPr>
          <w:rFonts w:ascii="Helvetica Neue" w:hAnsi="Helvetica Neue"/>
        </w:rPr>
        <w:t>52</w:t>
      </w:r>
      <w:r w:rsidR="00E7183F" w:rsidRPr="0024409C">
        <w:rPr>
          <w:rFonts w:ascii="Helvetica Neue" w:hAnsi="Helvetica Neue"/>
        </w:rPr>
        <w:t xml:space="preserve"> weeks for the duration of both asymptomatic rectal and asymptomatic urethral NG infection. The estimated posterior means were </w:t>
      </w:r>
      <w:r w:rsidR="00E7183F">
        <w:rPr>
          <w:rFonts w:ascii="Helvetica Neue" w:hAnsi="Helvetica Neue"/>
        </w:rPr>
        <w:t>24.79</w:t>
      </w:r>
      <w:r w:rsidR="00E7183F" w:rsidRPr="0024409C">
        <w:rPr>
          <w:rFonts w:ascii="Helvetica Neue" w:hAnsi="Helvetica Neue"/>
        </w:rPr>
        <w:t xml:space="preserve"> weeks, or </w:t>
      </w:r>
      <w:r w:rsidR="00E7183F">
        <w:rPr>
          <w:rFonts w:ascii="Helvetica Neue" w:hAnsi="Helvetica Neue"/>
        </w:rPr>
        <w:t xml:space="preserve">about 175 </w:t>
      </w:r>
      <w:r w:rsidR="00E7183F" w:rsidRPr="0024409C">
        <w:rPr>
          <w:rFonts w:ascii="Helvetica Neue" w:hAnsi="Helvetica Neue"/>
        </w:rPr>
        <w:t>days</w:t>
      </w:r>
      <w:r w:rsidR="003565AD" w:rsidRPr="0024409C">
        <w:rPr>
          <w:rFonts w:ascii="Helvetica Neue" w:hAnsi="Helvetica Neue"/>
        </w:rPr>
        <w:t>,</w:t>
      </w:r>
      <w:r w:rsidRPr="0024409C">
        <w:rPr>
          <w:rFonts w:ascii="Helvetica Neue" w:hAnsi="Helvetica Neue"/>
        </w:rPr>
        <w:t xml:space="preserve"> for the duration of asymptomatic rectal and urethral NG infection</w:t>
      </w:r>
      <w:r w:rsidR="000548B9" w:rsidRPr="0024409C">
        <w:rPr>
          <w:rFonts w:ascii="Helvetica Neue" w:hAnsi="Helvetica Neue"/>
        </w:rPr>
        <w:t>, consistent with our previous STI model</w:t>
      </w:r>
      <w:r w:rsidRPr="0024409C">
        <w:rPr>
          <w:rFonts w:ascii="Helvetica Neue" w:hAnsi="Helvetica Neue"/>
        </w:rPr>
        <w:t>.</w:t>
      </w:r>
      <w:r w:rsidR="0003703E" w:rsidRPr="0024409C">
        <w:rPr>
          <w:rFonts w:ascii="Helvetica Neue" w:hAnsi="Helvetica Neue"/>
        </w:rPr>
        <w:fldChar w:fldCharType="begin" w:fldLock="1"/>
      </w:r>
      <w:r w:rsidR="00665BF2">
        <w:rPr>
          <w:rFonts w:ascii="Helvetica Neue" w:hAnsi="Helvetica Neue"/>
        </w:rPr>
        <w:instrText>ADDIN CSL_CITATION {"citationItems":[{"id":"ITEM-1","itemData":{"ISSN":"1058-4838","PMID":"28505240","abstract":"Background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Diseases","id":"ITEM-1","issue":"5","issued":{"date-parts":[["2017","5","13"]]},"page":"712-718","title":"Incidence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5&lt;/sup&gt;","plainTextFormattedCitation":"5","previouslyFormattedCitation":"&lt;sup&gt;5&lt;/sup&gt;"},"properties":{"noteIndex":0},"schema":"https://github.com/citation-style-language/schema/raw/master/csl-citation.json"}</w:instrText>
      </w:r>
      <w:r w:rsidR="0003703E" w:rsidRPr="0024409C">
        <w:rPr>
          <w:rFonts w:ascii="Helvetica Neue" w:hAnsi="Helvetica Neue"/>
        </w:rPr>
        <w:fldChar w:fldCharType="separate"/>
      </w:r>
      <w:r w:rsidR="0003703E" w:rsidRPr="0024409C">
        <w:rPr>
          <w:rFonts w:ascii="Helvetica Neue" w:hAnsi="Helvetica Neue"/>
          <w:noProof/>
          <w:vertAlign w:val="superscript"/>
        </w:rPr>
        <w:t>5</w:t>
      </w:r>
      <w:r w:rsidR="0003703E" w:rsidRPr="0024409C">
        <w:rPr>
          <w:rFonts w:ascii="Helvetica Neue" w:hAnsi="Helvetica Neue"/>
        </w:rPr>
        <w:fldChar w:fldCharType="end"/>
      </w:r>
    </w:p>
    <w:p w14:paraId="7A6CD449" w14:textId="77777777" w:rsidR="00EC0D68" w:rsidRPr="00026461" w:rsidRDefault="00EC0D68" w:rsidP="00A76FC1">
      <w:pPr>
        <w:rPr>
          <w:rFonts w:ascii="Helvetica Neue" w:hAnsi="Helvetica Neue"/>
          <w:b/>
        </w:rPr>
      </w:pPr>
    </w:p>
    <w:p w14:paraId="4ABC1F33" w14:textId="77777777" w:rsidR="00CB4FDC" w:rsidRPr="0024409C" w:rsidRDefault="00CB4FDC" w:rsidP="00CB4FDC">
      <w:pPr>
        <w:pStyle w:val="Heading1"/>
        <w:spacing w:before="300"/>
        <w:rPr>
          <w:rFonts w:ascii="Helvetica Neue" w:hAnsi="Helvetica Neue"/>
        </w:rPr>
      </w:pPr>
      <w:bookmarkStart w:id="48" w:name="_Toc2361398"/>
      <w:r w:rsidRPr="003A1F7B">
        <w:rPr>
          <w:rFonts w:ascii="Helvetica Neue" w:hAnsi="Helvetica Neue"/>
        </w:rPr>
        <w:t xml:space="preserve">11 </w:t>
      </w:r>
      <w:r w:rsidRPr="003A1F7B">
        <w:rPr>
          <w:rFonts w:ascii="Helvetica Neue" w:hAnsi="Helvetica Neue"/>
        </w:rPr>
        <w:tab/>
        <w:t>STI SCREENING</w:t>
      </w:r>
      <w:bookmarkEnd w:id="48"/>
    </w:p>
    <w:p w14:paraId="30219233" w14:textId="318786A0" w:rsidR="00D826D0" w:rsidRPr="0024409C" w:rsidRDefault="00CB4FDC" w:rsidP="00CB4FDC">
      <w:pPr>
        <w:spacing w:line="360" w:lineRule="auto"/>
        <w:rPr>
          <w:rFonts w:ascii="Helvetica Neue" w:hAnsi="Helvetica Neue"/>
        </w:rPr>
      </w:pPr>
      <w:r w:rsidRPr="0024409C">
        <w:rPr>
          <w:rFonts w:ascii="Helvetica Neue" w:hAnsi="Helvetica Neue"/>
        </w:rPr>
        <w:t xml:space="preserve">A background screening process for the identification </w:t>
      </w:r>
      <w:r>
        <w:rPr>
          <w:rFonts w:ascii="Helvetica Neue" w:hAnsi="Helvetica Neue"/>
        </w:rPr>
        <w:t xml:space="preserve">of </w:t>
      </w:r>
      <w:r w:rsidRPr="0024409C">
        <w:rPr>
          <w:rFonts w:ascii="Helvetica Neue" w:hAnsi="Helvetica Neue"/>
        </w:rPr>
        <w:t>asymptomatic infection</w:t>
      </w:r>
      <w:r>
        <w:rPr>
          <w:rFonts w:ascii="Helvetica Neue" w:hAnsi="Helvetica Neue"/>
        </w:rPr>
        <w:t>s</w:t>
      </w:r>
      <w:r w:rsidRPr="0024409C">
        <w:rPr>
          <w:rFonts w:ascii="Helvetica Neue" w:hAnsi="Helvetica Neue"/>
        </w:rPr>
        <w:t xml:space="preserve"> was newly implemented</w:t>
      </w:r>
      <w:r>
        <w:rPr>
          <w:rFonts w:ascii="Helvetica Neue" w:hAnsi="Helvetica Neue"/>
        </w:rPr>
        <w:t xml:space="preserve">. </w:t>
      </w:r>
      <w:r w:rsidRPr="0024409C">
        <w:rPr>
          <w:rFonts w:ascii="Helvetica Neue" w:hAnsi="Helvetica Neue"/>
        </w:rPr>
        <w:t xml:space="preserve">Any individual who had been sexually active, e.g. in an </w:t>
      </w:r>
      <w:proofErr w:type="spellStart"/>
      <w:r w:rsidRPr="0024409C">
        <w:rPr>
          <w:rFonts w:ascii="Helvetica Neue" w:hAnsi="Helvetica Neue"/>
        </w:rPr>
        <w:t>edgelist</w:t>
      </w:r>
      <w:proofErr w:type="spellEnd"/>
      <w:r w:rsidRPr="0024409C">
        <w:rPr>
          <w:rFonts w:ascii="Helvetica Neue" w:hAnsi="Helvetica Neue"/>
        </w:rPr>
        <w:t xml:space="preserve"> in a non-dissolved partnership, in the previous year was eligible for screening. </w:t>
      </w:r>
      <w:r w:rsidR="00D826D0" w:rsidRPr="0024409C">
        <w:rPr>
          <w:rFonts w:ascii="Helvetica Neue" w:hAnsi="Helvetica Neue"/>
        </w:rPr>
        <w:t xml:space="preserve">Screening was implemented as a deterministic process for each STI, stratified by HIV </w:t>
      </w:r>
      <w:proofErr w:type="spellStart"/>
      <w:r w:rsidR="00D826D0" w:rsidRPr="0024409C">
        <w:rPr>
          <w:rFonts w:ascii="Helvetica Neue" w:hAnsi="Helvetica Neue"/>
        </w:rPr>
        <w:t>serostatus</w:t>
      </w:r>
      <w:proofErr w:type="spellEnd"/>
      <w:r w:rsidR="00D826D0" w:rsidRPr="0024409C">
        <w:rPr>
          <w:rFonts w:ascii="Helvetica Neue" w:hAnsi="Helvetica Neue"/>
        </w:rPr>
        <w:t xml:space="preserve">, with a certain proportion of individuals who met eligibility criteria screening every 365 days for </w:t>
      </w:r>
      <w:r w:rsidR="00D826D0">
        <w:rPr>
          <w:rFonts w:ascii="Helvetica Neue" w:hAnsi="Helvetica Neue"/>
        </w:rPr>
        <w:t>both NG and CT</w:t>
      </w:r>
      <w:r w:rsidR="00D826D0" w:rsidRPr="0024409C">
        <w:rPr>
          <w:rFonts w:ascii="Helvetica Neue" w:hAnsi="Helvetica Neue"/>
        </w:rPr>
        <w:t xml:space="preserve">. </w:t>
      </w:r>
    </w:p>
    <w:p w14:paraId="2F92B0E8" w14:textId="77777777" w:rsidR="00CB4FDC" w:rsidRPr="00026461" w:rsidRDefault="00CB4FDC" w:rsidP="00CB4FDC">
      <w:pPr>
        <w:rPr>
          <w:rFonts w:ascii="Helvetica Neue" w:hAnsi="Helvetica Neue"/>
          <w:b/>
        </w:rPr>
      </w:pPr>
    </w:p>
    <w:p w14:paraId="426F2BD8" w14:textId="77777777" w:rsidR="008D7CB2" w:rsidRPr="0024409C" w:rsidRDefault="008D7CB2" w:rsidP="008D7CB2">
      <w:pPr>
        <w:pStyle w:val="Heading2"/>
        <w:rPr>
          <w:rFonts w:ascii="Helvetica Neue" w:hAnsi="Helvetica Neue"/>
          <w:szCs w:val="22"/>
        </w:rPr>
      </w:pPr>
      <w:bookmarkStart w:id="49" w:name="_Toc2361399"/>
      <w:r w:rsidRPr="0024409C">
        <w:rPr>
          <w:rFonts w:ascii="Helvetica Neue" w:hAnsi="Helvetica Neue"/>
          <w:szCs w:val="22"/>
        </w:rPr>
        <w:t>11.1</w:t>
      </w:r>
      <w:r w:rsidRPr="0024409C">
        <w:rPr>
          <w:rFonts w:ascii="Helvetica Neue" w:hAnsi="Helvetica Neue"/>
          <w:szCs w:val="22"/>
        </w:rPr>
        <w:tab/>
      </w:r>
      <w:r w:rsidRPr="0024409C">
        <w:rPr>
          <w:rFonts w:ascii="Helvetica Neue" w:hAnsi="Helvetica Neue"/>
          <w:szCs w:val="22"/>
        </w:rPr>
        <w:tab/>
        <w:t>STI Screening Indications</w:t>
      </w:r>
      <w:r>
        <w:rPr>
          <w:rFonts w:ascii="Helvetica Neue" w:hAnsi="Helvetica Neue"/>
          <w:szCs w:val="22"/>
        </w:rPr>
        <w:t xml:space="preserve"> and Screening Eligibility</w:t>
      </w:r>
      <w:bookmarkEnd w:id="49"/>
    </w:p>
    <w:p w14:paraId="3DF1D091" w14:textId="41F2ACA6" w:rsidR="008D7CB2" w:rsidRPr="00237ECC" w:rsidRDefault="008D7CB2" w:rsidP="008D7CB2">
      <w:pPr>
        <w:spacing w:line="360" w:lineRule="auto"/>
        <w:rPr>
          <w:rFonts w:ascii="Helvetica Neue" w:hAnsi="Helvetica Neue"/>
        </w:rPr>
      </w:pPr>
      <w:r w:rsidRPr="00237ECC">
        <w:rPr>
          <w:rFonts w:ascii="Helvetica Neue" w:hAnsi="Helvetica Neue"/>
        </w:rPr>
        <w:t>STI screening was simulated following CDC’s guidelines</w:t>
      </w:r>
      <w:r w:rsidRPr="00237ECC">
        <w:rPr>
          <w:rFonts w:ascii="Helvetica Neue" w:hAnsi="Helvetica Neue"/>
        </w:rPr>
        <w:fldChar w:fldCharType="begin" w:fldLock="1"/>
      </w:r>
      <w:r w:rsidR="00665BF2">
        <w:rPr>
          <w:rFonts w:ascii="Helvetica Neue" w:hAnsi="Helvetica Neue"/>
        </w:rPr>
        <w:instrText>ADDIN CSL_CITATION {"citationItems":[{"id":"ITEM-1","itemData":{"author":[{"dropping-particle":"","family":"Centers for Disease Control and Prevention","given":"","non-dropping-particle":"","parse-names":false,"suffix":""}],"container-title":"MMWR Recommended Reports","id":"ITEM-1","issue":"3","issued":{"date-parts":[["2015"]]},"title":"2015 STD Treatment Guidelines","type":"article-journal","volume":"64"},"uris":["http://www.mendeley.com/documents/?uuid=48bde350-eac4-33a5-bd61-f979ec788a3c"]}],"mendeley":{"formattedCitation":"&lt;sup&gt;104&lt;/sup&gt;","plainTextFormattedCitation":"104","previouslyFormattedCitation":"&lt;sup&gt;104&lt;/sup&gt;"},"properties":{"noteIndex":0},"schema":"https://github.com/citation-style-language/schema/raw/master/csl-citation.json"}</w:instrText>
      </w:r>
      <w:r w:rsidRPr="00237ECC">
        <w:rPr>
          <w:rFonts w:ascii="Helvetica Neue" w:hAnsi="Helvetica Neue"/>
        </w:rPr>
        <w:fldChar w:fldCharType="separate"/>
      </w:r>
      <w:r w:rsidR="00DB1A5C" w:rsidRPr="00DB1A5C">
        <w:rPr>
          <w:rFonts w:ascii="Helvetica Neue" w:hAnsi="Helvetica Neue"/>
          <w:noProof/>
          <w:vertAlign w:val="superscript"/>
        </w:rPr>
        <w:t>104</w:t>
      </w:r>
      <w:r w:rsidRPr="00237ECC">
        <w:rPr>
          <w:rFonts w:ascii="Helvetica Neue" w:hAnsi="Helvetica Neue"/>
        </w:rPr>
        <w:fldChar w:fldCharType="end"/>
      </w:r>
      <w:r w:rsidRPr="00237ECC">
        <w:rPr>
          <w:rFonts w:ascii="Helvetica Neue" w:hAnsi="Helvetica Neue"/>
        </w:rPr>
        <w:t>, which indicate sexually active MSM for site-specific testing at sites of sexual contact at least annually, irrespective of condom use, and more frequent screening (every 3-6 months) “if at increased risk.”</w:t>
      </w:r>
      <w:r>
        <w:rPr>
          <w:rFonts w:ascii="Helvetica Neue" w:hAnsi="Helvetica Neue"/>
        </w:rPr>
        <w:t xml:space="preserve"> Men were dynamically evaluated every 6 </w:t>
      </w:r>
      <w:r w:rsidR="00C26CA1">
        <w:rPr>
          <w:rFonts w:ascii="Helvetica Neue" w:hAnsi="Helvetica Neue"/>
        </w:rPr>
        <w:t>months and</w:t>
      </w:r>
      <w:r>
        <w:rPr>
          <w:rFonts w:ascii="Helvetica Neue" w:hAnsi="Helvetica Neue"/>
        </w:rPr>
        <w:t xml:space="preserve"> </w:t>
      </w:r>
      <w:r w:rsidRPr="00237ECC">
        <w:rPr>
          <w:rFonts w:ascii="Helvetica Neue" w:hAnsi="Helvetica Neue"/>
        </w:rPr>
        <w:t xml:space="preserve">having more than one partner in the 6 months prior to assessment </w:t>
      </w:r>
      <w:r>
        <w:rPr>
          <w:rFonts w:ascii="Helvetica Neue" w:hAnsi="Helvetica Neue"/>
        </w:rPr>
        <w:t xml:space="preserve">made </w:t>
      </w:r>
      <w:r w:rsidRPr="00237ECC">
        <w:rPr>
          <w:rFonts w:ascii="Helvetica Neue" w:hAnsi="Helvetica Neue"/>
        </w:rPr>
        <w:t xml:space="preserve">a man </w:t>
      </w:r>
      <w:r>
        <w:rPr>
          <w:rFonts w:ascii="Helvetica Neue" w:hAnsi="Helvetica Neue"/>
        </w:rPr>
        <w:t xml:space="preserve">eligible </w:t>
      </w:r>
      <w:r w:rsidRPr="00237ECC">
        <w:rPr>
          <w:rFonts w:ascii="Helvetica Neue" w:hAnsi="Helvetica Neue"/>
        </w:rPr>
        <w:t>for more frequent (higher-risk) screening</w:t>
      </w:r>
      <w:r>
        <w:rPr>
          <w:rFonts w:ascii="Helvetica Neue" w:hAnsi="Helvetica Neue"/>
        </w:rPr>
        <w:t>. Exhibiting sexual activity in the prior year, but not more than one partner in the last 6 months, made a man eligible for annual screening. This partner cut-off over the 6-month look-back period was varied in a secondary analysis.</w:t>
      </w:r>
    </w:p>
    <w:p w14:paraId="00DB0F04" w14:textId="77777777" w:rsidR="008D7CB2" w:rsidRPr="0024409C" w:rsidRDefault="008D7CB2" w:rsidP="008D7CB2">
      <w:pPr>
        <w:pStyle w:val="Heading2"/>
        <w:rPr>
          <w:rFonts w:ascii="Helvetica Neue" w:hAnsi="Helvetica Neue"/>
          <w:szCs w:val="22"/>
        </w:rPr>
      </w:pPr>
      <w:bookmarkStart w:id="50" w:name="_Toc2361400"/>
      <w:r w:rsidRPr="0024409C">
        <w:rPr>
          <w:rFonts w:ascii="Helvetica Neue" w:hAnsi="Helvetica Neue"/>
          <w:szCs w:val="22"/>
        </w:rPr>
        <w:lastRenderedPageBreak/>
        <w:t>11.2</w:t>
      </w:r>
      <w:r w:rsidRPr="0024409C">
        <w:rPr>
          <w:rFonts w:ascii="Helvetica Neue" w:hAnsi="Helvetica Neue"/>
          <w:szCs w:val="22"/>
        </w:rPr>
        <w:tab/>
      </w:r>
      <w:r w:rsidRPr="0024409C">
        <w:rPr>
          <w:rFonts w:ascii="Helvetica Neue" w:hAnsi="Helvetica Neue"/>
          <w:szCs w:val="22"/>
        </w:rPr>
        <w:tab/>
        <w:t>STI Screening Process</w:t>
      </w:r>
      <w:bookmarkEnd w:id="50"/>
    </w:p>
    <w:p w14:paraId="7D64F5E4" w14:textId="32328997" w:rsidR="008D7CB2" w:rsidRDefault="008D7CB2" w:rsidP="008D7CB2">
      <w:pPr>
        <w:tabs>
          <w:tab w:val="left" w:pos="540"/>
        </w:tabs>
        <w:spacing w:line="360" w:lineRule="auto"/>
        <w:rPr>
          <w:rFonts w:ascii="Helvetica Neue" w:eastAsiaTheme="minorEastAsia" w:hAnsi="Helvetica Neue"/>
        </w:rPr>
      </w:pPr>
      <w:r w:rsidRPr="00237ECC">
        <w:rPr>
          <w:rFonts w:ascii="Helvetica Neue" w:hAnsi="Helvetica Neue"/>
        </w:rPr>
        <w:t xml:space="preserve">Men were </w:t>
      </w:r>
      <w:r w:rsidRPr="00D92DFF">
        <w:rPr>
          <w:rFonts w:ascii="Helvetica Neue" w:hAnsi="Helvetica Neue"/>
        </w:rPr>
        <w:t xml:space="preserve">reassessed every </w:t>
      </w:r>
      <w:r w:rsidRPr="00D92DFF">
        <w:rPr>
          <w:rFonts w:ascii="Helvetica Neue" w:hAnsi="Helvetica Neue"/>
          <w:bCs/>
        </w:rPr>
        <w:t>6</w:t>
      </w:r>
      <w:r w:rsidRPr="00D92DFF">
        <w:rPr>
          <w:rFonts w:ascii="Helvetica Neue" w:hAnsi="Helvetica Neue"/>
        </w:rPr>
        <w:t xml:space="preserve"> months and </w:t>
      </w:r>
      <w:r>
        <w:rPr>
          <w:rFonts w:ascii="Helvetica Neue" w:hAnsi="Helvetica Neue"/>
        </w:rPr>
        <w:t>classified as being eligible for</w:t>
      </w:r>
      <w:r w:rsidRPr="00237ECC">
        <w:rPr>
          <w:rFonts w:ascii="Helvetica Neue" w:hAnsi="Helvetica Neue"/>
        </w:rPr>
        <w:t xml:space="preserve"> different screening trajectories (annual for sexually active, semiannual for higher-risk) depending on their indications. </w:t>
      </w:r>
      <w:r>
        <w:rPr>
          <w:rFonts w:ascii="Helvetica Neue" w:hAnsi="Helvetica Neue"/>
        </w:rPr>
        <w:t xml:space="preserve">This process established the denominators for higher-risk screening, in that all men who </w:t>
      </w:r>
      <w:r w:rsidR="002334CA">
        <w:rPr>
          <w:rFonts w:ascii="Helvetica Neue" w:hAnsi="Helvetica Neue"/>
        </w:rPr>
        <w:t xml:space="preserve">had </w:t>
      </w:r>
      <w:r>
        <w:rPr>
          <w:rFonts w:ascii="Helvetica Neue" w:hAnsi="Helvetica Neue"/>
        </w:rPr>
        <w:t xml:space="preserve">more partners in the last 6 months than the cut point threshold were included in the denominator for coverage of higher-risk screening. </w:t>
      </w:r>
    </w:p>
    <w:p w14:paraId="44D773B8" w14:textId="35E7F56B" w:rsidR="008D7CB2" w:rsidRDefault="008D7CB2" w:rsidP="00801F0F">
      <w:pPr>
        <w:tabs>
          <w:tab w:val="left" w:pos="540"/>
        </w:tabs>
        <w:spacing w:line="360" w:lineRule="auto"/>
        <w:ind w:left="540"/>
        <w:rPr>
          <w:rFonts w:ascii="Helvetica Neue" w:eastAsiaTheme="minorEastAsia" w:hAnsi="Helvetica Neue"/>
        </w:rPr>
      </w:pPr>
      <w:r>
        <w:rPr>
          <w:rFonts w:ascii="Helvetica Neue" w:eastAsiaTheme="minorEastAsia" w:hAnsi="Helvetica Neue"/>
        </w:rPr>
        <w:t xml:space="preserve">Coverage of higher-risk screening: </w:t>
      </w:r>
      <m:oMath>
        <m:f>
          <m:fPr>
            <m:ctrlPr>
              <w:rPr>
                <w:rFonts w:ascii="Cambria Math" w:hAnsi="Cambria Math"/>
                <w:i/>
              </w:rPr>
            </m:ctrlPr>
          </m:fPr>
          <m:num>
            <m:r>
              <w:rPr>
                <w:rFonts w:ascii="Cambria Math" w:hAnsi="Cambria Math"/>
              </w:rPr>
              <m:t>Men assigned to test semiannually</m:t>
            </m:r>
          </m:num>
          <m:den>
            <m:r>
              <w:rPr>
                <w:rFonts w:ascii="Cambria Math" w:hAnsi="Cambria Math"/>
              </w:rPr>
              <m:t>All men with more than X partners in prior 6 months</m:t>
            </m:r>
          </m:den>
        </m:f>
      </m:oMath>
    </w:p>
    <w:p w14:paraId="656415EC" w14:textId="12279E9F" w:rsidR="008D7CB2" w:rsidRDefault="008D7CB2" w:rsidP="008D7CB2">
      <w:pPr>
        <w:tabs>
          <w:tab w:val="left" w:pos="540"/>
        </w:tabs>
        <w:spacing w:line="360" w:lineRule="auto"/>
        <w:rPr>
          <w:rFonts w:ascii="Helvetica Neue" w:eastAsiaTheme="minorEastAsia" w:hAnsi="Helvetica Neue"/>
        </w:rPr>
      </w:pPr>
      <w:r>
        <w:rPr>
          <w:rFonts w:ascii="Helvetica Neue" w:hAnsi="Helvetica Neue"/>
        </w:rPr>
        <w:t xml:space="preserve">This was a dynamic process, dependent on the existing coverage of the higher-risk screening trajectory. </w:t>
      </w:r>
      <w:r w:rsidR="00730957">
        <w:rPr>
          <w:rFonts w:ascii="Helvetica Neue" w:eastAsiaTheme="minorEastAsia" w:hAnsi="Helvetica Neue"/>
        </w:rPr>
        <w:t xml:space="preserve">If the fixed coverage level for higher-risk screening (e.g. 10% of all eligible) </w:t>
      </w:r>
      <w:r w:rsidR="00CD1AE5">
        <w:rPr>
          <w:rFonts w:ascii="Helvetica Neue" w:eastAsiaTheme="minorEastAsia" w:hAnsi="Helvetica Neue"/>
        </w:rPr>
        <w:t>because</w:t>
      </w:r>
      <w:r w:rsidR="00730957">
        <w:rPr>
          <w:rFonts w:ascii="Helvetica Neue" w:eastAsiaTheme="minorEastAsia" w:hAnsi="Helvetica Neue"/>
        </w:rPr>
        <w:t xml:space="preserve">, men could then be initiated to start screening on a semi-annual basis, contingent on retaining their eligibility at subsequent evaluations, until the coverage level was reached. </w:t>
      </w:r>
      <w:r w:rsidR="00CB19A9">
        <w:rPr>
          <w:rFonts w:ascii="Helvetica Neue" w:eastAsiaTheme="minorEastAsia" w:hAnsi="Helvetica Neue"/>
        </w:rPr>
        <w:t>Once the coverage level was reached, no more men were recruited for screening until the level fell below that set value.</w:t>
      </w:r>
      <w:r w:rsidR="005B1AD6" w:rsidDel="005B1AD6">
        <w:rPr>
          <w:rFonts w:ascii="Helvetica Neue" w:eastAsiaTheme="minorEastAsia" w:hAnsi="Helvetica Neue"/>
        </w:rPr>
        <w:t xml:space="preserve"> </w:t>
      </w:r>
      <w:r w:rsidR="005B1AD6">
        <w:rPr>
          <w:rFonts w:ascii="Helvetica Neue" w:eastAsiaTheme="minorEastAsia" w:hAnsi="Helvetica Neue"/>
        </w:rPr>
        <w:t xml:space="preserve"> </w:t>
      </w:r>
      <w:r w:rsidR="005B1AD6" w:rsidRPr="0024409C">
        <w:rPr>
          <w:rFonts w:ascii="Helvetica Neue" w:hAnsi="Helvetica Neue"/>
        </w:rPr>
        <w:t xml:space="preserve">Screening was implemented as a deterministic process for each STI, stratified by HIV </w:t>
      </w:r>
      <w:proofErr w:type="spellStart"/>
      <w:r w:rsidR="005B1AD6" w:rsidRPr="0024409C">
        <w:rPr>
          <w:rFonts w:ascii="Helvetica Neue" w:hAnsi="Helvetica Neue"/>
        </w:rPr>
        <w:t>serostatus</w:t>
      </w:r>
      <w:proofErr w:type="spellEnd"/>
      <w:r w:rsidR="005B1AD6" w:rsidRPr="0024409C">
        <w:rPr>
          <w:rFonts w:ascii="Helvetica Neue" w:hAnsi="Helvetica Neue"/>
        </w:rPr>
        <w:t xml:space="preserve">, with a certain proportion of individuals who met eligibility criteria for screening every 365 days for </w:t>
      </w:r>
      <w:r w:rsidR="005B1AD6">
        <w:rPr>
          <w:rFonts w:ascii="Helvetica Neue" w:hAnsi="Helvetica Neue"/>
        </w:rPr>
        <w:t>both NG and CT</w:t>
      </w:r>
      <w:r w:rsidR="00D810EA">
        <w:rPr>
          <w:rFonts w:ascii="Helvetica Neue" w:hAnsi="Helvetica Neue"/>
        </w:rPr>
        <w:t>.</w:t>
      </w:r>
    </w:p>
    <w:p w14:paraId="4BA9EA55" w14:textId="162E7D1C" w:rsidR="008D7CB2" w:rsidRDefault="008D7CB2" w:rsidP="008D7CB2">
      <w:pPr>
        <w:tabs>
          <w:tab w:val="left" w:pos="540"/>
        </w:tabs>
        <w:spacing w:line="360" w:lineRule="auto"/>
        <w:rPr>
          <w:rFonts w:ascii="Helvetica Neue" w:hAnsi="Helvetica Neue"/>
        </w:rPr>
      </w:pPr>
      <w:r>
        <w:rPr>
          <w:rFonts w:ascii="Helvetica Neue" w:hAnsi="Helvetica Neue"/>
        </w:rPr>
        <w:t xml:space="preserve">The denominator for the population eligible for sexually active screening changed </w:t>
      </w:r>
      <w:r w:rsidR="00CD1AE5">
        <w:rPr>
          <w:rFonts w:ascii="Helvetica Neue" w:hAnsi="Helvetica Neue"/>
        </w:rPr>
        <w:t>because</w:t>
      </w:r>
      <w:r>
        <w:rPr>
          <w:rFonts w:ascii="Helvetica Neue" w:hAnsi="Helvetica Neue"/>
        </w:rPr>
        <w:t xml:space="preserve"> of those assigned to a higher-risk testing trajectory, in that those eligible but not selected for higher-risk screening could still be eligible to test annually. In practice, this meant that as the coverage of higher-risk screening decreases, the denominator for coverage of sexually active screening increases. Thus, to maintain the fixed level of sexually active screening coverage, more eligible individuals would then be assigned to test annually.</w:t>
      </w:r>
    </w:p>
    <w:p w14:paraId="508F926C" w14:textId="77777777" w:rsidR="008D7CB2" w:rsidRDefault="008D7CB2" w:rsidP="008D7CB2">
      <w:pPr>
        <w:tabs>
          <w:tab w:val="left" w:pos="540"/>
        </w:tabs>
        <w:spacing w:line="360" w:lineRule="auto"/>
        <w:rPr>
          <w:rFonts w:ascii="Helvetica Neue" w:eastAsiaTheme="minorEastAsia" w:hAnsi="Helvetica Neue"/>
        </w:rPr>
      </w:pPr>
    </w:p>
    <w:p w14:paraId="74808E86" w14:textId="2125C378" w:rsidR="008D7CB2" w:rsidRPr="00983432" w:rsidRDefault="008D7CB2" w:rsidP="00983432">
      <w:pPr>
        <w:tabs>
          <w:tab w:val="left" w:pos="540"/>
        </w:tabs>
        <w:spacing w:line="360" w:lineRule="auto"/>
        <w:ind w:left="540"/>
        <w:rPr>
          <w:rFonts w:ascii="Helvetica Neue" w:eastAsiaTheme="minorEastAsia" w:hAnsi="Helvetica Neue"/>
        </w:rPr>
      </w:pPr>
      <w:r>
        <w:rPr>
          <w:rFonts w:ascii="Helvetica Neue" w:eastAsiaTheme="minorEastAsia" w:hAnsi="Helvetica Neue"/>
        </w:rPr>
        <w:t xml:space="preserve">Coverage of sexually active screening: </w:t>
      </w:r>
      <m:oMath>
        <m:f>
          <m:fPr>
            <m:ctrlPr>
              <w:rPr>
                <w:rFonts w:ascii="Cambria Math" w:hAnsi="Cambria Math"/>
                <w:i/>
              </w:rPr>
            </m:ctrlPr>
          </m:fPr>
          <m:num>
            <m:r>
              <w:rPr>
                <w:rFonts w:ascii="Cambria Math" w:hAnsi="Cambria Math"/>
              </w:rPr>
              <m:t>Men assigned to test annually</m:t>
            </m:r>
          </m:num>
          <m:den>
            <m:r>
              <w:rPr>
                <w:rFonts w:ascii="Cambria Math" w:hAnsi="Cambria Math"/>
              </w:rPr>
              <m:t>All men sexually active in prior year not otherwise assigned to test semiannually</m:t>
            </m:r>
          </m:den>
        </m:f>
      </m:oMath>
    </w:p>
    <w:p w14:paraId="01B2F234" w14:textId="10A23805" w:rsidR="00DB7F06" w:rsidRPr="007411AE" w:rsidRDefault="008D7CB2" w:rsidP="007411AE">
      <w:pPr>
        <w:tabs>
          <w:tab w:val="left" w:pos="540"/>
        </w:tabs>
        <w:spacing w:line="360" w:lineRule="auto"/>
        <w:rPr>
          <w:rFonts w:ascii="Helvetica Neue" w:eastAsiaTheme="minorEastAsia" w:hAnsi="Helvetica Neue"/>
        </w:rPr>
      </w:pPr>
      <w:r>
        <w:rPr>
          <w:rFonts w:ascii="Helvetica Neue" w:hAnsi="Helvetica Neue"/>
        </w:rPr>
        <w:t xml:space="preserve">This too was a dynamic process, dependent on the existing coverage of the sexually active screening trajectory. </w:t>
      </w:r>
      <w:r>
        <w:rPr>
          <w:rFonts w:ascii="Helvetica Neue" w:eastAsiaTheme="minorEastAsia" w:hAnsi="Helvetica Neue"/>
        </w:rPr>
        <w:t xml:space="preserve">If the fixed coverage level for sexually active screening (e.g. 10% of all eligible) was not reached, men </w:t>
      </w:r>
      <w:r w:rsidR="00DB7F06">
        <w:rPr>
          <w:rFonts w:ascii="Helvetica Neue" w:eastAsiaTheme="minorEastAsia" w:hAnsi="Helvetica Neue"/>
        </w:rPr>
        <w:t xml:space="preserve">in the sexually-active risk group </w:t>
      </w:r>
      <w:r>
        <w:rPr>
          <w:rFonts w:ascii="Helvetica Neue" w:eastAsiaTheme="minorEastAsia" w:hAnsi="Helvetica Neue"/>
        </w:rPr>
        <w:t xml:space="preserve">could then be initiated to </w:t>
      </w:r>
      <w:r>
        <w:rPr>
          <w:rFonts w:ascii="Helvetica Neue" w:eastAsiaTheme="minorEastAsia" w:hAnsi="Helvetica Neue"/>
        </w:rPr>
        <w:lastRenderedPageBreak/>
        <w:t>start testing on a</w:t>
      </w:r>
      <w:r w:rsidR="0031415C">
        <w:rPr>
          <w:rFonts w:ascii="Helvetica Neue" w:eastAsiaTheme="minorEastAsia" w:hAnsi="Helvetica Neue"/>
        </w:rPr>
        <w:t>n</w:t>
      </w:r>
      <w:r>
        <w:rPr>
          <w:rFonts w:ascii="Helvetica Neue" w:eastAsiaTheme="minorEastAsia" w:hAnsi="Helvetica Neue"/>
        </w:rPr>
        <w:t xml:space="preserve"> </w:t>
      </w:r>
      <w:r w:rsidR="0031415C">
        <w:rPr>
          <w:rFonts w:ascii="Helvetica Neue" w:eastAsiaTheme="minorEastAsia" w:hAnsi="Helvetica Neue"/>
        </w:rPr>
        <w:t>annual basis</w:t>
      </w:r>
      <w:r>
        <w:rPr>
          <w:rFonts w:ascii="Helvetica Neue" w:eastAsiaTheme="minorEastAsia" w:hAnsi="Helvetica Neue"/>
        </w:rPr>
        <w:t xml:space="preserve">, contingent on retaining their eligibility at subsequent evaluations, until the coverage level was reached. </w:t>
      </w:r>
      <w:r w:rsidR="00E06541" w:rsidRPr="0024409C">
        <w:rPr>
          <w:rFonts w:ascii="Helvetica Neue" w:hAnsi="Helvetica Neue"/>
        </w:rPr>
        <w:t xml:space="preserve">Screening was implemented as a deterministic process for each STI, stratified by HIV </w:t>
      </w:r>
      <w:proofErr w:type="spellStart"/>
      <w:r w:rsidR="00E06541" w:rsidRPr="0024409C">
        <w:rPr>
          <w:rFonts w:ascii="Helvetica Neue" w:hAnsi="Helvetica Neue"/>
        </w:rPr>
        <w:t>serostatus</w:t>
      </w:r>
      <w:proofErr w:type="spellEnd"/>
      <w:r w:rsidR="00E06541" w:rsidRPr="0024409C">
        <w:rPr>
          <w:rFonts w:ascii="Helvetica Neue" w:hAnsi="Helvetica Neue"/>
        </w:rPr>
        <w:t xml:space="preserve">, with a certain proportion of individuals who met eligibility criteria for screening every 365 days for </w:t>
      </w:r>
      <w:r w:rsidR="00E06541">
        <w:rPr>
          <w:rFonts w:ascii="Helvetica Neue" w:hAnsi="Helvetica Neue"/>
        </w:rPr>
        <w:t xml:space="preserve">both NG and CT. </w:t>
      </w:r>
      <w:r w:rsidR="00DB7F06" w:rsidRPr="0024409C">
        <w:rPr>
          <w:rFonts w:ascii="Helvetica Neue" w:hAnsi="Helvetica Neue"/>
        </w:rPr>
        <w:t>We explored imperfect adherence to asymptomatic screening and associated treatment for any identified asymptomatic infection in a sensitivity analysis of treatment completion for asymptomatic infections, varying completion of an assigned screen/treat from 0% to 100%.</w:t>
      </w:r>
    </w:p>
    <w:p w14:paraId="1AF03C1D" w14:textId="6B14EF70" w:rsidR="00CB4FDC" w:rsidRPr="005A132D" w:rsidRDefault="00CB4FDC" w:rsidP="00CB4FDC">
      <w:pPr>
        <w:spacing w:before="120" w:line="360" w:lineRule="auto"/>
        <w:rPr>
          <w:rFonts w:ascii="Helvetica Neue" w:hAnsi="Helvetica Neue"/>
        </w:rPr>
      </w:pPr>
      <w:r w:rsidRPr="0024409C">
        <w:rPr>
          <w:rFonts w:ascii="Helvetica Neue" w:hAnsi="Helvetica Neue"/>
        </w:rPr>
        <w:t>We selected 44%</w:t>
      </w:r>
      <w:r w:rsidR="00A20503">
        <w:rPr>
          <w:rFonts w:ascii="Helvetica Neue" w:hAnsi="Helvetica Neue"/>
        </w:rPr>
        <w:t xml:space="preserve"> </w:t>
      </w:r>
      <w:r w:rsidRPr="0024409C">
        <w:rPr>
          <w:rFonts w:ascii="Helvetica Neue" w:hAnsi="Helvetica Neue"/>
        </w:rPr>
        <w:t>of sexually active HIV-negative MSM in the model to test regularly on an annual basis for gonorrhea</w:t>
      </w:r>
      <w:r w:rsidR="00A20503">
        <w:rPr>
          <w:rFonts w:ascii="Helvetica Neue" w:hAnsi="Helvetica Neue"/>
        </w:rPr>
        <w:t xml:space="preserve"> and</w:t>
      </w:r>
      <w:r w:rsidR="00A20503" w:rsidRPr="0024409C">
        <w:rPr>
          <w:rFonts w:ascii="Helvetica Neue" w:hAnsi="Helvetica Neue"/>
        </w:rPr>
        <w:t xml:space="preserve"> </w:t>
      </w:r>
      <w:r w:rsidRPr="0024409C">
        <w:rPr>
          <w:rFonts w:ascii="Helvetica Neue" w:hAnsi="Helvetica Neue"/>
        </w:rPr>
        <w:t>chlamydia, respectively, and 61</w:t>
      </w:r>
      <w:r w:rsidR="00915CE9" w:rsidRPr="0024409C">
        <w:rPr>
          <w:rFonts w:ascii="Helvetica Neue" w:hAnsi="Helvetica Neue"/>
        </w:rPr>
        <w:t>%</w:t>
      </w:r>
      <w:r w:rsidR="007411AE">
        <w:rPr>
          <w:rFonts w:ascii="Helvetica Neue" w:hAnsi="Helvetica Neue"/>
        </w:rPr>
        <w:t xml:space="preserve"> </w:t>
      </w:r>
      <w:r w:rsidRPr="0024409C">
        <w:rPr>
          <w:rFonts w:ascii="Helvetica Neue" w:hAnsi="Helvetica Neue"/>
        </w:rPr>
        <w:t>of sexually active HIV-positive MSM in the model were chosen to test regularly on an annual basis for gonorrhea</w:t>
      </w:r>
      <w:r w:rsidR="00915CE9">
        <w:rPr>
          <w:rFonts w:ascii="Helvetica Neue" w:hAnsi="Helvetica Neue"/>
        </w:rPr>
        <w:t xml:space="preserve"> and</w:t>
      </w:r>
      <w:r w:rsidR="00915CE9" w:rsidRPr="0024409C">
        <w:rPr>
          <w:rFonts w:ascii="Helvetica Neue" w:hAnsi="Helvetica Neue"/>
        </w:rPr>
        <w:t xml:space="preserve"> </w:t>
      </w:r>
      <w:r w:rsidRPr="0024409C">
        <w:rPr>
          <w:rFonts w:ascii="Helvetica Neue" w:hAnsi="Helvetica Neue"/>
        </w:rPr>
        <w:t>chlamydia</w:t>
      </w:r>
      <w:r w:rsidR="00915CE9">
        <w:rPr>
          <w:rFonts w:ascii="Helvetica Neue" w:hAnsi="Helvetica Neue"/>
        </w:rPr>
        <w:t xml:space="preserve"> </w:t>
      </w:r>
      <w:r w:rsidRPr="0024409C">
        <w:rPr>
          <w:rFonts w:ascii="Helvetica Neue" w:hAnsi="Helvetica Neue"/>
        </w:rPr>
        <w:t xml:space="preserve"> respectively.</w:t>
      </w:r>
      <w:r w:rsidR="00DB1A5C">
        <w:rPr>
          <w:rFonts w:ascii="Helvetica Neue" w:hAnsi="Helvetica Neue"/>
        </w:rPr>
        <w:fldChar w:fldCharType="begin" w:fldLock="1"/>
      </w:r>
      <w:r w:rsidR="00665BF2">
        <w:rPr>
          <w:rFonts w:ascii="Helvetica Neue" w:hAnsi="Helvetica Neue"/>
        </w:rPr>
        <w:instrText>ADDIN CSL_CITATION {"citationItems":[{"id":"ITEM-1","itemData":{"ISSN":"1537-4521","PMID":"29465659","abstract":"BACKGROUND Annual screening for chlamydia and gonorrhea is recommended for sexually active men who have sex with men (MSM) at anatomical sites of contact, regardless of condom use. METHODS We assessed differences in self-reported chlamydia and gonorrhea testing and diagnosis in the past 12 months among MSM using National HIV Behavioral Surveillance data from 2011 and 2014. MSM who had ≥ 1 partner in the past 12 months were included in analyses. Analyses of chlamydia and gonorrhea diagnosis data were limited to participants who reported past 12 months chlamydia and gonorrhea testing, respectively. Differences in testing and diagnosis over time were assessed using Poisson regression models with robust standard errors separately for chlamydia and gonorrhea. RESULTS Analyses included data from 18,896 MSM (2011: n=9,256; 2014: n=9,640). Testing for chlamydia was 37% in 2011 and 47% in 2014 (PR: 1.25, 95% CI: 1.20-1.30) and 38% and 47% for gonorrhea (PR: 1.24, 95% CI: 1.19-1.29). Testing was higher in 2014 among most demographic subgroups. Prevalence of chlamydia diagnoses was 8% in 2011 and 11% in 2014 (PR: 1.37, 95% CI: 1.18-1.59) and of gonorrhea diagnoses was 10% in 2011 and 14% in 2014 (adjusted PR: 1.40, 95% CI: 1.23-1.60). Larger changes in diagnoses were observed among MSM in the white and 'other' racial categories and those who disclosed same-sex behavior to their healthcare provider. CONCLUSIONS Self-reported testing and diagnoses among MSM increased from 2011 to 2014. Increased efforts are needed to meet annual STD screening recommendations among MSM at high HIV risk.","author":[{"dropping-particle":"","family":"Hoots","given":"Brooke E","non-dropping-particle":"","parse-names":false,"suffix":""},{"dropping-particle":"","family":"Torrone","given":"Elizabeth A","non-dropping-particle":"","parse-names":false,"suffix":""},{"dropping-particle":"","family":"Bernstein","given":"Kyle T","non-dropping-particle":"","parse-names":false,"suffix":""},{"dropping-particle":"","family":"Paz-Bailey","given":"Gabriela","non-dropping-particle":"","parse-names":false,"suffix":""},{"dropping-particle":"","family":"NHBS Study Group","given":"","non-dropping-particle":"","parse-names":false,"suffix":""}],"container-title":"Sexually transmitted diseases","id":"ITEM-1","issued":{"date-parts":[["2018","1","10"]]},"page":"1","title":"Self-reported chlamydia and gonorrhea testing and diagnosis among men who have sex with men 20 U.S. cities, 2011 and 2014.","type":"article-journal"},"uris":["http://www.mendeley.com/documents/?uuid=40c47ca6-6196-3070-b2ff-d5da49693c47"]}],"mendeley":{"formattedCitation":"&lt;sup&gt;105&lt;/sup&gt;","plainTextFormattedCitation":"105","previouslyFormattedCitation":"&lt;sup&gt;105&lt;/sup&gt;"},"properties":{"noteIndex":0},"schema":"https://github.com/citation-style-language/schema/raw/master/csl-citation.json"}</w:instrText>
      </w:r>
      <w:r w:rsidR="00DB1A5C">
        <w:rPr>
          <w:rFonts w:ascii="Helvetica Neue" w:hAnsi="Helvetica Neue"/>
        </w:rPr>
        <w:fldChar w:fldCharType="separate"/>
      </w:r>
      <w:r w:rsidR="00C9047D" w:rsidRPr="00C9047D">
        <w:rPr>
          <w:rFonts w:ascii="Helvetica Neue" w:hAnsi="Helvetica Neue"/>
          <w:noProof/>
          <w:vertAlign w:val="superscript"/>
        </w:rPr>
        <w:t>105</w:t>
      </w:r>
      <w:r w:rsidR="00DB1A5C">
        <w:rPr>
          <w:rFonts w:ascii="Helvetica Neue" w:hAnsi="Helvetica Neue"/>
        </w:rPr>
        <w:fldChar w:fldCharType="end"/>
      </w:r>
      <w:r w:rsidRPr="0024409C">
        <w:rPr>
          <w:rFonts w:ascii="Helvetica Neue" w:hAnsi="Helvetica Neue"/>
        </w:rPr>
        <w:t xml:space="preserve"> These values were selected to be slightly lower than empirical data </w:t>
      </w:r>
      <w:r w:rsidR="00C23D2D">
        <w:rPr>
          <w:rFonts w:ascii="Helvetica Neue" w:hAnsi="Helvetica Neue"/>
        </w:rPr>
        <w:t xml:space="preserve">(Table </w:t>
      </w:r>
      <w:r w:rsidR="00872443">
        <w:rPr>
          <w:rFonts w:ascii="Helvetica Neue" w:hAnsi="Helvetica Neue"/>
        </w:rPr>
        <w:t>S1</w:t>
      </w:r>
      <w:r w:rsidR="00C23D2D">
        <w:rPr>
          <w:rFonts w:ascii="Helvetica Neue" w:hAnsi="Helvetica Neue"/>
        </w:rPr>
        <w:t xml:space="preserve">) </w:t>
      </w:r>
      <w:r w:rsidRPr="0024409C">
        <w:rPr>
          <w:rFonts w:ascii="Helvetica Neue" w:hAnsi="Helvetica Neue"/>
        </w:rPr>
        <w:t>from NHBS on NG</w:t>
      </w:r>
      <w:r w:rsidR="00022D75">
        <w:rPr>
          <w:rFonts w:ascii="Helvetica Neue" w:hAnsi="Helvetica Neue"/>
        </w:rPr>
        <w:t xml:space="preserve"> and</w:t>
      </w:r>
      <w:r w:rsidR="00022D75" w:rsidRPr="0024409C">
        <w:rPr>
          <w:rFonts w:ascii="Helvetica Neue" w:hAnsi="Helvetica Neue"/>
        </w:rPr>
        <w:t xml:space="preserve"> </w:t>
      </w:r>
      <w:r w:rsidRPr="0024409C">
        <w:rPr>
          <w:rFonts w:ascii="Helvetica Neue" w:hAnsi="Helvetica Neue"/>
        </w:rPr>
        <w:t>CT testing in the prior 12 months to allow for symptoms-based testing to boost the overall proportion of those who had tested for a particular STI in the past 12 month to empirical levels.</w:t>
      </w:r>
      <w:r>
        <w:rPr>
          <w:rFonts w:ascii="Helvetica Neue" w:hAnsi="Helvetica Neue"/>
        </w:rPr>
        <w:fldChar w:fldCharType="begin" w:fldLock="1"/>
      </w:r>
      <w:r w:rsidR="00665BF2">
        <w:rPr>
          <w:rFonts w:ascii="Helvetica Neue" w:hAnsi="Helvetica Neue"/>
        </w:rPr>
        <w:instrText>ADDIN CSL_CITATION {"citationItems":[{"id":"ITEM-1","itemData":{"author":[{"dropping-particle":"","family":"An","given":"Qian","non-dropping-particle":"","parse-names":false,"suffix":""},{"dropping-particle":"","family":"Wejnert","given":"Cyprian","non-dropping-particle":"","parse-names":false,"suffix":""},{"dropping-particle":"","family":"Bernstein","given":"Kyle","non-dropping-particle":"","parse-names":false,"suffix":""},{"dropping-particle":"","family":"Paz-Bailey","given":"Gabriela","non-dropping-particle":"","parse-names":false,"suffix":""}],"container-title":"JAIDS Journal of Acquired Immune Deficiency Syndromes","id":"ITEM-1","issued":{"date-parts":[["2017","7"]]},"page":"S363-S369","title":"Syphilis Screening and Diagnosis Among Men Who Have Sex With Men, 2008-2014, 20 U.S. Cities","type":"article-journal","volume":"75"},"uris":["http://www.mendeley.com/documents/?uuid=b134f409-15e8-3e75-b8a4-00e3ff3e9ce4"]},{"id":"ITEM-2","itemData":{"author":[{"dropping-particle":"","family":"Hoots","given":"Brooke E.","non-dropping-particle":"","parse-names":false,"suffix":""},{"dropping-particle":"","family":"Torrone","given":"Elizabeth","non-dropping-particle":"","parse-names":false,"suffix":""},{"dropping-particle":"","family":"Bernstein","given":"Kyle T.","non-dropping-particle":"","parse-names":false,"suffix":""},{"dropping-particle":"","family":"Paz-Bailey","given":"Gabriela","non-dropping-particle":"","parse-names":false,"suffix":""}],"container-title":"Unpublished","id":"ITEM-2","issued":{"date-parts":[["2017"]]},"title":"Chlamydia and gonorrhea testing and diagnosis among men who have sex with men — 20 U.S. cities, 2011 and 2014","type":"article-journal"},"uris":["http://www.mendeley.com/documents/?uuid=2b92046a-bb50-4840-945e-4e21ef9274b5"]}],"mendeley":{"formattedCitation":"&lt;sup&gt;106,107&lt;/sup&gt;","plainTextFormattedCitation":"106,107","previouslyFormattedCitation":"&lt;sup&gt;106,107&lt;/sup&gt;"},"properties":{"noteIndex":0},"schema":"https://github.com/citation-style-language/schema/raw/master/csl-citation.json"}</w:instrText>
      </w:r>
      <w:r>
        <w:rPr>
          <w:rFonts w:ascii="Helvetica Neue" w:hAnsi="Helvetica Neue"/>
        </w:rPr>
        <w:fldChar w:fldCharType="separate"/>
      </w:r>
      <w:r w:rsidR="00C9047D" w:rsidRPr="00C9047D">
        <w:rPr>
          <w:rFonts w:ascii="Helvetica Neue" w:hAnsi="Helvetica Neue"/>
          <w:noProof/>
          <w:vertAlign w:val="superscript"/>
        </w:rPr>
        <w:t>106,107</w:t>
      </w:r>
      <w:r>
        <w:rPr>
          <w:rFonts w:ascii="Helvetica Neue" w:hAnsi="Helvetica Neue"/>
        </w:rPr>
        <w:fldChar w:fldCharType="end"/>
      </w:r>
    </w:p>
    <w:tbl>
      <w:tblPr>
        <w:tblStyle w:val="TableGrid"/>
        <w:tblW w:w="0" w:type="auto"/>
        <w:tblLook w:val="04A0" w:firstRow="1" w:lastRow="0" w:firstColumn="1" w:lastColumn="0" w:noHBand="0" w:noVBand="1"/>
      </w:tblPr>
      <w:tblGrid>
        <w:gridCol w:w="1287"/>
        <w:gridCol w:w="1369"/>
        <w:gridCol w:w="1433"/>
        <w:gridCol w:w="1314"/>
        <w:gridCol w:w="1328"/>
      </w:tblGrid>
      <w:tr w:rsidR="007411AE" w14:paraId="03592B63" w14:textId="77777777" w:rsidTr="007411AE">
        <w:tc>
          <w:tcPr>
            <w:tcW w:w="6731" w:type="dxa"/>
            <w:gridSpan w:val="5"/>
            <w:shd w:val="clear" w:color="auto" w:fill="F2F2F2" w:themeFill="background1" w:themeFillShade="F2"/>
          </w:tcPr>
          <w:p w14:paraId="554CEE27" w14:textId="42684A65"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Table S1: Testing targets for calibration</w:t>
            </w:r>
          </w:p>
        </w:tc>
      </w:tr>
      <w:tr w:rsidR="007411AE" w14:paraId="13FCCF78" w14:textId="77777777" w:rsidTr="00BD4D46">
        <w:tc>
          <w:tcPr>
            <w:tcW w:w="1287" w:type="dxa"/>
          </w:tcPr>
          <w:p w14:paraId="68F26A63" w14:textId="77777777" w:rsidR="007411AE" w:rsidRPr="004A160D" w:rsidRDefault="007411AE" w:rsidP="007411AE">
            <w:pPr>
              <w:tabs>
                <w:tab w:val="left" w:pos="540"/>
              </w:tabs>
              <w:spacing w:line="360" w:lineRule="auto"/>
              <w:rPr>
                <w:rFonts w:ascii="Helvetica Neue" w:hAnsi="Helvetica Neue"/>
                <w:sz w:val="18"/>
                <w:szCs w:val="18"/>
              </w:rPr>
            </w:pPr>
          </w:p>
        </w:tc>
        <w:tc>
          <w:tcPr>
            <w:tcW w:w="2802" w:type="dxa"/>
            <w:gridSpan w:val="2"/>
          </w:tcPr>
          <w:p w14:paraId="09ADE541" w14:textId="14E37B86"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HIV-negative MSM</w:t>
            </w:r>
          </w:p>
        </w:tc>
        <w:tc>
          <w:tcPr>
            <w:tcW w:w="2642" w:type="dxa"/>
            <w:gridSpan w:val="2"/>
          </w:tcPr>
          <w:p w14:paraId="1F156CD4" w14:textId="31B27C19" w:rsidR="007411AE" w:rsidRPr="004A160D" w:rsidRDefault="00BC6FE7" w:rsidP="00BC6FE7">
            <w:pPr>
              <w:tabs>
                <w:tab w:val="left" w:pos="540"/>
              </w:tabs>
              <w:spacing w:line="360" w:lineRule="auto"/>
              <w:rPr>
                <w:rFonts w:ascii="Helvetica Neue" w:hAnsi="Helvetica Neue"/>
                <w:sz w:val="18"/>
                <w:szCs w:val="18"/>
              </w:rPr>
            </w:pPr>
            <w:r w:rsidRPr="00A75815">
              <w:rPr>
                <w:rFonts w:ascii="Helvetica Neue" w:hAnsi="Helvetica Neue"/>
                <w:sz w:val="18"/>
                <w:szCs w:val="18"/>
                <w:highlight w:val="yellow"/>
              </w:rPr>
              <w:t>HIV-positive MSM</w:t>
            </w:r>
          </w:p>
        </w:tc>
      </w:tr>
      <w:tr w:rsidR="007411AE" w14:paraId="30E6B164" w14:textId="77777777" w:rsidTr="007411AE">
        <w:tc>
          <w:tcPr>
            <w:tcW w:w="1287" w:type="dxa"/>
          </w:tcPr>
          <w:p w14:paraId="629DE07B" w14:textId="77777777"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Statistic</w:t>
            </w:r>
          </w:p>
        </w:tc>
        <w:tc>
          <w:tcPr>
            <w:tcW w:w="1369" w:type="dxa"/>
          </w:tcPr>
          <w:p w14:paraId="5DB9BCFA" w14:textId="28BC0004"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Tested for gonorrhea in the past 12 months</w:t>
            </w:r>
          </w:p>
        </w:tc>
        <w:tc>
          <w:tcPr>
            <w:tcW w:w="1433" w:type="dxa"/>
          </w:tcPr>
          <w:p w14:paraId="3993AB0C" w14:textId="4F595AA4"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Tested for chlamydia in the past 12 months</w:t>
            </w:r>
          </w:p>
        </w:tc>
        <w:tc>
          <w:tcPr>
            <w:tcW w:w="1314" w:type="dxa"/>
          </w:tcPr>
          <w:p w14:paraId="6949BD92" w14:textId="07317F0F"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Tested for gonorrhea in the past 12 months</w:t>
            </w:r>
          </w:p>
        </w:tc>
        <w:tc>
          <w:tcPr>
            <w:tcW w:w="1328" w:type="dxa"/>
          </w:tcPr>
          <w:p w14:paraId="4CFA79E8" w14:textId="10E41E9F"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Tested for chlamydia in the past 12 months</w:t>
            </w:r>
          </w:p>
        </w:tc>
      </w:tr>
      <w:tr w:rsidR="007411AE" w14:paraId="45B50CED" w14:textId="77777777" w:rsidTr="007411AE">
        <w:tc>
          <w:tcPr>
            <w:tcW w:w="1287" w:type="dxa"/>
          </w:tcPr>
          <w:p w14:paraId="1D30129C" w14:textId="77777777"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Target</w:t>
            </w:r>
          </w:p>
        </w:tc>
        <w:tc>
          <w:tcPr>
            <w:tcW w:w="1369" w:type="dxa"/>
          </w:tcPr>
          <w:p w14:paraId="5846B6DF" w14:textId="31F72078"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45.8%</w:t>
            </w:r>
          </w:p>
        </w:tc>
        <w:tc>
          <w:tcPr>
            <w:tcW w:w="1433" w:type="dxa"/>
          </w:tcPr>
          <w:p w14:paraId="2BE27ECD" w14:textId="70A55BBB"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45.8%</w:t>
            </w:r>
          </w:p>
        </w:tc>
        <w:tc>
          <w:tcPr>
            <w:tcW w:w="1314" w:type="dxa"/>
          </w:tcPr>
          <w:p w14:paraId="1CCD6542" w14:textId="1A7767C5"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64.1%</w:t>
            </w:r>
          </w:p>
        </w:tc>
        <w:tc>
          <w:tcPr>
            <w:tcW w:w="1328" w:type="dxa"/>
          </w:tcPr>
          <w:p w14:paraId="0EB2557E" w14:textId="71D4B845"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62.8%</w:t>
            </w:r>
          </w:p>
        </w:tc>
      </w:tr>
      <w:tr w:rsidR="007411AE" w14:paraId="344F9D7C" w14:textId="77777777" w:rsidTr="007411AE">
        <w:tc>
          <w:tcPr>
            <w:tcW w:w="1287" w:type="dxa"/>
          </w:tcPr>
          <w:p w14:paraId="4DBDC926" w14:textId="77777777"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sz w:val="18"/>
                <w:szCs w:val="18"/>
              </w:rPr>
              <w:t>Source</w:t>
            </w:r>
          </w:p>
        </w:tc>
        <w:tc>
          <w:tcPr>
            <w:tcW w:w="1369" w:type="dxa"/>
          </w:tcPr>
          <w:p w14:paraId="04DA839C" w14:textId="0A74521F"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noProof/>
                <w:sz w:val="18"/>
                <w:szCs w:val="18"/>
                <w:vertAlign w:val="superscript"/>
              </w:rPr>
              <w:fldChar w:fldCharType="begin" w:fldLock="1"/>
            </w:r>
            <w:r w:rsidR="00665BF2" w:rsidRPr="004A160D">
              <w:rPr>
                <w:rFonts w:ascii="Helvetica Neue" w:hAnsi="Helvetica Neue"/>
                <w:noProof/>
                <w:sz w:val="18"/>
                <w:szCs w:val="18"/>
                <w:vertAlign w:val="superscript"/>
              </w:rPr>
              <w:instrText>ADDIN CSL_CITATION {"citationItems":[{"id":"ITEM-1","itemData":{"author":[{"dropping-particle":"","family":"Hoots","given":"Brooke E.","non-dropping-particle":"","parse-names":false,"suffix":""},{"dropping-particle":"","family":"Torrone","given":"Elizabeth","non-dropping-particle":"","parse-names":false,"suffix":""},{"dropping-particle":"","family":"Bernstein","given":"Kyle T.","non-dropping-particle":"","parse-names":false,"suffix":""},{"dropping-particle":"","family":"Paz-Bailey","given":"Gabriela","non-dropping-particle":"","parse-names":false,"suffix":""}],"container-title":"Unpublished","id":"ITEM-1","issued":{"date-parts":[["2017"]]},"title":"Chlamydia and gonorrhea testing and diagnosis among men who have sex with men — 20 U.S. cities, 2011 and 2014","type":"article-journal"},"uris":["http://www.mendeley.com/documents/?uuid=2b92046a-bb50-4840-945e-4e21ef9274b5"]}],"mendeley":{"formattedCitation":"&lt;sup&gt;107&lt;/sup&gt;","plainTextFormattedCitation":"107","previouslyFormattedCitation":"&lt;sup&gt;107&lt;/sup&gt;"},"properties":{"noteIndex":0},"schema":"https://github.com/citation-style-language/schema/raw/master/csl-citation.json"}</w:instrText>
            </w:r>
            <w:r w:rsidRPr="004A160D">
              <w:rPr>
                <w:rFonts w:ascii="Helvetica Neue" w:hAnsi="Helvetica Neue"/>
                <w:noProof/>
                <w:sz w:val="18"/>
                <w:szCs w:val="18"/>
                <w:vertAlign w:val="superscript"/>
              </w:rPr>
              <w:fldChar w:fldCharType="separate"/>
            </w:r>
            <w:r w:rsidRPr="004A160D">
              <w:rPr>
                <w:rFonts w:ascii="Helvetica Neue" w:hAnsi="Helvetica Neue"/>
                <w:noProof/>
                <w:sz w:val="18"/>
                <w:szCs w:val="18"/>
                <w:vertAlign w:val="superscript"/>
              </w:rPr>
              <w:t>107</w:t>
            </w:r>
            <w:r w:rsidRPr="004A160D">
              <w:rPr>
                <w:rFonts w:ascii="Helvetica Neue" w:hAnsi="Helvetica Neue"/>
                <w:noProof/>
                <w:sz w:val="18"/>
                <w:szCs w:val="18"/>
                <w:vertAlign w:val="superscript"/>
              </w:rPr>
              <w:fldChar w:fldCharType="end"/>
            </w:r>
          </w:p>
        </w:tc>
        <w:tc>
          <w:tcPr>
            <w:tcW w:w="1433" w:type="dxa"/>
          </w:tcPr>
          <w:p w14:paraId="4DF7B21E" w14:textId="070B6152"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noProof/>
                <w:sz w:val="18"/>
                <w:szCs w:val="18"/>
                <w:vertAlign w:val="superscript"/>
              </w:rPr>
              <w:fldChar w:fldCharType="begin" w:fldLock="1"/>
            </w:r>
            <w:r w:rsidR="00665BF2" w:rsidRPr="004A160D">
              <w:rPr>
                <w:rFonts w:ascii="Helvetica Neue" w:hAnsi="Helvetica Neue"/>
                <w:noProof/>
                <w:sz w:val="18"/>
                <w:szCs w:val="18"/>
                <w:vertAlign w:val="superscript"/>
              </w:rPr>
              <w:instrText>ADDIN CSL_CITATION {"citationItems":[{"id":"ITEM-1","itemData":{"author":[{"dropping-particle":"","family":"Hoots","given":"Brooke E.","non-dropping-particle":"","parse-names":false,"suffix":""},{"dropping-particle":"","family":"Torrone","given":"Elizabeth","non-dropping-particle":"","parse-names":false,"suffix":""},{"dropping-particle":"","family":"Bernstein","given":"Kyle T.","non-dropping-particle":"","parse-names":false,"suffix":""},{"dropping-particle":"","family":"Paz-Bailey","given":"Gabriela","non-dropping-particle":"","parse-names":false,"suffix":""}],"container-title":"Unpublished","id":"ITEM-1","issued":{"date-parts":[["2017"]]},"title":"Chlamydia and gonorrhea testing and diagnosis among men who have sex with men — 20 U.S. cities, 2011 and 2014","type":"article-journal"},"uris":["http://www.mendeley.com/documents/?uuid=2b92046a-bb50-4840-945e-4e21ef9274b5"]}],"mendeley":{"formattedCitation":"&lt;sup&gt;107&lt;/sup&gt;","plainTextFormattedCitation":"107","previouslyFormattedCitation":"&lt;sup&gt;107&lt;/sup&gt;"},"properties":{"noteIndex":0},"schema":"https://github.com/citation-style-language/schema/raw/master/csl-citation.json"}</w:instrText>
            </w:r>
            <w:r w:rsidRPr="004A160D">
              <w:rPr>
                <w:rFonts w:ascii="Helvetica Neue" w:hAnsi="Helvetica Neue"/>
                <w:noProof/>
                <w:sz w:val="18"/>
                <w:szCs w:val="18"/>
                <w:vertAlign w:val="superscript"/>
              </w:rPr>
              <w:fldChar w:fldCharType="separate"/>
            </w:r>
            <w:r w:rsidRPr="004A160D">
              <w:rPr>
                <w:rFonts w:ascii="Helvetica Neue" w:hAnsi="Helvetica Neue"/>
                <w:noProof/>
                <w:sz w:val="18"/>
                <w:szCs w:val="18"/>
                <w:vertAlign w:val="superscript"/>
              </w:rPr>
              <w:t>107</w:t>
            </w:r>
            <w:r w:rsidRPr="004A160D">
              <w:rPr>
                <w:rFonts w:ascii="Helvetica Neue" w:hAnsi="Helvetica Neue"/>
                <w:noProof/>
                <w:sz w:val="18"/>
                <w:szCs w:val="18"/>
                <w:vertAlign w:val="superscript"/>
              </w:rPr>
              <w:fldChar w:fldCharType="end"/>
            </w:r>
          </w:p>
        </w:tc>
        <w:tc>
          <w:tcPr>
            <w:tcW w:w="1314" w:type="dxa"/>
          </w:tcPr>
          <w:p w14:paraId="6593738A" w14:textId="0696B285"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noProof/>
                <w:sz w:val="18"/>
                <w:szCs w:val="18"/>
                <w:vertAlign w:val="superscript"/>
              </w:rPr>
              <w:fldChar w:fldCharType="begin" w:fldLock="1"/>
            </w:r>
            <w:r w:rsidR="00665BF2" w:rsidRPr="004A160D">
              <w:rPr>
                <w:rFonts w:ascii="Helvetica Neue" w:hAnsi="Helvetica Neue"/>
                <w:noProof/>
                <w:sz w:val="18"/>
                <w:szCs w:val="18"/>
                <w:vertAlign w:val="superscript"/>
              </w:rPr>
              <w:instrText>ADDIN CSL_CITATION {"citationItems":[{"id":"ITEM-1","itemData":{"author":[{"dropping-particle":"","family":"Hoots","given":"Brooke E.","non-dropping-particle":"","parse-names":false,"suffix":""},{"dropping-particle":"","family":"Torrone","given":"Elizabeth","non-dropping-particle":"","parse-names":false,"suffix":""},{"dropping-particle":"","family":"Bernstein","given":"Kyle T.","non-dropping-particle":"","parse-names":false,"suffix":""},{"dropping-particle":"","family":"Paz-Bailey","given":"Gabriela","non-dropping-particle":"","parse-names":false,"suffix":""}],"container-title":"Unpublished","id":"ITEM-1","issued":{"date-parts":[["2017"]]},"title":"Chlamydia and gonorrhea testing and diagnosis among men who have sex with men — 20 U.S. cities, 2011 and 2014","type":"article-journal"},"uris":["http://www.mendeley.com/documents/?uuid=2b92046a-bb50-4840-945e-4e21ef9274b5"]}],"mendeley":{"formattedCitation":"&lt;sup&gt;107&lt;/sup&gt;","plainTextFormattedCitation":"107","previouslyFormattedCitation":"&lt;sup&gt;107&lt;/sup&gt;"},"properties":{"noteIndex":0},"schema":"https://github.com/citation-style-language/schema/raw/master/csl-citation.json"}</w:instrText>
            </w:r>
            <w:r w:rsidRPr="004A160D">
              <w:rPr>
                <w:rFonts w:ascii="Helvetica Neue" w:hAnsi="Helvetica Neue"/>
                <w:noProof/>
                <w:sz w:val="18"/>
                <w:szCs w:val="18"/>
                <w:vertAlign w:val="superscript"/>
              </w:rPr>
              <w:fldChar w:fldCharType="separate"/>
            </w:r>
            <w:r w:rsidRPr="004A160D">
              <w:rPr>
                <w:rFonts w:ascii="Helvetica Neue" w:hAnsi="Helvetica Neue"/>
                <w:noProof/>
                <w:sz w:val="18"/>
                <w:szCs w:val="18"/>
                <w:vertAlign w:val="superscript"/>
              </w:rPr>
              <w:t>107</w:t>
            </w:r>
            <w:r w:rsidRPr="004A160D">
              <w:rPr>
                <w:rFonts w:ascii="Helvetica Neue" w:hAnsi="Helvetica Neue"/>
                <w:noProof/>
                <w:sz w:val="18"/>
                <w:szCs w:val="18"/>
                <w:vertAlign w:val="superscript"/>
              </w:rPr>
              <w:fldChar w:fldCharType="end"/>
            </w:r>
          </w:p>
        </w:tc>
        <w:tc>
          <w:tcPr>
            <w:tcW w:w="1328" w:type="dxa"/>
          </w:tcPr>
          <w:p w14:paraId="64C46633" w14:textId="64070DBF" w:rsidR="007411AE" w:rsidRPr="004A160D" w:rsidRDefault="007411AE" w:rsidP="007411AE">
            <w:pPr>
              <w:tabs>
                <w:tab w:val="left" w:pos="540"/>
              </w:tabs>
              <w:spacing w:line="360" w:lineRule="auto"/>
              <w:rPr>
                <w:rFonts w:ascii="Helvetica Neue" w:hAnsi="Helvetica Neue"/>
                <w:sz w:val="18"/>
                <w:szCs w:val="18"/>
              </w:rPr>
            </w:pPr>
            <w:r w:rsidRPr="004A160D">
              <w:rPr>
                <w:rFonts w:ascii="Helvetica Neue" w:hAnsi="Helvetica Neue"/>
                <w:noProof/>
                <w:sz w:val="18"/>
                <w:szCs w:val="18"/>
                <w:vertAlign w:val="superscript"/>
              </w:rPr>
              <w:fldChar w:fldCharType="begin" w:fldLock="1"/>
            </w:r>
            <w:r w:rsidR="00665BF2" w:rsidRPr="004A160D">
              <w:rPr>
                <w:rFonts w:ascii="Helvetica Neue" w:hAnsi="Helvetica Neue"/>
                <w:noProof/>
                <w:sz w:val="18"/>
                <w:szCs w:val="18"/>
                <w:vertAlign w:val="superscript"/>
              </w:rPr>
              <w:instrText>ADDIN CSL_CITATION {"citationItems":[{"id":"ITEM-1","itemData":{"author":[{"dropping-particle":"","family":"Hoots","given":"Brooke E.","non-dropping-particle":"","parse-names":false,"suffix":""},{"dropping-particle":"","family":"Torrone","given":"Elizabeth","non-dropping-particle":"","parse-names":false,"suffix":""},{"dropping-particle":"","family":"Bernstein","given":"Kyle T.","non-dropping-particle":"","parse-names":false,"suffix":""},{"dropping-particle":"","family":"Paz-Bailey","given":"Gabriela","non-dropping-particle":"","parse-names":false,"suffix":""}],"container-title":"Unpublished","id":"ITEM-1","issued":{"date-parts":[["2017"]]},"title":"Chlamydia and gonorrhea testing and diagnosis among men who have sex with men — 20 U.S. cities, 2011 and 2014","type":"article-journal"},"uris":["http://www.mendeley.com/documents/?uuid=2b92046a-bb50-4840-945e-4e21ef9274b5"]}],"mendeley":{"formattedCitation":"&lt;sup&gt;107&lt;/sup&gt;","plainTextFormattedCitation":"107","previouslyFormattedCitation":"&lt;sup&gt;107&lt;/sup&gt;"},"properties":{"noteIndex":0},"schema":"https://github.com/citation-style-language/schema/raw/master/csl-citation.json"}</w:instrText>
            </w:r>
            <w:r w:rsidRPr="004A160D">
              <w:rPr>
                <w:rFonts w:ascii="Helvetica Neue" w:hAnsi="Helvetica Neue"/>
                <w:noProof/>
                <w:sz w:val="18"/>
                <w:szCs w:val="18"/>
                <w:vertAlign w:val="superscript"/>
              </w:rPr>
              <w:fldChar w:fldCharType="separate"/>
            </w:r>
            <w:r w:rsidRPr="004A160D">
              <w:rPr>
                <w:rFonts w:ascii="Helvetica Neue" w:hAnsi="Helvetica Neue"/>
                <w:noProof/>
                <w:sz w:val="18"/>
                <w:szCs w:val="18"/>
                <w:vertAlign w:val="superscript"/>
              </w:rPr>
              <w:t>107</w:t>
            </w:r>
            <w:r w:rsidRPr="004A160D">
              <w:rPr>
                <w:rFonts w:ascii="Helvetica Neue" w:hAnsi="Helvetica Neue"/>
                <w:noProof/>
                <w:sz w:val="18"/>
                <w:szCs w:val="18"/>
                <w:vertAlign w:val="superscript"/>
              </w:rPr>
              <w:fldChar w:fldCharType="end"/>
            </w:r>
          </w:p>
        </w:tc>
      </w:tr>
    </w:tbl>
    <w:p w14:paraId="3D907C39" w14:textId="4948A98D" w:rsidR="00CB4FDC" w:rsidRDefault="00CB4FDC" w:rsidP="008D7CB2">
      <w:pPr>
        <w:tabs>
          <w:tab w:val="left" w:pos="540"/>
        </w:tabs>
        <w:spacing w:line="360" w:lineRule="auto"/>
        <w:rPr>
          <w:rFonts w:ascii="Helvetica Neue" w:hAnsi="Helvetica Neue"/>
        </w:rPr>
      </w:pPr>
    </w:p>
    <w:p w14:paraId="29F58336" w14:textId="77777777" w:rsidR="008D7CB2" w:rsidRPr="0024409C" w:rsidRDefault="008D7CB2" w:rsidP="008D7CB2">
      <w:pPr>
        <w:pStyle w:val="Heading2"/>
        <w:rPr>
          <w:rFonts w:ascii="Helvetica Neue" w:hAnsi="Helvetica Neue"/>
          <w:szCs w:val="22"/>
        </w:rPr>
      </w:pPr>
      <w:bookmarkStart w:id="51" w:name="_Toc2361401"/>
      <w:r w:rsidRPr="0024409C">
        <w:rPr>
          <w:rFonts w:ascii="Helvetica Neue" w:hAnsi="Helvetica Neue"/>
          <w:szCs w:val="22"/>
        </w:rPr>
        <w:t>11.3</w:t>
      </w:r>
      <w:r w:rsidRPr="0024409C">
        <w:rPr>
          <w:rFonts w:ascii="Helvetica Neue" w:hAnsi="Helvetica Neue"/>
          <w:szCs w:val="22"/>
        </w:rPr>
        <w:tab/>
      </w:r>
      <w:r w:rsidRPr="0024409C">
        <w:rPr>
          <w:rFonts w:ascii="Helvetica Neue" w:hAnsi="Helvetica Neue"/>
          <w:szCs w:val="22"/>
        </w:rPr>
        <w:tab/>
        <w:t>Testing Adherence and Progression to STI Treatment</w:t>
      </w:r>
      <w:bookmarkEnd w:id="51"/>
      <w:r w:rsidRPr="0024409C">
        <w:rPr>
          <w:rFonts w:ascii="Helvetica Neue" w:hAnsi="Helvetica Neue"/>
          <w:szCs w:val="22"/>
        </w:rPr>
        <w:t xml:space="preserve"> </w:t>
      </w:r>
    </w:p>
    <w:p w14:paraId="4AB77C3E" w14:textId="777F6311" w:rsidR="008D7CB2" w:rsidRDefault="008D7CB2" w:rsidP="008D7CB2">
      <w:pPr>
        <w:tabs>
          <w:tab w:val="left" w:pos="540"/>
        </w:tabs>
        <w:spacing w:line="360" w:lineRule="auto"/>
        <w:rPr>
          <w:rFonts w:ascii="Helvetica Neue" w:hAnsi="Helvetica Neue"/>
        </w:rPr>
      </w:pPr>
      <w:r w:rsidRPr="00237ECC">
        <w:rPr>
          <w:rFonts w:ascii="Helvetica Neue" w:hAnsi="Helvetica Neue"/>
        </w:rPr>
        <w:t>Positive diagnoses resulted from the presence of an active STI at the time at which screening occurred, and all diagnosed men progressed to treatment, though a sensitivity analysis varied the probability of effective treatment among those screened.</w:t>
      </w:r>
      <w:r>
        <w:rPr>
          <w:rFonts w:ascii="Helvetica Neue" w:hAnsi="Helvetica Neue"/>
        </w:rPr>
        <w:t xml:space="preserve"> </w:t>
      </w:r>
    </w:p>
    <w:p w14:paraId="2335BCEC" w14:textId="0789EB17" w:rsidR="008032E5" w:rsidRPr="00997E9B" w:rsidRDefault="008032E5" w:rsidP="008032E5">
      <w:pPr>
        <w:pStyle w:val="Heading1"/>
        <w:spacing w:before="300"/>
        <w:rPr>
          <w:rFonts w:ascii="Helvetica Neue" w:hAnsi="Helvetica Neue"/>
        </w:rPr>
      </w:pPr>
      <w:bookmarkStart w:id="52" w:name="_Toc2361402"/>
      <w:r w:rsidRPr="00997E9B">
        <w:rPr>
          <w:rFonts w:ascii="Helvetica Neue" w:hAnsi="Helvetica Neue"/>
        </w:rPr>
        <w:t xml:space="preserve">12 </w:t>
      </w:r>
      <w:r w:rsidRPr="00997E9B">
        <w:rPr>
          <w:rFonts w:ascii="Helvetica Neue" w:hAnsi="Helvetica Neue"/>
        </w:rPr>
        <w:tab/>
      </w:r>
      <w:r w:rsidR="004E2837" w:rsidRPr="00997E9B">
        <w:rPr>
          <w:rFonts w:ascii="Helvetica Neue" w:hAnsi="Helvetica Neue"/>
        </w:rPr>
        <w:t>EXPEDITED PARTNER THERAPY</w:t>
      </w:r>
      <w:bookmarkEnd w:id="52"/>
    </w:p>
    <w:p w14:paraId="3815C0F7" w14:textId="633FE7E1" w:rsidR="00DA69D3" w:rsidRPr="00E02758" w:rsidRDefault="00840DD7" w:rsidP="00DA69D3">
      <w:pPr>
        <w:pStyle w:val="Heading2"/>
        <w:rPr>
          <w:rFonts w:ascii="Helvetica Neue" w:hAnsi="Helvetica Neue"/>
          <w:color w:val="auto"/>
          <w:szCs w:val="22"/>
        </w:rPr>
      </w:pPr>
      <w:bookmarkStart w:id="53" w:name="_Toc2361403"/>
      <w:r>
        <w:rPr>
          <w:rFonts w:ascii="Helvetica Neue" w:hAnsi="Helvetica Neue"/>
          <w:color w:val="auto"/>
          <w:szCs w:val="22"/>
        </w:rPr>
        <w:lastRenderedPageBreak/>
        <w:t>1</w:t>
      </w:r>
      <w:r w:rsidRPr="00E02758">
        <w:rPr>
          <w:rFonts w:ascii="Helvetica Neue" w:hAnsi="Helvetica Neue"/>
          <w:color w:val="auto"/>
          <w:szCs w:val="22"/>
        </w:rPr>
        <w:t>2.1</w:t>
      </w:r>
      <w:r w:rsidRPr="00E02758">
        <w:rPr>
          <w:rFonts w:ascii="Helvetica Neue" w:hAnsi="Helvetica Neue"/>
          <w:color w:val="auto"/>
          <w:szCs w:val="22"/>
        </w:rPr>
        <w:tab/>
      </w:r>
      <w:r w:rsidR="00DA69D3" w:rsidRPr="00E02758">
        <w:rPr>
          <w:rFonts w:ascii="Helvetica Neue" w:hAnsi="Helvetica Neue"/>
          <w:color w:val="auto"/>
          <w:szCs w:val="22"/>
        </w:rPr>
        <w:t>EPT Indications and Eligibility</w:t>
      </w:r>
      <w:bookmarkEnd w:id="53"/>
    </w:p>
    <w:p w14:paraId="49831399" w14:textId="16A68AE3" w:rsidR="00625A21" w:rsidRPr="00E02758" w:rsidRDefault="001E5FD6" w:rsidP="00625A21">
      <w:pPr>
        <w:spacing w:line="360" w:lineRule="auto"/>
        <w:rPr>
          <w:rFonts w:ascii="Helvetica Neue" w:hAnsi="Helvetica Neue"/>
          <w:b/>
          <w:color w:val="FF0000"/>
        </w:rPr>
      </w:pPr>
      <w:r w:rsidRPr="00E02758">
        <w:rPr>
          <w:rFonts w:ascii="Helvetica Neue" w:hAnsi="Helvetica Neue"/>
        </w:rPr>
        <w:t xml:space="preserve">An expedited partner therapy process for providing medication to index partners to give to their </w:t>
      </w:r>
      <w:r w:rsidR="004F3165" w:rsidRPr="00E02758">
        <w:rPr>
          <w:rFonts w:ascii="Helvetica Neue" w:hAnsi="Helvetica Neue"/>
        </w:rPr>
        <w:t xml:space="preserve">partners was newly implemented. </w:t>
      </w:r>
      <w:r w:rsidR="00C145C6" w:rsidRPr="00E02758">
        <w:rPr>
          <w:rFonts w:ascii="Helvetica Neue" w:hAnsi="Helvetica Neue"/>
        </w:rPr>
        <w:t xml:space="preserve">Men with NG or CT infection were dynamically assessed at the time of diagnosis. </w:t>
      </w:r>
      <w:r w:rsidR="004F3165" w:rsidRPr="00E02758">
        <w:rPr>
          <w:rFonts w:ascii="Helvetica Neue" w:hAnsi="Helvetica Neue"/>
        </w:rPr>
        <w:t>An index patient, one getting diagnosed and treated for a NG or CT infection, was eligible to receive medication to provide to their recent sexual partners for the same infection</w:t>
      </w:r>
      <w:r w:rsidR="00C145C6" w:rsidRPr="00E02758">
        <w:rPr>
          <w:rFonts w:ascii="Helvetica Neue" w:hAnsi="Helvetica Neue"/>
        </w:rPr>
        <w:t xml:space="preserve"> with which the index patient was diagnosed</w:t>
      </w:r>
      <w:r w:rsidR="004F3165" w:rsidRPr="00E02758">
        <w:rPr>
          <w:rFonts w:ascii="Helvetica Neue" w:hAnsi="Helvetica Neue"/>
        </w:rPr>
        <w:t xml:space="preserve"> (either NG or CT). Any index patient with a sexual partner in the prior 60 days was eligible to receive the medication, and any partner in the prior 60 days could receive that medication from the index patient.</w:t>
      </w:r>
      <w:r w:rsidR="00B07DE0" w:rsidRPr="00E02758">
        <w:rPr>
          <w:rFonts w:ascii="Helvetica Neue" w:hAnsi="Helvetica Neue"/>
        </w:rPr>
        <w:t xml:space="preserve"> The EPT processes were implemented as a continuum</w:t>
      </w:r>
      <w:r w:rsidR="00CD755E" w:rsidRPr="00E02758">
        <w:rPr>
          <w:rFonts w:ascii="Helvetica Neue" w:hAnsi="Helvetica Neue"/>
        </w:rPr>
        <w:t xml:space="preserve">. </w:t>
      </w:r>
      <w:r w:rsidR="0084653B" w:rsidRPr="00E02758">
        <w:rPr>
          <w:rFonts w:ascii="Helvetica Neue" w:hAnsi="Helvetica Neue"/>
        </w:rPr>
        <w:t xml:space="preserve">Partners could receive EPT only at the time step following index diagnosis, and partners already being treated for that STI could not receive EPT. </w:t>
      </w:r>
      <w:r w:rsidR="00625A21" w:rsidRPr="00E02758">
        <w:rPr>
          <w:rFonts w:ascii="Helvetica Neue" w:hAnsi="Helvetica Neue"/>
        </w:rPr>
        <w:t>A secondary analysis varied the duration of this look-back period, increasing and decreasing the length of time prior to index patient diagnosis during which sexual activity made a partne</w:t>
      </w:r>
      <w:r w:rsidR="00625A21" w:rsidRPr="00E02758">
        <w:rPr>
          <w:rFonts w:ascii="Helvetica Neue" w:hAnsi="Helvetica Neue" w:cs="Helvetica"/>
        </w:rPr>
        <w:t xml:space="preserve">r eligible for EPT (the EPT partnership window). </w:t>
      </w:r>
      <w:r w:rsidR="00564F76" w:rsidRPr="00E02758">
        <w:rPr>
          <w:rFonts w:ascii="Helvetica Neue" w:hAnsi="Helvetica Neue" w:cs="Helvetica"/>
        </w:rPr>
        <w:t>Base EPT implementation values for each continuum step modeling parameter are listed in</w:t>
      </w:r>
      <w:r w:rsidR="00625A21" w:rsidRPr="00E02758">
        <w:rPr>
          <w:rFonts w:ascii="Helvetica Neue" w:hAnsi="Helvetica Neue" w:cs="Helvetica"/>
        </w:rPr>
        <w:t xml:space="preserve"> </w:t>
      </w:r>
      <w:r w:rsidR="00564F76" w:rsidRPr="00E02758">
        <w:rPr>
          <w:rFonts w:ascii="Helvetica Neue" w:hAnsi="Helvetica Neue" w:cs="Helvetica"/>
        </w:rPr>
        <w:t>Table 1</w:t>
      </w:r>
      <w:r w:rsidR="00625A21" w:rsidRPr="00E02758">
        <w:rPr>
          <w:rFonts w:ascii="Helvetica Neue" w:hAnsi="Helvetica Neue" w:cs="Helvetica"/>
        </w:rPr>
        <w:t xml:space="preserve"> in the main paper, and in Section 13.2 below. Unless</w:t>
      </w:r>
      <w:r w:rsidR="00564F76" w:rsidRPr="00E02758">
        <w:rPr>
          <w:rFonts w:ascii="Helvetica Neue" w:hAnsi="Helvetica Neue" w:cs="Helvetica"/>
        </w:rPr>
        <w:t xml:space="preserve"> noted, </w:t>
      </w:r>
      <w:r w:rsidR="00625A21" w:rsidRPr="00E02758">
        <w:rPr>
          <w:rFonts w:ascii="Helvetica Neue" w:hAnsi="Helvetica Neue" w:cs="Helvetica"/>
        </w:rPr>
        <w:t xml:space="preserve">these modeling parameter values </w:t>
      </w:r>
      <w:r w:rsidR="00564F76" w:rsidRPr="00E02758">
        <w:rPr>
          <w:rFonts w:ascii="Helvetica Neue" w:hAnsi="Helvetica Neue" w:cs="Helvetica"/>
        </w:rPr>
        <w:t>are held fixed at base values when another modeling parameter is being varied.</w:t>
      </w:r>
      <w:r w:rsidR="00625A21" w:rsidRPr="00E02758">
        <w:rPr>
          <w:rFonts w:ascii="Helvetica Neue" w:hAnsi="Helvetica Neue" w:cs="Helvetica"/>
        </w:rPr>
        <w:t xml:space="preserve"> In the following sections, we describe how EPT was implemented to follow the steps of the proposed EPT continuum (Figure 1 in the main paper)</w:t>
      </w:r>
      <w:r w:rsidR="00625A21" w:rsidRPr="00E02758">
        <w:rPr>
          <w:rFonts w:ascii="Helvetica Neue" w:hAnsi="Helvetica Neue"/>
          <w:b/>
        </w:rPr>
        <w:t>.</w:t>
      </w:r>
      <w:r w:rsidR="00B52172" w:rsidRPr="00E02758">
        <w:rPr>
          <w:rFonts w:ascii="Helvetica Neue" w:hAnsi="Helvetica Neue"/>
          <w:b/>
        </w:rPr>
        <w:fldChar w:fldCharType="begin" w:fldLock="1"/>
      </w:r>
      <w:r w:rsidR="00665BF2">
        <w:rPr>
          <w:rFonts w:ascii="Helvetica Neue" w:hAnsi="Helvetica Neue"/>
          <w:b/>
        </w:rPr>
        <w:instrText>ADDIN CSL_CITATION {"citationItems":[{"id":"ITEM-1","itemData":{"DOI":"10.1097/OLQ.0000000000000399","ISSN":"0148-5717","PMID":"26771402","abstract":"BACKGROUND Expedited partner therapy (EPT) is a partner treatment strategy wherein health care providers give patients antibiotics or a prescription to deliver to their sex partners as treatment, without an intervening medical evaluation. METHODS We used PubMed and the Cochrane database to systematically identify published articles about EPT after 2006 and randomized controlled trials before that date; we also sought conference abstracts and unpublished data from 2013 to 2014. We described key steps in a hypothetical \"EPT continuum,\" beginning with diagnosis of Chlamydia trachomatis or Neisseria gonorrhoeae in a patient and ending with treatment for the patient's sex partner(s) with EPT. All reports were abstracted for a set of defined measures and related interventions. RESULTS We reviewed 100 published articles, unpublished data reports, and conference abstracts; 42 met the inclusion criteria and provided measures of the following: provider uptake and offer of EPT, patient acceptance and receipt of EPT, patient delivery of EPT to sex partners, and partner receipt of EPT and treatment. Implementation phase, populations, settings, and methodologies varied across reports. Providers' uptake and offer of EPT are rate-limiting steps in the EPT continuum and were the focus of all 5 programmatic interventions we identified. There were 7 population-based measures of patient receipt of EPT; however, several of the patient populations overlapped. CONCLUSIONS A heterogenous body of literature describes EPT, and variation in study population, setting, and metrics limit generalizability. Programs seeking to increase partner treatment should focus their efforts on provider uptake and offer and should use population-based measures to monitor EPT use.","author":[{"dropping-particle":"","family":"Schillinger","given":"Julia Ann","non-dropping-particle":"","parse-names":false,"suffix":""},{"dropping-particle":"","family":"Gorwitz","given":"Rachel","non-dropping-particle":"","parse-names":false,"suffix":""},{"dropping-particle":"","family":"Rietmeijer","given":"Cornelis","non-dropping-particle":"","parse-names":false,"suffix":""},{"dropping-particle":"","family":"Golden","given":"Matthew R.","non-dropping-particle":"","parse-names":false,"suffix":""}],"container-title":"Sexually Transmitted Diseases","id":"ITEM-1","issue":"2 Suppl 1","issued":{"date-parts":[["2016","2"]]},"page":"S63-S75","title":"The Expedited Partner Therapy Continuum","type":"article-journal","volume":"43"},"uris":["http://www.mendeley.com/documents/?uuid=01c74cce-c2e3-33af-99b8-3380ef23c2eb"]}],"mendeley":{"formattedCitation":"&lt;sup&gt;108&lt;/sup&gt;","plainTextFormattedCitation":"108","previouslyFormattedCitation":"&lt;sup&gt;108&lt;/sup&gt;"},"properties":{"noteIndex":0},"schema":"https://github.com/citation-style-language/schema/raw/master/csl-citation.json"}</w:instrText>
      </w:r>
      <w:r w:rsidR="00B52172" w:rsidRPr="00E02758">
        <w:rPr>
          <w:rFonts w:ascii="Helvetica Neue" w:hAnsi="Helvetica Neue"/>
          <w:b/>
        </w:rPr>
        <w:fldChar w:fldCharType="separate"/>
      </w:r>
      <w:r w:rsidR="00B52172" w:rsidRPr="00E02758">
        <w:rPr>
          <w:rFonts w:ascii="Helvetica Neue" w:hAnsi="Helvetica Neue"/>
          <w:noProof/>
          <w:vertAlign w:val="superscript"/>
        </w:rPr>
        <w:t>108</w:t>
      </w:r>
      <w:r w:rsidR="00B52172" w:rsidRPr="00E02758">
        <w:rPr>
          <w:rFonts w:ascii="Helvetica Neue" w:hAnsi="Helvetica Neue"/>
          <w:b/>
        </w:rPr>
        <w:fldChar w:fldCharType="end"/>
      </w:r>
      <w:r w:rsidR="00B52172" w:rsidRPr="00E02758">
        <w:rPr>
          <w:rFonts w:ascii="Helvetica Neue" w:hAnsi="Helvetica Neue"/>
          <w:b/>
          <w:color w:val="FF0000"/>
        </w:rPr>
        <w:t xml:space="preserve"> </w:t>
      </w:r>
    </w:p>
    <w:p w14:paraId="5E377AA1" w14:textId="7BFDF577" w:rsidR="00AA7EF2" w:rsidRPr="00E02758" w:rsidRDefault="00A01511" w:rsidP="00437BCD">
      <w:pPr>
        <w:pStyle w:val="Heading2"/>
        <w:numPr>
          <w:ilvl w:val="1"/>
          <w:numId w:val="48"/>
        </w:numPr>
        <w:rPr>
          <w:rFonts w:ascii="Helvetica Neue" w:hAnsi="Helvetica Neue"/>
          <w:color w:val="auto"/>
          <w:szCs w:val="22"/>
        </w:rPr>
      </w:pPr>
      <w:bookmarkStart w:id="54" w:name="_Toc2361404"/>
      <w:r w:rsidRPr="00E02758">
        <w:rPr>
          <w:rFonts w:ascii="Helvetica Neue" w:hAnsi="Helvetica Neue"/>
          <w:color w:val="auto"/>
          <w:szCs w:val="22"/>
        </w:rPr>
        <w:t>Coverage (</w:t>
      </w:r>
      <w:r w:rsidR="00AA7EF2" w:rsidRPr="00E02758">
        <w:rPr>
          <w:rFonts w:ascii="Helvetica Neue" w:hAnsi="Helvetica Neue"/>
          <w:color w:val="auto"/>
          <w:szCs w:val="22"/>
        </w:rPr>
        <w:t>Provision to Index Partner</w:t>
      </w:r>
      <w:r w:rsidRPr="00E02758">
        <w:rPr>
          <w:rFonts w:ascii="Helvetica Neue" w:hAnsi="Helvetica Neue"/>
          <w:color w:val="auto"/>
          <w:szCs w:val="22"/>
        </w:rPr>
        <w:t>)</w:t>
      </w:r>
      <w:bookmarkEnd w:id="54"/>
    </w:p>
    <w:p w14:paraId="5668EE74" w14:textId="7B6ADE69" w:rsidR="00224C50" w:rsidRPr="00E02758" w:rsidRDefault="00437BCD" w:rsidP="00433640">
      <w:pPr>
        <w:spacing w:line="360" w:lineRule="auto"/>
        <w:rPr>
          <w:rFonts w:ascii="Helvetica Neue" w:hAnsi="Helvetica Neue"/>
        </w:rPr>
      </w:pPr>
      <w:r w:rsidRPr="00E02758">
        <w:rPr>
          <w:rFonts w:ascii="Helvetica Neue" w:hAnsi="Helvetica Neue"/>
        </w:rPr>
        <w:t xml:space="preserve">In the continuum structure governing EPT implementation in this model, provision of EPT medication for a </w:t>
      </w:r>
      <w:r w:rsidR="009E3F66" w:rsidRPr="00E02758">
        <w:rPr>
          <w:rFonts w:ascii="Helvetica Neue" w:hAnsi="Helvetica Neue"/>
        </w:rPr>
        <w:t>NG</w:t>
      </w:r>
      <w:r w:rsidRPr="00E02758">
        <w:rPr>
          <w:rFonts w:ascii="Helvetica Neue" w:hAnsi="Helvetica Neue"/>
        </w:rPr>
        <w:t xml:space="preserve"> or CT infection from a provider to an index patient at the time of diagnosis is referred to as “coverage.”</w:t>
      </w:r>
      <w:r w:rsidR="00E55439" w:rsidRPr="00E02758">
        <w:rPr>
          <w:rFonts w:ascii="Helvetica Neue" w:hAnsi="Helvetica Neue"/>
        </w:rPr>
        <w:t xml:space="preserve"> </w:t>
      </w:r>
    </w:p>
    <w:p w14:paraId="7D7DB3AF" w14:textId="2D060D16" w:rsidR="00224C50" w:rsidRPr="00E02758" w:rsidRDefault="00673ABE" w:rsidP="00224C50">
      <w:pPr>
        <w:tabs>
          <w:tab w:val="left" w:pos="540"/>
        </w:tabs>
        <w:spacing w:line="360" w:lineRule="auto"/>
        <w:ind w:left="540"/>
        <w:rPr>
          <w:rFonts w:ascii="Helvetica Neue" w:eastAsiaTheme="minorEastAsia" w:hAnsi="Helvetica Neue"/>
        </w:rPr>
      </w:pPr>
      <w:r w:rsidRPr="00E02758">
        <w:rPr>
          <w:rFonts w:ascii="Helvetica Neue" w:eastAsiaTheme="minorEastAsia" w:hAnsi="Helvetica Neue"/>
        </w:rPr>
        <w:t>EPT Coverage</w:t>
      </w:r>
      <w:r w:rsidR="00224C50" w:rsidRPr="00E02758">
        <w:rPr>
          <w:rFonts w:ascii="Helvetica Neue" w:eastAsiaTheme="minorEastAsia" w:hAnsi="Helvetica Neue"/>
        </w:rPr>
        <w:t xml:space="preserve">: </w:t>
      </w:r>
      <m:oMath>
        <m:f>
          <m:fPr>
            <m:ctrlPr>
              <w:rPr>
                <w:rFonts w:ascii="Cambria Math" w:hAnsi="Cambria Math"/>
                <w:i/>
              </w:rPr>
            </m:ctrlPr>
          </m:fPr>
          <m:num>
            <m:r>
              <w:rPr>
                <w:rFonts w:ascii="Cambria Math" w:hAnsi="Cambria Math"/>
              </w:rPr>
              <m:t>Men diagnosed with NG or CT receiving EPT medication</m:t>
            </m:r>
          </m:num>
          <m:den>
            <m:r>
              <w:rPr>
                <w:rFonts w:ascii="Cambria Math" w:hAnsi="Cambria Math"/>
              </w:rPr>
              <m:t>Men diagnosed with NG or CT and had partners in the past 6 months</m:t>
            </m:r>
          </m:den>
        </m:f>
      </m:oMath>
    </w:p>
    <w:p w14:paraId="67391E4F" w14:textId="1E7AB990" w:rsidR="00A87B19" w:rsidRDefault="00433640" w:rsidP="00A87B19">
      <w:pPr>
        <w:tabs>
          <w:tab w:val="left" w:pos="540"/>
        </w:tabs>
        <w:spacing w:line="360" w:lineRule="auto"/>
        <w:rPr>
          <w:rFonts w:ascii="Helvetica Neue" w:hAnsi="Helvetica Neue"/>
        </w:rPr>
      </w:pPr>
      <w:r w:rsidRPr="00E02758">
        <w:rPr>
          <w:rFonts w:ascii="Helvetica Neue" w:hAnsi="Helvetica Neue"/>
        </w:rPr>
        <w:t xml:space="preserve">Men were reassessed dynamically at the time of diagnosis with NG or CT infection. </w:t>
      </w:r>
      <w:r w:rsidR="00FA6121" w:rsidRPr="00E02758">
        <w:rPr>
          <w:rFonts w:ascii="Helvetica Neue" w:hAnsi="Helvetica Neue"/>
        </w:rPr>
        <w:t xml:space="preserve">The denominator at each time step was comprised of men who: 1) were diagnosed with NG or CT at that time step; 2) were sexually active (e.g. had had at least 1 partner in the last 6 months). </w:t>
      </w:r>
      <w:r w:rsidR="00224C50" w:rsidRPr="00E02758">
        <w:rPr>
          <w:rFonts w:ascii="Helvetica Neue" w:hAnsi="Helvetica Neue"/>
        </w:rPr>
        <w:t xml:space="preserve">Set to zero in our reference, no-EPT model, we vary EPT coverage from 10% - 100% as a </w:t>
      </w:r>
      <w:r w:rsidR="00224C50" w:rsidRPr="00E02758">
        <w:rPr>
          <w:rFonts w:ascii="Helvetica Neue" w:hAnsi="Helvetica Neue"/>
        </w:rPr>
        <w:lastRenderedPageBreak/>
        <w:t xml:space="preserve">primary </w:t>
      </w:r>
      <w:r w:rsidR="009E3F66" w:rsidRPr="00E02758">
        <w:rPr>
          <w:rFonts w:ascii="Helvetica Neue" w:hAnsi="Helvetica Neue"/>
        </w:rPr>
        <w:t>analysis and</w:t>
      </w:r>
      <w:r w:rsidR="00FA6121" w:rsidRPr="00E02758">
        <w:rPr>
          <w:rFonts w:ascii="Helvetica Neue" w:hAnsi="Helvetica Neue"/>
        </w:rPr>
        <w:t xml:space="preserve"> explored variations in </w:t>
      </w:r>
      <w:r w:rsidR="00B26845" w:rsidRPr="00E02758">
        <w:rPr>
          <w:rFonts w:ascii="Helvetica Neue" w:hAnsi="Helvetica Neue"/>
        </w:rPr>
        <w:t>coverage and provision to specific partnership types, such as any index being able to receive medication but only being able to distribute it to certain types of partners.</w:t>
      </w:r>
    </w:p>
    <w:p w14:paraId="3726C37F" w14:textId="5A5D446D" w:rsidR="003521CB" w:rsidRDefault="00DC47D6" w:rsidP="003521CB">
      <w:pPr>
        <w:tabs>
          <w:tab w:val="left" w:pos="540"/>
        </w:tabs>
        <w:spacing w:line="360" w:lineRule="auto"/>
        <w:rPr>
          <w:rFonts w:ascii="Helvetica Neue" w:hAnsi="Helvetica Neue"/>
          <w:i/>
        </w:rPr>
      </w:pPr>
      <w:r>
        <w:rPr>
          <w:rFonts w:ascii="Helvetica Neue" w:hAnsi="Helvetica Neue"/>
        </w:rPr>
        <w:tab/>
        <w:t xml:space="preserve">Previous </w:t>
      </w:r>
      <w:r w:rsidR="00665BF2">
        <w:rPr>
          <w:rFonts w:ascii="Helvetica Neue" w:hAnsi="Helvetica Neue"/>
        </w:rPr>
        <w:t xml:space="preserve">EPT trials and analyses have reported a variety of measures of coverage, both from a patient perspective as well as a provider perspective. </w:t>
      </w:r>
      <w:r w:rsidR="008E76A4">
        <w:rPr>
          <w:rFonts w:ascii="Helvetica Neue" w:hAnsi="Helvetica Neue"/>
        </w:rPr>
        <w:t xml:space="preserve">These include results from heterosexual men and women and MSM. </w:t>
      </w:r>
      <w:r w:rsidR="00FD5A26" w:rsidRPr="00FD5A26">
        <w:rPr>
          <w:rFonts w:ascii="Helvetica Neue" w:hAnsi="Helvetica Neue"/>
        </w:rPr>
        <w:t xml:space="preserve">A </w:t>
      </w:r>
      <w:r w:rsidR="00FD5A26">
        <w:rPr>
          <w:rFonts w:ascii="Helvetica Neue" w:hAnsi="Helvetica Neue"/>
        </w:rPr>
        <w:t>s</w:t>
      </w:r>
      <w:r w:rsidR="00A87B19" w:rsidRPr="00FD5A26">
        <w:rPr>
          <w:rFonts w:ascii="Helvetica Neue" w:hAnsi="Helvetica Neue"/>
        </w:rPr>
        <w:t>mall MSM trial</w:t>
      </w:r>
      <w:r w:rsidR="007E2123">
        <w:rPr>
          <w:rFonts w:ascii="Helvetica Neue" w:hAnsi="Helvetica Neue"/>
        </w:rPr>
        <w:t xml:space="preserve"> evaluating patient-delivered partner therapy</w:t>
      </w:r>
      <w:r w:rsidR="00F23270">
        <w:rPr>
          <w:rFonts w:ascii="Helvetica Neue" w:hAnsi="Helvetica Neue"/>
        </w:rPr>
        <w:t xml:space="preserve"> </w:t>
      </w:r>
      <w:r w:rsidR="007B4BD8">
        <w:rPr>
          <w:rFonts w:ascii="Helvetica Neue" w:hAnsi="Helvetica Neue"/>
        </w:rPr>
        <w:t xml:space="preserve">(PDPT) </w:t>
      </w:r>
      <w:r w:rsidR="00F23270">
        <w:rPr>
          <w:rFonts w:ascii="Helvetica Neue" w:hAnsi="Helvetica Neue"/>
        </w:rPr>
        <w:t>alongside an o</w:t>
      </w:r>
      <w:r w:rsidR="007E2123">
        <w:rPr>
          <w:rFonts w:ascii="Helvetica Neue" w:hAnsi="Helvetica Neue"/>
        </w:rPr>
        <w:t>nline web notification syste</w:t>
      </w:r>
      <w:r w:rsidR="00ED7101">
        <w:rPr>
          <w:rFonts w:ascii="Helvetica Neue" w:hAnsi="Helvetica Neue"/>
        </w:rPr>
        <w:t xml:space="preserve">m enrolled 19% of patients </w:t>
      </w:r>
      <w:r w:rsidR="00E577F6">
        <w:rPr>
          <w:rFonts w:ascii="Helvetica Neue" w:hAnsi="Helvetica Neue"/>
        </w:rPr>
        <w:t>who were offered enrollment.</w:t>
      </w:r>
      <w:r w:rsidR="00E577F6" w:rsidRPr="00FD5A26">
        <w:rPr>
          <w:rFonts w:ascii="Helvetica Neue" w:hAnsi="Helvetica Neue"/>
          <w:i/>
        </w:rPr>
        <w:t xml:space="preserve"> </w:t>
      </w:r>
      <w:r w:rsidR="00A87B19" w:rsidRPr="00FD5A26">
        <w:rPr>
          <w:rFonts w:ascii="Helvetica Neue" w:hAnsi="Helvetica Neue"/>
          <w:i/>
        </w:rPr>
        <w:fldChar w:fldCharType="begin" w:fldLock="1"/>
      </w:r>
      <w:r w:rsidR="006E52F3">
        <w:rPr>
          <w:rFonts w:ascii="Helvetica Neue" w:hAnsi="Helvetica Neue"/>
          <w:i/>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mendeley":{"formattedCitation":"&lt;sup&gt;109&lt;/sup&gt;","plainTextFormattedCitation":"109","previouslyFormattedCitation":"&lt;sup&gt;109&lt;/sup&gt;"},"properties":{"noteIndex":0},"schema":"https://github.com/citation-style-language/schema/raw/master/csl-citation.json"}</w:instrText>
      </w:r>
      <w:r w:rsidR="00A87B19" w:rsidRPr="00FD5A26">
        <w:rPr>
          <w:rFonts w:ascii="Helvetica Neue" w:hAnsi="Helvetica Neue"/>
          <w:i/>
        </w:rPr>
        <w:fldChar w:fldCharType="separate"/>
      </w:r>
      <w:r w:rsidR="007D5177" w:rsidRPr="007D5177">
        <w:rPr>
          <w:rFonts w:ascii="Helvetica Neue" w:hAnsi="Helvetica Neue"/>
          <w:noProof/>
          <w:vertAlign w:val="superscript"/>
        </w:rPr>
        <w:t>109</w:t>
      </w:r>
      <w:r w:rsidR="00A87B19" w:rsidRPr="00FD5A26">
        <w:rPr>
          <w:rFonts w:ascii="Helvetica Neue" w:hAnsi="Helvetica Neue"/>
          <w:i/>
        </w:rPr>
        <w:fldChar w:fldCharType="end"/>
      </w:r>
      <w:r w:rsidR="00BE3A9B">
        <w:rPr>
          <w:rFonts w:ascii="Helvetica Neue" w:hAnsi="Helvetica Neue"/>
          <w:i/>
        </w:rPr>
        <w:t xml:space="preserve"> </w:t>
      </w:r>
      <w:r w:rsidR="00E577F6">
        <w:rPr>
          <w:rFonts w:ascii="Helvetica Neue" w:hAnsi="Helvetica Neue"/>
        </w:rPr>
        <w:t>An analysis of STD Surveillance Network (</w:t>
      </w:r>
      <w:proofErr w:type="spellStart"/>
      <w:r w:rsidR="00E577F6">
        <w:rPr>
          <w:rFonts w:ascii="Helvetica Neue" w:hAnsi="Helvetica Neue"/>
        </w:rPr>
        <w:t>SSuN</w:t>
      </w:r>
      <w:proofErr w:type="spellEnd"/>
      <w:r w:rsidR="00E577F6">
        <w:rPr>
          <w:rFonts w:ascii="Helvetica Neue" w:hAnsi="Helvetica Neue"/>
        </w:rPr>
        <w:t>) data found that only 5.6% of patients diagnosed with gonorrhea reported receiving EPT, and that only 2.6% of MSM (ranging from 0.08% in New York to 13.2% in Baltimore) had received EPT.</w:t>
      </w:r>
      <w:r w:rsidR="00A87B19" w:rsidRPr="00E577F6">
        <w:rPr>
          <w:rFonts w:ascii="Helvetica Neue" w:hAnsi="Helvetica Neue"/>
          <w:i/>
        </w:rPr>
        <w:fldChar w:fldCharType="begin" w:fldLock="1"/>
      </w:r>
      <w:r w:rsidR="006E52F3">
        <w:rPr>
          <w:rFonts w:ascii="Helvetica Neue" w:hAnsi="Helvetica Neue"/>
          <w:i/>
        </w:rPr>
        <w:instrText>ADDIN CSL_CITATION {"citationItems":[{"id":"ITEM-1","itemData":{"abstract":"BACKGROUND Expedited partner therapy (EPT) has been shown to prevent reinfection in persons with gonorrhea and to plausibly reduce incidence. The Centers for Disease Control and Prevention recommends EPT as an option for treating sex partners of heterosexual patients. Few studies that examine how the reported use of this valuable intervention differs by patient and provider characteristics and by geography across multiple jurisdictions in the United States are currently available. METHODS Case and patient interview data were obtained for a random sample of reported cases from 7 geographically disparate US jurisdictions participating in the Sexually Transmitted Disease (STD) Surveillance Network. These data were weighted to be representative of all reported gonorrhea cases in the 7 study sites. Patient receipt of EPT was estimated, and multivariate models were constructed separately to examine factors associated with receipt of EPT for heterosexuals and for men who have sex with men. RESULTS Overall, 5.4% of patients diagnosed and reported as having gonorrhea reported receiving EPT to treat their sex partners. Heterosexual patients were more likely to have received EPT than men who have sex with men at 6.6% and 2.6% of patients, respectively. Receipt of EPT did not vary significantly by race, Hispanic ethnicity, or age for either group, although significant variation was observed in different provider settings, with patients from family planning/reproductive health and STD clinic settings more likely to report receiving EPT. Jurisdiction variations were also observed with heterosexual patients in Washington State most likely (35.5%), and those in New York City, Connecticut, and Philadelphia least likely to report receiving EPT (&lt;2%). CONCLUSIONS With the exception of one jurisdiction in the STD Surveillance Network actively promoting EPT use, patient-reported receipt of the intervention remains suboptimal across the network. Additional efforts to promote EPT, especially for patients diagnosed in private provider and hospital settings, are needed to realize the full potential of this valuable gonorrhea control intervention.","author":[{"dropping-particle":"","family":"Stenger","given":"Mark R","non-dropping-particle":"","parse-names":false,"suffix":""},{"dropping-particle":"","family":"Kerani","given":"Roxanne P","non-dropping-particle":"","parse-names":false,"suffix":""},{"dropping-particle":"","family":"Bauer","given":"Heidi M","non-dropping-particle":"","parse-names":false,"suffix":""},{"dropping-particle":"","family":"Burghardt","given":"Nicole","non-dropping-particle":"","parse-names":false,"suffix":""},{"dropping-particle":"","family":"Anschuetz","given":"Greta L","non-dropping-particle":"","parse-names":false,"suffix":""},{"dropping-particle":"","family":"Klingler","given":"Ellen","non-dropping-particle":"","parse-names":false,"suffix":""},{"dropping-particle":"","family":"Schumacher","given":"Christina M","non-dropping-particle":"","parse-names":false,"suffix":""},{"dropping-particle":"","family":"Simon","given":"Julie","non-dropping-particle":"","parse-names":false,"suffix":""},{"dropping-particle":"","family":"Golden","given":"Matthew","non-dropping-particle":"","parse-names":false,"suffix":""}],"container-title":"Sexually transmitted diseases","id":"ITEM-1","issue":"9","issued":{"date-parts":[["2015","9"]]},"page":"470-4","title":"Patient-Reported Expedited Partner Therapy for Gonorrhea in the United States: Findings of the STD Surveillance Network 2010-2012.","type":"article-journal","volume":"42"},"uris":["http://www.mendeley.com/documents/?uuid=0fafc8bc-a287-3d2c-b74d-0d378427fc55"]}],"mendeley":{"formattedCitation":"&lt;sup&gt;110&lt;/sup&gt;","plainTextFormattedCitation":"110","previouslyFormattedCitation":"&lt;sup&gt;110&lt;/sup&gt;"},"properties":{"noteIndex":0},"schema":"https://github.com/citation-style-language/schema/raw/master/csl-citation.json"}</w:instrText>
      </w:r>
      <w:r w:rsidR="00A87B19" w:rsidRPr="00E577F6">
        <w:rPr>
          <w:rFonts w:ascii="Helvetica Neue" w:hAnsi="Helvetica Neue"/>
          <w:i/>
        </w:rPr>
        <w:fldChar w:fldCharType="separate"/>
      </w:r>
      <w:r w:rsidR="007D5177" w:rsidRPr="007D5177">
        <w:rPr>
          <w:rFonts w:ascii="Helvetica Neue" w:hAnsi="Helvetica Neue"/>
          <w:noProof/>
          <w:vertAlign w:val="superscript"/>
        </w:rPr>
        <w:t>110</w:t>
      </w:r>
      <w:r w:rsidR="00A87B19" w:rsidRPr="00E577F6">
        <w:rPr>
          <w:rFonts w:ascii="Helvetica Neue" w:hAnsi="Helvetica Neue"/>
          <w:i/>
        </w:rPr>
        <w:fldChar w:fldCharType="end"/>
      </w:r>
      <w:r w:rsidR="00DA18E5">
        <w:rPr>
          <w:rFonts w:ascii="Helvetica Neue" w:hAnsi="Helvetica Neue"/>
        </w:rPr>
        <w:t xml:space="preserve"> </w:t>
      </w:r>
      <w:r w:rsidR="00D65A60">
        <w:rPr>
          <w:rFonts w:ascii="Helvetica Neue" w:hAnsi="Helvetica Neue"/>
        </w:rPr>
        <w:t>Two analyses in New York City found that 30.5% of young women with chlamydia had received EPT for partners</w:t>
      </w:r>
      <w:r w:rsidR="00D65A60">
        <w:rPr>
          <w:rFonts w:ascii="Helvetica Neue" w:hAnsi="Helvetica Neue"/>
          <w:i/>
        </w:rPr>
        <w:fldChar w:fldCharType="begin" w:fldLock="1"/>
      </w:r>
      <w:r w:rsidR="006E52F3">
        <w:rPr>
          <w:rFonts w:ascii="Helvetica Neue" w:hAnsi="Helvetica Neue"/>
          <w:i/>
        </w:rPr>
        <w:instrText>ADDIN CSL_CITATION {"citationItems":[{"id":"ITEM-1","itemData":{"DOI":"10.1097/OLQ.0000000000000511","ISSN":"0148-5717","author":[{"dropping-particle":"","family":"Oliver","given":"Ashley","non-dropping-particle":"","parse-names":false,"suffix":""},{"dropping-particle":"","family":"Rogers","given":"Meighan","non-dropping-particle":"","parse-names":false,"suffix":""},{"dropping-particle":"","family":"Schillinger","given":"Julia A.","non-dropping-particle":"","parse-names":false,"suffix":""}],"container-title":"Sexually Transmitted Diseases","id":"ITEM-1","issue":"11","issued":{"date-parts":[["2016","11"]]},"page":"673-678","title":"The Impact of Prescriptions on Sex Partner Treatment Using Expedited Partner Therapy for Chlamydia trachomatis Infection, New York City, 2014–2015","type":"article-journal","volume":"43"},"uris":["http://www.mendeley.com/documents/?uuid=e8f70f8e-c777-3f2e-8098-11ab5c8845fb"]}],"mendeley":{"formattedCitation":"&lt;sup&gt;111&lt;/sup&gt;","plainTextFormattedCitation":"111","previouslyFormattedCitation":"&lt;sup&gt;111&lt;/sup&gt;"},"properties":{"noteIndex":0},"schema":"https://github.com/citation-style-language/schema/raw/master/csl-citation.json"}</w:instrText>
      </w:r>
      <w:r w:rsidR="00D65A60">
        <w:rPr>
          <w:rFonts w:ascii="Helvetica Neue" w:hAnsi="Helvetica Neue"/>
          <w:i/>
        </w:rPr>
        <w:fldChar w:fldCharType="separate"/>
      </w:r>
      <w:r w:rsidR="007D5177" w:rsidRPr="007D5177">
        <w:rPr>
          <w:rFonts w:ascii="Helvetica Neue" w:hAnsi="Helvetica Neue"/>
          <w:noProof/>
          <w:vertAlign w:val="superscript"/>
        </w:rPr>
        <w:t>111</w:t>
      </w:r>
      <w:r w:rsidR="00D65A60">
        <w:rPr>
          <w:rFonts w:ascii="Helvetica Neue" w:hAnsi="Helvetica Neue"/>
          <w:i/>
        </w:rPr>
        <w:fldChar w:fldCharType="end"/>
      </w:r>
      <w:r w:rsidR="00D65A60" w:rsidRPr="00D65A60">
        <w:rPr>
          <w:rFonts w:ascii="Helvetica Neue" w:hAnsi="Helvetica Neue"/>
        </w:rPr>
        <w:t>,</w:t>
      </w:r>
      <w:r w:rsidR="00D65A60">
        <w:rPr>
          <w:rFonts w:ascii="Helvetica Neue" w:hAnsi="Helvetica Neue"/>
        </w:rPr>
        <w:t xml:space="preserve"> while 55.9% of index males attending STD clinics had accepted EPT when offered, a figure growing to 69.4% after excluding patients whose partners had already been treated or were in the clinic to be treated</w:t>
      </w:r>
      <w:r w:rsidR="00D65A60">
        <w:rPr>
          <w:rFonts w:ascii="Helvetica Neue" w:hAnsi="Helvetica Neue"/>
          <w:i/>
        </w:rPr>
        <w:t>.</w:t>
      </w:r>
      <w:r w:rsidR="00D65A60">
        <w:rPr>
          <w:rFonts w:ascii="Helvetica Neue" w:hAnsi="Helvetica Neue"/>
          <w:i/>
        </w:rPr>
        <w:fldChar w:fldCharType="begin" w:fldLock="1"/>
      </w:r>
      <w:r w:rsidR="006E52F3">
        <w:rPr>
          <w:rFonts w:ascii="Helvetica Neue" w:hAnsi="Helvetica Neue"/>
          <w:i/>
        </w:rPr>
        <w:instrText>ADDIN CSL_CITATION {"citationItems":[{"id":"ITEM-1","itemData":{"DOI":"10.1097/OLQ.0000000000000197","ISSN":"0148-5717","PMID":"25299418","abstract":"BACKGROUND Expedited partner therapy (EPT) for Chlamydia trachomatis (Ct) reduces repeat Ct infection and was legalized in New York State in 2009. It is a practice in which a Ct-infected index patient delivers medication or a prescription directly to sex partner(s), without those partners receiving medical evaluation. There have been few evaluations of EPT implementation assessing acceptance and uptake among index patients. We measured EPT acceptance among index patients, identified predictors of accepting EPT, and described reasons for declining EPT. METHODS We conducted a retrospective analysis using electronic medical records from patients attending New York City Department of Health and Mental Hygiene STD clinics from July 2011 to October 2012. A multivariable model examined the associations between accepting EPT and patient and clinic-level characteristics. RESULTS Overall, 54.8% (1076/1964) of index patients accepted EPT when offered (55.9% of males and 54.4% of females [P = 0.55]). Predictors of EPT acceptance included having a male provider offer EPT (adjusted odds ratio, 1.43; 95% confidence interval, 1.12-1.83). Index patients who had a partner present at the clinic during the treatment visit were less likely to accept EPT (adjusted odds ratio, 0.28; 95% confidence interval, 0.20-0.40). Among 888 patients who refused EPT, common reasons were as follows: \"partner in clinic today for treatment\" (26.3% [234/888]), \"no longer with partner\" (25.0% [222/888]), \"partner already treated\" (20.3% [180/888]), and \"prefer medication be delivered by clinician\" (19.6% [174/888]). Expedited partner therapy acceptance did not differ by patient age, sex, or race. Excluding persons whose partners were already treated and persons whose partners were in the clinic for treatment, EPT acceptance rates were 69.4%. CONCLUSIONS Expedited partner therapy acceptance rates were high among index patients whose partners were not otherwise treated.","author":[{"dropping-particle":"","family":"Vaidya","given":"Sheila","non-dropping-particle":"","parse-names":false,"suffix":""},{"dropping-particle":"","family":"Johnson","given":"Kimberly","non-dropping-particle":"","parse-names":false,"suffix":""},{"dropping-particle":"","family":"Rogers","given":"Meighan","non-dropping-particle":"","parse-names":false,"suffix":""},{"dropping-particle":"","family":"Nash","given":"Denis","non-dropping-particle":"","parse-names":false,"suffix":""},{"dropping-particle":"","family":"Schillinger","given":"Julia A.","non-dropping-particle":"","parse-names":false,"suffix":""}],"container-title":"Sexually Transmitted Diseases","id":"ITEM-1","issue":"11","issued":{"date-parts":[["2014","11"]]},"page":"690-694","title":"Predictors of Index Patient Acceptance of Expedited Partner Therapy for Chlamydia trachomatis Infection and Reasons for Refusal, Sexually Transmitted Disease Clinics, New York City, 2011 to 2012","type":"article-journal","volume":"41"},"uris":["http://www.mendeley.com/documents/?uuid=4ab22d00-6568-3236-bc56-f793ed304401"]}],"mendeley":{"formattedCitation":"&lt;sup&gt;112&lt;/sup&gt;","plainTextFormattedCitation":"112","previouslyFormattedCitation":"&lt;sup&gt;112&lt;/sup&gt;"},"properties":{"noteIndex":0},"schema":"https://github.com/citation-style-language/schema/raw/master/csl-citation.json"}</w:instrText>
      </w:r>
      <w:r w:rsidR="00D65A60">
        <w:rPr>
          <w:rFonts w:ascii="Helvetica Neue" w:hAnsi="Helvetica Neue"/>
          <w:i/>
        </w:rPr>
        <w:fldChar w:fldCharType="separate"/>
      </w:r>
      <w:r w:rsidR="007D5177" w:rsidRPr="007D5177">
        <w:rPr>
          <w:rFonts w:ascii="Helvetica Neue" w:hAnsi="Helvetica Neue"/>
          <w:noProof/>
          <w:vertAlign w:val="superscript"/>
        </w:rPr>
        <w:t>112</w:t>
      </w:r>
      <w:r w:rsidR="00D65A60">
        <w:rPr>
          <w:rFonts w:ascii="Helvetica Neue" w:hAnsi="Helvetica Neue"/>
          <w:i/>
        </w:rPr>
        <w:fldChar w:fldCharType="end"/>
      </w:r>
      <w:r w:rsidR="00C9185D">
        <w:rPr>
          <w:rFonts w:ascii="Helvetica Neue" w:hAnsi="Helvetica Neue"/>
          <w:i/>
        </w:rPr>
        <w:t xml:space="preserve"> </w:t>
      </w:r>
      <w:r w:rsidR="00062A34">
        <w:rPr>
          <w:rFonts w:ascii="Helvetica Neue" w:hAnsi="Helvetica Neue"/>
        </w:rPr>
        <w:t xml:space="preserve">A 2004-2005 trial of </w:t>
      </w:r>
      <w:r w:rsidR="007B0ABC">
        <w:rPr>
          <w:rFonts w:ascii="Helvetica Neue" w:hAnsi="Helvetica Neue"/>
        </w:rPr>
        <w:t xml:space="preserve">population-based </w:t>
      </w:r>
      <w:r w:rsidR="00062A34">
        <w:rPr>
          <w:rFonts w:ascii="Helvetica Neue" w:hAnsi="Helvetica Neue"/>
        </w:rPr>
        <w:t xml:space="preserve">PDPT </w:t>
      </w:r>
      <w:r w:rsidR="007B0ABC">
        <w:rPr>
          <w:rFonts w:ascii="Helvetica Neue" w:hAnsi="Helvetica Neue"/>
        </w:rPr>
        <w:t xml:space="preserve">implementation </w:t>
      </w:r>
      <w:r w:rsidR="00062A34">
        <w:rPr>
          <w:rFonts w:ascii="Helvetica Neue" w:hAnsi="Helvetica Neue"/>
        </w:rPr>
        <w:t xml:space="preserve">in King County, Washington increased the </w:t>
      </w:r>
      <w:r w:rsidR="00AB561E">
        <w:rPr>
          <w:rFonts w:ascii="Helvetica Neue" w:hAnsi="Helvetica Neue"/>
        </w:rPr>
        <w:t>percentage of cases receiving PDPT from a diagnosing clinician from 5.6% to 16%</w:t>
      </w:r>
      <w:r w:rsidR="007B4BD8" w:rsidRPr="00C113D9">
        <w:rPr>
          <w:rFonts w:ascii="Helvetica Neue" w:hAnsi="Helvetica Neue"/>
          <w:i/>
        </w:rPr>
        <w:fldChar w:fldCharType="begin" w:fldLock="1"/>
      </w:r>
      <w:r w:rsidR="006E52F3">
        <w:rPr>
          <w:rFonts w:ascii="Helvetica Neue" w:hAnsi="Helvetica Neue"/>
          <w:i/>
        </w:rPr>
        <w:instrText>ADDIN CSL_CITATION {"citationItems":[{"id":"ITEM-1","itemData":{"DOI":"10.1097/01.olq.0000258319.54316.06","ISSN":"0148-5717","author":[{"dropping-particle":"","family":"Golden","given":"Matthew R.","non-dropping-particle":"","parse-names":false,"suffix":""},{"dropping-particle":"","family":"Hughes","given":"James P","non-dropping-particle":"","parse-names":false,"suffix":""},{"dropping-particle":"","family":"Brewer","given":"Devon D.","non-dropping-particle":"","parse-names":false,"suffix":""},{"dropping-particle":"","family":"Holmes","given":"King K.","non-dropping-particle":"","parse-names":false,"suffix":""},{"dropping-particle":"","family":"Whittington","given":"William L.H.","non-dropping-particle":"","parse-names":false,"suffix":""},{"dropping-particle":"","family":"Hogben","given":"Matthew","non-dropping-particle":"","parse-names":false,"suffix":""},{"dropping-particle":"","family":"Malinski","given":"Cheryl","non-dropping-particle":"","parse-names":false,"suffix":""},{"dropping-particle":"","family":"Golding","given":"Anne","non-dropping-particle":"","parse-names":false,"suffix":""},{"dropping-particle":"","family":"Handsfield","given":"H. Hunter","non-dropping-particle":"","parse-names":false,"suffix":""}],"container-title":"Sexually Transmitted Diseases","id":"ITEM-1","issued":{"date-parts":[["2007","3"]]},"title":"Evaluation of a Population-Based Program of Expedited Partner Therapy for Gonorrhea and Chlamydial Infection","type":"article-journal","volume":"PAP"},"uris":["http://www.mendeley.com/documents/?uuid=c53e9c80-8856-3195-a13e-c2dc33c73d88"]}],"mendeley":{"formattedCitation":"&lt;sup&gt;113&lt;/sup&gt;","plainTextFormattedCitation":"113","previouslyFormattedCitation":"&lt;sup&gt;113&lt;/sup&gt;"},"properties":{"noteIndex":0},"schema":"https://github.com/citation-style-language/schema/raw/master/csl-citation.json"}</w:instrText>
      </w:r>
      <w:r w:rsidR="007B4BD8" w:rsidRPr="00C113D9">
        <w:rPr>
          <w:rFonts w:ascii="Helvetica Neue" w:hAnsi="Helvetica Neue"/>
          <w:i/>
        </w:rPr>
        <w:fldChar w:fldCharType="separate"/>
      </w:r>
      <w:r w:rsidR="007D5177" w:rsidRPr="007D5177">
        <w:rPr>
          <w:rFonts w:ascii="Helvetica Neue" w:hAnsi="Helvetica Neue"/>
          <w:noProof/>
          <w:vertAlign w:val="superscript"/>
        </w:rPr>
        <w:t>113</w:t>
      </w:r>
      <w:r w:rsidR="007B4BD8" w:rsidRPr="00C113D9">
        <w:rPr>
          <w:rFonts w:ascii="Helvetica Neue" w:hAnsi="Helvetica Neue"/>
          <w:i/>
        </w:rPr>
        <w:fldChar w:fldCharType="end"/>
      </w:r>
      <w:r w:rsidR="008955AD">
        <w:rPr>
          <w:rFonts w:ascii="Helvetica Neue" w:hAnsi="Helvetica Neue"/>
          <w:i/>
        </w:rPr>
        <w:t xml:space="preserve">, </w:t>
      </w:r>
      <w:r w:rsidR="008955AD" w:rsidRPr="008955AD">
        <w:rPr>
          <w:rFonts w:ascii="Helvetica Neue" w:hAnsi="Helvetica Neue"/>
        </w:rPr>
        <w:t xml:space="preserve">while </w:t>
      </w:r>
      <w:r w:rsidR="008955AD">
        <w:rPr>
          <w:rFonts w:ascii="Helvetica Neue" w:hAnsi="Helvetica Neue"/>
        </w:rPr>
        <w:t>a more recent</w:t>
      </w:r>
      <w:r w:rsidR="007B4BD8">
        <w:rPr>
          <w:rFonts w:ascii="Helvetica Neue" w:hAnsi="Helvetica Neue"/>
        </w:rPr>
        <w:t xml:space="preserve"> statewide community-level trial of PDPT</w:t>
      </w:r>
      <w:r w:rsidR="00253F53">
        <w:rPr>
          <w:rFonts w:ascii="Helvetica Neue" w:hAnsi="Helvetica Neue"/>
        </w:rPr>
        <w:t xml:space="preserve"> in Washington State</w:t>
      </w:r>
      <w:r w:rsidR="008955AD">
        <w:rPr>
          <w:rFonts w:ascii="Helvetica Neue" w:hAnsi="Helvetica Neue"/>
        </w:rPr>
        <w:t xml:space="preserve"> increased PDPT receipt from 18% to 34% (4.7% to 16.6% among males).</w:t>
      </w:r>
      <w:r w:rsidR="008955AD">
        <w:rPr>
          <w:rFonts w:ascii="Helvetica Neue" w:hAnsi="Helvetica Neue"/>
          <w:i/>
        </w:rPr>
        <w:fldChar w:fldCharType="begin" w:fldLock="1"/>
      </w:r>
      <w:r w:rsidR="006E52F3">
        <w:rPr>
          <w:rFonts w:ascii="Helvetica Neue" w:hAnsi="Helvetica Neue"/>
          <w:i/>
        </w:rPr>
        <w:instrText>ADDIN CSL_CITATION {"citationItems":[{"id":"ITEM-1","itemData":{"DOI":"10.1371/journal.pmed.1001777","ISSN":"1549-1676","PMID":"25590331","abstract":"BACKGROUND Expedited partner therapy (EPT), the practice of treating the sex partners of persons with sexually transmitted infections without their medical evaluation, increases partner treatment and decreases gonorrhea and chlamydia reinfection rates. We conducted a stepped-wedge, community-level randomized trial to determine whether a public health intervention promoting EPT could increase its use and decrease chlamydia test positivity and gonorrhea incidence in women. METHODS AND FINDINGS The trial randomly assigned local health jurisdictions (LHJs) in Washington State, US, into four study waves. Waves instituted the intervention in randomly assigned order at intervals of 6-8 mo. Of the state's 25 LHJs, 24 were eligible and 23 participated. Heterosexual individuals with gonorrhea or chlamydial infection were eligible for the intervention. The study made free patient-delivered partner therapy (PDPT) available to clinicians, and provided public health partner services based on clinician referral. The main study outcomes were chlamydia test positivity among women ages 14-25 y in 219 sentinel clinics, and incidence of reported gonorrhea in women, both measured at the community level. Receipt of PDPT from clinicians was evaluated among randomly selected patients. 23 and 22 LHJs provided data on gonorrhea and chlamydia outcomes, respectively. The intervention increased the percentage of persons receiving PDPT from clinicians (from 18% to 34%, p &lt; 0.001) and the percentage receiving partner services (from 25% to 45%, p &lt; 0.001). Chlamydia test positivity and gonorrhea incidence in women decreased over the study period, from 8.2% to 6.5% and from 59.6 to 26.4 per 100,000, respectively. After adjusting for temporal trends, the intervention was associated with an approximately 10% reduction in both chlamydia positivity and gonorrhea incidence, though the confidence bounds on these outcomes both crossed one (chlamydia positivity prevalence ratio = 0.89, 95% CI 0.77-1.04, p = 0.15; gonorrhea incidence rate ratio = 0.91, 95% CI .71-1.16, p = 0.45). Study findings were potentially limited by inadequate statistical power, by the institution of some aspects of the study intervention outside of the research randomization sequence, and by the fact that LHJs did not constitute truly isolated sexual networks. CONCLUSIONS A public health intervention promoting the use of free PDPT substantially increased its use and may have resulted in decreased chlamydial and gonococca…","author":[{"dropping-particle":"","family":"Golden","given":"Matthew R","non-dropping-particle":"","parse-names":false,"suffix":""},{"dropping-particle":"","family":"Kerani","given":"Roxanne P","non-dropping-particle":"","parse-names":false,"suffix":""},{"dropping-particle":"","family":"Stenger","given":"Mark","non-dropping-particle":"","parse-names":false,"suffix":""},{"dropping-particle":"","family":"Hughes","given":"James P","non-dropping-particle":"","parse-names":false,"suffix":""},{"dropping-particle":"","family":"Aubin","given":"Mark","non-dropping-particle":"","parse-names":false,"suffix":""},{"dropping-particle":"","family":"Malinski","given":"Cheryl","non-dropping-particle":"","parse-names":false,"suffix":""},{"dropping-particle":"","family":"Holmes","given":"King K","non-dropping-particle":"","parse-names":false,"suffix":""}],"container-title":"PLoS medicine","id":"ITEM-1","issue":"1","issued":{"date-parts":[["2015","1"]]},"page":"e1001777","publisher":"Public Library of Science","title":"Uptake and population-level impact of expedited partner therapy (EPT) on Chlamydia trachomatis and Neisseria gonorrhoeae: the Washington State community-level randomized trial of EPT.","type":"article-journal","volume":"12"},"uris":["http://www.mendeley.com/documents/?uuid=b91bcd4b-f724-3e38-874b-18d67af8b11b"]}],"mendeley":{"formattedCitation":"&lt;sup&gt;114&lt;/sup&gt;","plainTextFormattedCitation":"114","previouslyFormattedCitation":"&lt;sup&gt;114&lt;/sup&gt;"},"properties":{"noteIndex":0},"schema":"https://github.com/citation-style-language/schema/raw/master/csl-citation.json"}</w:instrText>
      </w:r>
      <w:r w:rsidR="008955AD">
        <w:rPr>
          <w:rFonts w:ascii="Helvetica Neue" w:hAnsi="Helvetica Neue"/>
          <w:i/>
        </w:rPr>
        <w:fldChar w:fldCharType="separate"/>
      </w:r>
      <w:r w:rsidR="007D5177" w:rsidRPr="007D5177">
        <w:rPr>
          <w:rFonts w:ascii="Helvetica Neue" w:hAnsi="Helvetica Neue"/>
          <w:noProof/>
          <w:vertAlign w:val="superscript"/>
        </w:rPr>
        <w:t>114</w:t>
      </w:r>
      <w:r w:rsidR="008955AD">
        <w:rPr>
          <w:rFonts w:ascii="Helvetica Neue" w:hAnsi="Helvetica Neue"/>
          <w:i/>
        </w:rPr>
        <w:fldChar w:fldCharType="end"/>
      </w:r>
      <w:r w:rsidR="008955AD">
        <w:rPr>
          <w:rFonts w:ascii="Helvetica Neue" w:hAnsi="Helvetica Neue"/>
        </w:rPr>
        <w:t xml:space="preserve"> This latter trial increased the proportion</w:t>
      </w:r>
      <w:r w:rsidR="004359A2">
        <w:rPr>
          <w:rFonts w:ascii="Helvetica Neue" w:hAnsi="Helvetica Neue"/>
        </w:rPr>
        <w:t xml:space="preserve"> of providers who offered PDPT frequently to patients that they did not refer for partner services from 29.3% to 80.9%.</w:t>
      </w:r>
    </w:p>
    <w:p w14:paraId="56549EF0" w14:textId="5CB44F29" w:rsidR="007B20C7" w:rsidRPr="003419AA" w:rsidRDefault="003521CB" w:rsidP="003419AA">
      <w:pPr>
        <w:tabs>
          <w:tab w:val="left" w:pos="540"/>
        </w:tabs>
        <w:spacing w:line="360" w:lineRule="auto"/>
        <w:rPr>
          <w:rFonts w:ascii="Helvetica Neue" w:hAnsi="Helvetica Neue"/>
          <w:i/>
        </w:rPr>
      </w:pPr>
      <w:r>
        <w:rPr>
          <w:rFonts w:ascii="Helvetica Neue" w:hAnsi="Helvetica Neue"/>
          <w:i/>
        </w:rPr>
        <w:tab/>
      </w:r>
      <w:r w:rsidR="000963FE">
        <w:rPr>
          <w:rFonts w:ascii="Helvetica Neue" w:hAnsi="Helvetica Neue"/>
        </w:rPr>
        <w:t>In a national provider survey</w:t>
      </w:r>
      <w:r w:rsidR="00776C41">
        <w:rPr>
          <w:rFonts w:ascii="Helvetica Neue" w:hAnsi="Helvetica Neue"/>
        </w:rPr>
        <w:t xml:space="preserve"> in the mid-2000s</w:t>
      </w:r>
      <w:r w:rsidR="001B5927">
        <w:rPr>
          <w:rFonts w:ascii="Helvetica Neue" w:hAnsi="Helvetica Neue"/>
        </w:rPr>
        <w:t>, around half (49.3% for chlamydia and 56% for gonorrhea) reported ever using PDPT, while a smaller fraction (14.4% for chlamydia or 11.3% for gonorrhea) reported using PDPT frequently.</w:t>
      </w:r>
      <w:r w:rsidR="001B5927">
        <w:rPr>
          <w:rFonts w:ascii="Helvetica Neue" w:hAnsi="Helvetica Neue"/>
          <w:i/>
        </w:rPr>
        <w:fldChar w:fldCharType="begin" w:fldLock="1"/>
      </w:r>
      <w:r w:rsidR="001B5927">
        <w:rPr>
          <w:rFonts w:ascii="Helvetica Neue" w:hAnsi="Helvetica Neue"/>
          <w:i/>
        </w:rPr>
        <w:instrText>ADDIN CSL_CITATION {"citationItems":[{"id":"ITEM-1","itemData":{"ISSN":"0148-5717","PMID":"15668616","abstract":"OBJECTIVE The objective of this study was to estimate how many U.S. physicians practice patient-delivered partner therapy (PDPT), which is the practice of giving patients diagnosed with curable sexually transmitted infections medication to give to their sex partners. STUDY The authors conducted a national survey of physicians in specialties that diagnose the majority of sexually transmitted diseases in the United States. RESULTS A total of 3011 physicians diagnosed at least 1 case of either gonorrhea or chlamydial infection in the preceding year. For gonorrhea and chlamydial infection, 50% to 56% reported ever using PDPT; 11% to 14% reported usually or always doing so. Obstetricians and gynecologists and family practice physicians more often used PDPT than internists, pediatricians, and emergency department physicians. Clinicians who collected sex partner information, as well as those who saw more female and white patients, used PDPT most often. CONCLUSIONS PDPT is widely but inconsistently used throughout the United States and is typically provided to a minority of persons.","author":[{"dropping-particle":"","family":"Hogben","given":"Matthew","non-dropping-particle":"","parse-names":false,"suffix":""},{"dropping-particle":"","family":"McCree","given":"Donna H","non-dropping-particle":"","parse-names":false,"suffix":""},{"dropping-particle":"","family":"Golden","given":"Matthew R","non-dropping-particle":"","parse-names":false,"suffix":""}],"container-title":"Sexually transmitted diseases","id":"ITEM-1","issue":"2","issued":{"date-parts":[["2005","2"]]},"page":"101-5","title":"Patient-delivered partner therapy for sexually transmitted diseases as practiced by U.S. physicians.","type":"article-journal","volume":"32"},"uris":["http://www.mendeley.com/documents/?uuid=06ef7899-e04e-39a3-bff5-4dc97bb1d78f"]}],"mendeley":{"formattedCitation":"&lt;sup&gt;115&lt;/sup&gt;","plainTextFormattedCitation":"115","previouslyFormattedCitation":"&lt;sup&gt;115&lt;/sup&gt;"},"properties":{"noteIndex":0},"schema":"https://github.com/citation-style-language/schema/raw/master/csl-citation.json"}</w:instrText>
      </w:r>
      <w:r w:rsidR="001B5927">
        <w:rPr>
          <w:rFonts w:ascii="Helvetica Neue" w:hAnsi="Helvetica Neue"/>
          <w:i/>
        </w:rPr>
        <w:fldChar w:fldCharType="separate"/>
      </w:r>
      <w:r w:rsidR="001B5927" w:rsidRPr="00BC6955">
        <w:rPr>
          <w:rFonts w:ascii="Helvetica Neue" w:hAnsi="Helvetica Neue"/>
          <w:noProof/>
          <w:vertAlign w:val="superscript"/>
        </w:rPr>
        <w:t>115</w:t>
      </w:r>
      <w:r w:rsidR="001B5927">
        <w:rPr>
          <w:rFonts w:ascii="Helvetica Neue" w:hAnsi="Helvetica Neue"/>
          <w:i/>
        </w:rPr>
        <w:fldChar w:fldCharType="end"/>
      </w:r>
      <w:r w:rsidR="001B5927">
        <w:rPr>
          <w:rFonts w:ascii="Helvetica Neue" w:hAnsi="Helvetica Neue"/>
          <w:i/>
        </w:rPr>
        <w:t xml:space="preserve"> </w:t>
      </w:r>
      <w:r w:rsidR="001B5927">
        <w:rPr>
          <w:rFonts w:ascii="Helvetica Neue" w:hAnsi="Helvetica Neue"/>
        </w:rPr>
        <w:t xml:space="preserve">That same analysis estimated that </w:t>
      </w:r>
      <w:r w:rsidR="001B5927" w:rsidRPr="001B5927">
        <w:rPr>
          <w:rFonts w:ascii="Helvetica Neue" w:hAnsi="Helvetica Neue"/>
        </w:rPr>
        <w:t>8.8%-14.6% of total GC cases get PDPT, while 13.1-20.3% of total CT cases get PDPT.</w:t>
      </w:r>
      <w:r w:rsidR="00425DA1">
        <w:rPr>
          <w:rFonts w:ascii="Helvetica Neue" w:hAnsi="Helvetica Neue"/>
        </w:rPr>
        <w:t xml:space="preserve"> </w:t>
      </w:r>
      <w:r w:rsidR="00661E07">
        <w:rPr>
          <w:rFonts w:ascii="Helvetica Neue" w:hAnsi="Helvetica Neue"/>
        </w:rPr>
        <w:t>A similar analysis of providers in New York City</w:t>
      </w:r>
      <w:r w:rsidR="00DF02E8">
        <w:rPr>
          <w:rFonts w:ascii="Helvetica Neue" w:hAnsi="Helvetica Neue"/>
        </w:rPr>
        <w:t xml:space="preserve"> found that about half of them had ever used PDPT, while more than two-thirds of providers reporting frequent partner referral reported ever having using PDPT</w:t>
      </w:r>
      <w:r w:rsidR="00EF5BA7">
        <w:rPr>
          <w:rFonts w:ascii="Helvetica Neue" w:hAnsi="Helvetica Neue"/>
        </w:rPr>
        <w:t>.</w:t>
      </w:r>
      <w:r w:rsidR="00EF5BA7" w:rsidRPr="00EF5BA7">
        <w:rPr>
          <w:rFonts w:ascii="Helvetica Neue" w:hAnsi="Helvetica Neue"/>
          <w:i/>
        </w:rPr>
        <w:t xml:space="preserve"> </w:t>
      </w:r>
      <w:r w:rsidR="00EF5BA7">
        <w:rPr>
          <w:rFonts w:ascii="Helvetica Neue" w:hAnsi="Helvetica Neue"/>
          <w:i/>
        </w:rPr>
        <w:fldChar w:fldCharType="begin" w:fldLock="1"/>
      </w:r>
      <w:r w:rsidR="006E52F3">
        <w:rPr>
          <w:rFonts w:ascii="Helvetica Neue" w:hAnsi="Helvetica Neue"/>
          <w:i/>
        </w:rPr>
        <w:instrText>ADDIN CSL_CITATION {"citationItems":[{"id":"ITEM-1","itemData":{"DOI":"10.1097/01.olq.0000225322.94613.c2","ISSN":"0148-5717","author":[{"dropping-particle":"","family":"Rogers","given":"Meighan E.","non-dropping-particle":"","parse-names":false,"suffix":""},{"dropping-particle":"","family":"Opdyke","given":"Kelly M.","non-dropping-particle":"","parse-names":false,"suffix":""},{"dropping-particle":"","family":"Blank","given":"Susan","non-dropping-particle":"","parse-names":false,"suffix":""},{"dropping-particle":"","family":"Schillinger","given":"Julia A.","non-dropping-particle":"","parse-names":false,"suffix":""}],"container-title":"Sexually Transmitted Diseases","id":"ITEM-1","issue":"2","issued":{"date-parts":[["2007","2"]]},"page":"88-92","title":"Patient-Delivered Partner Treatment and Other Partner Management Strategies for Sexually Transmitted Diseases Used by New York City Healthcare Providers","type":"article-journal","volume":"34"},"uris":["http://www.mendeley.com/documents/?uuid=e631a41b-66c9-3737-a0d6-107d8ac7e2da"]}],"mendeley":{"formattedCitation":"&lt;sup&gt;116&lt;/sup&gt;","plainTextFormattedCitation":"116","previouslyFormattedCitation":"&lt;sup&gt;116&lt;/sup&gt;"},"properties":{"noteIndex":0},"schema":"https://github.com/citation-style-language/schema/raw/master/csl-citation.json"}</w:instrText>
      </w:r>
      <w:r w:rsidR="00EF5BA7">
        <w:rPr>
          <w:rFonts w:ascii="Helvetica Neue" w:hAnsi="Helvetica Neue"/>
          <w:i/>
        </w:rPr>
        <w:fldChar w:fldCharType="separate"/>
      </w:r>
      <w:r w:rsidR="007D5177" w:rsidRPr="007D5177">
        <w:rPr>
          <w:rFonts w:ascii="Helvetica Neue" w:hAnsi="Helvetica Neue"/>
          <w:noProof/>
          <w:vertAlign w:val="superscript"/>
        </w:rPr>
        <w:t>116</w:t>
      </w:r>
      <w:r w:rsidR="00EF5BA7">
        <w:rPr>
          <w:rFonts w:ascii="Helvetica Neue" w:hAnsi="Helvetica Neue"/>
          <w:i/>
        </w:rPr>
        <w:fldChar w:fldCharType="end"/>
      </w:r>
      <w:r w:rsidR="004C4402">
        <w:rPr>
          <w:rFonts w:ascii="Helvetica Neue" w:hAnsi="Helvetica Neue"/>
        </w:rPr>
        <w:t xml:space="preserve"> </w:t>
      </w:r>
      <w:r w:rsidR="00ED7101">
        <w:rPr>
          <w:rFonts w:ascii="Helvetica Neue" w:hAnsi="Helvetica Neue"/>
        </w:rPr>
        <w:t>Given the nature of the research question and primary analysis</w:t>
      </w:r>
      <w:r w:rsidR="00DE792C">
        <w:rPr>
          <w:rFonts w:ascii="Helvetica Neue" w:hAnsi="Helvetica Neue"/>
        </w:rPr>
        <w:t xml:space="preserve">, </w:t>
      </w:r>
      <w:r w:rsidR="00DE792C">
        <w:rPr>
          <w:rFonts w:ascii="Helvetica Neue" w:hAnsi="Helvetica Neue"/>
        </w:rPr>
        <w:lastRenderedPageBreak/>
        <w:t xml:space="preserve">we evaluated a range of possible scenarios. </w:t>
      </w:r>
      <w:r w:rsidR="00685948" w:rsidRPr="00E02758">
        <w:rPr>
          <w:rFonts w:ascii="Helvetica Neue" w:hAnsi="Helvetica Neue"/>
        </w:rPr>
        <w:t xml:space="preserve">We selected, as a base value for analyses of other steps of the EPT continuum, </w:t>
      </w:r>
      <w:proofErr w:type="gramStart"/>
      <w:r w:rsidR="00685948" w:rsidRPr="00E02758">
        <w:rPr>
          <w:rFonts w:ascii="Helvetica Neue" w:hAnsi="Helvetica Neue"/>
        </w:rPr>
        <w:t>a coverage</w:t>
      </w:r>
      <w:proofErr w:type="gramEnd"/>
      <w:r w:rsidR="00685948" w:rsidRPr="00E02758">
        <w:rPr>
          <w:rFonts w:ascii="Helvetica Neue" w:hAnsi="Helvetica Neue"/>
        </w:rPr>
        <w:t xml:space="preserve"> of 20% </w:t>
      </w:r>
      <w:r w:rsidR="00DE792C">
        <w:rPr>
          <w:rFonts w:ascii="Helvetica Neue" w:hAnsi="Helvetica Neue"/>
        </w:rPr>
        <w:t>for providers giving EPT medication to</w:t>
      </w:r>
      <w:r w:rsidR="00685948" w:rsidRPr="00E02758">
        <w:rPr>
          <w:rFonts w:ascii="Helvetica Neue" w:hAnsi="Helvetica Neue"/>
        </w:rPr>
        <w:t xml:space="preserve"> sexually active index patients. </w:t>
      </w:r>
    </w:p>
    <w:p w14:paraId="58A1685D" w14:textId="015B38DB" w:rsidR="00AA7EF2" w:rsidRPr="00E02758" w:rsidRDefault="00AA7EF2" w:rsidP="00AA7EF2">
      <w:pPr>
        <w:pStyle w:val="Heading2"/>
        <w:rPr>
          <w:rFonts w:ascii="Helvetica Neue" w:hAnsi="Helvetica Neue"/>
          <w:color w:val="auto"/>
          <w:szCs w:val="22"/>
        </w:rPr>
      </w:pPr>
      <w:bookmarkStart w:id="55" w:name="_Toc2361405"/>
      <w:r w:rsidRPr="00E02758">
        <w:rPr>
          <w:rFonts w:ascii="Helvetica Neue" w:hAnsi="Helvetica Neue"/>
          <w:color w:val="auto"/>
          <w:szCs w:val="22"/>
        </w:rPr>
        <w:t>12.</w:t>
      </w:r>
      <w:r w:rsidR="0073502C" w:rsidRPr="00E02758">
        <w:rPr>
          <w:rFonts w:ascii="Helvetica Neue" w:hAnsi="Helvetica Neue"/>
          <w:color w:val="auto"/>
          <w:szCs w:val="22"/>
        </w:rPr>
        <w:t>3</w:t>
      </w:r>
      <w:r w:rsidRPr="00E02758">
        <w:rPr>
          <w:rFonts w:ascii="Helvetica Neue" w:hAnsi="Helvetica Neue"/>
          <w:color w:val="auto"/>
          <w:szCs w:val="22"/>
        </w:rPr>
        <w:tab/>
      </w:r>
      <w:r w:rsidR="00A01511" w:rsidRPr="00E02758">
        <w:rPr>
          <w:rFonts w:ascii="Helvetica Neue" w:hAnsi="Helvetica Neue"/>
          <w:color w:val="auto"/>
          <w:szCs w:val="22"/>
        </w:rPr>
        <w:t>Provision (</w:t>
      </w:r>
      <w:r w:rsidRPr="00E02758">
        <w:rPr>
          <w:rFonts w:ascii="Helvetica Neue" w:hAnsi="Helvetica Neue"/>
          <w:color w:val="auto"/>
          <w:szCs w:val="22"/>
        </w:rPr>
        <w:t>Provision to Non-Index Partner</w:t>
      </w:r>
      <w:r w:rsidR="00A01511" w:rsidRPr="00E02758">
        <w:rPr>
          <w:rFonts w:ascii="Helvetica Neue" w:hAnsi="Helvetica Neue"/>
          <w:color w:val="auto"/>
          <w:szCs w:val="22"/>
        </w:rPr>
        <w:t>)</w:t>
      </w:r>
      <w:bookmarkEnd w:id="55"/>
    </w:p>
    <w:p w14:paraId="27B58496" w14:textId="1FC82426" w:rsidR="002C41BC" w:rsidRPr="00E02758" w:rsidRDefault="002C41BC" w:rsidP="002C41BC">
      <w:pPr>
        <w:spacing w:line="360" w:lineRule="auto"/>
        <w:rPr>
          <w:rFonts w:ascii="Helvetica Neue" w:hAnsi="Helvetica Neue"/>
        </w:rPr>
      </w:pPr>
      <w:r w:rsidRPr="00E02758">
        <w:rPr>
          <w:rFonts w:ascii="Helvetica Neue" w:hAnsi="Helvetica Neue"/>
        </w:rPr>
        <w:t xml:space="preserve">In the continuum structure governing EPT implementation in this model, provision of EPT medication for a </w:t>
      </w:r>
      <w:r w:rsidR="009E3F66" w:rsidRPr="00E02758">
        <w:rPr>
          <w:rFonts w:ascii="Helvetica Neue" w:hAnsi="Helvetica Neue"/>
        </w:rPr>
        <w:t>NG</w:t>
      </w:r>
      <w:r w:rsidRPr="00E02758">
        <w:rPr>
          <w:rFonts w:ascii="Helvetica Neue" w:hAnsi="Helvetica Neue"/>
        </w:rPr>
        <w:t xml:space="preserve"> or CT infection from an index patient to their recent non-index partners in the week following diagnosis is referred to as “provision.” </w:t>
      </w:r>
    </w:p>
    <w:p w14:paraId="79AC41E2" w14:textId="4CCA2DB0" w:rsidR="002C41BC" w:rsidRPr="00E02758" w:rsidRDefault="002C41BC" w:rsidP="002C41BC">
      <w:pPr>
        <w:tabs>
          <w:tab w:val="left" w:pos="540"/>
        </w:tabs>
        <w:spacing w:line="360" w:lineRule="auto"/>
        <w:ind w:left="540"/>
        <w:rPr>
          <w:rFonts w:ascii="Helvetica Neue" w:eastAsiaTheme="minorEastAsia" w:hAnsi="Helvetica Neue"/>
        </w:rPr>
      </w:pPr>
      <w:r w:rsidRPr="00E02758">
        <w:rPr>
          <w:rFonts w:ascii="Helvetica Neue" w:eastAsiaTheme="minorEastAsia" w:hAnsi="Helvetica Neue"/>
        </w:rPr>
        <w:t xml:space="preserve">EPT </w:t>
      </w:r>
      <w:r w:rsidR="00022465" w:rsidRPr="00E02758">
        <w:rPr>
          <w:rFonts w:ascii="Helvetica Neue" w:eastAsiaTheme="minorEastAsia" w:hAnsi="Helvetica Neue"/>
        </w:rPr>
        <w:t>Provision</w:t>
      </w:r>
      <w:r w:rsidRPr="00E02758">
        <w:rPr>
          <w:rFonts w:ascii="Helvetica Neue" w:eastAsiaTheme="minorEastAsia" w:hAnsi="Helvetica Neue"/>
        </w:rPr>
        <w:t xml:space="preserve">: </w:t>
      </w:r>
      <m:oMath>
        <m:f>
          <m:fPr>
            <m:ctrlPr>
              <w:rPr>
                <w:rFonts w:ascii="Cambria Math" w:hAnsi="Cambria Math"/>
                <w:i/>
              </w:rPr>
            </m:ctrlPr>
          </m:fPr>
          <m:num>
            <m:r>
              <w:rPr>
                <w:rFonts w:ascii="Cambria Math" w:hAnsi="Cambria Math"/>
              </w:rPr>
              <m:t>Partners receiving EPT medication from a newly diagnosed index patient</m:t>
            </m:r>
          </m:num>
          <m:den>
            <m:r>
              <w:rPr>
                <w:rFonts w:ascii="Cambria Math" w:hAnsi="Cambria Math"/>
              </w:rPr>
              <m:t>Partners of newly diagnosed index patients in the past 60 days</m:t>
            </m:r>
          </m:den>
        </m:f>
      </m:oMath>
    </w:p>
    <w:p w14:paraId="5792FEC9" w14:textId="3E4D2DEB" w:rsidR="007D5177" w:rsidRDefault="00F24A3D" w:rsidP="007D5177">
      <w:pPr>
        <w:spacing w:before="120" w:line="360" w:lineRule="auto"/>
        <w:rPr>
          <w:rFonts w:ascii="Helvetica Neue" w:hAnsi="Helvetica Neue"/>
        </w:rPr>
      </w:pPr>
      <w:r>
        <w:rPr>
          <w:rFonts w:ascii="Helvetica Neue" w:hAnsi="Helvetica Neue"/>
        </w:rPr>
        <w:t xml:space="preserve">All recent sexual partners of a newly diagnosed index patient were eligible to receive medication for the infection with which the index patient was diagnosed (NG or CT). Provision likelihood differed by partnership type (main, casual, or one-time) and, for main or casual partnerships, by whether the relationship was ongoing or had ended. This was intended to address decreased likelihood of being able to provide medication to past partners and less connected partners. </w:t>
      </w:r>
      <w:r w:rsidR="002C41BC" w:rsidRPr="00E02758">
        <w:rPr>
          <w:rFonts w:ascii="Helvetica Neue" w:hAnsi="Helvetica Neue"/>
        </w:rPr>
        <w:t>Set to zero in our reference, no-EPT model, we va</w:t>
      </w:r>
      <w:r>
        <w:rPr>
          <w:rFonts w:ascii="Helvetica Neue" w:hAnsi="Helvetica Neue"/>
        </w:rPr>
        <w:t>ried</w:t>
      </w:r>
      <w:r w:rsidR="002C41BC" w:rsidRPr="00E02758">
        <w:rPr>
          <w:rFonts w:ascii="Helvetica Neue" w:hAnsi="Helvetica Neue"/>
        </w:rPr>
        <w:t xml:space="preserve"> EPT </w:t>
      </w:r>
      <w:r>
        <w:rPr>
          <w:rFonts w:ascii="Helvetica Neue" w:hAnsi="Helvetica Neue"/>
        </w:rPr>
        <w:t>provision</w:t>
      </w:r>
      <w:r w:rsidR="002C41BC" w:rsidRPr="00E02758">
        <w:rPr>
          <w:rFonts w:ascii="Helvetica Neue" w:hAnsi="Helvetica Neue"/>
        </w:rPr>
        <w:t xml:space="preserve"> from </w:t>
      </w:r>
      <w:r>
        <w:rPr>
          <w:rFonts w:ascii="Helvetica Neue" w:hAnsi="Helvetica Neue"/>
        </w:rPr>
        <w:t xml:space="preserve">our baseline levels up to a </w:t>
      </w:r>
      <w:r w:rsidR="00776B50">
        <w:rPr>
          <w:rFonts w:ascii="Helvetica Neue" w:hAnsi="Helvetica Neue"/>
        </w:rPr>
        <w:t>5</w:t>
      </w:r>
      <w:r>
        <w:rPr>
          <w:rFonts w:ascii="Helvetica Neue" w:hAnsi="Helvetica Neue"/>
        </w:rPr>
        <w:t>0% relative increase. In secondary analyses, we also</w:t>
      </w:r>
      <w:r w:rsidR="002C41BC" w:rsidRPr="00E02758">
        <w:rPr>
          <w:rFonts w:ascii="Helvetica Neue" w:hAnsi="Helvetica Neue"/>
        </w:rPr>
        <w:t xml:space="preserve"> explored variations in provision to specific partnership types, such as any index being able to receive medication but only being able to distribute it to certain types of partners.</w:t>
      </w:r>
    </w:p>
    <w:p w14:paraId="5E01C7C9" w14:textId="01072A8C" w:rsidR="0049269F" w:rsidRPr="002C01EA" w:rsidRDefault="007D5177" w:rsidP="007D5177">
      <w:pPr>
        <w:spacing w:before="120" w:line="360" w:lineRule="auto"/>
        <w:rPr>
          <w:rFonts w:ascii="Helvetica Neue" w:hAnsi="Helvetica Neue"/>
          <w:i/>
        </w:rPr>
      </w:pPr>
      <w:r w:rsidRPr="007D5177">
        <w:rPr>
          <w:rFonts w:ascii="Helvetica Neue" w:hAnsi="Helvetica Neue"/>
        </w:rPr>
        <w:t xml:space="preserve">Previous EPT trials and analyses have reported a variety of measures for </w:t>
      </w:r>
      <w:r w:rsidR="00DE4572">
        <w:rPr>
          <w:rFonts w:ascii="Helvetica Neue" w:hAnsi="Helvetica Neue"/>
        </w:rPr>
        <w:t>provision</w:t>
      </w:r>
      <w:r w:rsidRPr="007D5177">
        <w:rPr>
          <w:rFonts w:ascii="Helvetica Neue" w:hAnsi="Helvetica Neue"/>
        </w:rPr>
        <w:t xml:space="preserve"> of medication </w:t>
      </w:r>
      <w:r w:rsidR="00DE4572">
        <w:rPr>
          <w:rFonts w:ascii="Helvetica Neue" w:hAnsi="Helvetica Neue"/>
        </w:rPr>
        <w:t>to</w:t>
      </w:r>
      <w:r w:rsidRPr="007D5177">
        <w:rPr>
          <w:rFonts w:ascii="Helvetica Neue" w:hAnsi="Helvetica Neue"/>
        </w:rPr>
        <w:t xml:space="preserve"> partners</w:t>
      </w:r>
      <w:r w:rsidR="005C638A">
        <w:rPr>
          <w:rFonts w:ascii="Helvetica Neue" w:hAnsi="Helvetica Neue"/>
        </w:rPr>
        <w:t xml:space="preserve">, ranging from simple partner notification to </w:t>
      </w:r>
      <w:r w:rsidR="00EE2002">
        <w:rPr>
          <w:rFonts w:ascii="Helvetica Neue" w:hAnsi="Helvetica Neue"/>
        </w:rPr>
        <w:t xml:space="preserve">number of </w:t>
      </w:r>
      <w:r w:rsidR="005C638A">
        <w:rPr>
          <w:rFonts w:ascii="Helvetica Neue" w:hAnsi="Helvetica Neue"/>
        </w:rPr>
        <w:t>partners provided with medication</w:t>
      </w:r>
      <w:r w:rsidR="002C4F35">
        <w:rPr>
          <w:rFonts w:ascii="Helvetica Neue" w:hAnsi="Helvetica Neue"/>
        </w:rPr>
        <w:t xml:space="preserve">, over </w:t>
      </w:r>
      <w:r w:rsidR="009E3F66">
        <w:rPr>
          <w:rFonts w:ascii="Helvetica Neue" w:hAnsi="Helvetica Neue"/>
        </w:rPr>
        <w:t>several</w:t>
      </w:r>
      <w:r w:rsidR="002C4F35">
        <w:rPr>
          <w:rFonts w:ascii="Helvetica Neue" w:hAnsi="Helvetica Neue"/>
        </w:rPr>
        <w:t xml:space="preserve"> different </w:t>
      </w:r>
      <w:proofErr w:type="spellStart"/>
      <w:r w:rsidR="002C4F35">
        <w:rPr>
          <w:rFonts w:ascii="Helvetica Neue" w:hAnsi="Helvetica Neue"/>
        </w:rPr>
        <w:t>timepoints</w:t>
      </w:r>
      <w:proofErr w:type="spellEnd"/>
      <w:r w:rsidRPr="007D5177">
        <w:rPr>
          <w:rFonts w:ascii="Helvetica Neue" w:hAnsi="Helvetica Neue"/>
        </w:rPr>
        <w:t xml:space="preserve">. </w:t>
      </w:r>
      <w:r w:rsidR="008E76A4">
        <w:rPr>
          <w:rFonts w:ascii="Helvetica Neue" w:hAnsi="Helvetica Neue"/>
        </w:rPr>
        <w:t>These include partnership type-specific results, as well as results from heterosexual men and women and MSM. An Australian trial of partner notification among MSM found that 78% of index MSM contacted partners, resulting in 82.4% of regular partners and only 8.9% of casual partners being contacted.</w:t>
      </w:r>
      <w:r w:rsidR="0049269F" w:rsidRPr="00C113D9">
        <w:rPr>
          <w:rFonts w:ascii="Helvetica Neue" w:hAnsi="Helvetica Neue"/>
          <w:i/>
        </w:rPr>
        <w:fldChar w:fldCharType="begin" w:fldLock="1"/>
      </w:r>
      <w:r w:rsidR="0049269F">
        <w:rPr>
          <w:rFonts w:ascii="Helvetica Neue" w:hAnsi="Helvetica Neue"/>
          <w:i/>
        </w:rPr>
        <w:instrText>ADDIN CSL_CITATION {"citationItems":[{"id":"ITEM-1","itemData":{"DOI":"10.1097/OLQ.0b013e3181d012e0","ISSN":"0148-5717","author":[{"dropping-particle":"","family":"Bilardi","given":"Jade E.","non-dropping-particle":"","parse-names":false,"suffix":""},{"dropping-particle":"","family":"Fairley","given":"Christopher K.","non-dropping-particle":"","parse-names":false,"suffix":""},{"dropping-particle":"","family":"Hopkins","given":"Carol A.","non-dropping-particle":"","parse-names":false,"suffix":""},{"dropping-particle":"","family":"Hocking","given":"Jane S.","non-dropping-particle":"","parse-names":false,"suffix":""},{"dropping-particle":"","family":"Temple-Smith","given":"Meredith J.","non-dropping-particle":"","parse-names":false,"suffix":""},{"dropping-particle":"","family":"Bowden","given":"Francis J.","non-dropping-particle":"","parse-names":false,"suffix":""},{"dropping-particle":"","family":"Russell","given":"Darren B.","non-dropping-particle":"","parse-names":false,"suffix":""},{"dropping-particle":"","family":"Pitts","given":"Marian","non-dropping-particle":"","parse-names":false,"suffix":""},{"dropping-particle":"","family":"Tomnay","given":"Jane E.","non-dropping-particle":"","parse-names":false,"suffix":""},{"dropping-particle":"","family":"Parker","given":"Rhian M.","non-dropping-particle":"","parse-names":false,"suffix":""},{"dropping-particle":"","family":"Pavlin","given":"Natasha L.","non-dropping-particle":"","parse-names":false,"suffix":""},{"dropping-particle":"","family":"Chen","given":"Marcus Y.","non-dropping-particle":"","parse-names":false,"suffix":""}],"container-title":"Sexually Transmitted Diseases","id":"ITEM-1","issue":"4","issued":{"date-parts":[["2010","2"]]},"page":"253-258","title":"Experiences and Outcomes of Partner Notification Among Men and Women Recently Diagnosed With Chlamydia and Their Views on Innovative Resources Aimed at Improving Notification Rates","type":"article-journal","volume":"37"},"uris":["http://www.mendeley.com/documents/?uuid=525d117c-b9fb-3e49-891b-ffe2c1654cd3"]}],"mendeley":{"formattedCitation":"&lt;sup&gt;117&lt;/sup&gt;","plainTextFormattedCitation":"117","previouslyFormattedCitation":"&lt;sup&gt;117&lt;/sup&gt;"},"properties":{"noteIndex":0},"schema":"https://github.com/citation-style-language/schema/raw/master/csl-citation.json"}</w:instrText>
      </w:r>
      <w:r w:rsidR="0049269F" w:rsidRPr="00C113D9">
        <w:rPr>
          <w:rFonts w:ascii="Helvetica Neue" w:hAnsi="Helvetica Neue"/>
          <w:i/>
        </w:rPr>
        <w:fldChar w:fldCharType="separate"/>
      </w:r>
      <w:r w:rsidR="0049269F" w:rsidRPr="0070415A">
        <w:rPr>
          <w:rFonts w:ascii="Helvetica Neue" w:hAnsi="Helvetica Neue"/>
          <w:noProof/>
          <w:vertAlign w:val="superscript"/>
        </w:rPr>
        <w:t>117</w:t>
      </w:r>
      <w:r w:rsidR="0049269F" w:rsidRPr="00C113D9">
        <w:rPr>
          <w:rFonts w:ascii="Helvetica Neue" w:hAnsi="Helvetica Neue"/>
          <w:i/>
        </w:rPr>
        <w:fldChar w:fldCharType="end"/>
      </w:r>
    </w:p>
    <w:p w14:paraId="50070522" w14:textId="48DD739F" w:rsidR="00773534" w:rsidRDefault="006E52F3" w:rsidP="00FA48EC">
      <w:pPr>
        <w:spacing w:before="120" w:line="360" w:lineRule="auto"/>
        <w:rPr>
          <w:rFonts w:ascii="Helvetica Neue" w:hAnsi="Helvetica Neue"/>
          <w:i/>
        </w:rPr>
      </w:pPr>
      <w:r>
        <w:rPr>
          <w:rFonts w:ascii="Helvetica Neue" w:hAnsi="Helvetica Neue"/>
        </w:rPr>
        <w:t xml:space="preserve">In a </w:t>
      </w:r>
      <w:r w:rsidR="00A21729">
        <w:rPr>
          <w:rFonts w:ascii="Helvetica Neue" w:hAnsi="Helvetica Neue"/>
        </w:rPr>
        <w:t xml:space="preserve">multicenter </w:t>
      </w:r>
      <w:r>
        <w:rPr>
          <w:rFonts w:ascii="Helvetica Neue" w:hAnsi="Helvetica Neue"/>
        </w:rPr>
        <w:t>trial of women</w:t>
      </w:r>
      <w:r w:rsidR="00A21729">
        <w:rPr>
          <w:rFonts w:ascii="Helvetica Neue" w:hAnsi="Helvetica Neue"/>
        </w:rPr>
        <w:t xml:space="preserve"> diagnosed with chlamydia</w:t>
      </w:r>
      <w:r>
        <w:rPr>
          <w:rFonts w:ascii="Helvetica Neue" w:hAnsi="Helvetica Neue"/>
        </w:rPr>
        <w:t xml:space="preserve">, </w:t>
      </w:r>
      <w:r w:rsidR="00A21729">
        <w:rPr>
          <w:rFonts w:ascii="Helvetica Neue" w:hAnsi="Helvetica Neue"/>
        </w:rPr>
        <w:t xml:space="preserve">85% </w:t>
      </w:r>
      <w:r w:rsidR="00846EED">
        <w:rPr>
          <w:rFonts w:ascii="Helvetica Neue" w:hAnsi="Helvetica Neue"/>
        </w:rPr>
        <w:t>of women with one partner gave that partner PDPT and/or a referral sheet</w:t>
      </w:r>
      <w:r w:rsidR="000439A9">
        <w:rPr>
          <w:rFonts w:ascii="Helvetica Neue" w:hAnsi="Helvetica Neue"/>
        </w:rPr>
        <w:t>.</w:t>
      </w:r>
      <w:r w:rsidR="00325CFA" w:rsidRPr="006E52F3">
        <w:rPr>
          <w:rFonts w:ascii="Helvetica Neue" w:hAnsi="Helvetica Neue"/>
          <w:i/>
        </w:rPr>
        <w:fldChar w:fldCharType="begin" w:fldLock="1"/>
      </w:r>
      <w:r w:rsidR="00665BF2" w:rsidRPr="006E52F3">
        <w:rPr>
          <w:rFonts w:ascii="Helvetica Neue" w:hAnsi="Helvetica Neue"/>
          <w:i/>
        </w:rPr>
        <w:instrText>ADDIN CSL_CITATION {"citationItems":[{"id":"ITEM-1","itemData":{"ISSN":"0148-5717","PMID":"12514443","abstract":"BACKGROUND Repeated infection with C trachomatis increases the risk for serious sequelae: pelvic inflammatory disease, ectopic pregnancy, infertility, and chronic pelvic pain. A substantial proportion of women treated for C trachomatis infection are reinfected by an untreated male sex partner in the first several months after treatment. Effective strategies to ensure partner treatment are needed. GOAL The goal of the study was to determine whether repeated infections with C trachomatis can be reduced by giving women doses of azithromycin to deliver to male sex partners. STUDY DESIGN A multicenter randomized controlled trial was conducted among 1,787 women aged 14 to 34 years with uncomplicated C trachomatis genital infection diagnosed at family planning, adolescent, sexually transmitted disease, and primary care clinics or emergency or other hospital departments in five US cities. Women treated for infection were randomized to one of two groups: patient-delivered partner treatment (in which they were given a dose of azithromycin to deliver to each sex partner) or self-referral (in which they were asked to refer their sex partners for treatment). The main outcome measure was C trachomatis DNA detected by urine ligase chain reaction (LCR) or polymerase chain reaction (PCR) by 4 months after treatment. RESULTS The characteristics of study participants enrolled in each arm were similar except for a small difference in the age distribution. Risk of reinfection was 20% lower among women in the patient-delivered partner treatment arm (87/728; 12%) than among those in the self-referral arm (106/726; 15%); however, this difference was not statistically significant (odds ratio, 0.80; 95% confidence interval, 0.62-1.05; = 0.102). Women in the patient-delivered partner treatment arm reported high compliance with the intervention (82%). CONCLUSION Patient-delivered partner treatment for prevention of repeated infection among women is comparable to self-referral and may be an appropriate option for some patients.","author":[{"dropping-particle":"","family":"Schillinger","given":"Julia A","non-dropping-particle":"","parse-names":false,"suffix":""},{"dropping-particle":"","family":"Kissinger","given":"Patricia","non-dropping-particle":"","parse-names":false,"suffix":""},{"dropping-particle":"","family":"Calvet","given":"Helene","non-dropping-particle":"","parse-names":false,"suffix":""},{"dropping-particle":"","family":"Whittington","given":"William L H","non-dropping-particle":"","parse-names":false,"suffix":""},{"dropping-particle":"","family":"Ransom","given":"Ray L","non-dropping-particle":"","parse-names":false,"suffix":""},{"dropping-particle":"","family":"Sternberg","given":"Maya R","non-dropping-particle":"","parse-names":false,"suffix":""},{"dropping-particle":"","family":"Berman","given":"Stuart M","non-dropping-particle":"","parse-names":false,"suffix":""},{"dropping-particle":"","family":"Kent","given":"Charlotte K","non-dropping-particle":"","parse-names":false,"suffix":""},{"dropping-particle":"","family":"Martin","given":"David H","non-dropping-particle":"","parse-names":false,"suffix":""},{"dropping-particle":"","family":"Oh","given":"M Kim","non-dropping-particle":"","parse-names":false,"suffix":""},{"dropping-particle":"","family":"Handsfield","given":"H Hunter","non-dropping-particle":"","parse-names":false,"suffix":""},{"dropping-particle":"","family":"Bolan","given":"Gail","non-dropping-particle":"","parse-names":false,"suffix":""},{"dropping-particle":"","family":"Markowitz","given":"Lauri E","non-dropping-particle":"","parse-names":false,"suffix":""},{"dropping-particle":"","family":"Fortenberry","given":"J Dennis","non-dropping-particle":"","parse-names":false,"suffix":""}],"container-title":"Sexually transmitted diseases","id":"ITEM-1","issue":"1","issued":{"date-parts":[["2003","1"]]},"page":"49-56","title":"Patient-delivered partner treatment with azithromycin to prevent repeated Chlamydia trachomatis infection among women: a randomized, controlled trial.","type":"article-journal","volume":"30"},"uris":["http://www.mendeley.com/documents/?uuid=f58252bd-f218-3352-a25b-3845142f368b"]}],"mendeley":{"formattedCitation":"&lt;sup&gt;118&lt;/sup&gt;","plainTextFormattedCitation":"118","previouslyFormattedCitation":"&lt;sup&gt;118&lt;/sup&gt;"},"properties":{"noteIndex":0},"schema":"https://github.com/citation-style-language/schema/raw/master/csl-citation.json"}</w:instrText>
      </w:r>
      <w:r w:rsidR="00325CFA" w:rsidRPr="006E52F3">
        <w:rPr>
          <w:rFonts w:ascii="Helvetica Neue" w:hAnsi="Helvetica Neue"/>
          <w:i/>
        </w:rPr>
        <w:fldChar w:fldCharType="separate"/>
      </w:r>
      <w:r w:rsidR="00A21729" w:rsidRPr="00A21729">
        <w:rPr>
          <w:rFonts w:ascii="Helvetica Neue" w:hAnsi="Helvetica Neue"/>
          <w:noProof/>
          <w:vertAlign w:val="superscript"/>
        </w:rPr>
        <w:t>118</w:t>
      </w:r>
      <w:r w:rsidR="00325CFA" w:rsidRPr="006E52F3">
        <w:rPr>
          <w:rFonts w:ascii="Helvetica Neue" w:hAnsi="Helvetica Neue"/>
          <w:i/>
        </w:rPr>
        <w:fldChar w:fldCharType="end"/>
      </w:r>
      <w:r w:rsidR="00392451">
        <w:rPr>
          <w:rFonts w:ascii="Helvetica Neue" w:hAnsi="Helvetica Neue"/>
          <w:i/>
        </w:rPr>
        <w:t xml:space="preserve"> </w:t>
      </w:r>
      <w:r w:rsidR="00556AC0">
        <w:rPr>
          <w:rFonts w:ascii="Helvetica Neue" w:hAnsi="Helvetica Neue"/>
        </w:rPr>
        <w:t xml:space="preserve">A small trial of Scottish women diagnosed </w:t>
      </w:r>
      <w:r w:rsidR="00556AC0">
        <w:rPr>
          <w:rFonts w:ascii="Helvetica Neue" w:hAnsi="Helvetica Neue"/>
        </w:rPr>
        <w:lastRenderedPageBreak/>
        <w:t xml:space="preserve">with chlamydia found that 94% of women receiving </w:t>
      </w:r>
      <w:r w:rsidR="00E9072B">
        <w:rPr>
          <w:rFonts w:ascii="Helvetica Neue" w:hAnsi="Helvetica Neue"/>
        </w:rPr>
        <w:t>PDPT reported contacting all partners and the additional 6% contacted some (mean = 1.3 partners).</w:t>
      </w:r>
      <w:r w:rsidR="00E9072B">
        <w:rPr>
          <w:rFonts w:ascii="Helvetica Neue" w:hAnsi="Helvetica Neue"/>
          <w:i/>
        </w:rPr>
        <w:fldChar w:fldCharType="begin" w:fldLock="1"/>
      </w:r>
      <w:r w:rsidR="00A73BC2">
        <w:rPr>
          <w:rFonts w:ascii="Helvetica Neue" w:hAnsi="Helvetica Neue"/>
          <w:i/>
        </w:rPr>
        <w:instrText>ADDIN CSL_CITATION {"citationItems":[{"id":"ITEM-1","itemData":{"DOI":"10.1093/humrep/den475","PMID":"19136481","abstract":"BACKGROUND The aim of this study was to determine whether postal testing kits (PTKs) or patient-delivered partner therapy (PDPT) for partners of women with Chlamydia trachomatis reduce re-infection rates in women, compared with partner notification by patient referral. METHODS Three hundred and thirty women testing positive for chlamydia, at clinics for genitourinary medicine, family planning and termination of pregnancy in Edinburgh, were randomized to one of three partner interventions: patient referral, PTK (partners post urine for testing) or PDPT (1 g azithromycin for partners). Women submitted urine for chlamydia testing every 3 months. The primary outcome was re-infection assessed as time to first positive result by the Cox proportional hazard regression. The proportion of partners tested or treated with each intervention was determined. RESULTS Out of 330 women, 215 (65%) were retested over 12 months. There were 32 of 215 women (15%) who retested positive (7, 15 and 10 women from the patient referral, PTK and PDPT groups, respectively). There was no significant difference in re-infection between PDPT versus patient referral (HR 1.32, 95% CI 0.50-3.56), PTK versus patient referral (HR 2.35, 95% CI 0.94-5.88) or PDPT versus PTK (HR 0.55, 95% CI 0.24-1.24). There was no significant difference in the proportion of partners confirmed tested/treated between the patient referral (34%) and PTK (41%, P = 0.32) or PDPT (42%, P = 0.28) groups. CONCLUSIONS PTK and PDPT do not reduce re-infection rates in women with chlamydia compared with patient referral. However, PDPT may offer other advantages such as simplicity and cost compared with patient referral.","author":[{"dropping-particle":"","family":"Cameron","given":"S T","non-dropping-particle":"","parse-names":false,"suffix":""},{"dropping-particle":"","family":"Glasier","given":"A","non-dropping-particle":"","parse-names":false,"suffix":""},{"dropping-particle":"","family":"Scott","given":"G","non-dropping-particle":"","parse-names":false,"suffix":""},{"dropping-particle":"","family":"Young","given":"H","non-dropping-particle":"","parse-names":false,"suffix":""},{"dropping-particle":"","family":"Melvin","given":"L","non-dropping-particle":"","parse-names":false,"suffix":""},{"dropping-particle":"","family":"Johnstone","given":"A","non-dropping-particle":"","parse-names":false,"suffix":""},{"dropping-particle":"","family":"Elton","given":"R","non-dropping-particle":"","parse-names":false,"suffix":""}],"container-title":"Human reproduction","id":"ITEM-1","issue":"4","issued":{"date-parts":[["2009","4"]]},"page":"888-95","title":"Novel interventions to reduce re-infection in women with chlamydia: a randomized controlled trial.","type":"article-journal","volume":"24"},"uris":["http://www.mendeley.com/documents/?uuid=e116f172-857a-3bb3-ae82-83b71869322e"]}],"mendeley":{"formattedCitation":"&lt;sup&gt;119&lt;/sup&gt;","plainTextFormattedCitation":"119","previouslyFormattedCitation":"&lt;sup&gt;119&lt;/sup&gt;"},"properties":{"noteIndex":0},"schema":"https://github.com/citation-style-language/schema/raw/master/csl-citation.json"}</w:instrText>
      </w:r>
      <w:r w:rsidR="00E9072B">
        <w:rPr>
          <w:rFonts w:ascii="Helvetica Neue" w:hAnsi="Helvetica Neue"/>
          <w:i/>
        </w:rPr>
        <w:fldChar w:fldCharType="separate"/>
      </w:r>
      <w:r w:rsidR="00A73BC2" w:rsidRPr="00A73BC2">
        <w:rPr>
          <w:rFonts w:ascii="Helvetica Neue" w:hAnsi="Helvetica Neue"/>
          <w:noProof/>
          <w:vertAlign w:val="superscript"/>
        </w:rPr>
        <w:t>119</w:t>
      </w:r>
      <w:r w:rsidR="00E9072B">
        <w:rPr>
          <w:rFonts w:ascii="Helvetica Neue" w:hAnsi="Helvetica Neue"/>
          <w:i/>
        </w:rPr>
        <w:fldChar w:fldCharType="end"/>
      </w:r>
      <w:r w:rsidR="00E9072B">
        <w:rPr>
          <w:rFonts w:ascii="Helvetica Neue" w:hAnsi="Helvetica Neue"/>
        </w:rPr>
        <w:t xml:space="preserve"> </w:t>
      </w:r>
      <w:r w:rsidR="00586341">
        <w:rPr>
          <w:rFonts w:ascii="Helvetica Neue" w:hAnsi="Helvetica Neue"/>
          <w:color w:val="000000"/>
        </w:rPr>
        <w:t>In a mid-2000s trial in Washington state, 71% of EPT patients agreed to give medication to at least one partner, with 93% (NG) and 90% (CT) of those patients actually obtaining medication for their partners.</w:t>
      </w:r>
      <w:r w:rsidR="00D51CE0" w:rsidRPr="00586341">
        <w:rPr>
          <w:rFonts w:ascii="Helvetica Neue" w:hAnsi="Helvetica Neue"/>
          <w:i/>
          <w:color w:val="000000"/>
        </w:rPr>
        <w:fldChar w:fldCharType="begin" w:fldLock="1"/>
      </w:r>
      <w:r w:rsidR="00A73BC2">
        <w:rPr>
          <w:rFonts w:ascii="Helvetica Neue" w:hAnsi="Helvetica Neue"/>
          <w:i/>
          <w:color w:val="000000"/>
        </w:rPr>
        <w:instrText>ADDIN CSL_CITATION {"citationItems":[{"id":"ITEM-1","itemData":{"DOI":"10.1056/NEJMoa041681","ISSN":"0028-4793","abstract":"Background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mendeley":{"formattedCitation":"&lt;sup&gt;120&lt;/sup&gt;","plainTextFormattedCitation":"120","previouslyFormattedCitation":"&lt;sup&gt;120&lt;/sup&gt;"},"properties":{"noteIndex":0},"schema":"https://github.com/citation-style-language/schema/raw/master/csl-citation.json"}</w:instrText>
      </w:r>
      <w:r w:rsidR="00D51CE0" w:rsidRPr="00586341">
        <w:rPr>
          <w:rFonts w:ascii="Helvetica Neue" w:hAnsi="Helvetica Neue"/>
          <w:i/>
          <w:color w:val="000000"/>
        </w:rPr>
        <w:fldChar w:fldCharType="separate"/>
      </w:r>
      <w:r w:rsidR="00A73BC2" w:rsidRPr="00A73BC2">
        <w:rPr>
          <w:rFonts w:ascii="Helvetica Neue" w:hAnsi="Helvetica Neue"/>
          <w:noProof/>
          <w:color w:val="000000"/>
          <w:vertAlign w:val="superscript"/>
        </w:rPr>
        <w:t>120</w:t>
      </w:r>
      <w:r w:rsidR="00D51CE0" w:rsidRPr="00586341">
        <w:rPr>
          <w:rFonts w:ascii="Helvetica Neue" w:hAnsi="Helvetica Neue"/>
          <w:i/>
          <w:color w:val="000000"/>
        </w:rPr>
        <w:fldChar w:fldCharType="end"/>
      </w:r>
      <w:r w:rsidR="004961A9">
        <w:rPr>
          <w:rFonts w:ascii="Helvetica Neue" w:hAnsi="Helvetica Neue"/>
          <w:color w:val="000000"/>
        </w:rPr>
        <w:t xml:space="preserve"> In the more recent statewide community-level trial, 92.6% of patients reported giving a PDPT pack to at least one sex partner.</w:t>
      </w:r>
      <w:r w:rsidR="004961A9">
        <w:rPr>
          <w:rFonts w:ascii="Helvetica Neue" w:hAnsi="Helvetica Neue"/>
          <w:i/>
        </w:rPr>
        <w:fldChar w:fldCharType="begin" w:fldLock="1"/>
      </w:r>
      <w:r w:rsidR="004961A9">
        <w:rPr>
          <w:rFonts w:ascii="Helvetica Neue" w:hAnsi="Helvetica Neue"/>
          <w:i/>
        </w:rPr>
        <w:instrText>ADDIN CSL_CITATION {"citationItems":[{"id":"ITEM-1","itemData":{"DOI":"10.1371/journal.pmed.1001777","ISSN":"1549-1676","PMID":"25590331","abstract":"BACKGROUND Expedited partner therapy (EPT), the practice of treating the sex partners of persons with sexually transmitted infections without their medical evaluation, increases partner treatment and decreases gonorrhea and chlamydia reinfection rates. We conducted a stepped-wedge, community-level randomized trial to determine whether a public health intervention promoting EPT could increase its use and decrease chlamydia test positivity and gonorrhea incidence in women. METHODS AND FINDINGS The trial randomly assigned local health jurisdictions (LHJs) in Washington State, US, into four study waves. Waves instituted the intervention in randomly assigned order at intervals of 6-8 mo. Of the state's 25 LHJs, 24 were eligible and 23 participated. Heterosexual individuals with gonorrhea or chlamydial infection were eligible for the intervention. The study made free patient-delivered partner therapy (PDPT) available to clinicians, and provided public health partner services based on clinician referral. The main study outcomes were chlamydia test positivity among women ages 14-25 y in 219 sentinel clinics, and incidence of reported gonorrhea in women, both measured at the community level. Receipt of PDPT from clinicians was evaluated among randomly selected patients. 23 and 22 LHJs provided data on gonorrhea and chlamydia outcomes, respectively. The intervention increased the percentage of persons receiving PDPT from clinicians (from 18% to 34%, p &lt; 0.001) and the percentage receiving partner services (from 25% to 45%, p &lt; 0.001). Chlamydia test positivity and gonorrhea incidence in women decreased over the study period, from 8.2% to 6.5% and from 59.6 to 26.4 per 100,000, respectively. After adjusting for temporal trends, the intervention was associated with an approximately 10% reduction in both chlamydia positivity and gonorrhea incidence, though the confidence bounds on these outcomes both crossed one (chlamydia positivity prevalence ratio = 0.89, 95% CI 0.77-1.04, p = 0.15; gonorrhea incidence rate ratio = 0.91, 95% CI .71-1.16, p = 0.45). Study findings were potentially limited by inadequate statistical power, by the institution of some aspects of the study intervention outside of the research randomization sequence, and by the fact that LHJs did not constitute truly isolated sexual networks. CONCLUSIONS A public health intervention promoting the use of free PDPT substantially increased its use and may have resulted in decreased chlamydial and gonococca…","author":[{"dropping-particle":"","family":"Golden","given":"Matthew R","non-dropping-particle":"","parse-names":false,"suffix":""},{"dropping-particle":"","family":"Kerani","given":"Roxanne P","non-dropping-particle":"","parse-names":false,"suffix":""},{"dropping-particle":"","family":"Stenger","given":"Mark","non-dropping-particle":"","parse-names":false,"suffix":""},{"dropping-particle":"","family":"Hughes","given":"James P","non-dropping-particle":"","parse-names":false,"suffix":""},{"dropping-particle":"","family":"Aubin","given":"Mark","non-dropping-particle":"","parse-names":false,"suffix":""},{"dropping-particle":"","family":"Malinski","given":"Cheryl","non-dropping-particle":"","parse-names":false,"suffix":""},{"dropping-particle":"","family":"Holmes","given":"King K","non-dropping-particle":"","parse-names":false,"suffix":""}],"container-title":"PLoS medicine","id":"ITEM-1","issue":"1","issued":{"date-parts":[["2015","1"]]},"page":"e1001777","publisher":"Public Library of Science","title":"Uptake and population-level impact of expedited partner therapy (EPT) on Chlamydia trachomatis and Neisseria gonorrhoeae: the Washington State community-level randomized trial of EPT.","type":"article-journal","volume":"12"},"uris":["http://www.mendeley.com/documents/?uuid=b91bcd4b-f724-3e38-874b-18d67af8b11b"]}],"mendeley":{"formattedCitation":"&lt;sup&gt;114&lt;/sup&gt;","plainTextFormattedCitation":"114","previouslyFormattedCitation":"&lt;sup&gt;114&lt;/sup&gt;"},"properties":{"noteIndex":0},"schema":"https://github.com/citation-style-language/schema/raw/master/csl-citation.json"}</w:instrText>
      </w:r>
      <w:r w:rsidR="004961A9">
        <w:rPr>
          <w:rFonts w:ascii="Helvetica Neue" w:hAnsi="Helvetica Neue"/>
          <w:i/>
        </w:rPr>
        <w:fldChar w:fldCharType="separate"/>
      </w:r>
      <w:r w:rsidR="004961A9" w:rsidRPr="007D5177">
        <w:rPr>
          <w:rFonts w:ascii="Helvetica Neue" w:hAnsi="Helvetica Neue"/>
          <w:noProof/>
          <w:vertAlign w:val="superscript"/>
        </w:rPr>
        <w:t>114</w:t>
      </w:r>
      <w:r w:rsidR="004961A9">
        <w:rPr>
          <w:rFonts w:ascii="Helvetica Neue" w:hAnsi="Helvetica Neue"/>
          <w:i/>
        </w:rPr>
        <w:fldChar w:fldCharType="end"/>
      </w:r>
      <w:r w:rsidR="00FA48EC">
        <w:rPr>
          <w:rFonts w:ascii="Helvetica Neue" w:hAnsi="Helvetica Neue"/>
          <w:i/>
        </w:rPr>
        <w:t xml:space="preserve"> </w:t>
      </w:r>
      <w:r w:rsidR="00CB00CA">
        <w:rPr>
          <w:rFonts w:ascii="Helvetica Neue" w:hAnsi="Helvetica Neue"/>
          <w:color w:val="000000"/>
        </w:rPr>
        <w:t>In a small trial among MSM, index patients receiving PDPT notified an average of 3.37 partners (95% CI: 2.72 – 4.17), compared to 2.70 partners in the no PDPT arm.</w:t>
      </w:r>
      <w:r w:rsidR="006F4E16" w:rsidRPr="0058503A">
        <w:rPr>
          <w:rFonts w:ascii="Helvetica Neue" w:hAnsi="Helvetica Neue"/>
          <w:i/>
        </w:rPr>
        <w:fldChar w:fldCharType="begin" w:fldLock="1"/>
      </w:r>
      <w:r w:rsidRPr="0058503A">
        <w:rPr>
          <w:rFonts w:ascii="Helvetica Neue" w:hAnsi="Helvetica Neue"/>
          <w:i/>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mendeley":{"formattedCitation":"&lt;sup&gt;109&lt;/sup&gt;","plainTextFormattedCitation":"109","previouslyFormattedCitation":"&lt;sup&gt;109&lt;/sup&gt;"},"properties":{"noteIndex":0},"schema":"https://github.com/citation-style-language/schema/raw/master/csl-citation.json"}</w:instrText>
      </w:r>
      <w:r w:rsidR="006F4E16" w:rsidRPr="0058503A">
        <w:rPr>
          <w:rFonts w:ascii="Helvetica Neue" w:hAnsi="Helvetica Neue"/>
          <w:i/>
        </w:rPr>
        <w:fldChar w:fldCharType="separate"/>
      </w:r>
      <w:r w:rsidR="007D5177" w:rsidRPr="0058503A">
        <w:rPr>
          <w:rFonts w:ascii="Helvetica Neue" w:hAnsi="Helvetica Neue"/>
          <w:noProof/>
          <w:vertAlign w:val="superscript"/>
        </w:rPr>
        <w:t>109</w:t>
      </w:r>
      <w:r w:rsidR="006F4E16" w:rsidRPr="0058503A">
        <w:rPr>
          <w:rFonts w:ascii="Helvetica Neue" w:hAnsi="Helvetica Neue"/>
          <w:i/>
        </w:rPr>
        <w:fldChar w:fldCharType="end"/>
      </w:r>
      <w:r w:rsidR="00C35E5A">
        <w:rPr>
          <w:rFonts w:ascii="Helvetica Neue" w:hAnsi="Helvetica Neue"/>
          <w:i/>
        </w:rPr>
        <w:t xml:space="preserve"> </w:t>
      </w:r>
      <w:r w:rsidR="00773534">
        <w:rPr>
          <w:rFonts w:ascii="Helvetica Neue" w:hAnsi="Helvetica Neue"/>
        </w:rPr>
        <w:t>A secondary analysis of</w:t>
      </w:r>
      <w:r w:rsidR="00567098">
        <w:rPr>
          <w:rFonts w:ascii="Helvetica Neue" w:hAnsi="Helvetica Neue"/>
        </w:rPr>
        <w:t xml:space="preserve"> </w:t>
      </w:r>
      <w:r w:rsidR="005C638A">
        <w:rPr>
          <w:rFonts w:ascii="Helvetica Neue" w:hAnsi="Helvetica Neue"/>
        </w:rPr>
        <w:t xml:space="preserve">PDPT trial data for male urethritis and female </w:t>
      </w:r>
      <w:proofErr w:type="spellStart"/>
      <w:r w:rsidR="005C638A">
        <w:rPr>
          <w:rFonts w:ascii="Helvetica Neue" w:hAnsi="Helvetica Neue"/>
        </w:rPr>
        <w:t>trichomoniasis</w:t>
      </w:r>
      <w:proofErr w:type="spellEnd"/>
      <w:r w:rsidR="005C638A">
        <w:rPr>
          <w:rFonts w:ascii="Helvetica Neue" w:hAnsi="Helvetica Neue"/>
        </w:rPr>
        <w:t xml:space="preserve"> found that 70.6% of men disclosed a potential </w:t>
      </w:r>
      <w:r w:rsidR="00A828EF">
        <w:rPr>
          <w:rFonts w:ascii="Helvetica Neue" w:hAnsi="Helvetica Neue"/>
        </w:rPr>
        <w:t xml:space="preserve">STD </w:t>
      </w:r>
      <w:r w:rsidR="005C638A">
        <w:rPr>
          <w:rFonts w:ascii="Helvetica Neue" w:hAnsi="Helvetica Neue"/>
        </w:rPr>
        <w:t>exposure</w:t>
      </w:r>
      <w:r w:rsidR="00A828EF">
        <w:rPr>
          <w:rFonts w:ascii="Helvetica Neue" w:hAnsi="Helvetica Neue"/>
        </w:rPr>
        <w:t xml:space="preserve"> to partners, compared to 49.1% in the partner referral arm, and 90.3% of women disclosed a potential STD exposure to partners, compared to 87.8% in the partner referral arm.</w:t>
      </w:r>
      <w:r w:rsidR="00A828EF">
        <w:rPr>
          <w:rFonts w:ascii="Helvetica Neue" w:hAnsi="Helvetica Neue"/>
          <w:i/>
        </w:rPr>
        <w:fldChar w:fldCharType="begin" w:fldLock="1"/>
      </w:r>
      <w:r w:rsidR="00291558">
        <w:rPr>
          <w:rFonts w:ascii="Helvetica Neue" w:hAnsi="Helvetica Neue"/>
          <w:i/>
        </w:rPr>
        <w:instrText>ADDIN CSL_CITATION {"citationItems":[{"id":"ITEM-1","itemData":{"DOI":"10.1089/apc.2009.0237","ISSN":"1087-2914","abstract":"Abstract The objective of this research was to determine the factors associated with disclosure of three treatable sexually transmitted diseases (STDs). Data were obtained from two intervention trials to determine the ideal means of partner referral. Men diagnosed with urethritis and women diagnosed with trichomoniasis at public clinics in New Orleans, Louisiana were randomly assigned to partner referral (PR), booklet-enhanced partner referral (BEPR), or patient-delivered partner treatment (PDPT). Participants were asked about sex partners at baseline, then whether they disclosed to them at follow-up. The male trial was conducted from December 2001 to March 2004 and the female trial from December 2001 to August 2004. Data on men and women were analyzed separately. Nine hundred seventy-seven men and 463 women—reporting information on 1991 and 521 sex partners—were respectively enrolled in each trial. Disclosure occurred to 57.8% and 87.3% of their partners, respectively. Most men (68.3%) reported having tw...","author":[{"dropping-particle":"","family":"Mohammed","given":"Hamish","non-dropping-particle":"","parse-names":false,"suffix":""},{"dropping-particle":"","family":"Leichliter","given":"Jami S.","non-dropping-particle":"","parse-names":false,"suffix":""},{"dropping-particle":"","family":"Schmidt","given":"Norine","non-dropping-particle":"","parse-names":false,"suffix":""},{"dropping-particle":"","family":"Farley","given":"Thomas A.","non-dropping-particle":"","parse-names":false,"suffix":""},{"dropping-particle":"","family":"Kissinger","given":"Patricia","non-dropping-particle":"","parse-names":false,"suffix":""}],"container-title":"AIDS Patient Care and STDs","id":"ITEM-1","issue":"3","issued":{"date-parts":[["2010","3"]]},"page":"183-188","publisher":" Mary Ann Liebert, Inc.  140 Huguenot Street, 3rd Floor New Rochelle, NY 10801 USA  ","title":"Does Patient-Delivered Partner Treatment Improve Disclosure for Treatable Sexually Transmitted Diseases?","type":"article-journal","volume":"24"},"uris":["http://www.mendeley.com/documents/?uuid=3746f5cc-df99-3653-b837-cab330fe941b"]}],"mendeley":{"formattedCitation":"&lt;sup&gt;121&lt;/sup&gt;","plainTextFormattedCitation":"121","previouslyFormattedCitation":"&lt;sup&gt;121&lt;/sup&gt;"},"properties":{"noteIndex":0},"schema":"https://github.com/citation-style-language/schema/raw/master/csl-citation.json"}</w:instrText>
      </w:r>
      <w:r w:rsidR="00A828EF">
        <w:rPr>
          <w:rFonts w:ascii="Helvetica Neue" w:hAnsi="Helvetica Neue"/>
          <w:i/>
        </w:rPr>
        <w:fldChar w:fldCharType="separate"/>
      </w:r>
      <w:r w:rsidR="00D429F0" w:rsidRPr="00D429F0">
        <w:rPr>
          <w:rFonts w:ascii="Helvetica Neue" w:hAnsi="Helvetica Neue"/>
          <w:noProof/>
          <w:vertAlign w:val="superscript"/>
        </w:rPr>
        <w:t>121</w:t>
      </w:r>
      <w:r w:rsidR="00A828EF">
        <w:rPr>
          <w:rFonts w:ascii="Helvetica Neue" w:hAnsi="Helvetica Neue"/>
          <w:i/>
        </w:rPr>
        <w:fldChar w:fldCharType="end"/>
      </w:r>
    </w:p>
    <w:p w14:paraId="503B3F79" w14:textId="493EF28B" w:rsidR="002226B4" w:rsidRPr="003F52E1" w:rsidRDefault="00A44E82" w:rsidP="003F52E1">
      <w:pPr>
        <w:spacing w:before="120" w:line="360" w:lineRule="auto"/>
        <w:rPr>
          <w:rFonts w:ascii="Helvetica Neue" w:hAnsi="Helvetica Neue"/>
          <w:i/>
        </w:rPr>
      </w:pPr>
      <w:r>
        <w:rPr>
          <w:rFonts w:ascii="Helvetica Neue" w:hAnsi="Helvetica Neue"/>
        </w:rPr>
        <w:t>A recent</w:t>
      </w:r>
      <w:r w:rsidR="002C4F35">
        <w:rPr>
          <w:rFonts w:ascii="Helvetica Neue" w:hAnsi="Helvetica Neue"/>
        </w:rPr>
        <w:t xml:space="preserve"> trial of EPT for Peruvian MSM evaluated measures </w:t>
      </w:r>
      <w:r w:rsidR="00BC4695">
        <w:rPr>
          <w:rFonts w:ascii="Helvetica Neue" w:hAnsi="Helvetica Neue"/>
        </w:rPr>
        <w:t xml:space="preserve">over a 14-day time period. </w:t>
      </w:r>
      <w:r w:rsidR="0003451A">
        <w:rPr>
          <w:rFonts w:ascii="Helvetica Neue" w:hAnsi="Helvetica Neue"/>
        </w:rPr>
        <w:t xml:space="preserve">Across PDPT and control arms, </w:t>
      </w:r>
      <w:r w:rsidR="00D72ED8">
        <w:rPr>
          <w:rFonts w:ascii="Helvetica Neue" w:hAnsi="Helvetica Neue"/>
        </w:rPr>
        <w:t>n</w:t>
      </w:r>
      <w:r w:rsidR="00BC4695">
        <w:rPr>
          <w:rFonts w:ascii="Helvetica Neue" w:hAnsi="Helvetica Neue"/>
        </w:rPr>
        <w:t xml:space="preserve">otification of at least one partner in 2 weeks </w:t>
      </w:r>
      <w:r w:rsidR="008744A9">
        <w:rPr>
          <w:rFonts w:ascii="Helvetica Neue" w:hAnsi="Helvetica Neue"/>
        </w:rPr>
        <w:t>was 71.6% (111/155), with a median of 1 partner notified per participant.</w:t>
      </w:r>
      <w:r w:rsidR="00620A8A" w:rsidRPr="00D3019C">
        <w:rPr>
          <w:rFonts w:ascii="Helvetica Neue" w:hAnsi="Helvetica Neue"/>
        </w:rPr>
        <w:fldChar w:fldCharType="begin" w:fldLock="1"/>
      </w:r>
      <w:r w:rsidR="00291558">
        <w:rPr>
          <w:rFonts w:ascii="Helvetica Neue" w:hAnsi="Helvetica Neue"/>
        </w:rPr>
        <w:instrText>ADDIN CSL_CITATION {"citationItems":[{"id":"ITEM-1","itemData":{"DOI":"10.1186/s12916-017-0858-9","ISSN":"1741-7015","author":[{"dropping-particle":"","family":"Clark","given":"Jesse L.","non-dropping-particle":"","parse-names":false,"suffix":""},{"dropping-particle":"","family":"Segura","given":"Eddy R.","non-dropping-particle":"","parse-names":false,"suffix":""},{"dropping-particle":"","family":"Oldenburg","given":"Catherine E.","non-dropping-particle":"","parse-names":false,"suffix":""},{"dropping-particle":"","family":"Rios","given":"Jessica","non-dropping-particle":"","parse-names":false,"suffix":""},{"dropping-particle":"","family":"Montano","given":"Silvia M.","non-dropping-particle":"","parse-names":false,"suffix":""},{"dropping-particle":"","family":"Perez-Brumer","given":"Amaya","non-dropping-particle":"","parse-names":false,"suffix":""},{"dropping-particle":"","family":"Villaran","given":"Manuel","non-dropping-particle":"","parse-names":false,"suffix":""},{"dropping-particle":"","family":"Sanchez","given":"Jorge","non-dropping-particle":"","parse-names":false,"suffix":""},{"dropping-particle":"","family":"Coates","given":"Thomas J.","non-dropping-particle":"","parse-names":false,"suffix":""},{"dropping-particle":"","family":"Lama","given":"Javier R.","non-dropping-particle":"","parse-names":false,"suffix":""}],"container-title":"BMC Medicine","id":"ITEM-1","issue":"1","issued":{"date-parts":[["2017","12","4"]]},"page":"94","title":"Expedited Partner Therapy (EPT) increases the frequency of partner notification among MSM in Lima, Peru: a pilot randomized controlled trial","type":"article-journal","volume":"15"},"uris":["http://www.mendeley.com/documents/?uuid=823d2418-555c-334d-9437-b38b2a01707d"]}],"mendeley":{"formattedCitation":"&lt;sup&gt;122&lt;/sup&gt;","plainTextFormattedCitation":"122","previouslyFormattedCitation":"&lt;sup&gt;122&lt;/sup&gt;"},"properties":{"noteIndex":0},"schema":"https://github.com/citation-style-language/schema/raw/master/csl-citation.json"}</w:instrText>
      </w:r>
      <w:r w:rsidR="00620A8A" w:rsidRPr="00D3019C">
        <w:rPr>
          <w:rFonts w:ascii="Helvetica Neue" w:hAnsi="Helvetica Neue"/>
        </w:rPr>
        <w:fldChar w:fldCharType="separate"/>
      </w:r>
      <w:r w:rsidR="00D429F0" w:rsidRPr="00D429F0">
        <w:rPr>
          <w:rFonts w:ascii="Helvetica Neue" w:hAnsi="Helvetica Neue"/>
          <w:noProof/>
          <w:vertAlign w:val="superscript"/>
        </w:rPr>
        <w:t>122</w:t>
      </w:r>
      <w:r w:rsidR="00620A8A" w:rsidRPr="00D3019C">
        <w:rPr>
          <w:rFonts w:ascii="Helvetica Neue" w:hAnsi="Helvetica Neue"/>
        </w:rPr>
        <w:fldChar w:fldCharType="end"/>
      </w:r>
      <w:r w:rsidR="00D3019C">
        <w:rPr>
          <w:rFonts w:ascii="Helvetica Neue" w:hAnsi="Helvetica Neue"/>
        </w:rPr>
        <w:t xml:space="preserve"> </w:t>
      </w:r>
      <w:r w:rsidR="001133CC">
        <w:rPr>
          <w:rFonts w:ascii="Helvetica Neue" w:hAnsi="Helvetica Neue"/>
        </w:rPr>
        <w:t xml:space="preserve">In the EPT arm, 83.1% </w:t>
      </w:r>
      <w:r w:rsidR="007C0268">
        <w:rPr>
          <w:rFonts w:ascii="Helvetica Neue" w:hAnsi="Helvetica Neue"/>
        </w:rPr>
        <w:t xml:space="preserve">of index patients </w:t>
      </w:r>
      <w:r w:rsidR="001133CC">
        <w:rPr>
          <w:rFonts w:ascii="Helvetica Neue" w:hAnsi="Helvetica Neue"/>
        </w:rPr>
        <w:t>reported notifying at least one partner</w:t>
      </w:r>
      <w:r w:rsidR="00775272">
        <w:rPr>
          <w:rFonts w:ascii="Helvetica Neue" w:hAnsi="Helvetica Neue"/>
        </w:rPr>
        <w:t>,</w:t>
      </w:r>
      <w:r w:rsidR="004517C2">
        <w:rPr>
          <w:rFonts w:ascii="Helvetica Neue" w:hAnsi="Helvetica Neue"/>
        </w:rPr>
        <w:t xml:space="preserve"> compared to 58.3% in the standard partner notification arm,</w:t>
      </w:r>
      <w:r w:rsidR="00775272">
        <w:rPr>
          <w:rFonts w:ascii="Helvetica Neue" w:hAnsi="Helvetica Neue"/>
        </w:rPr>
        <w:t xml:space="preserve"> and the proportion of all recent partners notified (53.5%) was significantly greater in the EPT arm than in the control arm (</w:t>
      </w:r>
      <w:r w:rsidR="00087AD3">
        <w:rPr>
          <w:rFonts w:ascii="Helvetica Neue" w:hAnsi="Helvetica Neue"/>
        </w:rPr>
        <w:t>34.7</w:t>
      </w:r>
      <w:r w:rsidR="00775272">
        <w:rPr>
          <w:rFonts w:ascii="Helvetica Neue" w:hAnsi="Helvetica Neue"/>
        </w:rPr>
        <w:t>%). Additionally, 80%</w:t>
      </w:r>
      <w:r w:rsidR="0081431E">
        <w:rPr>
          <w:rFonts w:ascii="Helvetica Neue" w:hAnsi="Helvetica Neue"/>
        </w:rPr>
        <w:t xml:space="preserve"> </w:t>
      </w:r>
      <w:r w:rsidR="00197323">
        <w:rPr>
          <w:rFonts w:ascii="Helvetica Neue" w:hAnsi="Helvetica Neue"/>
        </w:rPr>
        <w:t xml:space="preserve">of stable male partners </w:t>
      </w:r>
      <w:r w:rsidR="00272A14">
        <w:rPr>
          <w:rFonts w:ascii="Helvetica Neue" w:hAnsi="Helvetica Neue"/>
        </w:rPr>
        <w:t xml:space="preserve">in the PDPT arm </w:t>
      </w:r>
      <w:r w:rsidR="00197323">
        <w:rPr>
          <w:rFonts w:ascii="Helvetica Neue" w:hAnsi="Helvetica Neue"/>
        </w:rPr>
        <w:t>were notified, compared to 54.8% of casual partners</w:t>
      </w:r>
      <w:r w:rsidR="00272A14">
        <w:rPr>
          <w:rFonts w:ascii="Helvetica Neue" w:hAnsi="Helvetica Neue"/>
        </w:rPr>
        <w:t xml:space="preserve"> in the PDPT arm</w:t>
      </w:r>
      <w:r w:rsidR="00197323">
        <w:rPr>
          <w:rFonts w:ascii="Helvetica Neue" w:hAnsi="Helvetica Neue"/>
        </w:rPr>
        <w:t>.</w:t>
      </w:r>
    </w:p>
    <w:p w14:paraId="2A6ACDCE" w14:textId="2AE726AE" w:rsidR="008B3F12" w:rsidRPr="00E02758" w:rsidRDefault="00A11C1C" w:rsidP="008B3F12">
      <w:pPr>
        <w:tabs>
          <w:tab w:val="left" w:pos="540"/>
        </w:tabs>
        <w:spacing w:line="360" w:lineRule="auto"/>
        <w:rPr>
          <w:rFonts w:ascii="Helvetica Neue" w:hAnsi="Helvetica Neue"/>
        </w:rPr>
      </w:pPr>
      <w:r>
        <w:rPr>
          <w:rFonts w:ascii="Helvetica Neue" w:hAnsi="Helvetica Neue"/>
        </w:rPr>
        <w:t>Given the nature of the research question and primary analysis, we evaluated a range of possible scenarios.</w:t>
      </w:r>
      <w:r w:rsidR="00197323">
        <w:rPr>
          <w:rFonts w:ascii="Helvetica Neue" w:hAnsi="Helvetica Neue"/>
        </w:rPr>
        <w:t xml:space="preserve"> </w:t>
      </w:r>
      <w:r w:rsidR="00571DC7">
        <w:rPr>
          <w:rFonts w:ascii="Helvetica Neue" w:hAnsi="Helvetica Neue"/>
        </w:rPr>
        <w:t>Taking some of the findings</w:t>
      </w:r>
      <w:r w:rsidR="00197323">
        <w:rPr>
          <w:rFonts w:ascii="Helvetica Neue" w:hAnsi="Helvetica Neue"/>
        </w:rPr>
        <w:t xml:space="preserve"> from the </w:t>
      </w:r>
      <w:r w:rsidR="00D00D2E">
        <w:rPr>
          <w:rFonts w:ascii="Helvetica Neue" w:hAnsi="Helvetica Neue"/>
        </w:rPr>
        <w:t>Peruvian trial</w:t>
      </w:r>
      <w:r w:rsidR="003C5A30">
        <w:rPr>
          <w:rFonts w:ascii="Helvetica Neue" w:hAnsi="Helvetica Neue"/>
        </w:rPr>
        <w:t>, as well as input from subject matter experts</w:t>
      </w:r>
      <w:r w:rsidR="007E1372">
        <w:rPr>
          <w:rFonts w:ascii="Helvetica Neue" w:hAnsi="Helvetica Neue"/>
        </w:rPr>
        <w:t xml:space="preserve">, we allowed the </w:t>
      </w:r>
      <w:r w:rsidR="00696DB1">
        <w:rPr>
          <w:rFonts w:ascii="Helvetica Neue" w:hAnsi="Helvetica Neue"/>
        </w:rPr>
        <w:t>p</w:t>
      </w:r>
      <w:r w:rsidR="000840B3">
        <w:rPr>
          <w:rFonts w:ascii="Helvetica Neue" w:hAnsi="Helvetica Neue"/>
        </w:rPr>
        <w:t xml:space="preserve">rovision </w:t>
      </w:r>
      <w:r w:rsidR="003619D2">
        <w:rPr>
          <w:rFonts w:ascii="Helvetica Neue" w:hAnsi="Helvetica Neue"/>
        </w:rPr>
        <w:t>of medication to differ by partnership type and by whether the partnership was ongoing</w:t>
      </w:r>
      <w:r w:rsidR="004C75C5">
        <w:rPr>
          <w:rFonts w:ascii="Helvetica Neue" w:hAnsi="Helvetica Neue"/>
        </w:rPr>
        <w:t>.</w:t>
      </w:r>
      <w:r>
        <w:rPr>
          <w:rFonts w:ascii="Helvetica Neue" w:hAnsi="Helvetica Neue"/>
        </w:rPr>
        <w:t xml:space="preserve"> </w:t>
      </w:r>
      <w:r w:rsidR="008B3F12" w:rsidRPr="00E02758">
        <w:rPr>
          <w:rFonts w:ascii="Helvetica Neue" w:hAnsi="Helvetica Neue"/>
        </w:rPr>
        <w:t>We selected, as base value</w:t>
      </w:r>
      <w:r w:rsidR="005C5B79">
        <w:rPr>
          <w:rFonts w:ascii="Helvetica Neue" w:hAnsi="Helvetica Neue"/>
        </w:rPr>
        <w:t>s</w:t>
      </w:r>
      <w:r w:rsidR="008B3F12" w:rsidRPr="00E02758">
        <w:rPr>
          <w:rFonts w:ascii="Helvetica Neue" w:hAnsi="Helvetica Neue"/>
        </w:rPr>
        <w:t xml:space="preserve"> for analyses of other steps of the EPT continuum, provision likelihoods </w:t>
      </w:r>
      <w:r w:rsidR="009E3F66" w:rsidRPr="00E02758">
        <w:rPr>
          <w:rFonts w:ascii="Helvetica Neue" w:hAnsi="Helvetica Neue"/>
        </w:rPr>
        <w:t>of</w:t>
      </w:r>
      <w:r w:rsidR="008B3F12" w:rsidRPr="00E02758">
        <w:rPr>
          <w:rFonts w:ascii="Helvetica Neue" w:hAnsi="Helvetica Neue"/>
        </w:rPr>
        <w:t xml:space="preserve"> 50% to main, ongoing partners</w:t>
      </w:r>
      <w:r w:rsidR="00845592">
        <w:rPr>
          <w:rFonts w:ascii="Helvetica Neue" w:hAnsi="Helvetica Neue"/>
        </w:rPr>
        <w:t>,</w:t>
      </w:r>
      <w:r w:rsidR="008B3F12" w:rsidRPr="00E02758">
        <w:rPr>
          <w:rFonts w:ascii="Helvetica Neue" w:hAnsi="Helvetica Neue"/>
        </w:rPr>
        <w:t xml:space="preserve"> 40% to main, ended partners</w:t>
      </w:r>
      <w:r w:rsidR="00845592">
        <w:rPr>
          <w:rFonts w:ascii="Helvetica Neue" w:hAnsi="Helvetica Neue"/>
        </w:rPr>
        <w:t>,</w:t>
      </w:r>
      <w:r w:rsidR="008B3F12" w:rsidRPr="00E02758">
        <w:rPr>
          <w:rFonts w:ascii="Helvetica Neue" w:hAnsi="Helvetica Neue"/>
        </w:rPr>
        <w:t xml:space="preserve"> 40% to casual, ongoing partners</w:t>
      </w:r>
      <w:r w:rsidR="00845592">
        <w:rPr>
          <w:rFonts w:ascii="Helvetica Neue" w:hAnsi="Helvetica Neue"/>
        </w:rPr>
        <w:t xml:space="preserve">, </w:t>
      </w:r>
      <w:r w:rsidR="008B3F12" w:rsidRPr="00E02758">
        <w:rPr>
          <w:rFonts w:ascii="Helvetica Neue" w:hAnsi="Helvetica Neue"/>
        </w:rPr>
        <w:t>30% to casual, ended partners</w:t>
      </w:r>
      <w:r w:rsidR="00845592">
        <w:rPr>
          <w:rFonts w:ascii="Helvetica Neue" w:hAnsi="Helvetica Neue"/>
        </w:rPr>
        <w:t>,</w:t>
      </w:r>
      <w:r w:rsidR="008B3F12" w:rsidRPr="00E02758">
        <w:rPr>
          <w:rFonts w:ascii="Helvetica Neue" w:hAnsi="Helvetica Neue"/>
        </w:rPr>
        <w:t xml:space="preserve"> and 20% to one-time partners.</w:t>
      </w:r>
    </w:p>
    <w:p w14:paraId="290379A1" w14:textId="74601DCB" w:rsidR="00AA7EF2" w:rsidRPr="00E02758" w:rsidRDefault="00AA7EF2" w:rsidP="00AA7EF2">
      <w:pPr>
        <w:pStyle w:val="Heading2"/>
        <w:rPr>
          <w:rFonts w:ascii="Helvetica Neue" w:hAnsi="Helvetica Neue"/>
          <w:color w:val="auto"/>
          <w:szCs w:val="22"/>
        </w:rPr>
      </w:pPr>
      <w:bookmarkStart w:id="56" w:name="_Toc2361406"/>
      <w:r w:rsidRPr="00E02758">
        <w:rPr>
          <w:rFonts w:ascii="Helvetica Neue" w:hAnsi="Helvetica Neue"/>
          <w:color w:val="auto"/>
          <w:szCs w:val="22"/>
        </w:rPr>
        <w:lastRenderedPageBreak/>
        <w:t>12.</w:t>
      </w:r>
      <w:r w:rsidR="0073502C" w:rsidRPr="00E02758">
        <w:rPr>
          <w:rFonts w:ascii="Helvetica Neue" w:hAnsi="Helvetica Neue"/>
          <w:color w:val="auto"/>
          <w:szCs w:val="22"/>
        </w:rPr>
        <w:t>4</w:t>
      </w:r>
      <w:r w:rsidRPr="00E02758">
        <w:rPr>
          <w:rFonts w:ascii="Helvetica Neue" w:hAnsi="Helvetica Neue"/>
          <w:color w:val="auto"/>
          <w:szCs w:val="22"/>
        </w:rPr>
        <w:tab/>
      </w:r>
      <w:r w:rsidR="00A01511" w:rsidRPr="00E02758">
        <w:rPr>
          <w:rFonts w:ascii="Helvetica Neue" w:hAnsi="Helvetica Neue"/>
          <w:color w:val="auto"/>
          <w:szCs w:val="22"/>
        </w:rPr>
        <w:t>Uptake (</w:t>
      </w:r>
      <w:r w:rsidRPr="00E02758">
        <w:rPr>
          <w:rFonts w:ascii="Helvetica Neue" w:hAnsi="Helvetica Neue"/>
          <w:color w:val="auto"/>
          <w:szCs w:val="22"/>
        </w:rPr>
        <w:t>Uptake by Non-Index Partner</w:t>
      </w:r>
      <w:r w:rsidR="00A01511" w:rsidRPr="00E02758">
        <w:rPr>
          <w:rFonts w:ascii="Helvetica Neue" w:hAnsi="Helvetica Neue"/>
          <w:color w:val="auto"/>
          <w:szCs w:val="22"/>
        </w:rPr>
        <w:t>)</w:t>
      </w:r>
      <w:bookmarkEnd w:id="56"/>
    </w:p>
    <w:p w14:paraId="246D00B2" w14:textId="02D0309A" w:rsidR="00611C48" w:rsidRPr="00E02758" w:rsidRDefault="00611C48" w:rsidP="00611C48">
      <w:pPr>
        <w:spacing w:line="360" w:lineRule="auto"/>
        <w:rPr>
          <w:rFonts w:ascii="Helvetica Neue" w:hAnsi="Helvetica Neue"/>
        </w:rPr>
      </w:pPr>
      <w:r w:rsidRPr="00E02758">
        <w:rPr>
          <w:rFonts w:ascii="Helvetica Neue" w:hAnsi="Helvetica Neue"/>
        </w:rPr>
        <w:t xml:space="preserve">In the continuum structure governing EPT implementation in this model, </w:t>
      </w:r>
      <w:r>
        <w:rPr>
          <w:rFonts w:ascii="Helvetica Neue" w:hAnsi="Helvetica Neue"/>
        </w:rPr>
        <w:t>uptake</w:t>
      </w:r>
      <w:r w:rsidRPr="00E02758">
        <w:rPr>
          <w:rFonts w:ascii="Helvetica Neue" w:hAnsi="Helvetica Neue"/>
        </w:rPr>
        <w:t xml:space="preserve"> of EPT medication for a </w:t>
      </w:r>
      <w:r w:rsidR="009E3F66" w:rsidRPr="00E02758">
        <w:rPr>
          <w:rFonts w:ascii="Helvetica Neue" w:hAnsi="Helvetica Neue"/>
        </w:rPr>
        <w:t>NG</w:t>
      </w:r>
      <w:r w:rsidRPr="00E02758">
        <w:rPr>
          <w:rFonts w:ascii="Helvetica Neue" w:hAnsi="Helvetica Neue"/>
        </w:rPr>
        <w:t xml:space="preserve"> or CT infection </w:t>
      </w:r>
      <w:r>
        <w:rPr>
          <w:rFonts w:ascii="Helvetica Neue" w:hAnsi="Helvetica Neue"/>
        </w:rPr>
        <w:t>by a non-index partner who had received medication from a newly diagnosed index patient</w:t>
      </w:r>
      <w:r w:rsidRPr="00E02758">
        <w:rPr>
          <w:rFonts w:ascii="Helvetica Neue" w:hAnsi="Helvetica Neue"/>
        </w:rPr>
        <w:t xml:space="preserve"> </w:t>
      </w:r>
      <w:r>
        <w:rPr>
          <w:rFonts w:ascii="Helvetica Neue" w:hAnsi="Helvetica Neue"/>
        </w:rPr>
        <w:t xml:space="preserve">is </w:t>
      </w:r>
      <w:r w:rsidRPr="00E02758">
        <w:rPr>
          <w:rFonts w:ascii="Helvetica Neue" w:hAnsi="Helvetica Neue"/>
        </w:rPr>
        <w:t>referred to as “</w:t>
      </w:r>
      <w:r>
        <w:rPr>
          <w:rFonts w:ascii="Helvetica Neue" w:hAnsi="Helvetica Neue"/>
        </w:rPr>
        <w:t>uptake</w:t>
      </w:r>
      <w:r w:rsidRPr="00E02758">
        <w:rPr>
          <w:rFonts w:ascii="Helvetica Neue" w:hAnsi="Helvetica Neue"/>
        </w:rPr>
        <w:t xml:space="preserve">.” </w:t>
      </w:r>
    </w:p>
    <w:p w14:paraId="04C07C3E" w14:textId="7D8D5FD9" w:rsidR="00611C48" w:rsidRPr="00E02758" w:rsidRDefault="00611C48" w:rsidP="00611C48">
      <w:pPr>
        <w:tabs>
          <w:tab w:val="left" w:pos="540"/>
        </w:tabs>
        <w:spacing w:line="360" w:lineRule="auto"/>
        <w:ind w:left="540"/>
        <w:rPr>
          <w:rFonts w:ascii="Helvetica Neue" w:eastAsiaTheme="minorEastAsia" w:hAnsi="Helvetica Neue"/>
        </w:rPr>
      </w:pPr>
      <w:r w:rsidRPr="00E02758">
        <w:rPr>
          <w:rFonts w:ascii="Helvetica Neue" w:eastAsiaTheme="minorEastAsia" w:hAnsi="Helvetica Neue"/>
        </w:rPr>
        <w:t xml:space="preserve">EPT </w:t>
      </w:r>
      <w:r>
        <w:rPr>
          <w:rFonts w:ascii="Helvetica Neue" w:eastAsiaTheme="minorEastAsia" w:hAnsi="Helvetica Neue"/>
        </w:rPr>
        <w:t>Uptake</w:t>
      </w:r>
      <w:r w:rsidRPr="00E02758">
        <w:rPr>
          <w:rFonts w:ascii="Helvetica Neue" w:eastAsiaTheme="minorEastAsia" w:hAnsi="Helvetica Neue"/>
        </w:rPr>
        <w:t xml:space="preserve">: </w:t>
      </w:r>
      <m:oMath>
        <m:f>
          <m:fPr>
            <m:ctrlPr>
              <w:rPr>
                <w:rFonts w:ascii="Cambria Math" w:hAnsi="Cambria Math"/>
                <w:i/>
              </w:rPr>
            </m:ctrlPr>
          </m:fPr>
          <m:num>
            <m:r>
              <w:rPr>
                <w:rFonts w:ascii="Cambria Math" w:hAnsi="Cambria Math"/>
              </w:rPr>
              <m:t>Partners taking the medication</m:t>
            </m:r>
          </m:num>
          <m:den>
            <m:r>
              <w:rPr>
                <w:rFonts w:ascii="Cambria Math" w:hAnsi="Cambria Math"/>
              </w:rPr>
              <m:t>Part</m:t>
            </m:r>
            <m:r>
              <w:rPr>
                <w:rFonts w:ascii="Cambria Math" w:hAnsi="Cambria Math"/>
              </w:rPr>
              <m:t>ners receiving medication from index patients</m:t>
            </m:r>
          </m:den>
        </m:f>
      </m:oMath>
    </w:p>
    <w:p w14:paraId="402A8525" w14:textId="7FCE18EE" w:rsidR="00897854" w:rsidRDefault="00611C48" w:rsidP="000D1D82">
      <w:pPr>
        <w:spacing w:before="120" w:line="360" w:lineRule="auto"/>
        <w:rPr>
          <w:rFonts w:ascii="Helvetica Neue" w:hAnsi="Helvetica Neue"/>
        </w:rPr>
      </w:pPr>
      <w:r>
        <w:rPr>
          <w:rFonts w:ascii="Helvetica Neue" w:hAnsi="Helvetica Neue"/>
        </w:rPr>
        <w:t xml:space="preserve">Uptake likelihood </w:t>
      </w:r>
      <w:r w:rsidR="009E3F66">
        <w:rPr>
          <w:rFonts w:ascii="Helvetica Neue" w:hAnsi="Helvetica Neue"/>
        </w:rPr>
        <w:t>could</w:t>
      </w:r>
      <w:r>
        <w:rPr>
          <w:rFonts w:ascii="Helvetica Neue" w:hAnsi="Helvetica Neue"/>
        </w:rPr>
        <w:t xml:space="preserve"> differ by partnership type (main, casual, or one-time), but, due to lack of substantial evidence, was kept equal across partnership types. </w:t>
      </w:r>
      <w:r w:rsidRPr="00E02758">
        <w:rPr>
          <w:rFonts w:ascii="Helvetica Neue" w:hAnsi="Helvetica Neue"/>
        </w:rPr>
        <w:t>Set to zero in our reference, no-EPT model, we va</w:t>
      </w:r>
      <w:r>
        <w:rPr>
          <w:rFonts w:ascii="Helvetica Neue" w:hAnsi="Helvetica Neue"/>
        </w:rPr>
        <w:t>ried</w:t>
      </w:r>
      <w:r w:rsidRPr="00E02758">
        <w:rPr>
          <w:rFonts w:ascii="Helvetica Neue" w:hAnsi="Helvetica Neue"/>
        </w:rPr>
        <w:t xml:space="preserve"> EPT </w:t>
      </w:r>
      <w:r>
        <w:rPr>
          <w:rFonts w:ascii="Helvetica Neue" w:hAnsi="Helvetica Neue"/>
        </w:rPr>
        <w:t>provision</w:t>
      </w:r>
      <w:r w:rsidRPr="00E02758">
        <w:rPr>
          <w:rFonts w:ascii="Helvetica Neue" w:hAnsi="Helvetica Neue"/>
        </w:rPr>
        <w:t xml:space="preserve"> from </w:t>
      </w:r>
      <w:r>
        <w:rPr>
          <w:rFonts w:ascii="Helvetica Neue" w:hAnsi="Helvetica Neue"/>
        </w:rPr>
        <w:t>our baseline levels up to a 20% relative increase.</w:t>
      </w:r>
    </w:p>
    <w:p w14:paraId="13BEB66C" w14:textId="0D4F31FE" w:rsidR="00AA7EF2" w:rsidRDefault="000D1D82" w:rsidP="00A73BC2">
      <w:pPr>
        <w:spacing w:before="120" w:line="360" w:lineRule="auto"/>
        <w:rPr>
          <w:rFonts w:ascii="Helvetica Neue" w:hAnsi="Helvetica Neue"/>
          <w:i/>
        </w:rPr>
      </w:pPr>
      <w:r>
        <w:rPr>
          <w:rFonts w:ascii="Helvetica Neue" w:hAnsi="Helvetica Neue"/>
        </w:rPr>
        <w:t xml:space="preserve">Previous EPT trials and analyses have reported a variety of measures </w:t>
      </w:r>
      <w:r w:rsidR="007D5177">
        <w:rPr>
          <w:rFonts w:ascii="Helvetica Neue" w:hAnsi="Helvetica Neue"/>
        </w:rPr>
        <w:t xml:space="preserve">for uptake of medication by partners. </w:t>
      </w:r>
      <w:r w:rsidR="00DE1F1C">
        <w:rPr>
          <w:rFonts w:ascii="Helvetica Neue" w:hAnsi="Helvetica Neue"/>
        </w:rPr>
        <w:t>These include results from heterosexual men and women and MSM.</w:t>
      </w:r>
      <w:r w:rsidR="00A73BC2">
        <w:rPr>
          <w:rFonts w:ascii="Helvetica Neue" w:hAnsi="Helvetica Neue"/>
        </w:rPr>
        <w:t xml:space="preserve"> Additionally, </w:t>
      </w:r>
      <w:r w:rsidR="00294FD3">
        <w:rPr>
          <w:rFonts w:ascii="Helvetica Neue" w:hAnsi="Helvetica Neue"/>
        </w:rPr>
        <w:t>many of these trials only report</w:t>
      </w:r>
      <w:r w:rsidR="00A73BC2">
        <w:rPr>
          <w:rFonts w:ascii="Helvetica Neue" w:hAnsi="Helvetica Neue"/>
        </w:rPr>
        <w:t xml:space="preserve"> </w:t>
      </w:r>
      <w:proofErr w:type="gramStart"/>
      <w:r w:rsidR="00A73BC2">
        <w:rPr>
          <w:rFonts w:ascii="Helvetica Neue" w:hAnsi="Helvetica Neue"/>
        </w:rPr>
        <w:t>patients being treated, which likely reflects</w:t>
      </w:r>
      <w:proofErr w:type="gramEnd"/>
      <w:r w:rsidR="00A73BC2">
        <w:rPr>
          <w:rFonts w:ascii="Helvetica Neue" w:hAnsi="Helvetica Neue"/>
        </w:rPr>
        <w:t xml:space="preserve"> a combination of provision of medication to partners and uptake of the medication by partners</w:t>
      </w:r>
      <w:r w:rsidR="00294FD3">
        <w:rPr>
          <w:rFonts w:ascii="Helvetica Neue" w:hAnsi="Helvetica Neue"/>
        </w:rPr>
        <w:t>, or use self-report data from the index case</w:t>
      </w:r>
      <w:r w:rsidR="00A73BC2">
        <w:rPr>
          <w:rFonts w:ascii="Helvetica Neue" w:hAnsi="Helvetica Neue"/>
        </w:rPr>
        <w:t>.</w:t>
      </w:r>
      <w:r w:rsidR="00AB18C2">
        <w:rPr>
          <w:rFonts w:ascii="Helvetica Neue" w:hAnsi="Helvetica Neue"/>
          <w:i/>
        </w:rPr>
        <w:t xml:space="preserve"> </w:t>
      </w:r>
    </w:p>
    <w:p w14:paraId="62DD0510" w14:textId="5383CFC2" w:rsidR="00835A80" w:rsidRPr="008A473B" w:rsidRDefault="00D90740" w:rsidP="00253E03">
      <w:pPr>
        <w:spacing w:before="120" w:line="360" w:lineRule="auto"/>
        <w:rPr>
          <w:rFonts w:ascii="Helvetica Neue" w:hAnsi="Helvetica Neue"/>
          <w:color w:val="000000"/>
        </w:rPr>
      </w:pPr>
      <w:r>
        <w:rPr>
          <w:rFonts w:ascii="Helvetica Neue" w:hAnsi="Helvetica Neue"/>
        </w:rPr>
        <w:t xml:space="preserve">A small study presenting hypothetical scenarios to MSM found that about half of partners would accept EPT following notification of potential STD exposure by a </w:t>
      </w:r>
      <w:r w:rsidR="00A32D34">
        <w:rPr>
          <w:rFonts w:ascii="Helvetica Neue" w:hAnsi="Helvetica Neue"/>
        </w:rPr>
        <w:t xml:space="preserve">partner with which the </w:t>
      </w:r>
      <w:r w:rsidR="00F33255">
        <w:rPr>
          <w:rFonts w:ascii="Helvetica Neue" w:hAnsi="Helvetica Neue"/>
        </w:rPr>
        <w:t xml:space="preserve">index had been a </w:t>
      </w:r>
      <w:proofErr w:type="spellStart"/>
      <w:r w:rsidR="00F33255">
        <w:rPr>
          <w:rFonts w:ascii="Helvetica Neue" w:hAnsi="Helvetica Neue"/>
        </w:rPr>
        <w:t>condomless</w:t>
      </w:r>
      <w:proofErr w:type="spellEnd"/>
      <w:r w:rsidR="00F33255">
        <w:rPr>
          <w:rFonts w:ascii="Helvetica Neue" w:hAnsi="Helvetica Neue"/>
        </w:rPr>
        <w:t>, receptive anal sex partner</w:t>
      </w:r>
      <w:r w:rsidR="00A32D34">
        <w:rPr>
          <w:rFonts w:ascii="Helvetica Neue" w:hAnsi="Helvetica Neue"/>
        </w:rPr>
        <w:t>.</w:t>
      </w:r>
      <w:r w:rsidR="00A32D34" w:rsidRPr="00C113D9">
        <w:rPr>
          <w:rFonts w:ascii="Helvetica Neue" w:hAnsi="Helvetica Neue"/>
          <w:i/>
        </w:rPr>
        <w:fldChar w:fldCharType="begin" w:fldLock="1"/>
      </w:r>
      <w:r w:rsidR="00291558">
        <w:rPr>
          <w:rFonts w:ascii="Helvetica Neue" w:hAnsi="Helvetica Neue"/>
          <w:i/>
        </w:rPr>
        <w:instrText>ADDIN CSL_CITATION {"citationItems":[{"id":"ITEM-1","itemData":{"DOI":"10.1097/OLQ.0b013e31827adc06","ISSN":"1537-4521","PMID":"23324981","abstract":"BACKGROUND Little is known about how men who have sex with men (MSM) exposed to a sexually transmitted infection respond to receiving patient-delivered partner therapy (PDPT) or electronic partner notification postcards (e-cards). METHODS We anonymously surveyed MSM in a sexually transmitted disease (STD) clinic and a private medical practice. Three scenarios were presented in which participants had oral or anal sex with a new partner and were subsequently notified of a chlamydia or gonorrhea exposure and offered PDPT by the partner. A fourth scenario described partner notification via an anonymous inSPOT e-card. We asked participants if they would see a doctor, test for HIV/STD, and/or notify other partners in each situation. RESULTS Among 198 MSM, the percentage indicating that they would seek a medical evaluation was higher when scenarios described proctitis (97%-98%) versus pharyngitis (84%) or no symptoms (84%-89%). In the absence of symptoms, men indicated that they would be less likely to seek care (62% vs. 84%-88%, P &lt; 0.0001) and notify partners (85% vs. 69%, P &lt; 0.0001) if notified via an anonymous e-card than if notified directly by a partner. Approximately half reported that they would use PDPT provided by a partner. In the absence of symptoms, men who indicated that they would use PDPT reported that they would seek medical care less frequently than men who indicated that they would not take PDPT (74% vs. 92% [P = 0.0007 for oral sex exposure] 82% vs. 94%-94% [P = 0.01 or unprotected anal sex exposure]). CONCLUSIONS Although many MSM express interest in using PDPT and anonymous e-cards, these methods may result in missed opportunities to test for HIV and other STDs.","author":[{"dropping-particle":"","family":"Kerani","given":"Roxanne Pieper","non-dropping-particle":"","parse-names":false,"suffix":""},{"dropping-particle":"","family":"Fleming","given":"Mark","non-dropping-particle":"","parse-names":false,"suffix":""},{"dropping-particle":"","family":"Golden","given":"Matthew Robert","non-dropping-particle":"","parse-names":false,"suffix":""}],"container-title":"Sexually transmitted diseases","id":"ITEM-1","issue":"2","issued":{"date-parts":[["2013","2"]]},"page":"179-85","title":"Acceptability and intention to seek medical care after hypothetical receipt of patient-delivered partner therapy or electronic partner notification postcards among men who have sex with men: the partner's perspective.","type":"article-journal","volume":"40"},"uris":["http://www.mendeley.com/documents/?uuid=806f32a6-a211-34a4-b6d9-221223c4481c"]}],"mendeley":{"formattedCitation":"&lt;sup&gt;123&lt;/sup&gt;","plainTextFormattedCitation":"123","previouslyFormattedCitation":"&lt;sup&gt;123&lt;/sup&gt;"},"properties":{"noteIndex":0},"schema":"https://github.com/citation-style-language/schema/raw/master/csl-citation.json"}</w:instrText>
      </w:r>
      <w:r w:rsidR="00A32D34" w:rsidRPr="00C113D9">
        <w:rPr>
          <w:rFonts w:ascii="Helvetica Neue" w:hAnsi="Helvetica Neue"/>
          <w:i/>
        </w:rPr>
        <w:fldChar w:fldCharType="separate"/>
      </w:r>
      <w:r w:rsidR="00D429F0" w:rsidRPr="00D429F0">
        <w:rPr>
          <w:rFonts w:ascii="Helvetica Neue" w:hAnsi="Helvetica Neue"/>
          <w:noProof/>
          <w:vertAlign w:val="superscript"/>
        </w:rPr>
        <w:t>123</w:t>
      </w:r>
      <w:r w:rsidR="00A32D34" w:rsidRPr="00C113D9">
        <w:rPr>
          <w:rFonts w:ascii="Helvetica Neue" w:hAnsi="Helvetica Neue"/>
          <w:i/>
        </w:rPr>
        <w:fldChar w:fldCharType="end"/>
      </w:r>
      <w:r w:rsidR="00EF6B7F">
        <w:rPr>
          <w:rFonts w:ascii="Helvetica Neue" w:hAnsi="Helvetica Neue"/>
          <w:i/>
        </w:rPr>
        <w:t xml:space="preserve"> </w:t>
      </w:r>
      <w:r w:rsidR="0026362D">
        <w:rPr>
          <w:rFonts w:ascii="Helvetica Neue" w:hAnsi="Helvetica Neue"/>
        </w:rPr>
        <w:t>Trials in Seattle (61%)</w:t>
      </w:r>
      <w:r w:rsidR="00837818">
        <w:rPr>
          <w:rFonts w:ascii="Helvetica Neue" w:hAnsi="Helvetica Neue"/>
        </w:rPr>
        <w:fldChar w:fldCharType="begin" w:fldLock="1"/>
      </w:r>
      <w:r w:rsidR="00BF3CB3">
        <w:rPr>
          <w:rFonts w:ascii="Helvetica Neue" w:hAnsi="Helvetica Neue"/>
        </w:rPr>
        <w:instrText>ADDIN CSL_CITATION {"citationItems":[{"id":"ITEM-1","itemData":{"DOI":"10.1056/NEJMoa041681","ISSN":"0028-4793","abstract":"Background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mendeley":{"formattedCitation":"&lt;sup&gt;120&lt;/sup&gt;","plainTextFormattedCitation":"120","previouslyFormattedCitation":"&lt;sup&gt;120&lt;/sup&gt;"},"properties":{"noteIndex":0},"schema":"https://github.com/citation-style-language/schema/raw/master/csl-citation.json"}</w:instrText>
      </w:r>
      <w:r w:rsidR="00837818">
        <w:rPr>
          <w:rFonts w:ascii="Helvetica Neue" w:hAnsi="Helvetica Neue"/>
        </w:rPr>
        <w:fldChar w:fldCharType="separate"/>
      </w:r>
      <w:r w:rsidR="00837818" w:rsidRPr="00837818">
        <w:rPr>
          <w:rFonts w:ascii="Helvetica Neue" w:hAnsi="Helvetica Neue"/>
          <w:noProof/>
          <w:vertAlign w:val="superscript"/>
        </w:rPr>
        <w:t>120</w:t>
      </w:r>
      <w:r w:rsidR="00837818">
        <w:rPr>
          <w:rFonts w:ascii="Helvetica Neue" w:hAnsi="Helvetica Neue"/>
        </w:rPr>
        <w:fldChar w:fldCharType="end"/>
      </w:r>
      <w:r w:rsidR="0026362D">
        <w:rPr>
          <w:rFonts w:ascii="Helvetica Neue" w:hAnsi="Helvetica Neue"/>
        </w:rPr>
        <w:t xml:space="preserve"> and New Orleans (55.8%)</w:t>
      </w:r>
      <w:r w:rsidR="00787C96">
        <w:rPr>
          <w:rFonts w:ascii="Helvetica Neue" w:hAnsi="Helvetica Neue"/>
          <w:i/>
        </w:rPr>
        <w:fldChar w:fldCharType="begin" w:fldLock="1"/>
      </w:r>
      <w:r w:rsidR="00291558">
        <w:rPr>
          <w:rFonts w:ascii="Helvetica Neue" w:hAnsi="Helvetica Neue"/>
          <w:i/>
        </w:rPr>
        <w:instrText>ADDIN CSL_CITATION {"citationItems":[{"id":"ITEM-1","itemData":{"DOI":"10.1086/432476","PMID":"16080084","abstract":"BACKGROUND Traditional partner referral for sexually transmitted diseases (STDs) is ineffective at assuring that partners are treated. Alternative methods are needed. We sought to determine whether patient-delivered partner treatment (PDPT) is better than 2 different methods of partner referral in providing antibiotic treatment to sex partners of men with urethritis and in reducing recurrence of Chlamydia trachomatis and Neisseria gonorrhoeae. METHODS Men who received a diagnosis of urethritis at a public STD clinic in New Orleans, Louisiana, during the period of December 2001 through March 2004 were randomly assigned according to the month of treatment for either standard partner referral (PR), booklet-enhanced partner referral (BEPR), or PDPT. At baseline and after 1 month, men were asked to provide information about each partner and were tested for C. trachomatis and N. gonorrhoeae. RESULTS Most enrolled index men (n = 977) were &gt; 24 years of age (51.6%) and African American (95%) and had &gt; or = 2 partners (68.3%). They reported information on 1991 partners, and 78.8% were reinterviewed 4-8 weeks later. Men in the PDPT arm were more likely than men in the BEPR and PR arms to report having seen their partners, having talked to their partners about the infection, having given the intervention to their partners, and having been told by their partners that the antibiotic treatment had been taken (55.8%, 45.6%, and 35.0%, respectively; P &lt; .001). Of men who were reinterviewed, 37.5% agreed to follow-up testing for N. gonorrhoeae and C. trachomatis infection. Those tested were similar to those not tested with regard to the study variables measured. Among those tested, men in the PDPT and BEPR arms were less likely than those in the PR arm to test positive for C. trachomatis and/or N. gonorrhoeae (23.0%, 14.3%, and 42.7%, respectively; P &lt; .001). CONCLUSION Among heterosexual men with urethritis, PDPT was better than standard partner referral for treatment of partners and prevention of recurrence of C. trachomatis or N. gonorrhoeae infection.","author":[{"dropping-particle":"","family":"Kissinger","given":"Patricia","non-dropping-particle":"","parse-names":false,"suffix":""},{"dropping-particle":"","family":"Mohammed","given":"Hamish","non-dropping-particle":"","parse-names":false,"suffix":""},{"dropping-particle":"","family":"Richardson-Alston","given":"Gwangi","non-dropping-particle":"","parse-names":false,"suffix":""},{"dropping-particle":"","family":"Leichliter","given":"Jami S","non-dropping-particle":"","parse-names":false,"suffix":""},{"dropping-particle":"","family":"Taylor","given":"Stephanie N","non-dropping-particle":"","parse-names":false,"suffix":""},{"dropping-particle":"","family":"Martin","given":"David H","non-dropping-particle":"","parse-names":false,"suffix":""},{"dropping-particle":"","family":"Farley","given":"Thomas A","non-dropping-particle":"","parse-names":false,"suffix":""}],"container-title":"Clinical Infectious Diseases","id":"ITEM-1","issue":"5","issued":{"date-parts":[["2005","9","1"]]},"page":"623-9","title":"Patient-delivered partner treatment for male urethritis: a randomized, controlled trial.","type":"article-journal","volume":"41"},"uris":["http://www.mendeley.com/documents/?uuid=b899e15a-905f-3b40-81b2-6e13179675bf"]}],"mendeley":{"formattedCitation":"&lt;sup&gt;124&lt;/sup&gt;","plainTextFormattedCitation":"124","previouslyFormattedCitation":"&lt;sup&gt;124&lt;/sup&gt;"},"properties":{"noteIndex":0},"schema":"https://github.com/citation-style-language/schema/raw/master/csl-citation.json"}</w:instrText>
      </w:r>
      <w:r w:rsidR="00787C96">
        <w:rPr>
          <w:rFonts w:ascii="Helvetica Neue" w:hAnsi="Helvetica Neue"/>
          <w:i/>
        </w:rPr>
        <w:fldChar w:fldCharType="separate"/>
      </w:r>
      <w:r w:rsidR="00D429F0" w:rsidRPr="00D429F0">
        <w:rPr>
          <w:rFonts w:ascii="Helvetica Neue" w:hAnsi="Helvetica Neue"/>
          <w:noProof/>
          <w:vertAlign w:val="superscript"/>
        </w:rPr>
        <w:t>124</w:t>
      </w:r>
      <w:r w:rsidR="00787C96">
        <w:rPr>
          <w:rFonts w:ascii="Helvetica Neue" w:hAnsi="Helvetica Neue"/>
          <w:i/>
        </w:rPr>
        <w:fldChar w:fldCharType="end"/>
      </w:r>
      <w:r w:rsidR="0026362D">
        <w:rPr>
          <w:rFonts w:ascii="Helvetica Neue" w:hAnsi="Helvetica Neue"/>
        </w:rPr>
        <w:t xml:space="preserve"> </w:t>
      </w:r>
      <w:r w:rsidR="00787C96">
        <w:rPr>
          <w:rFonts w:ascii="Helvetica Neue" w:hAnsi="Helvetica Neue"/>
        </w:rPr>
        <w:t xml:space="preserve">reported </w:t>
      </w:r>
      <w:r w:rsidR="0026362D">
        <w:rPr>
          <w:rFonts w:ascii="Helvetica Neue" w:hAnsi="Helvetica Neue"/>
        </w:rPr>
        <w:t xml:space="preserve">that more than half of partners of </w:t>
      </w:r>
      <w:r w:rsidR="00253E03">
        <w:rPr>
          <w:rFonts w:ascii="Helvetica Neue" w:hAnsi="Helvetica Neue"/>
        </w:rPr>
        <w:t xml:space="preserve">cases receiving EPT </w:t>
      </w:r>
      <w:r w:rsidR="00AB2AA1">
        <w:rPr>
          <w:rFonts w:ascii="Helvetica Neue" w:hAnsi="Helvetica Neue"/>
        </w:rPr>
        <w:t>had told the</w:t>
      </w:r>
      <w:r w:rsidR="00DD3D99">
        <w:rPr>
          <w:rFonts w:ascii="Helvetica Neue" w:hAnsi="Helvetica Neue"/>
        </w:rPr>
        <w:t xml:space="preserve"> index patients</w:t>
      </w:r>
      <w:r w:rsidR="00AB2AA1">
        <w:rPr>
          <w:rFonts w:ascii="Helvetica Neue" w:hAnsi="Helvetica Neue"/>
        </w:rPr>
        <w:t xml:space="preserve"> </w:t>
      </w:r>
      <w:r w:rsidR="00661AB1">
        <w:rPr>
          <w:rFonts w:ascii="Helvetica Neue" w:hAnsi="Helvetica Neue"/>
        </w:rPr>
        <w:t>that they had taken the antibiotics.</w:t>
      </w:r>
      <w:r w:rsidR="00EF6B7F">
        <w:rPr>
          <w:rFonts w:ascii="Helvetica Neue" w:hAnsi="Helvetica Neue"/>
          <w:i/>
        </w:rPr>
        <w:t xml:space="preserve"> </w:t>
      </w:r>
      <w:r w:rsidR="00835A80">
        <w:rPr>
          <w:rFonts w:ascii="Helvetica Neue" w:hAnsi="Helvetica Neue"/>
        </w:rPr>
        <w:t xml:space="preserve">A </w:t>
      </w:r>
      <w:r w:rsidR="00512F49">
        <w:rPr>
          <w:rFonts w:ascii="Helvetica Neue" w:hAnsi="Helvetica Neue"/>
        </w:rPr>
        <w:t>Washington PDPT trial</w:t>
      </w:r>
      <w:r w:rsidR="00835A80">
        <w:rPr>
          <w:rFonts w:ascii="Helvetica Neue" w:hAnsi="Helvetica Neue"/>
        </w:rPr>
        <w:t xml:space="preserve"> collecting data from index cases receiving EPT about whether their partners were “very likely to have been treated” showed that 83% of partners in ongoing relationships, 58% of partners in ended relationships, and only 36% of partners in relationships lasting a single day were very likely to have been treated.</w:t>
      </w:r>
      <w:r w:rsidR="00A2194A" w:rsidRPr="00C113D9">
        <w:rPr>
          <w:rFonts w:ascii="Helvetica Neue" w:hAnsi="Helvetica Neue"/>
          <w:i/>
          <w:color w:val="000000"/>
        </w:rPr>
        <w:fldChar w:fldCharType="begin" w:fldLock="1"/>
      </w:r>
      <w:r w:rsidR="00A2194A">
        <w:rPr>
          <w:rFonts w:ascii="Helvetica Neue" w:hAnsi="Helvetica Neue"/>
          <w:i/>
          <w:color w:val="000000"/>
        </w:rPr>
        <w:instrText>ADDIN CSL_CITATION {"citationItems":[{"id":"ITEM-1","itemData":{"DOI":"10.1097/OLQ.0b013e3181e1a296","ISSN":"1537-4521","PMID":"20601929","abstract":"BACKGROUND Expedited partner therapy (EPT) has been shown to reduce the risk of persistent or recurrent gonorrhea and chlamydial infection in heterosexuals, and to increase the proportion of sex partners receiving treatment. The objective of this analysis was to evaluate the consistency of EPT's effect across sociodemographic and behavioral subgroups. METHODS Subset analyses from a randomized controlled trial compared EPT to standard partner referral (SPR) in sociodemographic and behaviorally defined subgroups. Outcomes included persistent or recurrent infection in study participants and participants' report that their partners received treatment. RESULTS Reinfection risk was lower among EPT recipients than nonrecipients in 21 of 22 subgroups, with relative risks (RRs) varying from 0.4 to 0.94. Compared to persons receiving SPR, persons receiving EPT were more likely to report that their partners were very likely to have been treated in 33 of 34 subgroups (RRs range, 1.03-1.36). Although EPT reduced the risk of persistent or recurrent infection somewhat more in men (RR, 0.56; 95% CI, 0.3-1.08) than in women (RR, 0.81; 95% CI, 0.61-1.07) and more in persons with gonorrhea (RR, 0.32; 95% CI, 0.13-0.78) than those with chlamydial infection (RR, 0.82; 95% CI, 0.63-1.07), the RR of partners being treated associated with EPT was similar in men (RR, 1.21; 95% CI, 1.05-1.39) and women (RR, 1.18; 95% CI, 1.10-1.27), and also in persons with gonorrhea (RR, 1.33; 95% CI, 0.80-2.23) and chlamydial infection (RR, 1.33; 95% CI, 1.07-1.66). CONCLUSIONS In this study, EPT is shown to be superior to SPR across a wide spectrum of sociodemographic and behaviorally defined subgroups.","author":[{"dropping-particle":"","family":"Shiely","given":"Frances","non-dropping-particle":"","parse-names":false,"suffix":""},{"dropping-particle":"","family":"Hayes","given":"Kevin","non-dropping-particle":"","parse-names":false,"suffix":""},{"dropping-particle":"","family":"Thomas","given":"Katherine K","non-dropping-particle":"","parse-names":false,"suffix":""},{"dropping-particle":"","family":"Kerani","given":"Roxanne P","non-dropping-particle":"","parse-names":false,"suffix":""},{"dropping-particle":"","family":"Hughes","given":"James P","non-dropping-particle":"","parse-names":false,"suffix":""},{"dropping-particle":"","family":"Whittington","given":"William L H","non-dropping-particle":"","parse-names":false,"suffix":""},{"dropping-particle":"","family":"Holmes","given":"King K","non-dropping-particle":"","parse-names":false,"suffix":""},{"dropping-particle":"","family":"Handsfield","given":"H Hunter","non-dropping-particle":"","parse-names":false,"suffix":""},{"dropping-particle":"","family":"Hogben","given":"Matthew","non-dropping-particle":"","parse-names":false,"suffix":""},{"dropping-particle":"","family":"Golden","given":"Matthew R","non-dropping-particle":"","parse-names":false,"suffix":""}],"container-title":"Sexually transmitted diseases","id":"ITEM-1","issue":"10","issued":{"date-parts":[["2010","10"]]},"page":"602-7","title":"Expedited partner therapy: a robust intervention.","type":"article-journal","volume":"37"},"uris":["http://www.mendeley.com/documents/?uuid=c9557981-b7fb-3c24-b57f-ef8ab7db3eb1"]}],"mendeley":{"formattedCitation":"&lt;sup&gt;125&lt;/sup&gt;","plainTextFormattedCitation":"125","previouslyFormattedCitation":"&lt;sup&gt;125&lt;/sup&gt;"},"properties":{"noteIndex":0},"schema":"https://github.com/citation-style-language/schema/raw/master/csl-citation.json"}</w:instrText>
      </w:r>
      <w:r w:rsidR="00A2194A" w:rsidRPr="00C113D9">
        <w:rPr>
          <w:rFonts w:ascii="Helvetica Neue" w:hAnsi="Helvetica Neue"/>
          <w:i/>
          <w:color w:val="000000"/>
        </w:rPr>
        <w:fldChar w:fldCharType="separate"/>
      </w:r>
      <w:r w:rsidR="00A2194A" w:rsidRPr="0070415A">
        <w:rPr>
          <w:rFonts w:ascii="Helvetica Neue" w:hAnsi="Helvetica Neue"/>
          <w:noProof/>
          <w:color w:val="000000"/>
          <w:vertAlign w:val="superscript"/>
        </w:rPr>
        <w:t>125</w:t>
      </w:r>
      <w:r w:rsidR="00A2194A" w:rsidRPr="00C113D9">
        <w:rPr>
          <w:rFonts w:ascii="Helvetica Neue" w:hAnsi="Helvetica Neue"/>
          <w:i/>
          <w:color w:val="000000"/>
        </w:rPr>
        <w:fldChar w:fldCharType="end"/>
      </w:r>
      <w:r w:rsidR="00DE437D">
        <w:rPr>
          <w:rFonts w:ascii="Helvetica Neue" w:hAnsi="Helvetica Neue"/>
          <w:color w:val="000000"/>
        </w:rPr>
        <w:t xml:space="preserve"> A Scottish trial among </w:t>
      </w:r>
      <w:r w:rsidR="009503F6">
        <w:rPr>
          <w:rFonts w:ascii="Helvetica Neue" w:hAnsi="Helvetica Neue"/>
          <w:color w:val="000000"/>
        </w:rPr>
        <w:t xml:space="preserve">young </w:t>
      </w:r>
      <w:r w:rsidR="00DE437D">
        <w:rPr>
          <w:rFonts w:ascii="Helvetica Neue" w:hAnsi="Helvetica Neue"/>
          <w:color w:val="000000"/>
        </w:rPr>
        <w:t xml:space="preserve">women with chlamydia </w:t>
      </w:r>
      <w:r w:rsidR="009503F6">
        <w:rPr>
          <w:rFonts w:ascii="Helvetica Neue" w:hAnsi="Helvetica Neue"/>
          <w:color w:val="000000"/>
        </w:rPr>
        <w:t>found that 42% of partners were confirmed as tested and treated</w:t>
      </w:r>
      <w:r w:rsidR="009503F6">
        <w:rPr>
          <w:rFonts w:ascii="Helvetica Neue" w:hAnsi="Helvetica Neue"/>
          <w:i/>
        </w:rPr>
        <w:fldChar w:fldCharType="begin" w:fldLock="1"/>
      </w:r>
      <w:r w:rsidR="009503F6">
        <w:rPr>
          <w:rFonts w:ascii="Helvetica Neue" w:hAnsi="Helvetica Neue"/>
          <w:i/>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mendeley":{"formattedCitation":"&lt;sup&gt;109&lt;/sup&gt;","plainTextFormattedCitation":"109","previouslyFormattedCitation":"&lt;sup&gt;109&lt;/sup&gt;"},"properties":{"noteIndex":0},"schema":"https://github.com/citation-style-language/schema/raw/master/csl-citation.json"}</w:instrText>
      </w:r>
      <w:r w:rsidR="009503F6">
        <w:rPr>
          <w:rFonts w:ascii="Helvetica Neue" w:hAnsi="Helvetica Neue"/>
          <w:i/>
        </w:rPr>
        <w:fldChar w:fldCharType="separate"/>
      </w:r>
      <w:r w:rsidR="009503F6" w:rsidRPr="007D5177">
        <w:rPr>
          <w:rFonts w:ascii="Helvetica Neue" w:hAnsi="Helvetica Neue"/>
          <w:noProof/>
          <w:vertAlign w:val="superscript"/>
        </w:rPr>
        <w:t>109</w:t>
      </w:r>
      <w:r w:rsidR="009503F6">
        <w:rPr>
          <w:rFonts w:ascii="Helvetica Neue" w:hAnsi="Helvetica Neue"/>
          <w:i/>
        </w:rPr>
        <w:fldChar w:fldCharType="end"/>
      </w:r>
      <w:r w:rsidR="009503F6">
        <w:rPr>
          <w:rFonts w:ascii="Helvetica Neue" w:hAnsi="Helvetica Neue"/>
        </w:rPr>
        <w:t xml:space="preserve">, while 79.5% of </w:t>
      </w:r>
      <w:r w:rsidR="003160B5">
        <w:rPr>
          <w:rFonts w:ascii="Helvetica Neue" w:hAnsi="Helvetica Neue"/>
        </w:rPr>
        <w:t>a</w:t>
      </w:r>
      <w:r w:rsidR="009503F6">
        <w:rPr>
          <w:rFonts w:ascii="Helvetica Neue" w:hAnsi="Helvetica Neue"/>
        </w:rPr>
        <w:t xml:space="preserve"> similar population in New York City receiving EPT reported treatment of partners.</w:t>
      </w:r>
      <w:r w:rsidR="009503F6">
        <w:rPr>
          <w:rFonts w:ascii="Helvetica Neue" w:hAnsi="Helvetica Neue"/>
          <w:i/>
        </w:rPr>
        <w:fldChar w:fldCharType="begin" w:fldLock="1"/>
      </w:r>
      <w:r w:rsidR="009503F6">
        <w:rPr>
          <w:rFonts w:ascii="Helvetica Neue" w:hAnsi="Helvetica Neue"/>
          <w:i/>
        </w:rPr>
        <w:instrText>ADDIN CSL_CITATION {"citationItems":[{"id":"ITEM-1","itemData":{"DOI":"10.1097/OLQ.0000000000000511","ISSN":"0148-5717","author":[{"dropping-particle":"","family":"Oliver","given":"Ashley","non-dropping-particle":"","parse-names":false,"suffix":""},{"dropping-particle":"","family":"Rogers","given":"Meighan","non-dropping-particle":"","parse-names":false,"suffix":""},{"dropping-particle":"","family":"Schillinger","given":"Julia A.","non-dropping-particle":"","parse-names":false,"suffix":""}],"container-title":"Sexually Transmitted Diseases","id":"ITEM-1","issue":"11","issued":{"date-parts":[["2016","11"]]},"page":"673-678","title":"The Impact of Prescriptions on Sex Partner Treatment Using Expedited Partner Therapy for Chlamydia trachomatis Infection, New York City, 2014–2015","type":"article-journal","volume":"43"},"uris":["http://www.mendeley.com/documents/?uuid=e8f70f8e-c777-3f2e-8098-11ab5c8845fb"]}],"mendeley":{"formattedCitation":"&lt;sup&gt;111&lt;/sup&gt;","plainTextFormattedCitation":"111","previouslyFormattedCitation":"&lt;sup&gt;111&lt;/sup&gt;"},"properties":{"noteIndex":0},"schema":"https://github.com/citation-style-language/schema/raw/master/csl-citation.json"}</w:instrText>
      </w:r>
      <w:r w:rsidR="009503F6">
        <w:rPr>
          <w:rFonts w:ascii="Helvetica Neue" w:hAnsi="Helvetica Neue"/>
          <w:i/>
        </w:rPr>
        <w:fldChar w:fldCharType="separate"/>
      </w:r>
      <w:r w:rsidR="009503F6" w:rsidRPr="007D5177">
        <w:rPr>
          <w:rFonts w:ascii="Helvetica Neue" w:hAnsi="Helvetica Neue"/>
          <w:noProof/>
          <w:vertAlign w:val="superscript"/>
        </w:rPr>
        <w:t>111</w:t>
      </w:r>
      <w:r w:rsidR="009503F6">
        <w:rPr>
          <w:rFonts w:ascii="Helvetica Neue" w:hAnsi="Helvetica Neue"/>
          <w:i/>
        </w:rPr>
        <w:fldChar w:fldCharType="end"/>
      </w:r>
      <w:r w:rsidR="008A473B">
        <w:rPr>
          <w:rFonts w:ascii="Helvetica Neue" w:hAnsi="Helvetica Neue"/>
        </w:rPr>
        <w:t xml:space="preserve"> An </w:t>
      </w:r>
      <w:r w:rsidR="008A473B">
        <w:rPr>
          <w:rFonts w:ascii="Helvetica Neue" w:hAnsi="Helvetica Neue"/>
        </w:rPr>
        <w:lastRenderedPageBreak/>
        <w:t>analysis of New York City pharmacy data found 0.2 partner treatments per index patient, dropping to 0.07 treatments per index after excluding a large pharmacy.</w:t>
      </w:r>
      <w:r w:rsidR="008A473B">
        <w:rPr>
          <w:rFonts w:ascii="Helvetica Neue" w:hAnsi="Helvetica Neue"/>
          <w:i/>
        </w:rPr>
        <w:fldChar w:fldCharType="begin" w:fldLock="1"/>
      </w:r>
      <w:r w:rsidR="008A473B">
        <w:rPr>
          <w:rFonts w:ascii="Helvetica Neue" w:hAnsi="Helvetica Neue"/>
          <w:i/>
        </w:rPr>
        <w:instrText>ADDIN CSL_CITATION {"citationItems":[{"id":"ITEM-1","itemData":{"author":[{"dropping-particle":"","family":"Okah","given":"Ebiere","non-dropping-particle":"","parse-names":false,"suffix":""},{"dropping-particle":"","family":"Arya","given":"Vibhuti","non-dropping-particle":"","parse-names":false,"suffix":""},{"dropping-particle":"","family":"Rogers","given":"Meighan","non-dropping-particle":"","parse-names":false,"suffix":""},{"dropping-particle":"","family":"Kim","given":"Michelle","non-dropping-particle":"","parse-names":false,"suffix":""},{"dropping-particle":"","family":"Schillinger","given":"Julia Ann","non-dropping-particle":"","parse-names":false,"suffix":""}],"container-title":"Sexually Transmitted Diseases","id":"ITEM-1","issue":"2","issued":{"date-parts":[["2017","2"]]},"page":"104-108","title":"Sentinel Surveillance for Expedited Partner Therapy Prescriptions Using Pharmacy Data, in 2 New York City Neighborhoods, 2015","type":"article-journal","volume":"44"},"uris":["http://www.mendeley.com/documents/?uuid=abb708a6-a9f0-3cb0-9b95-d35ab9d165d4"]}],"mendeley":{"formattedCitation":"&lt;sup&gt;126&lt;/sup&gt;","plainTextFormattedCitation":"126","previouslyFormattedCitation":"&lt;sup&gt;126&lt;/sup&gt;"},"properties":{"noteIndex":0},"schema":"https://github.com/citation-style-language/schema/raw/master/csl-citation.json"}</w:instrText>
      </w:r>
      <w:r w:rsidR="008A473B">
        <w:rPr>
          <w:rFonts w:ascii="Helvetica Neue" w:hAnsi="Helvetica Neue"/>
          <w:i/>
        </w:rPr>
        <w:fldChar w:fldCharType="separate"/>
      </w:r>
      <w:r w:rsidR="008A473B" w:rsidRPr="009D6232">
        <w:rPr>
          <w:rFonts w:ascii="Helvetica Neue" w:hAnsi="Helvetica Neue"/>
          <w:noProof/>
          <w:vertAlign w:val="superscript"/>
        </w:rPr>
        <w:t>126</w:t>
      </w:r>
      <w:r w:rsidR="008A473B">
        <w:rPr>
          <w:rFonts w:ascii="Helvetica Neue" w:hAnsi="Helvetica Neue"/>
          <w:i/>
        </w:rPr>
        <w:fldChar w:fldCharType="end"/>
      </w:r>
    </w:p>
    <w:p w14:paraId="4414998C" w14:textId="48AABCAA" w:rsidR="0008615D" w:rsidRPr="002D764B" w:rsidRDefault="00384F34" w:rsidP="002D764B">
      <w:pPr>
        <w:spacing w:before="120" w:line="360" w:lineRule="auto"/>
        <w:rPr>
          <w:rFonts w:ascii="Helvetica Neue" w:hAnsi="Helvetica Neue"/>
          <w:i/>
        </w:rPr>
      </w:pPr>
      <w:r>
        <w:rPr>
          <w:rFonts w:ascii="Helvetica Neue" w:hAnsi="Helvetica Neue"/>
          <w:color w:val="000000"/>
        </w:rPr>
        <w:t>In a small</w:t>
      </w:r>
      <w:r w:rsidR="009046D9">
        <w:rPr>
          <w:rFonts w:ascii="Helvetica Neue" w:hAnsi="Helvetica Neue"/>
          <w:color w:val="000000"/>
        </w:rPr>
        <w:t xml:space="preserve"> PDPT </w:t>
      </w:r>
      <w:r>
        <w:rPr>
          <w:rFonts w:ascii="Helvetica Neue" w:hAnsi="Helvetica Neue"/>
          <w:color w:val="000000"/>
        </w:rPr>
        <w:t xml:space="preserve"> trial among MSM, the ratio of unadjusted means between the EPT and control arms was 1.53, with EPT recipients having</w:t>
      </w:r>
      <w:r w:rsidR="00A111E8">
        <w:rPr>
          <w:rFonts w:ascii="Helvetica Neue" w:hAnsi="Helvetica Neue"/>
          <w:color w:val="000000"/>
        </w:rPr>
        <w:t>, on average,</w:t>
      </w:r>
      <w:r>
        <w:rPr>
          <w:rFonts w:ascii="Helvetica Neue" w:hAnsi="Helvetica Neue"/>
          <w:color w:val="000000"/>
        </w:rPr>
        <w:t xml:space="preserve"> 2.33 partners (1.84 – 2.96) partners treated.</w:t>
      </w:r>
      <w:r>
        <w:rPr>
          <w:rFonts w:ascii="Helvetica Neue" w:hAnsi="Helvetica Neue"/>
          <w:i/>
        </w:rPr>
        <w:fldChar w:fldCharType="begin" w:fldLock="1"/>
      </w:r>
      <w:r>
        <w:rPr>
          <w:rFonts w:ascii="Helvetica Neue" w:hAnsi="Helvetica Neue"/>
          <w:i/>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mendeley":{"formattedCitation":"&lt;sup&gt;109&lt;/sup&gt;","plainTextFormattedCitation":"109","previouslyFormattedCitation":"&lt;sup&gt;109&lt;/sup&gt;"},"properties":{"noteIndex":0},"schema":"https://github.com/citation-style-language/schema/raw/master/csl-citation.json"}</w:instrText>
      </w:r>
      <w:r>
        <w:rPr>
          <w:rFonts w:ascii="Helvetica Neue" w:hAnsi="Helvetica Neue"/>
          <w:i/>
        </w:rPr>
        <w:fldChar w:fldCharType="separate"/>
      </w:r>
      <w:r w:rsidRPr="007D5177">
        <w:rPr>
          <w:rFonts w:ascii="Helvetica Neue" w:hAnsi="Helvetica Neue"/>
          <w:noProof/>
          <w:vertAlign w:val="superscript"/>
        </w:rPr>
        <w:t>109</w:t>
      </w:r>
      <w:r>
        <w:rPr>
          <w:rFonts w:ascii="Helvetica Neue" w:hAnsi="Helvetica Neue"/>
          <w:i/>
        </w:rPr>
        <w:fldChar w:fldCharType="end"/>
      </w:r>
      <w:r w:rsidR="004A1707">
        <w:rPr>
          <w:rFonts w:ascii="Helvetica Neue" w:hAnsi="Helvetica Neue"/>
          <w:i/>
        </w:rPr>
        <w:t xml:space="preserve"> </w:t>
      </w:r>
      <w:r w:rsidR="00F6670F" w:rsidRPr="002405DE">
        <w:rPr>
          <w:rFonts w:ascii="Helvetica Neue" w:hAnsi="Helvetica Neue"/>
          <w:color w:val="000000"/>
        </w:rPr>
        <w:t>In a</w:t>
      </w:r>
      <w:r w:rsidR="00875949">
        <w:rPr>
          <w:rFonts w:ascii="Helvetica Neue" w:hAnsi="Helvetica Neue"/>
          <w:color w:val="000000"/>
        </w:rPr>
        <w:t xml:space="preserve">n early PDPT </w:t>
      </w:r>
      <w:r w:rsidR="00F6670F" w:rsidRPr="002405DE">
        <w:rPr>
          <w:rFonts w:ascii="Helvetica Neue" w:hAnsi="Helvetica Neue"/>
          <w:color w:val="000000"/>
        </w:rPr>
        <w:t xml:space="preserve">trial </w:t>
      </w:r>
      <w:r w:rsidR="00F805ED">
        <w:rPr>
          <w:rFonts w:ascii="Helvetica Neue" w:hAnsi="Helvetica Neue"/>
          <w:color w:val="000000"/>
        </w:rPr>
        <w:t xml:space="preserve">(1998-2003) </w:t>
      </w:r>
      <w:r w:rsidR="00F6670F" w:rsidRPr="002405DE">
        <w:rPr>
          <w:rFonts w:ascii="Helvetica Neue" w:hAnsi="Helvetica Neue"/>
          <w:color w:val="000000"/>
        </w:rPr>
        <w:t>among</w:t>
      </w:r>
      <w:r w:rsidR="008E56A9">
        <w:rPr>
          <w:rFonts w:ascii="Helvetica Neue" w:hAnsi="Helvetica Neue"/>
          <w:color w:val="000000"/>
        </w:rPr>
        <w:t xml:space="preserve"> men and women in Washington state, 61% of index patients (519/850) said all partners were “very likely” to have been treated or tested negative for STIs, compared to 49% in the standard partner referral arm.</w:t>
      </w:r>
      <w:r w:rsidR="0099238A" w:rsidRPr="00F6670F">
        <w:rPr>
          <w:rFonts w:ascii="Helvetica Neue" w:hAnsi="Helvetica Neue"/>
          <w:i/>
          <w:color w:val="000000"/>
        </w:rPr>
        <w:fldChar w:fldCharType="begin" w:fldLock="1"/>
      </w:r>
      <w:r w:rsidR="00A73BC2" w:rsidRPr="00F6670F">
        <w:rPr>
          <w:rFonts w:ascii="Helvetica Neue" w:hAnsi="Helvetica Neue"/>
          <w:i/>
          <w:color w:val="000000"/>
        </w:rPr>
        <w:instrText>ADDIN CSL_CITATION {"citationItems":[{"id":"ITEM-1","itemData":{"DOI":"10.1056/NEJMoa041681","ISSN":"0028-4793","abstract":"Background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mendeley":{"formattedCitation":"&lt;sup&gt;120&lt;/sup&gt;","plainTextFormattedCitation":"120","previouslyFormattedCitation":"&lt;sup&gt;120&lt;/sup&gt;"},"properties":{"noteIndex":0},"schema":"https://github.com/citation-style-language/schema/raw/master/csl-citation.json"}</w:instrText>
      </w:r>
      <w:r w:rsidR="0099238A" w:rsidRPr="00F6670F">
        <w:rPr>
          <w:rFonts w:ascii="Helvetica Neue" w:hAnsi="Helvetica Neue"/>
          <w:i/>
          <w:color w:val="000000"/>
        </w:rPr>
        <w:fldChar w:fldCharType="separate"/>
      </w:r>
      <w:r w:rsidR="00A73BC2" w:rsidRPr="00F6670F">
        <w:rPr>
          <w:rFonts w:ascii="Helvetica Neue" w:hAnsi="Helvetica Neue"/>
          <w:noProof/>
          <w:color w:val="000000"/>
          <w:vertAlign w:val="superscript"/>
        </w:rPr>
        <w:t>120</w:t>
      </w:r>
      <w:r w:rsidR="0099238A" w:rsidRPr="00F6670F">
        <w:rPr>
          <w:rFonts w:ascii="Helvetica Neue" w:hAnsi="Helvetica Neue"/>
          <w:i/>
          <w:color w:val="000000"/>
        </w:rPr>
        <w:fldChar w:fldCharType="end"/>
      </w:r>
      <w:r w:rsidR="008E56A9">
        <w:rPr>
          <w:rFonts w:ascii="Helvetica Neue" w:hAnsi="Helvetica Neue"/>
          <w:color w:val="000000"/>
        </w:rPr>
        <w:t xml:space="preserve"> From the partner perspective, </w:t>
      </w:r>
      <w:r w:rsidR="00954F63">
        <w:rPr>
          <w:rFonts w:ascii="Helvetica Neue" w:hAnsi="Helvetica Neue"/>
          <w:color w:val="000000"/>
        </w:rPr>
        <w:t>77% of partners were notified by the patient, tested negative, or treated, equivalent to 78% in the standard partner referral arm.</w:t>
      </w:r>
      <w:r w:rsidR="00267917">
        <w:rPr>
          <w:rFonts w:ascii="Helvetica Neue" w:hAnsi="Helvetica Neue"/>
          <w:color w:val="000000"/>
        </w:rPr>
        <w:t xml:space="preserve"> I</w:t>
      </w:r>
      <w:r w:rsidR="00AB18C2">
        <w:rPr>
          <w:rFonts w:ascii="Helvetica Neue" w:hAnsi="Helvetica Neue"/>
          <w:color w:val="000000"/>
        </w:rPr>
        <w:t xml:space="preserve">n </w:t>
      </w:r>
      <w:r w:rsidR="00267917">
        <w:rPr>
          <w:rFonts w:ascii="Helvetica Neue" w:hAnsi="Helvetica Neue"/>
          <w:color w:val="000000"/>
        </w:rPr>
        <w:t>another Washington trial</w:t>
      </w:r>
      <w:r w:rsidR="0008615D">
        <w:rPr>
          <w:rFonts w:ascii="Helvetica Neue" w:hAnsi="Helvetica Neue"/>
          <w:color w:val="000000"/>
        </w:rPr>
        <w:t xml:space="preserve"> (2004-2005)</w:t>
      </w:r>
      <w:r w:rsidR="00267917">
        <w:rPr>
          <w:rFonts w:ascii="Helvetica Neue" w:hAnsi="Helvetica Neue"/>
          <w:color w:val="000000"/>
        </w:rPr>
        <w:t xml:space="preserve">, the percentage of </w:t>
      </w:r>
      <w:r w:rsidR="00382A0D">
        <w:rPr>
          <w:rFonts w:ascii="Helvetica Neue" w:hAnsi="Helvetica Neue"/>
          <w:color w:val="000000"/>
        </w:rPr>
        <w:t xml:space="preserve">index </w:t>
      </w:r>
      <w:r w:rsidR="00267917">
        <w:rPr>
          <w:rFonts w:ascii="Helvetica Neue" w:hAnsi="Helvetica Neue"/>
          <w:color w:val="000000"/>
        </w:rPr>
        <w:t>cases for whom all partners were treated increased from 39% to 58% following population-based EPT implementation</w:t>
      </w:r>
      <w:r w:rsidR="000D6DA0">
        <w:rPr>
          <w:rFonts w:ascii="Helvetica Neue" w:hAnsi="Helvetica Neue"/>
          <w:color w:val="000000"/>
        </w:rPr>
        <w:t xml:space="preserve">, with nearly three-quarters </w:t>
      </w:r>
      <w:r w:rsidR="00382A0D">
        <w:rPr>
          <w:rFonts w:ascii="Helvetica Neue" w:hAnsi="Helvetica Neue"/>
          <w:color w:val="000000"/>
        </w:rPr>
        <w:t>of partners for whom index cases accepted PDPT were treated</w:t>
      </w:r>
      <w:r w:rsidR="00267917">
        <w:rPr>
          <w:rFonts w:ascii="Helvetica Neue" w:hAnsi="Helvetica Neue"/>
          <w:color w:val="000000"/>
        </w:rPr>
        <w:t>.</w:t>
      </w:r>
      <w:r w:rsidR="00267917" w:rsidRPr="00062A34">
        <w:rPr>
          <w:rFonts w:ascii="Helvetica Neue" w:hAnsi="Helvetica Neue"/>
          <w:i/>
        </w:rPr>
        <w:fldChar w:fldCharType="begin" w:fldLock="1"/>
      </w:r>
      <w:r w:rsidR="00267917">
        <w:rPr>
          <w:rFonts w:ascii="Helvetica Neue" w:hAnsi="Helvetica Neue"/>
          <w:i/>
        </w:rPr>
        <w:instrText>ADDIN CSL_CITATION {"citationItems":[{"id":"ITEM-1","itemData":{"DOI":"10.1097/01.olq.0000258319.54316.06","ISSN":"0148-5717","author":[{"dropping-particle":"","family":"Golden","given":"Matthew R.","non-dropping-particle":"","parse-names":false,"suffix":""},{"dropping-particle":"","family":"Hughes","given":"James P","non-dropping-particle":"","parse-names":false,"suffix":""},{"dropping-particle":"","family":"Brewer","given":"Devon D.","non-dropping-particle":"","parse-names":false,"suffix":""},{"dropping-particle":"","family":"Holmes","given":"King K.","non-dropping-particle":"","parse-names":false,"suffix":""},{"dropping-particle":"","family":"Whittington","given":"William L.H.","non-dropping-particle":"","parse-names":false,"suffix":""},{"dropping-particle":"","family":"Hogben","given":"Matthew","non-dropping-particle":"","parse-names":false,"suffix":""},{"dropping-particle":"","family":"Malinski","given":"Cheryl","non-dropping-particle":"","parse-names":false,"suffix":""},{"dropping-particle":"","family":"Golding","given":"Anne","non-dropping-particle":"","parse-names":false,"suffix":""},{"dropping-particle":"","family":"Handsfield","given":"H. Hunter","non-dropping-particle":"","parse-names":false,"suffix":""}],"container-title":"Sexually Transmitted Diseases","id":"ITEM-1","issued":{"date-parts":[["2007","3"]]},"title":"Evaluation of a Population-Based Program of Expedited Partner Therapy for Gonorrhea and Chlamydial Infection","type":"article-journal","volume":"PAP"},"uris":["http://www.mendeley.com/documents/?uuid=c53e9c80-8856-3195-a13e-c2dc33c73d88"]}],"mendeley":{"formattedCitation":"&lt;sup&gt;113&lt;/sup&gt;","plainTextFormattedCitation":"113","previouslyFormattedCitation":"&lt;sup&gt;113&lt;/sup&gt;"},"properties":{"noteIndex":0},"schema":"https://github.com/citation-style-language/schema/raw/master/csl-citation.json"}</w:instrText>
      </w:r>
      <w:r w:rsidR="00267917" w:rsidRPr="00062A34">
        <w:rPr>
          <w:rFonts w:ascii="Helvetica Neue" w:hAnsi="Helvetica Neue"/>
          <w:i/>
        </w:rPr>
        <w:fldChar w:fldCharType="separate"/>
      </w:r>
      <w:r w:rsidR="00267917" w:rsidRPr="007D5177">
        <w:rPr>
          <w:rFonts w:ascii="Helvetica Neue" w:hAnsi="Helvetica Neue"/>
          <w:noProof/>
          <w:vertAlign w:val="superscript"/>
        </w:rPr>
        <w:t>113</w:t>
      </w:r>
      <w:r w:rsidR="00267917" w:rsidRPr="00062A34">
        <w:rPr>
          <w:rFonts w:ascii="Helvetica Neue" w:hAnsi="Helvetica Neue"/>
          <w:i/>
        </w:rPr>
        <w:fldChar w:fldCharType="end"/>
      </w:r>
    </w:p>
    <w:p w14:paraId="564EB91D" w14:textId="54719F23" w:rsidR="00346A4B" w:rsidRPr="006A10A0" w:rsidRDefault="00A11C1C" w:rsidP="006A10A0">
      <w:pPr>
        <w:spacing w:before="120" w:line="360" w:lineRule="auto"/>
        <w:rPr>
          <w:rFonts w:ascii="Helvetica Neue" w:hAnsi="Helvetica Neue"/>
          <w:i/>
        </w:rPr>
      </w:pPr>
      <w:r>
        <w:rPr>
          <w:rFonts w:ascii="Helvetica Neue" w:hAnsi="Helvetica Neue"/>
        </w:rPr>
        <w:t xml:space="preserve">Given the nature of the research question and primary analysis, we evaluated a range of possible scenarios. </w:t>
      </w:r>
      <w:r w:rsidR="00346A4B" w:rsidRPr="00E02758">
        <w:rPr>
          <w:rFonts w:ascii="Helvetica Neue" w:hAnsi="Helvetica Neue"/>
        </w:rPr>
        <w:t>We selected, as base value</w:t>
      </w:r>
      <w:r w:rsidR="00A476F2">
        <w:rPr>
          <w:rFonts w:ascii="Helvetica Neue" w:hAnsi="Helvetica Neue"/>
        </w:rPr>
        <w:t>s</w:t>
      </w:r>
      <w:r w:rsidR="00346A4B" w:rsidRPr="00E02758">
        <w:rPr>
          <w:rFonts w:ascii="Helvetica Neue" w:hAnsi="Helvetica Neue"/>
        </w:rPr>
        <w:t xml:space="preserve"> for analyses of other steps of the EPT continuum, uptake likelihoods </w:t>
      </w:r>
      <w:r w:rsidR="009E3F66" w:rsidRPr="00E02758">
        <w:rPr>
          <w:rFonts w:ascii="Helvetica Neue" w:hAnsi="Helvetica Neue"/>
        </w:rPr>
        <w:t>of</w:t>
      </w:r>
      <w:r w:rsidR="00346A4B" w:rsidRPr="00E02758">
        <w:rPr>
          <w:rFonts w:ascii="Helvetica Neue" w:hAnsi="Helvetica Neue"/>
        </w:rPr>
        <w:t xml:space="preserve"> 80% among main partners provided with the medication (ended or ongoing)</w:t>
      </w:r>
      <w:r w:rsidR="00096B02">
        <w:rPr>
          <w:rFonts w:ascii="Helvetica Neue" w:hAnsi="Helvetica Neue"/>
        </w:rPr>
        <w:t>,</w:t>
      </w:r>
      <w:r w:rsidR="00346A4B" w:rsidRPr="00E02758">
        <w:rPr>
          <w:rFonts w:ascii="Helvetica Neue" w:hAnsi="Helvetica Neue"/>
        </w:rPr>
        <w:t xml:space="preserve"> 80% among casual partners provided with the medication (ended or ongoing)</w:t>
      </w:r>
      <w:r w:rsidR="00096B02">
        <w:rPr>
          <w:rFonts w:ascii="Helvetica Neue" w:hAnsi="Helvetica Neue"/>
        </w:rPr>
        <w:t>,</w:t>
      </w:r>
      <w:r w:rsidR="00346A4B" w:rsidRPr="00E02758">
        <w:rPr>
          <w:rFonts w:ascii="Helvetica Neue" w:hAnsi="Helvetica Neue"/>
        </w:rPr>
        <w:t xml:space="preserve"> and 80% among one-time partners provided with the medication.</w:t>
      </w:r>
    </w:p>
    <w:p w14:paraId="5F173B2F" w14:textId="4AD0124B" w:rsidR="008032E5" w:rsidRPr="00E02758" w:rsidRDefault="008032E5" w:rsidP="008032E5">
      <w:pPr>
        <w:pStyle w:val="Heading2"/>
        <w:rPr>
          <w:rFonts w:ascii="Helvetica Neue" w:hAnsi="Helvetica Neue"/>
          <w:color w:val="auto"/>
          <w:szCs w:val="22"/>
        </w:rPr>
      </w:pPr>
      <w:bookmarkStart w:id="57" w:name="_Toc2361407"/>
      <w:r w:rsidRPr="00E02758">
        <w:rPr>
          <w:rFonts w:ascii="Helvetica Neue" w:hAnsi="Helvetica Neue"/>
          <w:color w:val="auto"/>
          <w:szCs w:val="22"/>
        </w:rPr>
        <w:t>12.</w:t>
      </w:r>
      <w:r w:rsidR="0073502C" w:rsidRPr="00E02758">
        <w:rPr>
          <w:rFonts w:ascii="Helvetica Neue" w:hAnsi="Helvetica Neue"/>
          <w:color w:val="auto"/>
          <w:szCs w:val="22"/>
        </w:rPr>
        <w:t>5</w:t>
      </w:r>
      <w:r w:rsidR="00A01511" w:rsidRPr="00E02758">
        <w:rPr>
          <w:rFonts w:ascii="Helvetica Neue" w:hAnsi="Helvetica Neue"/>
          <w:color w:val="auto"/>
          <w:szCs w:val="22"/>
        </w:rPr>
        <w:tab/>
        <w:t>Treatment Success (</w:t>
      </w:r>
      <w:r w:rsidR="00CD755E" w:rsidRPr="00E02758">
        <w:rPr>
          <w:rFonts w:ascii="Helvetica Neue" w:hAnsi="Helvetica Neue"/>
          <w:color w:val="auto"/>
          <w:szCs w:val="22"/>
        </w:rPr>
        <w:t>EPT Adherence</w:t>
      </w:r>
      <w:r w:rsidRPr="00E02758">
        <w:rPr>
          <w:rFonts w:ascii="Helvetica Neue" w:hAnsi="Helvetica Neue"/>
          <w:color w:val="auto"/>
          <w:szCs w:val="22"/>
        </w:rPr>
        <w:t xml:space="preserve"> and Progression to STI Treatment</w:t>
      </w:r>
      <w:r w:rsidR="00A01511" w:rsidRPr="00E02758">
        <w:rPr>
          <w:rFonts w:ascii="Helvetica Neue" w:hAnsi="Helvetica Neue"/>
          <w:color w:val="auto"/>
          <w:szCs w:val="22"/>
        </w:rPr>
        <w:t>)</w:t>
      </w:r>
      <w:bookmarkEnd w:id="57"/>
    </w:p>
    <w:p w14:paraId="4CC6F7A6" w14:textId="02E23D3F" w:rsidR="006D43ED" w:rsidRPr="00E02758" w:rsidRDefault="006D43ED" w:rsidP="006D43ED">
      <w:pPr>
        <w:tabs>
          <w:tab w:val="left" w:pos="540"/>
        </w:tabs>
        <w:spacing w:line="360" w:lineRule="auto"/>
        <w:rPr>
          <w:rFonts w:ascii="Helvetica Neue" w:hAnsi="Helvetica Neue"/>
        </w:rPr>
      </w:pPr>
      <w:r w:rsidRPr="00E02758">
        <w:rPr>
          <w:rFonts w:ascii="Helvetica Neue" w:hAnsi="Helvetica Neue"/>
        </w:rPr>
        <w:t xml:space="preserve">We selected, as a base value for analyses of other steps of the EPT continuum, </w:t>
      </w:r>
      <w:r>
        <w:rPr>
          <w:rFonts w:ascii="Helvetica Neue" w:hAnsi="Helvetica Neue"/>
        </w:rPr>
        <w:t xml:space="preserve">a treatment success/adherence probability of 100% among partners taking the medication, meaning that every partner taking EPT was treated effectively. In the future, we hope that this parameter may account for factors such as potential NG treatment failure or the differential effects of </w:t>
      </w:r>
      <w:r w:rsidR="009E3F66">
        <w:rPr>
          <w:rFonts w:ascii="Helvetica Neue" w:hAnsi="Helvetica Neue"/>
        </w:rPr>
        <w:t>EPT</w:t>
      </w:r>
      <w:r>
        <w:rPr>
          <w:rFonts w:ascii="Helvetica Neue" w:hAnsi="Helvetica Neue"/>
        </w:rPr>
        <w:t xml:space="preserve"> dosages or regimens</w:t>
      </w:r>
      <w:r w:rsidRPr="00E02758">
        <w:rPr>
          <w:rFonts w:ascii="Helvetica Neue" w:hAnsi="Helvetica Neue"/>
        </w:rPr>
        <w:t>.</w:t>
      </w:r>
    </w:p>
    <w:p w14:paraId="03590B14" w14:textId="34E1DA8B" w:rsidR="00560FBC" w:rsidRPr="006D43ED" w:rsidRDefault="00560FBC" w:rsidP="00CE2FAE">
      <w:pPr>
        <w:pStyle w:val="Heading2"/>
        <w:numPr>
          <w:ilvl w:val="1"/>
          <w:numId w:val="50"/>
        </w:numPr>
        <w:rPr>
          <w:rFonts w:ascii="Helvetica Neue" w:hAnsi="Helvetica Neue"/>
          <w:i w:val="0"/>
        </w:rPr>
      </w:pPr>
      <w:bookmarkStart w:id="58" w:name="_Toc2361408"/>
      <w:r w:rsidRPr="00CE2FAE">
        <w:rPr>
          <w:rFonts w:ascii="Helvetica Neue" w:hAnsi="Helvetica Neue"/>
        </w:rPr>
        <w:t>Other</w:t>
      </w:r>
      <w:r w:rsidR="00CE2FAE">
        <w:rPr>
          <w:rFonts w:ascii="Helvetica Neue" w:hAnsi="Helvetica Neue"/>
        </w:rPr>
        <w:t xml:space="preserve"> Statistics</w:t>
      </w:r>
      <w:r w:rsidR="00E450D6">
        <w:rPr>
          <w:rFonts w:ascii="Helvetica Neue" w:hAnsi="Helvetica Neue"/>
        </w:rPr>
        <w:t xml:space="preserve"> Relevant to EPT</w:t>
      </w:r>
      <w:bookmarkEnd w:id="58"/>
    </w:p>
    <w:p w14:paraId="1C3351EA" w14:textId="03EEACB3" w:rsidR="001369D4" w:rsidRDefault="00CE2FAE" w:rsidP="003A0FF1">
      <w:pPr>
        <w:tabs>
          <w:tab w:val="left" w:pos="540"/>
        </w:tabs>
        <w:spacing w:line="360" w:lineRule="auto"/>
        <w:rPr>
          <w:rFonts w:ascii="Helvetica Neue" w:hAnsi="Helvetica Neue"/>
        </w:rPr>
      </w:pPr>
      <w:r>
        <w:rPr>
          <w:rFonts w:ascii="Helvetica Neue" w:hAnsi="Helvetica Neue"/>
        </w:rPr>
        <w:t xml:space="preserve">Other data points outside of the EPT continuum </w:t>
      </w:r>
      <w:r w:rsidR="00E450D6">
        <w:rPr>
          <w:rFonts w:ascii="Helvetica Neue" w:hAnsi="Helvetica Neue"/>
        </w:rPr>
        <w:t xml:space="preserve">that are relevant to EPT </w:t>
      </w:r>
      <w:r>
        <w:rPr>
          <w:rFonts w:ascii="Helvetica Neue" w:hAnsi="Helvetica Neue"/>
        </w:rPr>
        <w:t>were reported in these trials and other studies.</w:t>
      </w:r>
      <w:r w:rsidR="00E450D6">
        <w:rPr>
          <w:rFonts w:ascii="Helvetica Neue" w:hAnsi="Helvetica Neue"/>
        </w:rPr>
        <w:t xml:space="preserve"> </w:t>
      </w:r>
      <w:r w:rsidR="006E1C90">
        <w:rPr>
          <w:rFonts w:ascii="Helvetica Neue" w:hAnsi="Helvetica Neue"/>
        </w:rPr>
        <w:t xml:space="preserve">These results may influence or further describe the EPT </w:t>
      </w:r>
      <w:r w:rsidR="006E1C90">
        <w:rPr>
          <w:rFonts w:ascii="Helvetica Neue" w:hAnsi="Helvetica Neue"/>
        </w:rPr>
        <w:lastRenderedPageBreak/>
        <w:t xml:space="preserve">continuum or inform further implementation, such as care-seeking following receipt of EPT medication. </w:t>
      </w:r>
      <w:r w:rsidR="006C614C" w:rsidRPr="006C614C">
        <w:rPr>
          <w:rFonts w:ascii="Helvetica Neue" w:hAnsi="Helvetica Neue"/>
        </w:rPr>
        <w:t>A small</w:t>
      </w:r>
      <w:r w:rsidR="00111965">
        <w:rPr>
          <w:rFonts w:ascii="Helvetica Neue" w:hAnsi="Helvetica Neue"/>
        </w:rPr>
        <w:t xml:space="preserve"> EPT</w:t>
      </w:r>
      <w:r w:rsidR="006C614C" w:rsidRPr="006C614C">
        <w:rPr>
          <w:rFonts w:ascii="Helvetica Neue" w:hAnsi="Helvetica Neue"/>
        </w:rPr>
        <w:t xml:space="preserve"> trial </w:t>
      </w:r>
      <w:r w:rsidR="006C614C">
        <w:rPr>
          <w:rFonts w:ascii="Helvetica Neue" w:hAnsi="Helvetica Neue"/>
        </w:rPr>
        <w:t>among MSM evaluated intention to seek care.</w:t>
      </w:r>
      <w:r w:rsidR="00AE2306">
        <w:rPr>
          <w:rFonts w:ascii="Helvetica Neue" w:hAnsi="Helvetica Neue"/>
        </w:rPr>
        <w:t xml:space="preserve"> If given medication by their partner, compared to being given the medication by a provider, around 40% were more likely to be treated for the STD or tested by HIV or syphilis, while 11% and 13% were less likely to be treated for the STD or tested for HIV or syphilis, respectively.</w:t>
      </w:r>
      <w:r w:rsidR="00560FBC" w:rsidRPr="00CE2FAE">
        <w:rPr>
          <w:rFonts w:ascii="Helvetica Neue" w:hAnsi="Helvetica Neue"/>
          <w:i/>
        </w:rPr>
        <w:fldChar w:fldCharType="begin" w:fldLock="1"/>
      </w:r>
      <w:r w:rsidR="00291558">
        <w:rPr>
          <w:rFonts w:ascii="Helvetica Neue" w:hAnsi="Helvetica Neue"/>
          <w:i/>
        </w:rPr>
        <w:instrText>ADDIN CSL_CITATION {"citationItems":[{"id":"ITEM-1","itemData":{"DOI":"10.1097/OLQ.0b013e31827adc06","ISSN":"1537-4521","PMID":"23324981","abstract":"BACKGROUND Little is known about how men who have sex with men (MSM) exposed to a sexually transmitted infection respond to receiving patient-delivered partner therapy (PDPT) or electronic partner notification postcards (e-cards). METHODS We anonymously surveyed MSM in a sexually transmitted disease (STD) clinic and a private medical practice. Three scenarios were presented in which participants had oral or anal sex with a new partner and were subsequently notified of a chlamydia or gonorrhea exposure and offered PDPT by the partner. A fourth scenario described partner notification via an anonymous inSPOT e-card. We asked participants if they would see a doctor, test for HIV/STD, and/or notify other partners in each situation. RESULTS Among 198 MSM, the percentage indicating that they would seek a medical evaluation was higher when scenarios described proctitis (97%-98%) versus pharyngitis (84%) or no symptoms (84%-89%). In the absence of symptoms, men indicated that they would be less likely to seek care (62% vs. 84%-88%, P &lt; 0.0001) and notify partners (85% vs. 69%, P &lt; 0.0001) if notified via an anonymous e-card than if notified directly by a partner. Approximately half reported that they would use PDPT provided by a partner. In the absence of symptoms, men who indicated that they would use PDPT reported that they would seek medical care less frequently than men who indicated that they would not take PDPT (74% vs. 92% [P = 0.0007 for oral sex exposure] 82% vs. 94%-94% [P = 0.01 or unprotected anal sex exposure]). CONCLUSIONS Although many MSM express interest in using PDPT and anonymous e-cards, these methods may result in missed opportunities to test for HIV and other STDs.","author":[{"dropping-particle":"","family":"Kerani","given":"Roxanne Pieper","non-dropping-particle":"","parse-names":false,"suffix":""},{"dropping-particle":"","family":"Fleming","given":"Mark","non-dropping-particle":"","parse-names":false,"suffix":""},{"dropping-particle":"","family":"Golden","given":"Matthew Robert","non-dropping-particle":"","parse-names":false,"suffix":""}],"container-title":"Sexually transmitted diseases","id":"ITEM-1","issue":"2","issued":{"date-parts":[["2013","2"]]},"page":"179-85","title":"Acceptability and intention to seek medical care after hypothetical receipt of patient-delivered partner therapy or electronic partner notification postcards among men who have sex with men: the partner's perspective.","type":"article-journal","volume":"40"},"uris":["http://www.mendeley.com/documents/?uuid=806f32a6-a211-34a4-b6d9-221223c4481c"]}],"mendeley":{"formattedCitation":"&lt;sup&gt;123&lt;/sup&gt;","plainTextFormattedCitation":"123","previouslyFormattedCitation":"&lt;sup&gt;123&lt;/sup&gt;"},"properties":{"noteIndex":0},"schema":"https://github.com/citation-style-language/schema/raw/master/csl-citation.json"}</w:instrText>
      </w:r>
      <w:r w:rsidR="00560FBC" w:rsidRPr="00CE2FAE">
        <w:rPr>
          <w:rFonts w:ascii="Helvetica Neue" w:hAnsi="Helvetica Neue"/>
          <w:i/>
        </w:rPr>
        <w:fldChar w:fldCharType="separate"/>
      </w:r>
      <w:r w:rsidR="00D429F0" w:rsidRPr="00D429F0">
        <w:rPr>
          <w:rFonts w:ascii="Helvetica Neue" w:hAnsi="Helvetica Neue"/>
          <w:noProof/>
          <w:vertAlign w:val="superscript"/>
        </w:rPr>
        <w:t>123</w:t>
      </w:r>
      <w:r w:rsidR="00560FBC" w:rsidRPr="00CE2FAE">
        <w:rPr>
          <w:rFonts w:ascii="Helvetica Neue" w:hAnsi="Helvetica Neue"/>
          <w:i/>
        </w:rPr>
        <w:fldChar w:fldCharType="end"/>
      </w:r>
      <w:r w:rsidR="004E2A35">
        <w:rPr>
          <w:rFonts w:ascii="Helvetica Neue" w:hAnsi="Helvetica Neue"/>
          <w:i/>
        </w:rPr>
        <w:t xml:space="preserve"> </w:t>
      </w:r>
      <w:r w:rsidR="004E2A35">
        <w:rPr>
          <w:rFonts w:ascii="Helvetica Neue" w:hAnsi="Helvetica Neue"/>
        </w:rPr>
        <w:t>When given these hypothetical scenarios, 85% of men being notified by a partner reported that they would notify their other partners, thus reaching secondary contacts of an index case.</w:t>
      </w:r>
      <w:r w:rsidR="00677318">
        <w:rPr>
          <w:rFonts w:ascii="Helvetica Neue" w:hAnsi="Helvetica Neue"/>
        </w:rPr>
        <w:t xml:space="preserve"> </w:t>
      </w:r>
      <w:r w:rsidR="00193053">
        <w:rPr>
          <w:rFonts w:ascii="Helvetica Neue" w:hAnsi="Helvetica Neue"/>
        </w:rPr>
        <w:t>In a small trial of PDPT among MSM, the ratio of unadjusted means comparing the PDPT arm to the no-PDPT arm was 0.55 for HIV testing and 0.88 for syphilis testing, meaning that partners receiving PDPT were less likely to pursue other testing or seek care.</w:t>
      </w:r>
      <w:r w:rsidR="00193053">
        <w:rPr>
          <w:rFonts w:ascii="Helvetica Neue" w:hAnsi="Helvetica Neue"/>
          <w:i/>
        </w:rPr>
        <w:fldChar w:fldCharType="begin" w:fldLock="1"/>
      </w:r>
      <w:r w:rsidR="00193053">
        <w:rPr>
          <w:rFonts w:ascii="Helvetica Neue" w:hAnsi="Helvetica Neue"/>
          <w:i/>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mendeley":{"formattedCitation":"&lt;sup&gt;109&lt;/sup&gt;","plainTextFormattedCitation":"109","previouslyFormattedCitation":"&lt;sup&gt;109&lt;/sup&gt;"},"properties":{"noteIndex":0},"schema":"https://github.com/citation-style-language/schema/raw/master/csl-citation.json"}</w:instrText>
      </w:r>
      <w:r w:rsidR="00193053">
        <w:rPr>
          <w:rFonts w:ascii="Helvetica Neue" w:hAnsi="Helvetica Neue"/>
          <w:i/>
        </w:rPr>
        <w:fldChar w:fldCharType="separate"/>
      </w:r>
      <w:r w:rsidR="00193053" w:rsidRPr="007D5177">
        <w:rPr>
          <w:rFonts w:ascii="Helvetica Neue" w:hAnsi="Helvetica Neue"/>
          <w:noProof/>
          <w:vertAlign w:val="superscript"/>
        </w:rPr>
        <w:t>109</w:t>
      </w:r>
      <w:r w:rsidR="00193053">
        <w:rPr>
          <w:rFonts w:ascii="Helvetica Neue" w:hAnsi="Helvetica Neue"/>
          <w:i/>
        </w:rPr>
        <w:fldChar w:fldCharType="end"/>
      </w:r>
      <w:r w:rsidR="00193053">
        <w:rPr>
          <w:rFonts w:ascii="Helvetica Neue" w:hAnsi="Helvetica Neue"/>
        </w:rPr>
        <w:t xml:space="preserve"> </w:t>
      </w:r>
      <w:r w:rsidR="00677318">
        <w:rPr>
          <w:rFonts w:ascii="Helvetica Neue" w:hAnsi="Helvetica Neue"/>
        </w:rPr>
        <w:t>The mean time to dispensation of medication to partners was measured</w:t>
      </w:r>
      <w:r w:rsidR="000B0221">
        <w:rPr>
          <w:rFonts w:ascii="Helvetica Neue" w:hAnsi="Helvetica Neue"/>
        </w:rPr>
        <w:t xml:space="preserve"> as 3.1 days (SD = 8.7 days) for patients with chlamydia and both chlamydia and gonorrhea, and 6.1 days (SD = 9.2 days) for patients with gonorrhea in one trial.</w:t>
      </w:r>
      <w:r w:rsidR="000B0221">
        <w:rPr>
          <w:rFonts w:ascii="Helvetica Neue" w:hAnsi="Helvetica Neue"/>
          <w:i/>
          <w:color w:val="000000"/>
        </w:rPr>
        <w:fldChar w:fldCharType="begin" w:fldLock="1"/>
      </w:r>
      <w:r w:rsidR="000B0221">
        <w:rPr>
          <w:rFonts w:ascii="Helvetica Neue" w:hAnsi="Helvetica Neue"/>
          <w:i/>
          <w:color w:val="000000"/>
        </w:rPr>
        <w:instrText>ADDIN CSL_CITATION {"citationItems":[{"id":"ITEM-1","itemData":{"DOI":"10.1056/NEJMoa041681","ISSN":"0028-4793","abstract":"Background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mendeley":{"formattedCitation":"&lt;sup&gt;120&lt;/sup&gt;","plainTextFormattedCitation":"120","previouslyFormattedCitation":"&lt;sup&gt;120&lt;/sup&gt;"},"properties":{"noteIndex":0},"schema":"https://github.com/citation-style-language/schema/raw/master/csl-citation.json"}</w:instrText>
      </w:r>
      <w:r w:rsidR="000B0221">
        <w:rPr>
          <w:rFonts w:ascii="Helvetica Neue" w:hAnsi="Helvetica Neue"/>
          <w:i/>
          <w:color w:val="000000"/>
        </w:rPr>
        <w:fldChar w:fldCharType="separate"/>
      </w:r>
      <w:r w:rsidR="000B0221" w:rsidRPr="00A73BC2">
        <w:rPr>
          <w:rFonts w:ascii="Helvetica Neue" w:hAnsi="Helvetica Neue"/>
          <w:noProof/>
          <w:color w:val="000000"/>
          <w:vertAlign w:val="superscript"/>
        </w:rPr>
        <w:t>120</w:t>
      </w:r>
      <w:r w:rsidR="000B0221">
        <w:rPr>
          <w:rFonts w:ascii="Helvetica Neue" w:hAnsi="Helvetica Neue"/>
          <w:i/>
          <w:color w:val="000000"/>
        </w:rPr>
        <w:fldChar w:fldCharType="end"/>
      </w:r>
      <w:r w:rsidR="008C797D">
        <w:rPr>
          <w:rFonts w:ascii="Helvetica Neue" w:hAnsi="Helvetica Neue"/>
          <w:i/>
          <w:color w:val="000000"/>
        </w:rPr>
        <w:t xml:space="preserve"> </w:t>
      </w:r>
    </w:p>
    <w:p w14:paraId="2024DBFC" w14:textId="1A7454A2" w:rsidR="00C340B0" w:rsidRPr="001369D4" w:rsidRDefault="004E2A35" w:rsidP="003A0FF1">
      <w:pPr>
        <w:tabs>
          <w:tab w:val="left" w:pos="540"/>
        </w:tabs>
        <w:spacing w:line="360" w:lineRule="auto"/>
        <w:rPr>
          <w:rFonts w:ascii="Helvetica Neue" w:hAnsi="Helvetica Neue"/>
        </w:rPr>
      </w:pPr>
      <w:r>
        <w:rPr>
          <w:rFonts w:ascii="Helvetica Neue" w:hAnsi="Helvetica Neue"/>
        </w:rPr>
        <w:t xml:space="preserve">The reinfection risk or rate </w:t>
      </w:r>
      <w:r w:rsidR="005845A0">
        <w:rPr>
          <w:rFonts w:ascii="Helvetica Neue" w:hAnsi="Helvetica Neue"/>
        </w:rPr>
        <w:t>of index patients</w:t>
      </w:r>
      <w:r w:rsidR="00BB535D">
        <w:rPr>
          <w:rFonts w:ascii="Helvetica Neue" w:hAnsi="Helvetica Neue"/>
        </w:rPr>
        <w:t xml:space="preserve"> </w:t>
      </w:r>
      <w:r>
        <w:rPr>
          <w:rFonts w:ascii="Helvetica Neue" w:hAnsi="Helvetica Neue"/>
        </w:rPr>
        <w:t>in EPT trials has also been a measure of interest, spanning a variety of different time periods.</w:t>
      </w:r>
      <w:r>
        <w:rPr>
          <w:rFonts w:ascii="Helvetica Neue" w:hAnsi="Helvetica Neue"/>
          <w:i/>
        </w:rPr>
        <w:t xml:space="preserve"> </w:t>
      </w:r>
      <w:r w:rsidRPr="004E2A35">
        <w:rPr>
          <w:rFonts w:ascii="Helvetica Neue" w:hAnsi="Helvetica Neue"/>
        </w:rPr>
        <w:t>In one year</w:t>
      </w:r>
      <w:r>
        <w:rPr>
          <w:rFonts w:ascii="Helvetica Neue" w:hAnsi="Helvetica Neue"/>
        </w:rPr>
        <w:t xml:space="preserve"> in a San Francisco EPT trial, 18.57% of index patients were </w:t>
      </w:r>
      <w:proofErr w:type="spellStart"/>
      <w:r>
        <w:rPr>
          <w:rFonts w:ascii="Helvetica Neue" w:hAnsi="Helvetica Neue"/>
        </w:rPr>
        <w:t>reinfected</w:t>
      </w:r>
      <w:proofErr w:type="spellEnd"/>
      <w:r>
        <w:rPr>
          <w:rFonts w:ascii="Helvetica Neue" w:hAnsi="Helvetica Neue"/>
        </w:rPr>
        <w:t xml:space="preserve"> with chlamydia, with 15.75% reinfection among MSM with chlamydia</w:t>
      </w:r>
      <w:r>
        <w:rPr>
          <w:rFonts w:ascii="Helvetica Neue" w:hAnsi="Helvetica Neue"/>
          <w:i/>
        </w:rPr>
        <w:t>.</w:t>
      </w:r>
      <w:r w:rsidR="00325CFA">
        <w:rPr>
          <w:rFonts w:ascii="Helvetica Neue" w:hAnsi="Helvetica Neue"/>
          <w:i/>
        </w:rPr>
        <w:fldChar w:fldCharType="begin" w:fldLock="1"/>
      </w:r>
      <w:r w:rsidR="00665BF2">
        <w:rPr>
          <w:rFonts w:ascii="Helvetica Neue" w:hAnsi="Helvetica Neue"/>
          <w:i/>
        </w:rPr>
        <w:instrText>ADDIN CSL_CITATION {"citationItems":[{"id":"ITEM-1","itemData":{"DOI":"10.1097/OLQ.0b013e3181d8920f","ISSN":"1537-4521","PMID":"20502392","abstract":"BACKGROUND Patient-delivered partner therapy (PDPT) has been evaluated in randomized trials. No analysis has examined the impact of PDPT once implemented programmatically. METHODS We examined the association between receiving PDPT and Chlamydia trachomatis and Neisseria gonorrhoeae reinfection within 1 year in patients diagnosed at San Francisco City Clinic between October 31, 2005 and March 31, 2008. Propensity score modeling was used to control for the difference between persons who did and did not receive PDPT. RESULTS There was no significant difference between patients who received PDPT and those that did not in the crude cumulative risk for repeat infection with C. trachomatis or N. gonorrhoeae. Using propensity score analysis, the adjusted relative risk was 0.99 (0.86-1.14) for chlamydial reinfection and 0.90 (0.72-1.11) for gonococcal reinfection. Further analysis looking at men who have sex with men, men who have sex with women, and females showed no significant reductions in relative risk of reinfection for C. trachomatis or N. gonorrhoeae in these sub populations. CONCLUSIONS Continued evaluation of PDPT on reinfection rates in real world settings as well as cost-effectiveness analyses of PDPT are needed to assess this alternative method of partner treatment.","author":[{"dropping-particle":"","family":"Stephens","given":"Sally C","non-dropping-particle":"","parse-names":false,"suffix":""},{"dropping-particle":"","family":"Bernstein","given":"Kyle T","non-dropping-particle":"","parse-names":false,"suffix":""},{"dropping-particle":"","family":"Katz","given":"Mitchell H","non-dropping-particle":"","parse-names":false,"suffix":""},{"dropping-particle":"","family":"Philip","given":"Susan S","non-dropping-particle":"","parse-names":false,"suffix":""},{"dropping-particle":"","family":"Klausner","given":"Jeffrey D","non-dropping-particle":"","parse-names":false,"suffix":""}],"container-title":"Sexually transmitted diseases","id":"ITEM-1","issue":"8","issued":{"date-parts":[["2010","8"]]},"page":"525-9","title":"The effectiveness of patient-delivered partner therapy and chlamydial and gonococcal reinfection in San Francisco.","type":"article-journal","volume":"37"},"uris":["http://www.mendeley.com/documents/?uuid=6e4df939-2c21-39bc-b781-0d0d74d7345b"]}],"mendeley":{"formattedCitation":"&lt;sup&gt;127&lt;/sup&gt;","plainTextFormattedCitation":"127","previouslyFormattedCitation":"&lt;sup&gt;127&lt;/sup&gt;"},"properties":{"noteIndex":0},"schema":"https://github.com/citation-style-language/schema/raw/master/csl-citation.json"}</w:instrText>
      </w:r>
      <w:r w:rsidR="00325CFA">
        <w:rPr>
          <w:rFonts w:ascii="Helvetica Neue" w:hAnsi="Helvetica Neue"/>
          <w:i/>
        </w:rPr>
        <w:fldChar w:fldCharType="separate"/>
      </w:r>
      <w:r w:rsidR="009D6232" w:rsidRPr="009D6232">
        <w:rPr>
          <w:rFonts w:ascii="Helvetica Neue" w:hAnsi="Helvetica Neue"/>
          <w:noProof/>
          <w:vertAlign w:val="superscript"/>
        </w:rPr>
        <w:t>127</w:t>
      </w:r>
      <w:r w:rsidR="00325CFA">
        <w:rPr>
          <w:rFonts w:ascii="Helvetica Neue" w:hAnsi="Helvetica Neue"/>
          <w:i/>
        </w:rPr>
        <w:fldChar w:fldCharType="end"/>
      </w:r>
      <w:r w:rsidR="005845A0">
        <w:rPr>
          <w:rFonts w:ascii="Helvetica Neue" w:hAnsi="Helvetica Neue"/>
        </w:rPr>
        <w:t xml:space="preserve">At follow-up in a trial of women diagnosed with CT, 11% and 10% were </w:t>
      </w:r>
      <w:proofErr w:type="spellStart"/>
      <w:r w:rsidR="005845A0">
        <w:rPr>
          <w:rFonts w:ascii="Helvetica Neue" w:hAnsi="Helvetica Neue"/>
        </w:rPr>
        <w:t>reinfected</w:t>
      </w:r>
      <w:proofErr w:type="spellEnd"/>
      <w:r w:rsidR="005845A0">
        <w:rPr>
          <w:rFonts w:ascii="Helvetica Neue" w:hAnsi="Helvetica Neue"/>
        </w:rPr>
        <w:t xml:space="preserve"> among those providing and not providing PDPT to partners, respectively</w:t>
      </w:r>
      <w:r w:rsidR="00325CFA" w:rsidRPr="005845A0">
        <w:rPr>
          <w:rFonts w:ascii="Helvetica Neue" w:hAnsi="Helvetica Neue"/>
          <w:i/>
        </w:rPr>
        <w:fldChar w:fldCharType="begin" w:fldLock="1"/>
      </w:r>
      <w:r w:rsidR="00665BF2" w:rsidRPr="005845A0">
        <w:rPr>
          <w:rFonts w:ascii="Helvetica Neue" w:hAnsi="Helvetica Neue"/>
          <w:i/>
        </w:rPr>
        <w:instrText>ADDIN CSL_CITATION {"citationItems":[{"id":"ITEM-1","itemData":{"ISSN":"0148-5717","PMID":"12514443","abstract":"BACKGROUND Repeated infection with C trachomatis increases the risk for serious sequelae: pelvic inflammatory disease, ectopic pregnancy, infertility, and chronic pelvic pain. A substantial proportion of women treated for C trachomatis infection are reinfected by an untreated male sex partner in the first several months after treatment. Effective strategies to ensure partner treatment are needed. GOAL The goal of the study was to determine whether repeated infections with C trachomatis can be reduced by giving women doses of azithromycin to deliver to male sex partners. STUDY DESIGN A multicenter randomized controlled trial was conducted among 1,787 women aged 14 to 34 years with uncomplicated C trachomatis genital infection diagnosed at family planning, adolescent, sexually transmitted disease, and primary care clinics or emergency or other hospital departments in five US cities. Women treated for infection were randomized to one of two groups: patient-delivered partner treatment (in which they were given a dose of azithromycin to deliver to each sex partner) or self-referral (in which they were asked to refer their sex partners for treatment). The main outcome measure was C trachomatis DNA detected by urine ligase chain reaction (LCR) or polymerase chain reaction (PCR) by 4 months after treatment. RESULTS The characteristics of study participants enrolled in each arm were similar except for a small difference in the age distribution. Risk of reinfection was 20% lower among women in the patient-delivered partner treatment arm (87/728; 12%) than among those in the self-referral arm (106/726; 15%); however, this difference was not statistically significant (odds ratio, 0.80; 95% confidence interval, 0.62-1.05; = 0.102). Women in the patient-delivered partner treatment arm reported high compliance with the intervention (82%). CONCLUSION Patient-delivered partner treatment for prevention of repeated infection among women is comparable to self-referral and may be an appropriate option for some patients.","author":[{"dropping-particle":"","family":"Schillinger","given":"Julia A","non-dropping-particle":"","parse-names":false,"suffix":""},{"dropping-particle":"","family":"Kissinger","given":"Patricia","non-dropping-particle":"","parse-names":false,"suffix":""},{"dropping-particle":"","family":"Calvet","given":"Helene","non-dropping-particle":"","parse-names":false,"suffix":""},{"dropping-particle":"","family":"Whittington","given":"William L H","non-dropping-particle":"","parse-names":false,"suffix":""},{"dropping-particle":"","family":"Ransom","given":"Ray L","non-dropping-particle":"","parse-names":false,"suffix":""},{"dropping-particle":"","family":"Sternberg","given":"Maya R","non-dropping-particle":"","parse-names":false,"suffix":""},{"dropping-particle":"","family":"Berman","given":"Stuart M","non-dropping-particle":"","parse-names":false,"suffix":""},{"dropping-particle":"","family":"Kent","given":"Charlotte K","non-dropping-particle":"","parse-names":false,"suffix":""},{"dropping-particle":"","family":"Martin","given":"David H","non-dropping-particle":"","parse-names":false,"suffix":""},{"dropping-particle":"","family":"Oh","given":"M Kim","non-dropping-particle":"","parse-names":false,"suffix":""},{"dropping-particle":"","family":"Handsfield","given":"H Hunter","non-dropping-particle":"","parse-names":false,"suffix":""},{"dropping-particle":"","family":"Bolan","given":"Gail","non-dropping-particle":"","parse-names":false,"suffix":""},{"dropping-particle":"","family":"Markowitz","given":"Lauri E","non-dropping-particle":"","parse-names":false,"suffix":""},{"dropping-particle":"","family":"Fortenberry","given":"J Dennis","non-dropping-particle":"","parse-names":false,"suffix":""}],"container-title":"Sexually transmitted diseases","id":"ITEM-1","issue":"1","issued":{"date-parts":[["2003","1"]]},"page":"49-56","title":"Patient-delivered partner treatment with azithromycin to prevent repeated Chlamydia trachomatis infection among women: a randomized, controlled trial.","type":"article-journal","volume":"30"},"uris":["http://www.mendeley.com/documents/?uuid=f58252bd-f218-3352-a25b-3845142f368b"]}],"mendeley":{"formattedCitation":"&lt;sup&gt;118&lt;/sup&gt;","plainTextFormattedCitation":"118","previouslyFormattedCitation":"&lt;sup&gt;118&lt;/sup&gt;"},"properties":{"noteIndex":0},"schema":"https://github.com/citation-style-language/schema/raw/master/csl-citation.json"}</w:instrText>
      </w:r>
      <w:r w:rsidR="00325CFA" w:rsidRPr="005845A0">
        <w:rPr>
          <w:rFonts w:ascii="Helvetica Neue" w:hAnsi="Helvetica Neue"/>
          <w:i/>
        </w:rPr>
        <w:fldChar w:fldCharType="separate"/>
      </w:r>
      <w:r w:rsidR="0070415A" w:rsidRPr="005845A0">
        <w:rPr>
          <w:rFonts w:ascii="Helvetica Neue" w:hAnsi="Helvetica Neue"/>
          <w:noProof/>
          <w:vertAlign w:val="superscript"/>
        </w:rPr>
        <w:t>118</w:t>
      </w:r>
      <w:r w:rsidR="00325CFA" w:rsidRPr="005845A0">
        <w:rPr>
          <w:rFonts w:ascii="Helvetica Neue" w:hAnsi="Helvetica Neue"/>
          <w:i/>
        </w:rPr>
        <w:fldChar w:fldCharType="end"/>
      </w:r>
      <w:r w:rsidR="005845A0">
        <w:rPr>
          <w:rFonts w:ascii="Helvetica Neue" w:hAnsi="Helvetica Neue"/>
          <w:i/>
        </w:rPr>
        <w:t xml:space="preserve">, </w:t>
      </w:r>
      <w:r w:rsidR="005845A0" w:rsidRPr="005845A0">
        <w:rPr>
          <w:rFonts w:ascii="Helvetica Neue" w:hAnsi="Helvetica Neue"/>
        </w:rPr>
        <w:t>while similar proportions were</w:t>
      </w:r>
      <w:r w:rsidR="005845A0">
        <w:rPr>
          <w:rFonts w:ascii="Helvetica Neue" w:hAnsi="Helvetica Neue"/>
          <w:i/>
        </w:rPr>
        <w:t xml:space="preserve"> </w:t>
      </w:r>
      <w:r w:rsidR="005845A0">
        <w:rPr>
          <w:rFonts w:ascii="Helvetica Neue" w:hAnsi="Helvetica Neue"/>
        </w:rPr>
        <w:t xml:space="preserve">observed </w:t>
      </w:r>
      <w:r w:rsidR="00B33858">
        <w:rPr>
          <w:rFonts w:ascii="Helvetica Neue" w:hAnsi="Helvetica Neue"/>
        </w:rPr>
        <w:t xml:space="preserve">in a trial </w:t>
      </w:r>
      <w:r w:rsidR="005845A0">
        <w:rPr>
          <w:rFonts w:ascii="Helvetica Neue" w:hAnsi="Helvetica Neue"/>
        </w:rPr>
        <w:t xml:space="preserve">among </w:t>
      </w:r>
      <w:r w:rsidR="006E4540">
        <w:rPr>
          <w:rFonts w:ascii="Helvetica Neue" w:hAnsi="Helvetica Neue"/>
        </w:rPr>
        <w:t>women with chlamydia attending family planning clinics</w:t>
      </w:r>
      <w:r w:rsidR="005845A0">
        <w:rPr>
          <w:rFonts w:ascii="Helvetica Neue" w:hAnsi="Helvetica Neue"/>
        </w:rPr>
        <w:t xml:space="preserve"> </w:t>
      </w:r>
      <w:r w:rsidR="006E4540">
        <w:rPr>
          <w:rFonts w:ascii="Helvetica Neue" w:hAnsi="Helvetica Neue"/>
        </w:rPr>
        <w:t xml:space="preserve">in New </w:t>
      </w:r>
      <w:r w:rsidR="00B33858">
        <w:rPr>
          <w:rFonts w:ascii="Helvetica Neue" w:hAnsi="Helvetica Neue"/>
        </w:rPr>
        <w:t xml:space="preserve">Orleans </w:t>
      </w:r>
      <w:r w:rsidR="005845A0">
        <w:rPr>
          <w:rFonts w:ascii="Helvetica Neue" w:hAnsi="Helvetica Neue"/>
        </w:rPr>
        <w:t>(11.5%)</w:t>
      </w:r>
      <w:r w:rsidR="00BB5E93">
        <w:rPr>
          <w:rFonts w:ascii="Helvetica Neue" w:hAnsi="Helvetica Neue"/>
          <w:i/>
        </w:rPr>
        <w:fldChar w:fldCharType="begin" w:fldLock="1"/>
      </w:r>
      <w:r w:rsidR="00BB5E93">
        <w:rPr>
          <w:rFonts w:ascii="Helvetica Neue" w:hAnsi="Helvetica Neue"/>
          <w:i/>
        </w:rPr>
        <w:instrText>ADDIN CSL_CITATION {"citationItems":[{"id":"ITEM-1","itemData":{"ISSN":"1368-4973","PMID":"10195027","abstract":"OBJECTIVE To determine if providing Chlamydia trachomatis infected women with medication to deliver to their sex partner(s) could reduce recurrent chlamydia infections compared with the standard partner referral method. STUDY DESIGN A observational cohort study of 178 women, 14-39 years old attending a family planning clinic, diagnosed and treated for C trachomatis between October 1993 and December 1994 was conducted (43 received patient delivered partner medication (PDPM) and 135 received partner referral cards). Women were retested before or at their annual visit. RESULTS The mean time of follow up was 17.7 months (SD 7.7). The PDPM group (n = 43) was similar to partner referral group (n = 135) for age, race, contraceptive method, history of an STD, and follow up time. The annual recurrent infection rate was lower among the PDPM group compared with the partner referral group (11.5% v 25.5%, p &lt; 0.05). After adjusting for age in logistic regression, women in the PDPM group were less likely than women in the partner referral group to have an incident C trachomatis infection (OR 0.37, 95% CI 0.15-0.97, p &lt; 0.05). CONCLUSION These findings suggest that patient delivered partner medication can protect women from recurrent C trachomatis infection compared with the standard partner referral approach. Prospective studies with larger sample sizes are under way.","author":[{"dropping-particle":"","family":"Kissinger","given":"P","non-dropping-particle":"","parse-names":false,"suffix":""},{"dropping-particle":"","family":"Brown","given":"R","non-dropping-particle":"","parse-names":false,"suffix":""},{"dropping-particle":"","family":"Reed","given":"K","non-dropping-particle":"","parse-names":false,"suffix":""},{"dropping-particle":"","family":"Salifou","given":"J","non-dropping-particle":"","parse-names":false,"suffix":""},{"dropping-particle":"","family":"Drake","given":"A","non-dropping-particle":"","parse-names":false,"suffix":""},{"dropping-particle":"","family":"Farley","given":"T A","non-dropping-particle":"","parse-names":false,"suffix":""},{"dropping-particle":"","family":"Martin","given":"D H","non-dropping-particle":"","parse-names":false,"suffix":""}],"container-title":"Sexually transmitted infections","id":"ITEM-1","issue":"5","issued":{"date-parts":[["1998","10"]]},"page":"331-3","title":"Effectiveness of patient delivered partner medication for preventing recurrent Chlamydia trachomatis.","type":"article-journal","volume":"74"},"uris":["http://www.mendeley.com/documents/?uuid=9bdcbe3a-a774-3ef1-a799-a8839125aac7"]}],"mendeley":{"formattedCitation":"&lt;sup&gt;128&lt;/sup&gt;","plainTextFormattedCitation":"128","previouslyFormattedCitation":"&lt;sup&gt;128&lt;/sup&gt;"},"properties":{"noteIndex":0},"schema":"https://github.com/citation-style-language/schema/raw/master/csl-citation.json"}</w:instrText>
      </w:r>
      <w:r w:rsidR="00BB5E93">
        <w:rPr>
          <w:rFonts w:ascii="Helvetica Neue" w:hAnsi="Helvetica Neue"/>
          <w:i/>
        </w:rPr>
        <w:fldChar w:fldCharType="separate"/>
      </w:r>
      <w:r w:rsidR="00BB5E93" w:rsidRPr="009D6232">
        <w:rPr>
          <w:rFonts w:ascii="Helvetica Neue" w:hAnsi="Helvetica Neue"/>
          <w:noProof/>
          <w:vertAlign w:val="superscript"/>
        </w:rPr>
        <w:t>128</w:t>
      </w:r>
      <w:r w:rsidR="00BB5E93">
        <w:rPr>
          <w:rFonts w:ascii="Helvetica Neue" w:hAnsi="Helvetica Neue"/>
          <w:i/>
        </w:rPr>
        <w:fldChar w:fldCharType="end"/>
      </w:r>
      <w:r w:rsidR="005845A0">
        <w:rPr>
          <w:rFonts w:ascii="Helvetica Neue" w:hAnsi="Helvetica Neue"/>
        </w:rPr>
        <w:t xml:space="preserve"> and men in </w:t>
      </w:r>
      <w:r w:rsidR="00A105A0">
        <w:rPr>
          <w:rFonts w:ascii="Helvetica Neue" w:hAnsi="Helvetica Neue"/>
        </w:rPr>
        <w:t>Washington</w:t>
      </w:r>
      <w:r w:rsidR="00BB5E93">
        <w:rPr>
          <w:rFonts w:ascii="Helvetica Neue" w:hAnsi="Helvetica Neue"/>
        </w:rPr>
        <w:t xml:space="preserve"> state (7%)</w:t>
      </w:r>
      <w:r w:rsidR="00BB5E93" w:rsidRPr="00BB5E93">
        <w:rPr>
          <w:rFonts w:ascii="Helvetica Neue" w:hAnsi="Helvetica Neue"/>
          <w:i/>
          <w:color w:val="000000"/>
        </w:rPr>
        <w:t>.</w:t>
      </w:r>
      <w:r w:rsidR="006C0743" w:rsidRPr="00BB5E93">
        <w:rPr>
          <w:rFonts w:ascii="Helvetica Neue" w:hAnsi="Helvetica Neue"/>
          <w:i/>
          <w:color w:val="000000"/>
        </w:rPr>
        <w:fldChar w:fldCharType="begin" w:fldLock="1"/>
      </w:r>
      <w:r w:rsidR="00A73BC2" w:rsidRPr="00BB5E93">
        <w:rPr>
          <w:rFonts w:ascii="Helvetica Neue" w:hAnsi="Helvetica Neue"/>
          <w:i/>
          <w:color w:val="000000"/>
        </w:rPr>
        <w:instrText>ADDIN CSL_CITATION {"citationItems":[{"id":"ITEM-1","itemData":{"DOI":"10.1056/NEJMoa041681","ISSN":"0028-4793","abstract":"Background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mendeley":{"formattedCitation":"&lt;sup&gt;120&lt;/sup&gt;","plainTextFormattedCitation":"120","previouslyFormattedCitation":"&lt;sup&gt;120&lt;/sup&gt;"},"properties":{"noteIndex":0},"schema":"https://github.com/citation-style-language/schema/raw/master/csl-citation.json"}</w:instrText>
      </w:r>
      <w:r w:rsidR="006C0743" w:rsidRPr="00BB5E93">
        <w:rPr>
          <w:rFonts w:ascii="Helvetica Neue" w:hAnsi="Helvetica Neue"/>
          <w:i/>
          <w:color w:val="000000"/>
        </w:rPr>
        <w:fldChar w:fldCharType="separate"/>
      </w:r>
      <w:r w:rsidR="00A73BC2" w:rsidRPr="00BB5E93">
        <w:rPr>
          <w:rFonts w:ascii="Helvetica Neue" w:hAnsi="Helvetica Neue"/>
          <w:noProof/>
          <w:color w:val="000000"/>
          <w:vertAlign w:val="superscript"/>
        </w:rPr>
        <w:t>120</w:t>
      </w:r>
      <w:r w:rsidR="006C0743" w:rsidRPr="00BB5E93">
        <w:rPr>
          <w:rFonts w:ascii="Helvetica Neue" w:hAnsi="Helvetica Neue"/>
          <w:i/>
          <w:color w:val="000000"/>
        </w:rPr>
        <w:fldChar w:fldCharType="end"/>
      </w:r>
      <w:r w:rsidR="003A0FF1">
        <w:rPr>
          <w:rFonts w:ascii="Helvetica Neue" w:hAnsi="Helvetica Neue"/>
          <w:i/>
          <w:color w:val="000000"/>
        </w:rPr>
        <w:t xml:space="preserve"> </w:t>
      </w:r>
      <w:r w:rsidR="003A0FF1">
        <w:rPr>
          <w:rFonts w:ascii="Helvetica Neue" w:hAnsi="Helvetica Neue"/>
          <w:color w:val="000000"/>
        </w:rPr>
        <w:t>In the Peruvian MSM trial, 91% STI prevalence at baseline was reduced to 2.4% two weeks later.</w:t>
      </w:r>
      <w:r w:rsidR="006A1D82">
        <w:rPr>
          <w:rFonts w:ascii="Helvetica Neue" w:hAnsi="Helvetica Neue"/>
          <w:i/>
        </w:rPr>
        <w:fldChar w:fldCharType="begin" w:fldLock="1"/>
      </w:r>
      <w:r w:rsidR="00291558">
        <w:rPr>
          <w:rFonts w:ascii="Helvetica Neue" w:hAnsi="Helvetica Neue"/>
          <w:i/>
        </w:rPr>
        <w:instrText>ADDIN CSL_CITATION {"citationItems":[{"id":"ITEM-1","itemData":{"DOI":"10.1186/s12916-017-0858-9","ISSN":"1741-7015","author":[{"dropping-particle":"","family":"Clark","given":"Jesse L.","non-dropping-particle":"","parse-names":false,"suffix":""},{"dropping-particle":"","family":"Segura","given":"Eddy R.","non-dropping-particle":"","parse-names":false,"suffix":""},{"dropping-particle":"","family":"Oldenburg","given":"Catherine E.","non-dropping-particle":"","parse-names":false,"suffix":""},{"dropping-particle":"","family":"Rios","given":"Jessica","non-dropping-particle":"","parse-names":false,"suffix":""},{"dropping-particle":"","family":"Montano","given":"Silvia M.","non-dropping-particle":"","parse-names":false,"suffix":""},{"dropping-particle":"","family":"Perez-Brumer","given":"Amaya","non-dropping-particle":"","parse-names":false,"suffix":""},{"dropping-particle":"","family":"Villaran","given":"Manuel","non-dropping-particle":"","parse-names":false,"suffix":""},{"dropping-particle":"","family":"Sanchez","given":"Jorge","non-dropping-particle":"","parse-names":false,"suffix":""},{"dropping-particle":"","family":"Coates","given":"Thomas J.","non-dropping-particle":"","parse-names":false,"suffix":""},{"dropping-particle":"","family":"Lama","given":"Javier R.","non-dropping-particle":"","parse-names":false,"suffix":""}],"container-title":"BMC Medicine","id":"ITEM-1","issue":"1","issued":{"date-parts":[["2017","12","4"]]},"page":"94","title":"Expedited Partner Therapy (EPT) increases the frequency of partner notification among MSM in Lima, Peru: a pilot randomized controlled trial","type":"article-journal","volume":"15"},"uris":["http://www.mendeley.com/documents/?uuid=823d2418-555c-334d-9437-b38b2a01707d"]}],"mendeley":{"formattedCitation":"&lt;sup&gt;122&lt;/sup&gt;","plainTextFormattedCitation":"122","previouslyFormattedCitation":"&lt;sup&gt;122&lt;/sup&gt;"},"properties":{"noteIndex":0},"schema":"https://github.com/citation-style-language/schema/raw/master/csl-citation.json"}</w:instrText>
      </w:r>
      <w:r w:rsidR="006A1D82">
        <w:rPr>
          <w:rFonts w:ascii="Helvetica Neue" w:hAnsi="Helvetica Neue"/>
          <w:i/>
        </w:rPr>
        <w:fldChar w:fldCharType="separate"/>
      </w:r>
      <w:r w:rsidR="00D429F0" w:rsidRPr="00D429F0">
        <w:rPr>
          <w:rFonts w:ascii="Helvetica Neue" w:hAnsi="Helvetica Neue"/>
          <w:noProof/>
          <w:vertAlign w:val="superscript"/>
        </w:rPr>
        <w:t>122</w:t>
      </w:r>
      <w:r w:rsidR="006A1D82">
        <w:rPr>
          <w:rFonts w:ascii="Helvetica Neue" w:hAnsi="Helvetica Neue"/>
          <w:i/>
        </w:rPr>
        <w:fldChar w:fldCharType="end"/>
      </w:r>
    </w:p>
    <w:p w14:paraId="3DA65A79" w14:textId="26EAFE27" w:rsidR="007B4A12" w:rsidRPr="00C340B0" w:rsidRDefault="007B4A12" w:rsidP="003A0FF1">
      <w:pPr>
        <w:tabs>
          <w:tab w:val="left" w:pos="540"/>
        </w:tabs>
        <w:spacing w:line="360" w:lineRule="auto"/>
        <w:rPr>
          <w:rFonts w:ascii="Helvetica Neue" w:hAnsi="Helvetica Neue"/>
          <w:i/>
        </w:rPr>
      </w:pPr>
      <w:r>
        <w:rPr>
          <w:rFonts w:ascii="Helvetica Neue" w:hAnsi="Helvetica Neue"/>
        </w:rPr>
        <w:t xml:space="preserve">One concern surrounding </w:t>
      </w:r>
      <w:r w:rsidR="00FD4822">
        <w:rPr>
          <w:rFonts w:ascii="Helvetica Neue" w:hAnsi="Helvetica Neue"/>
        </w:rPr>
        <w:t xml:space="preserve">EPT is missed opportunities </w:t>
      </w:r>
      <w:r w:rsidR="00C910A4">
        <w:rPr>
          <w:rFonts w:ascii="Helvetica Neue" w:hAnsi="Helvetica Neue"/>
        </w:rPr>
        <w:t>for HIV and STI treatment. A few papers have looked at the prevalence of ST</w:t>
      </w:r>
      <w:r w:rsidR="0040743E">
        <w:rPr>
          <w:rFonts w:ascii="Helvetica Neue" w:hAnsi="Helvetica Neue"/>
        </w:rPr>
        <w:t>I</w:t>
      </w:r>
      <w:r w:rsidR="00C910A4">
        <w:rPr>
          <w:rFonts w:ascii="Helvetica Neue" w:hAnsi="Helvetica Neue"/>
        </w:rPr>
        <w:t xml:space="preserve">s in partners. One Australian analysis </w:t>
      </w:r>
      <w:r w:rsidR="0040743E">
        <w:rPr>
          <w:rFonts w:ascii="Helvetica Neue" w:hAnsi="Helvetica Neue"/>
        </w:rPr>
        <w:t>looked at sexual contacts of diagnosed gonorrhea or chlamydia cases, including MSM, and found that 13.8% of MSM were diagnosed with HIV or a bacterial STI different from the one that their partner had presented with.</w:t>
      </w:r>
      <w:r w:rsidR="0040743E">
        <w:rPr>
          <w:rFonts w:ascii="Helvetica Neue" w:hAnsi="Helvetica Neue"/>
          <w:i/>
        </w:rPr>
        <w:fldChar w:fldCharType="begin" w:fldLock="1"/>
      </w:r>
      <w:r w:rsidR="0040743E">
        <w:rPr>
          <w:rFonts w:ascii="Helvetica Neue" w:hAnsi="Helvetica Neue"/>
          <w:i/>
        </w:rPr>
        <w:instrText>ADDIN CSL_CITATION {"citationItems":[{"id":"ITEM-1","itemData":{"DOI":"10.1097/OLQ.0b013e3181761993","ISSN":"1537-4521","PMID":"18580822","author":[{"dropping-particle":"","family":"McNulty","given":"Anna","non-dropping-particle":"","parse-names":false,"suffix":""},{"dropping-particle":"","family":"Teh","given":"Min Fuh","non-dropping-particle":"","parse-names":false,"suffix":""},{"dropping-particle":"","family":"Freedman","given":"Ellie","non-dropping-particle":"","parse-names":false,"suffix":""}],"container-title":"Sexually transmitted diseases","id":"ITEM-1","issue":"9","issued":{"date-parts":[["2008","9"]]},"page":"834-6","title":"Patient delivered partner therapy for chlamydial infection--what would be missed?","type":"article-journal","volume":"35"},"uris":["http://www.mendeley.com/documents/?uuid=961f96b3-8b6f-3550-bf7e-979d23c20bd2"]}],"mendeley":{"formattedCitation":"&lt;sup&gt;129&lt;/sup&gt;","plainTextFormattedCitation":"129","previouslyFormattedCitation":"&lt;sup&gt;129&lt;/sup&gt;"},"properties":{"noteIndex":0},"schema":"https://github.com/citation-style-language/schema/raw/master/csl-citation.json"}</w:instrText>
      </w:r>
      <w:r w:rsidR="0040743E">
        <w:rPr>
          <w:rFonts w:ascii="Helvetica Neue" w:hAnsi="Helvetica Neue"/>
          <w:i/>
        </w:rPr>
        <w:fldChar w:fldCharType="separate"/>
      </w:r>
      <w:r w:rsidR="0040743E" w:rsidRPr="00CC13FE">
        <w:rPr>
          <w:rFonts w:ascii="Helvetica Neue" w:hAnsi="Helvetica Neue"/>
          <w:noProof/>
          <w:vertAlign w:val="superscript"/>
        </w:rPr>
        <w:t>129</w:t>
      </w:r>
      <w:r w:rsidR="0040743E">
        <w:rPr>
          <w:rFonts w:ascii="Helvetica Neue" w:hAnsi="Helvetica Neue"/>
          <w:i/>
        </w:rPr>
        <w:fldChar w:fldCharType="end"/>
      </w:r>
    </w:p>
    <w:p w14:paraId="044C9D24" w14:textId="117CA3F7" w:rsidR="00021D61" w:rsidRPr="004F581F" w:rsidRDefault="0040743E" w:rsidP="004F581F">
      <w:pPr>
        <w:tabs>
          <w:tab w:val="left" w:pos="540"/>
        </w:tabs>
        <w:spacing w:line="360" w:lineRule="auto"/>
        <w:rPr>
          <w:rFonts w:ascii="Helvetica Neue" w:hAnsi="Helvetica Neue"/>
        </w:rPr>
      </w:pPr>
      <w:r>
        <w:rPr>
          <w:rFonts w:ascii="Helvetica Neue" w:hAnsi="Helvetica Neue"/>
        </w:rPr>
        <w:lastRenderedPageBreak/>
        <w:t>Among those partners, 5.3% had a new HIV diagnosis</w:t>
      </w:r>
      <w:r w:rsidR="00CA39FA">
        <w:rPr>
          <w:rFonts w:ascii="Helvetica Neue" w:hAnsi="Helvetica Neue"/>
        </w:rPr>
        <w:t>.</w:t>
      </w:r>
      <w:r w:rsidR="00E450D6">
        <w:rPr>
          <w:rFonts w:ascii="Helvetica Neue" w:hAnsi="Helvetica Neue"/>
        </w:rPr>
        <w:t xml:space="preserve"> Looking at secondary contacts for all people evaluated (not just MSM), 28-29% of contacts were contacted, and it was estimated that between 3 and 7% of secondary contacts who need chlamydia treatment would be missed. A similar analysis using data from US STD clinics found that partners of </w:t>
      </w:r>
      <w:r w:rsidR="001D0BD0">
        <w:rPr>
          <w:rFonts w:ascii="Helvetica Neue" w:hAnsi="Helvetica Neue"/>
        </w:rPr>
        <w:t>index patients without detected infection were at high risk for STIs, and their infections often differed from the index partner.</w:t>
      </w:r>
      <w:r w:rsidR="007B4A12" w:rsidRPr="001D0BD0">
        <w:rPr>
          <w:rFonts w:ascii="Helvetica Neue" w:hAnsi="Helvetica Neue"/>
          <w:i/>
        </w:rPr>
        <w:fldChar w:fldCharType="begin" w:fldLock="1"/>
      </w:r>
      <w:r w:rsidR="007B4A12" w:rsidRPr="001D0BD0">
        <w:rPr>
          <w:rFonts w:ascii="Helvetica Neue" w:hAnsi="Helvetica Neue"/>
          <w:i/>
        </w:rPr>
        <w:instrText>ADDIN CSL_CITATION {"citationItems":[{"id":"ITEM-1","itemData":{"ISSN":"0148-5717","PMID":"15788928","abstract":"BACKGROUND Treatment of sex partners by patient-delivered partner therapy (PDPT) may prove to be an effective strategy in reducing reinfection and preventing the sequelae of sexually transmitted infections (STIs). However, limited data exists regarding STIs within sexual partnerships (dyads). OBJECTIVE The objective of this study was to determine the prevalence of Chlamydia trachomatis (CT), Neisseria gonorrhoeae (GC), and Trichomonas vaginalis (TV) in sexual dyads to estimate the potential yield and limitations of PDPT. METHODS Male and female STI clinic attendees were invited to participate. Index subjects and partners were interviewed and tested for CT, GC, and TV. All partners were sought regardless of infection status of the index subject. RESULTS Of 210 dyads, the prevalence in index subjects was CT, 46%; GC, 18%; and TV, 14%. Considering the partners of 72 CT-only-infected index subjects, 57% had CT, 6% had GC, and 11% had TV. Considering the partners of 35 index subjects with GC or GC-CT coinfection, 57% had GC and/or CT; however, in 20% of partners, unsuspected TV was present. Among 74 dyads with uninfected index subjects, 26% of partners had an STI. Among the partners of 19 index subjects with TV only, 11% had CT, 5% had GC, and 37% had TV. CONCLUSION In our clinic population, a substantial number of partners had infections different from or in addition to those infections in the index. Many of these infected partners would not be diagnosed and treated using PDPT. Partners of index attendees without detected infection were at high risk (26%) for STI, mostly CT.","author":[{"dropping-particle":"","family":"Khan","given":"Ayesha","non-dropping-particle":"","parse-names":false,"suffix":""},{"dropping-particle":"","family":"Fortenberry","given":"J Dennis","non-dropping-particle":"","parse-names":false,"suffix":""},{"dropping-particle":"","family":"Juliar","given":"Beth E","non-dropping-particle":"","parse-names":false,"suffix":""},{"dropping-particle":"","family":"Tu","given":"Wanzhu","non-dropping-particle":"","parse-names":false,"suffix":""},{"dropping-particle":"","family":"Orr","given":"Donald P","non-dropping-particle":"","parse-names":false,"suffix":""},{"dropping-particle":"","family":"Batteiger","given":"Byron E","non-dropping-particle":"","parse-names":false,"suffix":""}],"container-title":"Sexually transmitted diseases","id":"ITEM-1","issue":"4","issued":{"date-parts":[["2005","4"]]},"page":"260-4","title":"The prevalence of chlamydia, gonorrhea, and trichomonas in sexual partnerships: implications for partner notification and treatment.","type":"article-journal","volume":"32"},"uris":["http://www.mendeley.com/documents/?uuid=7178df5d-9986-305f-80e2-054e9154d257"]}],"mendeley":{"formattedCitation":"&lt;sup&gt;130&lt;/sup&gt;","plainTextFormattedCitation":"130","previouslyFormattedCitation":"&lt;sup&gt;130&lt;/sup&gt;"},"properties":{"noteIndex":0},"schema":"https://github.com/citation-style-language/schema/raw/master/csl-citation.json"}</w:instrText>
      </w:r>
      <w:r w:rsidR="007B4A12" w:rsidRPr="001D0BD0">
        <w:rPr>
          <w:rFonts w:ascii="Helvetica Neue" w:hAnsi="Helvetica Neue"/>
          <w:i/>
        </w:rPr>
        <w:fldChar w:fldCharType="separate"/>
      </w:r>
      <w:r w:rsidR="007B4A12" w:rsidRPr="001D0BD0">
        <w:rPr>
          <w:rFonts w:ascii="Helvetica Neue" w:hAnsi="Helvetica Neue"/>
          <w:noProof/>
          <w:vertAlign w:val="superscript"/>
        </w:rPr>
        <w:t>130</w:t>
      </w:r>
      <w:r w:rsidR="007B4A12" w:rsidRPr="001D0BD0">
        <w:rPr>
          <w:rFonts w:ascii="Helvetica Neue" w:hAnsi="Helvetica Neue"/>
          <w:i/>
        </w:rPr>
        <w:fldChar w:fldCharType="end"/>
      </w:r>
      <w:r w:rsidR="006505E7">
        <w:rPr>
          <w:rFonts w:ascii="Helvetica Neue" w:hAnsi="Helvetica Neue"/>
          <w:i/>
        </w:rPr>
        <w:t xml:space="preserve"> </w:t>
      </w:r>
      <w:r w:rsidR="001D18F9">
        <w:rPr>
          <w:rFonts w:ascii="Helvetica Neue" w:hAnsi="Helvetica Neue"/>
        </w:rPr>
        <w:t>Another aspect of missed opportunities relates to care-seeking among t</w:t>
      </w:r>
      <w:r w:rsidR="00BB7B59">
        <w:rPr>
          <w:rFonts w:ascii="Helvetica Neue" w:hAnsi="Helvetica Neue"/>
        </w:rPr>
        <w:t>hose</w:t>
      </w:r>
      <w:r w:rsidR="00026C77">
        <w:rPr>
          <w:rFonts w:ascii="Helvetica Neue" w:hAnsi="Helvetica Neue"/>
        </w:rPr>
        <w:t xml:space="preserve"> receiving EPT. </w:t>
      </w:r>
      <w:r w:rsidR="002F0CC3">
        <w:rPr>
          <w:rFonts w:ascii="Helvetica Neue" w:hAnsi="Helvetica Neue"/>
        </w:rPr>
        <w:t>In one of the larger EPT trials in New Orleans, 13.7% of index cases came to the clinic because they were contacts of a known infected person</w:t>
      </w:r>
      <w:r w:rsidR="000B583D">
        <w:rPr>
          <w:rFonts w:ascii="Helvetica Neue" w:hAnsi="Helvetica Neue"/>
        </w:rPr>
        <w:t>, 87.6% reported that they could contact the partner if they wanted to at baseline</w:t>
      </w:r>
      <w:r w:rsidR="002E6505">
        <w:rPr>
          <w:rFonts w:ascii="Helvetica Neue" w:hAnsi="Helvetica Neue"/>
        </w:rPr>
        <w:t xml:space="preserve">, </w:t>
      </w:r>
      <w:r w:rsidR="002F23C7">
        <w:rPr>
          <w:rFonts w:ascii="Helvetica Neue" w:hAnsi="Helvetica Neue"/>
        </w:rPr>
        <w:t xml:space="preserve">and a slightly smaller fraction (8.4% in PDPT arm </w:t>
      </w:r>
      <w:proofErr w:type="spellStart"/>
      <w:r w:rsidR="002F23C7">
        <w:rPr>
          <w:rFonts w:ascii="Helvetica Neue" w:hAnsi="Helvetica Neue"/>
        </w:rPr>
        <w:t>vs</w:t>
      </w:r>
      <w:proofErr w:type="spellEnd"/>
      <w:r w:rsidR="002F23C7">
        <w:rPr>
          <w:rFonts w:ascii="Helvetica Neue" w:hAnsi="Helvetica Neue"/>
        </w:rPr>
        <w:t xml:space="preserve"> 12.7% in standard partner referral arm) had unprotected sex prior to the partner taking any medication.</w:t>
      </w:r>
      <w:r w:rsidR="007577AF">
        <w:rPr>
          <w:rFonts w:ascii="Helvetica Neue" w:hAnsi="Helvetica Neue"/>
          <w:i/>
        </w:rPr>
        <w:fldChar w:fldCharType="begin" w:fldLock="1"/>
      </w:r>
      <w:r w:rsidR="00291558">
        <w:rPr>
          <w:rFonts w:ascii="Helvetica Neue" w:hAnsi="Helvetica Neue"/>
          <w:i/>
        </w:rPr>
        <w:instrText>ADDIN CSL_CITATION {"citationItems":[{"id":"ITEM-1","itemData":{"DOI":"10.1086/432476","PMID":"16080084","abstract":"BACKGROUND Traditional partner referral for sexually transmitted diseases (STDs) is ineffective at assuring that partners are treated. Alternative methods are needed. We sought to determine whether patient-delivered partner treatment (PDPT) is better than 2 different methods of partner referral in providing antibiotic treatment to sex partners of men with urethritis and in reducing recurrence of Chlamydia trachomatis and Neisseria gonorrhoeae. METHODS Men who received a diagnosis of urethritis at a public STD clinic in New Orleans, Louisiana, during the period of December 2001 through March 2004 were randomly assigned according to the month of treatment for either standard partner referral (PR), booklet-enhanced partner referral (BEPR), or PDPT. At baseline and after 1 month, men were asked to provide information about each partner and were tested for C. trachomatis and N. gonorrhoeae. RESULTS Most enrolled index men (n = 977) were &gt; 24 years of age (51.6%) and African American (95%) and had &gt; or = 2 partners (68.3%). They reported information on 1991 partners, and 78.8% were reinterviewed 4-8 weeks later. Men in the PDPT arm were more likely than men in the BEPR and PR arms to report having seen their partners, having talked to their partners about the infection, having given the intervention to their partners, and having been told by their partners that the antibiotic treatment had been taken (55.8%, 45.6%, and 35.0%, respectively; P &lt; .001). Of men who were reinterviewed, 37.5% agreed to follow-up testing for N. gonorrhoeae and C. trachomatis infection. Those tested were similar to those not tested with regard to the study variables measured. Among those tested, men in the PDPT and BEPR arms were less likely than those in the PR arm to test positive for C. trachomatis and/or N. gonorrhoeae (23.0%, 14.3%, and 42.7%, respectively; P &lt; .001). CONCLUSION Among heterosexual men with urethritis, PDPT was better than standard partner referral for treatment of partners and prevention of recurrence of C. trachomatis or N. gonorrhoeae infection.","author":[{"dropping-particle":"","family":"Kissinger","given":"Patricia","non-dropping-particle":"","parse-names":false,"suffix":""},{"dropping-particle":"","family":"Mohammed","given":"Hamish","non-dropping-particle":"","parse-names":false,"suffix":""},{"dropping-particle":"","family":"Richardson-Alston","given":"Gwangi","non-dropping-particle":"","parse-names":false,"suffix":""},{"dropping-particle":"","family":"Leichliter","given":"Jami S","non-dropping-particle":"","parse-names":false,"suffix":""},{"dropping-particle":"","family":"Taylor","given":"Stephanie N","non-dropping-particle":"","parse-names":false,"suffix":""},{"dropping-particle":"","family":"Martin","given":"David H","non-dropping-particle":"","parse-names":false,"suffix":""},{"dropping-particle":"","family":"Farley","given":"Thomas A","non-dropping-particle":"","parse-names":false,"suffix":""}],"container-title":"Clinical Infectious Diseases","id":"ITEM-1","issue":"5","issued":{"date-parts":[["2005","9","1"]]},"page":"623-9","title":"Patient-delivered partner treatment for male urethritis: a randomized, controlled trial.","type":"article-journal","volume":"41"},"uris":["http://www.mendeley.com/documents/?uuid=b899e15a-905f-3b40-81b2-6e13179675bf"]}],"mendeley":{"formattedCitation":"&lt;sup&gt;124&lt;/sup&gt;","plainTextFormattedCitation":"124","previouslyFormattedCitation":"&lt;sup&gt;124&lt;/sup&gt;"},"properties":{"noteIndex":0},"schema":"https://github.com/citation-style-language/schema/raw/master/csl-citation.json"}</w:instrText>
      </w:r>
      <w:r w:rsidR="007577AF">
        <w:rPr>
          <w:rFonts w:ascii="Helvetica Neue" w:hAnsi="Helvetica Neue"/>
          <w:i/>
        </w:rPr>
        <w:fldChar w:fldCharType="separate"/>
      </w:r>
      <w:r w:rsidR="00D429F0" w:rsidRPr="00D429F0">
        <w:rPr>
          <w:rFonts w:ascii="Helvetica Neue" w:hAnsi="Helvetica Neue"/>
          <w:noProof/>
          <w:vertAlign w:val="superscript"/>
        </w:rPr>
        <w:t>124</w:t>
      </w:r>
      <w:r w:rsidR="007577AF">
        <w:rPr>
          <w:rFonts w:ascii="Helvetica Neue" w:hAnsi="Helvetica Neue"/>
          <w:i/>
        </w:rPr>
        <w:fldChar w:fldCharType="end"/>
      </w:r>
      <w:r w:rsidR="004F581F">
        <w:rPr>
          <w:rFonts w:ascii="Helvetica Neue" w:hAnsi="Helvetica Neue"/>
        </w:rPr>
        <w:t xml:space="preserve"> </w:t>
      </w:r>
      <w:r w:rsidR="006976D2">
        <w:rPr>
          <w:rFonts w:ascii="Helvetica Neue" w:hAnsi="Helvetica Neue"/>
        </w:rPr>
        <w:t xml:space="preserve">93% of those who would not take PDPT would seek care in a hypothetical scenario with asymptomatic infection and </w:t>
      </w:r>
      <w:proofErr w:type="spellStart"/>
      <w:r w:rsidR="006976D2">
        <w:rPr>
          <w:rFonts w:ascii="Helvetica Neue" w:hAnsi="Helvetica Neue"/>
        </w:rPr>
        <w:t>condomless</w:t>
      </w:r>
      <w:proofErr w:type="spellEnd"/>
      <w:r w:rsidR="006976D2">
        <w:rPr>
          <w:rFonts w:ascii="Helvetica Neue" w:hAnsi="Helvetica Neue"/>
        </w:rPr>
        <w:t xml:space="preserve"> </w:t>
      </w:r>
      <w:proofErr w:type="spellStart"/>
      <w:r w:rsidR="006976D2">
        <w:rPr>
          <w:rFonts w:ascii="Helvetica Neue" w:hAnsi="Helvetica Neue"/>
        </w:rPr>
        <w:t>insertive</w:t>
      </w:r>
      <w:proofErr w:type="spellEnd"/>
      <w:r w:rsidR="006976D2">
        <w:rPr>
          <w:rFonts w:ascii="Helvetica Neue" w:hAnsi="Helvetica Neue"/>
        </w:rPr>
        <w:t xml:space="preserve"> anal sex, compared to 84% among those who would take PDPT.</w:t>
      </w:r>
      <w:r w:rsidR="006976D2" w:rsidRPr="001369D4">
        <w:rPr>
          <w:rFonts w:ascii="Helvetica Neue" w:hAnsi="Helvetica Neue"/>
          <w:i/>
        </w:rPr>
        <w:t xml:space="preserve"> </w:t>
      </w:r>
      <w:r w:rsidR="006976D2" w:rsidRPr="00CE2FAE">
        <w:rPr>
          <w:rFonts w:ascii="Helvetica Neue" w:hAnsi="Helvetica Neue"/>
          <w:i/>
        </w:rPr>
        <w:fldChar w:fldCharType="begin" w:fldLock="1"/>
      </w:r>
      <w:r w:rsidR="00291558">
        <w:rPr>
          <w:rFonts w:ascii="Helvetica Neue" w:hAnsi="Helvetica Neue"/>
          <w:i/>
        </w:rPr>
        <w:instrText>ADDIN CSL_CITATION {"citationItems":[{"id":"ITEM-1","itemData":{"DOI":"10.1097/OLQ.0b013e31827adc06","ISSN":"1537-4521","PMID":"23324981","abstract":"BACKGROUND Little is known about how men who have sex with men (MSM) exposed to a sexually transmitted infection respond to receiving patient-delivered partner therapy (PDPT) or electronic partner notification postcards (e-cards). METHODS We anonymously surveyed MSM in a sexually transmitted disease (STD) clinic and a private medical practice. Three scenarios were presented in which participants had oral or anal sex with a new partner and were subsequently notified of a chlamydia or gonorrhea exposure and offered PDPT by the partner. A fourth scenario described partner notification via an anonymous inSPOT e-card. We asked participants if they would see a doctor, test for HIV/STD, and/or notify other partners in each situation. RESULTS Among 198 MSM, the percentage indicating that they would seek a medical evaluation was higher when scenarios described proctitis (97%-98%) versus pharyngitis (84%) or no symptoms (84%-89%). In the absence of symptoms, men indicated that they would be less likely to seek care (62% vs. 84%-88%, P &lt; 0.0001) and notify partners (85% vs. 69%, P &lt; 0.0001) if notified via an anonymous e-card than if notified directly by a partner. Approximately half reported that they would use PDPT provided by a partner. In the absence of symptoms, men who indicated that they would use PDPT reported that they would seek medical care less frequently than men who indicated that they would not take PDPT (74% vs. 92% [P = 0.0007 for oral sex exposure] 82% vs. 94%-94% [P = 0.01 or unprotected anal sex exposure]). CONCLUSIONS Although many MSM express interest in using PDPT and anonymous e-cards, these methods may result in missed opportunities to test for HIV and other STDs.","author":[{"dropping-particle":"","family":"Kerani","given":"Roxanne Pieper","non-dropping-particle":"","parse-names":false,"suffix":""},{"dropping-particle":"","family":"Fleming","given":"Mark","non-dropping-particle":"","parse-names":false,"suffix":""},{"dropping-particle":"","family":"Golden","given":"Matthew Robert","non-dropping-particle":"","parse-names":false,"suffix":""}],"container-title":"Sexually transmitted diseases","id":"ITEM-1","issue":"2","issued":{"date-parts":[["2013","2"]]},"page":"179-85","title":"Acceptability and intention to seek medical care after hypothetical receipt of patient-delivered partner therapy or electronic partner notification postcards among men who have sex with men: the partner's perspective.","type":"article-journal","volume":"40"},"uris":["http://www.mendeley.com/documents/?uuid=806f32a6-a211-34a4-b6d9-221223c4481c"]}],"mendeley":{"formattedCitation":"&lt;sup&gt;123&lt;/sup&gt;","plainTextFormattedCitation":"123","previouslyFormattedCitation":"&lt;sup&gt;123&lt;/sup&gt;"},"properties":{"noteIndex":0},"schema":"https://github.com/citation-style-language/schema/raw/master/csl-citation.json"}</w:instrText>
      </w:r>
      <w:r w:rsidR="006976D2" w:rsidRPr="00CE2FAE">
        <w:rPr>
          <w:rFonts w:ascii="Helvetica Neue" w:hAnsi="Helvetica Neue"/>
          <w:i/>
        </w:rPr>
        <w:fldChar w:fldCharType="separate"/>
      </w:r>
      <w:r w:rsidR="00D429F0" w:rsidRPr="00D429F0">
        <w:rPr>
          <w:rFonts w:ascii="Helvetica Neue" w:hAnsi="Helvetica Neue"/>
          <w:noProof/>
          <w:vertAlign w:val="superscript"/>
        </w:rPr>
        <w:t>123</w:t>
      </w:r>
      <w:r w:rsidR="006976D2" w:rsidRPr="00CE2FAE">
        <w:rPr>
          <w:rFonts w:ascii="Helvetica Neue" w:hAnsi="Helvetica Neue"/>
          <w:i/>
        </w:rPr>
        <w:fldChar w:fldCharType="end"/>
      </w:r>
      <w:r w:rsidR="006976D2">
        <w:rPr>
          <w:rFonts w:ascii="Helvetica Neue" w:hAnsi="Helvetica Neue"/>
        </w:rPr>
        <w:t xml:space="preserve"> If symptomatic, virtually all (99% and 97%, respectively) reported intention to seek care. </w:t>
      </w:r>
      <w:r w:rsidR="004F581F">
        <w:rPr>
          <w:rFonts w:ascii="Helvetica Neue" w:hAnsi="Helvetica Neue"/>
        </w:rPr>
        <w:t>An analysis looking at patients refusing EPT in a NYC STD clinic found the most common reasons were: partner already in clinic today to be treated (26.3%), partnership had ended (25%), partner already treated (20.3%), and a preference for medication to be delivered by the clinician (19.6%).</w:t>
      </w:r>
      <w:r w:rsidR="00021D61" w:rsidRPr="004F581F">
        <w:rPr>
          <w:rFonts w:ascii="Helvetica Neue" w:hAnsi="Helvetica Neue"/>
          <w:i/>
        </w:rPr>
        <w:fldChar w:fldCharType="begin" w:fldLock="1"/>
      </w:r>
      <w:r w:rsidR="006E52F3" w:rsidRPr="004F581F">
        <w:rPr>
          <w:rFonts w:ascii="Helvetica Neue" w:hAnsi="Helvetica Neue"/>
          <w:i/>
        </w:rPr>
        <w:instrText>ADDIN CSL_CITATION {"citationItems":[{"id":"ITEM-1","itemData":{"DOI":"10.1097/OLQ.0000000000000197","ISSN":"0148-5717","PMID":"25299418","abstract":"BACKGROUND Expedited partner therapy (EPT) for Chlamydia trachomatis (Ct) reduces repeat Ct infection and was legalized in New York State in 2009. It is a practice in which a Ct-infected index patient delivers medication or a prescription directly to sex partner(s), without those partners receiving medical evaluation. There have been few evaluations of EPT implementation assessing acceptance and uptake among index patients. We measured EPT acceptance among index patients, identified predictors of accepting EPT, and described reasons for declining EPT. METHODS We conducted a retrospective analysis using electronic medical records from patients attending New York City Department of Health and Mental Hygiene STD clinics from July 2011 to October 2012. A multivariable model examined the associations between accepting EPT and patient and clinic-level characteristics. RESULTS Overall, 54.8% (1076/1964) of index patients accepted EPT when offered (55.9% of males and 54.4% of females [P = 0.55]). Predictors of EPT acceptance included having a male provider offer EPT (adjusted odds ratio, 1.43; 95% confidence interval, 1.12-1.83). Index patients who had a partner present at the clinic during the treatment visit were less likely to accept EPT (adjusted odds ratio, 0.28; 95% confidence interval, 0.20-0.40). Among 888 patients who refused EPT, common reasons were as follows: \"partner in clinic today for treatment\" (26.3% [234/888]), \"no longer with partner\" (25.0% [222/888]), \"partner already treated\" (20.3% [180/888]), and \"prefer medication be delivered by clinician\" (19.6% [174/888]). Expedited partner therapy acceptance did not differ by patient age, sex, or race. Excluding persons whose partners were already treated and persons whose partners were in the clinic for treatment, EPT acceptance rates were 69.4%. CONCLUSIONS Expedited partner therapy acceptance rates were high among index patients whose partners were not otherwise treated.","author":[{"dropping-particle":"","family":"Vaidya","given":"Sheila","non-dropping-particle":"","parse-names":false,"suffix":""},{"dropping-particle":"","family":"Johnson","given":"Kimberly","non-dropping-particle":"","parse-names":false,"suffix":""},{"dropping-particle":"","family":"Rogers","given":"Meighan","non-dropping-particle":"","parse-names":false,"suffix":""},{"dropping-particle":"","family":"Nash","given":"Denis","non-dropping-particle":"","parse-names":false,"suffix":""},{"dropping-particle":"","family":"Schillinger","given":"Julia A.","non-dropping-particle":"","parse-names":false,"suffix":""}],"container-title":"Sexually Transmitted Diseases","id":"ITEM-1","issue":"11","issued":{"date-parts":[["2014","11"]]},"page":"690-694","title":"Predictors of Index Patient Acceptance of Expedited Partner Therapy for Chlamydia trachomatis Infection and Reasons for Refusal, Sexually Transmitted Disease Clinics, New York City, 2011 to 2012","type":"article-journal","volume":"41"},"uris":["http://www.mendeley.com/documents/?uuid=4ab22d00-6568-3236-bc56-f793ed304401"]}],"mendeley":{"formattedCitation":"&lt;sup&gt;112&lt;/sup&gt;","plainTextFormattedCitation":"112","previouslyFormattedCitation":"&lt;sup&gt;112&lt;/sup&gt;"},"properties":{"noteIndex":0},"schema":"https://github.com/citation-style-language/schema/raw/master/csl-citation.json"}</w:instrText>
      </w:r>
      <w:r w:rsidR="00021D61" w:rsidRPr="004F581F">
        <w:rPr>
          <w:rFonts w:ascii="Helvetica Neue" w:hAnsi="Helvetica Neue"/>
          <w:i/>
        </w:rPr>
        <w:fldChar w:fldCharType="separate"/>
      </w:r>
      <w:r w:rsidR="007D5177" w:rsidRPr="004F581F">
        <w:rPr>
          <w:rFonts w:ascii="Helvetica Neue" w:hAnsi="Helvetica Neue"/>
          <w:noProof/>
          <w:vertAlign w:val="superscript"/>
        </w:rPr>
        <w:t>112</w:t>
      </w:r>
      <w:r w:rsidR="00021D61" w:rsidRPr="004F581F">
        <w:rPr>
          <w:rFonts w:ascii="Helvetica Neue" w:hAnsi="Helvetica Neue"/>
          <w:i/>
        </w:rPr>
        <w:fldChar w:fldCharType="end"/>
      </w:r>
    </w:p>
    <w:p w14:paraId="154C116A" w14:textId="1067D3E1" w:rsidR="009B3BB0" w:rsidRPr="0024409C" w:rsidRDefault="00FA4124" w:rsidP="002232EA">
      <w:pPr>
        <w:pStyle w:val="Heading1"/>
        <w:spacing w:before="300"/>
        <w:rPr>
          <w:rFonts w:ascii="Helvetica Neue" w:hAnsi="Helvetica Neue"/>
        </w:rPr>
      </w:pPr>
      <w:bookmarkStart w:id="59" w:name="_Toc2361409"/>
      <w:r w:rsidRPr="0024409C">
        <w:rPr>
          <w:rFonts w:ascii="Helvetica Neue" w:hAnsi="Helvetica Neue"/>
        </w:rPr>
        <w:t>1</w:t>
      </w:r>
      <w:r w:rsidR="008032E5">
        <w:rPr>
          <w:rFonts w:ascii="Helvetica Neue" w:hAnsi="Helvetica Neue"/>
        </w:rPr>
        <w:t>3</w:t>
      </w:r>
      <w:r w:rsidR="009B3BB0" w:rsidRPr="0024409C">
        <w:rPr>
          <w:rFonts w:ascii="Helvetica Neue" w:hAnsi="Helvetica Neue"/>
        </w:rPr>
        <w:tab/>
      </w:r>
      <w:r w:rsidR="005A0206" w:rsidRPr="0024409C">
        <w:rPr>
          <w:rFonts w:ascii="Helvetica Neue" w:hAnsi="Helvetica Neue"/>
        </w:rPr>
        <w:t>MODEL CALIBRATION AND PARAMETER ESTIMATION</w:t>
      </w:r>
      <w:bookmarkEnd w:id="59"/>
    </w:p>
    <w:p w14:paraId="2244C3A9" w14:textId="77777777" w:rsidR="007751E4" w:rsidRPr="0024409C" w:rsidRDefault="007751E4" w:rsidP="007751E4">
      <w:pPr>
        <w:spacing w:line="360" w:lineRule="auto"/>
        <w:rPr>
          <w:rFonts w:ascii="Helvetica Neue" w:hAnsi="Helvetica Neue"/>
        </w:rPr>
      </w:pPr>
      <w:bookmarkStart w:id="60" w:name="_Toc466401472"/>
      <w:r w:rsidRPr="0024409C">
        <w:rPr>
          <w:rFonts w:ascii="Helvetica Neue" w:hAnsi="Helvetica Neue"/>
        </w:rPr>
        <w:t>This section describes the methods for executing the simulations and conducting the data analysis on the outcomes in further detail.</w:t>
      </w:r>
    </w:p>
    <w:p w14:paraId="4312EE0E" w14:textId="0B225A8A" w:rsidR="007751E4" w:rsidRPr="0024409C" w:rsidRDefault="00273CDD" w:rsidP="007751E4">
      <w:pPr>
        <w:pStyle w:val="Heading2"/>
        <w:rPr>
          <w:rFonts w:ascii="Helvetica Neue" w:hAnsi="Helvetica Neue"/>
          <w:szCs w:val="22"/>
        </w:rPr>
      </w:pPr>
      <w:bookmarkStart w:id="61" w:name="_Toc466401469"/>
      <w:bookmarkStart w:id="62" w:name="_Toc2361410"/>
      <w:r w:rsidRPr="0024409C">
        <w:rPr>
          <w:rFonts w:ascii="Helvetica Neue" w:hAnsi="Helvetica Neue"/>
          <w:szCs w:val="22"/>
        </w:rPr>
        <w:t>1</w:t>
      </w:r>
      <w:r w:rsidR="008032E5">
        <w:rPr>
          <w:rFonts w:ascii="Helvetica Neue" w:hAnsi="Helvetica Neue"/>
          <w:szCs w:val="22"/>
        </w:rPr>
        <w:t>3</w:t>
      </w:r>
      <w:r w:rsidR="00FE03C1" w:rsidRPr="0024409C">
        <w:rPr>
          <w:rFonts w:ascii="Helvetica Neue" w:hAnsi="Helvetica Neue"/>
          <w:szCs w:val="22"/>
        </w:rPr>
        <w:t>.1</w:t>
      </w:r>
      <w:r w:rsidR="00FE03C1" w:rsidRPr="0024409C">
        <w:rPr>
          <w:rFonts w:ascii="Helvetica Neue" w:hAnsi="Helvetica Neue"/>
          <w:szCs w:val="22"/>
        </w:rPr>
        <w:tab/>
      </w:r>
      <w:r w:rsidR="00FE03C1" w:rsidRPr="0024409C">
        <w:rPr>
          <w:rFonts w:ascii="Helvetica Neue" w:hAnsi="Helvetica Neue"/>
          <w:szCs w:val="22"/>
        </w:rPr>
        <w:tab/>
      </w:r>
      <w:r w:rsidR="007751E4" w:rsidRPr="0024409C">
        <w:rPr>
          <w:rFonts w:ascii="Helvetica Neue" w:hAnsi="Helvetica Neue"/>
          <w:szCs w:val="22"/>
        </w:rPr>
        <w:t>Model Calibration</w:t>
      </w:r>
      <w:bookmarkEnd w:id="61"/>
      <w:bookmarkEnd w:id="62"/>
    </w:p>
    <w:p w14:paraId="082A046A" w14:textId="21F28234" w:rsidR="00A75815" w:rsidRDefault="007751E4" w:rsidP="00277378">
      <w:pPr>
        <w:spacing w:before="120" w:line="360" w:lineRule="auto"/>
        <w:rPr>
          <w:rFonts w:ascii="Helvetica Neue" w:hAnsi="Helvetica Neue"/>
        </w:rPr>
      </w:pPr>
      <w:r w:rsidRPr="0024409C">
        <w:rPr>
          <w:rFonts w:ascii="Helvetica Neue" w:hAnsi="Helvetica Neue"/>
        </w:rPr>
        <w:t xml:space="preserve">Starting with a population of 10,000 MSM, HIV infection was initially seeded in </w:t>
      </w:r>
      <w:r w:rsidR="002D077C" w:rsidRPr="0024409C">
        <w:rPr>
          <w:rFonts w:ascii="Helvetica Neue" w:hAnsi="Helvetica Neue"/>
        </w:rPr>
        <w:t>10</w:t>
      </w:r>
      <w:r w:rsidRPr="0024409C">
        <w:rPr>
          <w:rFonts w:ascii="Helvetica Neue" w:hAnsi="Helvetica Neue"/>
        </w:rPr>
        <w:t xml:space="preserve">% of the population, urethral </w:t>
      </w:r>
      <w:r w:rsidR="004220D6" w:rsidRPr="0024409C">
        <w:rPr>
          <w:rFonts w:ascii="Helvetica Neue" w:hAnsi="Helvetica Neue"/>
        </w:rPr>
        <w:t xml:space="preserve">NG </w:t>
      </w:r>
      <w:r w:rsidR="00E22B16" w:rsidRPr="0024409C">
        <w:rPr>
          <w:rFonts w:ascii="Helvetica Neue" w:hAnsi="Helvetica Neue"/>
        </w:rPr>
        <w:t xml:space="preserve">and CT in </w:t>
      </w:r>
      <w:r w:rsidR="00111A41">
        <w:rPr>
          <w:rFonts w:ascii="Helvetica Neue" w:hAnsi="Helvetica Neue"/>
        </w:rPr>
        <w:t>0.</w:t>
      </w:r>
      <w:r w:rsidR="00E22B16" w:rsidRPr="0024409C">
        <w:rPr>
          <w:rFonts w:ascii="Helvetica Neue" w:hAnsi="Helvetica Neue"/>
        </w:rPr>
        <w:t>1</w:t>
      </w:r>
      <w:r w:rsidR="00111A41">
        <w:rPr>
          <w:rFonts w:ascii="Helvetica Neue" w:hAnsi="Helvetica Neue"/>
        </w:rPr>
        <w:t>5</w:t>
      </w:r>
      <w:r w:rsidRPr="0024409C">
        <w:rPr>
          <w:rFonts w:ascii="Helvetica Neue" w:hAnsi="Helvetica Neue"/>
        </w:rPr>
        <w:t xml:space="preserve">% of the population, rectal </w:t>
      </w:r>
      <w:r w:rsidR="004220D6" w:rsidRPr="0024409C">
        <w:rPr>
          <w:rFonts w:ascii="Helvetica Neue" w:hAnsi="Helvetica Neue"/>
        </w:rPr>
        <w:t xml:space="preserve">NG </w:t>
      </w:r>
      <w:r w:rsidRPr="0024409C">
        <w:rPr>
          <w:rFonts w:ascii="Helvetica Neue" w:hAnsi="Helvetica Neue"/>
        </w:rPr>
        <w:t xml:space="preserve">and CT in </w:t>
      </w:r>
      <w:r w:rsidR="00111A41">
        <w:rPr>
          <w:rFonts w:ascii="Helvetica Neue" w:hAnsi="Helvetica Neue"/>
        </w:rPr>
        <w:t>0.15</w:t>
      </w:r>
      <w:r w:rsidRPr="0024409C">
        <w:rPr>
          <w:rFonts w:ascii="Helvetica Neue" w:hAnsi="Helvetica Neue"/>
        </w:rPr>
        <w:t>%</w:t>
      </w:r>
      <w:r w:rsidR="001249D5" w:rsidRPr="0024409C">
        <w:rPr>
          <w:rFonts w:ascii="Helvetica Neue" w:hAnsi="Helvetica Neue"/>
        </w:rPr>
        <w:t xml:space="preserve"> of the population</w:t>
      </w:r>
      <w:r w:rsidRPr="0024409C">
        <w:rPr>
          <w:rFonts w:ascii="Helvetica Neue" w:hAnsi="Helvetica Neue"/>
        </w:rPr>
        <w:t xml:space="preserve">. A set of burn-in simulations was then used to allow the natural dynamics of HIV and STI transmission, demography, and other population features to evolve over time. </w:t>
      </w:r>
      <w:r w:rsidRPr="0024409C">
        <w:rPr>
          <w:rFonts w:ascii="Helvetica Neue" w:hAnsi="Helvetica Neue"/>
        </w:rPr>
        <w:lastRenderedPageBreak/>
        <w:t xml:space="preserve">The goal of the burn-in simulation was to arrive at a network of MSM that was independent of the initial conditions resulting from the seeding. This also established a population composition with behavioral and biological features calibrated to match external targets for HIV prevalence of </w:t>
      </w:r>
      <w:r w:rsidR="00F4664C" w:rsidRPr="0024409C">
        <w:rPr>
          <w:rFonts w:ascii="Helvetica Neue" w:hAnsi="Helvetica Neue"/>
        </w:rPr>
        <w:t>15</w:t>
      </w:r>
      <w:r w:rsidRPr="0024409C">
        <w:rPr>
          <w:rFonts w:ascii="Helvetica Neue" w:hAnsi="Helvetica Neue"/>
        </w:rPr>
        <w:t xml:space="preserve">% from </w:t>
      </w:r>
      <w:r w:rsidR="00F4664C" w:rsidRPr="0024409C">
        <w:rPr>
          <w:rFonts w:ascii="Helvetica Neue" w:hAnsi="Helvetica Neue"/>
        </w:rPr>
        <w:t>the national estimate of HIV prevalence among MSM</w:t>
      </w:r>
      <w:r w:rsidR="0027106B" w:rsidRPr="0024409C">
        <w:rPr>
          <w:rFonts w:ascii="Helvetica Neue" w:hAnsi="Helvetica Neue"/>
        </w:rPr>
        <w:t>, which harmonized MSM population size estimates with publicly available HIV surveillance data</w:t>
      </w:r>
      <w:r w:rsidR="0003106F" w:rsidRPr="0024409C">
        <w:rPr>
          <w:rFonts w:ascii="Helvetica Neue" w:hAnsi="Helvetica Neue"/>
        </w:rPr>
        <w:t>.</w:t>
      </w:r>
      <w:r w:rsidR="00962A93" w:rsidRPr="0024409C">
        <w:rPr>
          <w:rFonts w:ascii="Helvetica Neue" w:hAnsi="Helvetica Neue"/>
        </w:rPr>
        <w:fldChar w:fldCharType="begin" w:fldLock="1"/>
      </w:r>
      <w:r w:rsidR="00665BF2">
        <w:rPr>
          <w:rFonts w:ascii="Helvetica Neue" w:hAnsi="Helvetica Neue"/>
        </w:rPr>
        <w:instrText>ADDIN CSL_CITATION {"citationItems":[{"id":"ITEM-1","itemData":{"DOI":"10.2196/publichealth.5684","ISSN":"2369-2960","PMID":"27244769","abstract":"BACKGROUND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≥15%, all in the South. Five highly populated states had ≥15,000 cases and rates between 10% and 15%. Georgia was the only state with ≥15,000 cases and ≥15% diagnosed prevalence rate. Of the 25 MSAs with the highest diagnosed prevalence rates in the United States, 21 were in the South and 6 had diagnosed prevalence of ≥25%. County-level data showed high diagnosed prevalence rates in both urban and rural counties of the South. CONCLUSIONS HIV infection is hyperendemic among MSM in many areas of the Uni…","author":[{"dropping-particle":"","family":"Rosenberg","given":"Eli Samuel","non-dropping-particle":"","parse-names":false,"suffix":""},{"dropping-particle":"","family":"Grey","given":"Jeremy Alexander","non-dropping-particle":"","parse-names":false,"suffix":""},{"dropping-particle":"","family":"Sanchez","given":"Travis Howard","non-dropping-particle":"","parse-names":false,"suffix":""},{"dropping-particle":"","family":"Sullivan","given":"Patrick Sean","non-dropping-particle":"","parse-names":false,"suffix":""}],"container-title":"JMIR public health and surveillance","id":"ITEM-1","issue":"1","issued":{"date-parts":[["2016","5","17"]]},"page":"e22","publisher":"JMIR Publications Inc.","title":"Rates of Prevalent HIV Infection, Prevalent Diagnoses, and New Diagnoses Among Men Who Have Sex With Men in US States, Metropolitan Statistical Areas, and Counties, 2012-2013.","type":"article-journal","volume":"2"},"uris":["http://www.mendeley.com/documents/?uuid=a7682f51-17cb-399a-952c-2a3b32233767"]}],"mendeley":{"formattedCitation":"&lt;sup&gt;131&lt;/sup&gt;","plainTextFormattedCitation":"131","previouslyFormattedCitation":"&lt;sup&gt;131&lt;/sup&gt;"},"properties":{"noteIndex":0},"schema":"https://github.com/citation-style-language/schema/raw/master/csl-citation.json"}</w:instrText>
      </w:r>
      <w:r w:rsidR="00962A93" w:rsidRPr="0024409C">
        <w:rPr>
          <w:rFonts w:ascii="Helvetica Neue" w:hAnsi="Helvetica Neue"/>
        </w:rPr>
        <w:fldChar w:fldCharType="separate"/>
      </w:r>
      <w:r w:rsidR="00CC13FE" w:rsidRPr="00CC13FE">
        <w:rPr>
          <w:rFonts w:ascii="Helvetica Neue" w:hAnsi="Helvetica Neue"/>
          <w:noProof/>
          <w:vertAlign w:val="superscript"/>
        </w:rPr>
        <w:t>131</w:t>
      </w:r>
      <w:r w:rsidR="00962A93" w:rsidRPr="0024409C">
        <w:rPr>
          <w:rFonts w:ascii="Helvetica Neue" w:hAnsi="Helvetica Neue"/>
        </w:rPr>
        <w:fldChar w:fldCharType="end"/>
      </w:r>
      <w:r w:rsidR="00962A93" w:rsidRPr="0024409C">
        <w:rPr>
          <w:rFonts w:ascii="Helvetica Neue" w:hAnsi="Helvetica Neue"/>
        </w:rPr>
        <w:t xml:space="preserve"> </w:t>
      </w:r>
      <w:r w:rsidR="0003106F" w:rsidRPr="0024409C">
        <w:rPr>
          <w:rFonts w:ascii="Helvetica Neue" w:hAnsi="Helvetica Neue"/>
        </w:rPr>
        <w:t xml:space="preserve">This </w:t>
      </w:r>
      <w:r w:rsidR="0032440F" w:rsidRPr="0024409C">
        <w:rPr>
          <w:rFonts w:ascii="Helvetica Neue" w:hAnsi="Helvetica Neue"/>
        </w:rPr>
        <w:t xml:space="preserve">differs from our previous models, which were calibrated to HIV incidence and prevalence </w:t>
      </w:r>
      <w:r w:rsidR="0003106F" w:rsidRPr="0024409C">
        <w:rPr>
          <w:rFonts w:ascii="Helvetica Neue" w:hAnsi="Helvetica Neue"/>
        </w:rPr>
        <w:t xml:space="preserve">obtained from </w:t>
      </w:r>
      <w:r w:rsidR="00FF6A73" w:rsidRPr="0024409C">
        <w:rPr>
          <w:rFonts w:ascii="Helvetica Neue" w:hAnsi="Helvetica Neue"/>
        </w:rPr>
        <w:t>previous network and i</w:t>
      </w:r>
      <w:r w:rsidR="0027106B" w:rsidRPr="0024409C">
        <w:rPr>
          <w:rFonts w:ascii="Helvetica Neue" w:hAnsi="Helvetica Neue"/>
        </w:rPr>
        <w:t>ncidence studies of Atlanta MSM.</w:t>
      </w:r>
      <w:r w:rsidR="00FF6A73" w:rsidRPr="0024409C">
        <w:rPr>
          <w:rFonts w:ascii="Helvetica Neue" w:hAnsi="Helvetica Neue"/>
        </w:rPr>
        <w:fldChar w:fldCharType="begin" w:fldLock="1"/>
      </w:r>
      <w:r w:rsidR="00665BF2">
        <w:rPr>
          <w:rFonts w:ascii="Helvetica Neue" w:hAnsi="Helvetica Neue"/>
        </w:rPr>
        <w:instrText>ADDIN CSL_CITATION {"citationItems":[{"id":"ITEM-1","itemData":{"PMID":"25719950","abstract":"Data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STIs.","author":[{"dropping-particle":"","family":"Kelley","given":"Colleen F","non-dropping-particle":"","parse-names":false,"suffix":""},{"dropping-particle":"","family":"Vaughan","given":"Adam S","non-dropping-particle":"","parse-names":false,"suffix":""},{"dropping-particle":"","family":"Luisi","given":"Nicole","non-dropping-particle":"","parse-names":false,"suffix":""},{"dropping-particle":"","family":"Sanchez","given":"Travis H","non-dropping-particle":"","parse-names":false,"suffix":""},{"dropping-particle":"","family":"Salazar","given":"Laura F","non-dropping-particle":"","parse-names":false,"suffix":""},{"dropping-particle":"","family":"Frew","given":"Paula M","non-dropping-particle":"","parse-names":false,"suffix":""},{"dropping-particle":"","family":"Cooper","given":"Hannah L F","non-dropping-particle":"","parse-names":false,"suffix":""},{"dropping-particle":"","family":"Diclemente","given":"Ralph","non-dropping-particle":"","parse-names":false,"suffix":""},{"dropping-particle":"","family":"Rio","given":"Carlos","non-dropping-particle":"del","parse-names":false,"suffix":""},{"dropping-particle":"","family":"Sullivan","given":"Patrick S","non-dropping-particle":"","parse-names":false,"suffix":""},{"dropping-particle":"","family":"Rosenberg","given":"Eli S","non-dropping-particle":"","parse-names":false,"suffix":""}],"container-title":"AIDS Res Hum Retroviruses","id":"ITEM-1","issue":"6","issued":{"date-parts":[["2015","6"]]},"page":"587-92","title":"The effect of high rates of bacterial sexually transmitted infections on HIV incidence in a cohort of black and white men who have sex with men in Atlanta, Georgia.","type":"article-journal","volume":"31"},"uris":["http://www.mendeley.com/documents/?uuid=9a4d96f1-ac24-4340-b64e-7e2df162dc60"]},{"id":"ITEM-2","itemData":{"ISSN":"1537-4521","PMID":"26267877","abstract":"BACKGROUND Studying the heterogeneity and correlates of HIV risk in the sexual networks of black and white men who have sex with men (MSM) may help explain racial disparities in HIV-infection. METHODS Black and white MSM were recruited as seeds using venue-based time sampling and provided data regarding their recent sex partners. We used chain referral methods to enroll seeds' recent sex partners; newly enrolled partners in turn provided data on their recent sex partners, some of whom later enrolled. Data about unenrolled recent sex partners obtained from seeds and enrolled participants were also analyzed. We estimated the prevalence of HIV in sexual networks of MSM and assessed differential patterns of network HIV risk by the race of the seed. RESULTS The mean network prevalence of HIV in sexual networks of black MSM (n = 117) was 36% compared with 4% in networks of white MSM (n = 78; P &lt; 0.0001). Sexual networks of unemployed black MSM had a higher prevalence of HIV than their employed counterparts (51% vs. 29%, P = 0.007). The networks of HIV-negative black MSM seeds aged 18 to 24 years had a network prevalence of 9% compared with 2% among those aged 30 years or older. In networks originating from a black HIV-positive seed, the prevalence ranged from 63% among those aged 18 to 24 years to 80% among those 30 years or older. CONCLUSIONS The high prevalence of HIV in the networks of HIV-negative young black MSM demonstrates a mechanism for the increased HIV incidence observed in this age group. More research is needed into how age and socioeconomic factors shape sexual networks and HIV risk.","author":[{"dropping-particle":"","family":"Hernández-Romieu","given":"Alfonso C","non-dropping-particle":"","parse-names":false,"suffix":""},{"dropping-particle":"","family":"Sullivan","given":"Patrick S","non-dropping-particle":"","parse-names":false,"suffix":""},{"dropping-particle":"","family":"Rothenberg","given":"Richard","non-dropping-particle":"","parse-names":false,"suffix":""},{"dropping-particle":"","family":"Grey","given":"Jeremy","non-dropping-particle":"","parse-names":false,"suffix":""},{"dropping-particle":"","family":"Luisi","given":"Nicole","non-dropping-particle":"","parse-names":false,"suffix":""},{"dropping-particle":"","family":"Kelley","given":"Colleen F","non-dropping-particle":"","parse-names":false,"suffix":""},{"dropping-particle":"","family":"Rosenberg","given":"Eli S","non-dropping-particle":"","parse-names":false,"suffix":""}],"container-title":"Sex Transm Dis","id":"ITEM-2","issue":"9","issued":{"date-parts":[["2015","9"]]},"page":"505-12","title":"Heterogeneity of HIV prevalence among the sexual networks of black and white men who have sex with men in Atlanta: Illuminating a mechanism for increased HIV risk for young black men who have sex with men.","type":"article-journal","volume":"42"},"uris":["http://www.mendeley.com/documents/?uuid=6e4624eb-137a-49c4-9725-b20a62e58693"]}],"mendeley":{"formattedCitation":"&lt;sup&gt;132,133&lt;/sup&gt;","plainTextFormattedCitation":"132,133","previouslyFormattedCitation":"&lt;sup&gt;132,133&lt;/sup&gt;"},"properties":{"noteIndex":0},"schema":"https://github.com/citation-style-language/schema/raw/master/csl-citation.json"}</w:instrText>
      </w:r>
      <w:r w:rsidR="00FF6A73" w:rsidRPr="0024409C">
        <w:rPr>
          <w:rFonts w:ascii="Helvetica Neue" w:hAnsi="Helvetica Neue"/>
        </w:rPr>
        <w:fldChar w:fldCharType="separate"/>
      </w:r>
      <w:r w:rsidR="00CC13FE" w:rsidRPr="00CC13FE">
        <w:rPr>
          <w:rFonts w:ascii="Helvetica Neue" w:hAnsi="Helvetica Neue"/>
          <w:noProof/>
          <w:vertAlign w:val="superscript"/>
        </w:rPr>
        <w:t>132,133</w:t>
      </w:r>
      <w:r w:rsidR="00FF6A73" w:rsidRPr="0024409C">
        <w:rPr>
          <w:rFonts w:ascii="Helvetica Neue" w:hAnsi="Helvetica Neue"/>
        </w:rPr>
        <w:fldChar w:fldCharType="end"/>
      </w:r>
      <w:r w:rsidR="00FF6A73" w:rsidRPr="0024409C">
        <w:rPr>
          <w:rFonts w:ascii="Helvetica Neue" w:hAnsi="Helvetica Neue"/>
        </w:rPr>
        <w:t xml:space="preserve"> </w:t>
      </w:r>
      <w:r w:rsidR="00CA44EC" w:rsidRPr="00A75815">
        <w:rPr>
          <w:rFonts w:ascii="Helvetica Neue" w:hAnsi="Helvetica Neue"/>
          <w:highlight w:val="yellow"/>
        </w:rPr>
        <w:t>We allowed for slight increases in the final year of the burn-in model to account for the recently observed trends of increasing STIs among MSM.</w:t>
      </w:r>
    </w:p>
    <w:p w14:paraId="226D5C56" w14:textId="2B416E1C" w:rsidR="00277378" w:rsidRPr="0024409C" w:rsidRDefault="00277378" w:rsidP="00277378">
      <w:pPr>
        <w:spacing w:before="120" w:line="360" w:lineRule="auto"/>
        <w:rPr>
          <w:rFonts w:ascii="Helvetica Neue" w:hAnsi="Helvetica Neue"/>
        </w:rPr>
      </w:pPr>
      <w:r w:rsidRPr="0024409C">
        <w:rPr>
          <w:rFonts w:ascii="Helvetica Neue" w:hAnsi="Helvetica Neue"/>
        </w:rPr>
        <w:t xml:space="preserve">Many STI-specific and HIV/STI models of disease transmission have been parameterized using populations both in the United States and internationally. These models have differed in type, including deterministic compartmental models, stochastic models, and agent-based transmission models. They have also differed by the populations explicitly modeled, whether MSM only, heterosexual men and women only, or a combination of both populations. Given the variation in parameter values from population to population, we use and evaluate information and estimates from models of male-to-female (MTF), female-to-male (FTM), and male-to-male disease transmission to establish our parameters and prior distributions. These include calibrated estimates from published mathematical models, findings from natural history studies that have been parameters in those models, and estimates where other information is not available. </w:t>
      </w:r>
    </w:p>
    <w:p w14:paraId="2D8044F8" w14:textId="51F592E3" w:rsidR="004977A8" w:rsidRDefault="00277378" w:rsidP="002232EA">
      <w:pPr>
        <w:spacing w:before="120" w:after="120" w:line="360" w:lineRule="auto"/>
        <w:rPr>
          <w:rFonts w:ascii="Helvetica Neue" w:hAnsi="Helvetica Neue"/>
        </w:rPr>
      </w:pPr>
      <w:r w:rsidRPr="0024409C">
        <w:rPr>
          <w:rFonts w:ascii="Helvetica Neue" w:hAnsi="Helvetica Neue"/>
        </w:rPr>
        <w:t xml:space="preserve">Table </w:t>
      </w:r>
      <w:r w:rsidR="00307CFC" w:rsidRPr="0024409C">
        <w:rPr>
          <w:rFonts w:ascii="Helvetica Neue" w:hAnsi="Helvetica Neue"/>
        </w:rPr>
        <w:t>S</w:t>
      </w:r>
      <w:r w:rsidR="00AE4C9D">
        <w:rPr>
          <w:rFonts w:ascii="Helvetica Neue" w:hAnsi="Helvetica Neue"/>
        </w:rPr>
        <w:t>2</w:t>
      </w:r>
      <w:r w:rsidR="00307CFC" w:rsidRPr="0024409C">
        <w:rPr>
          <w:rFonts w:ascii="Helvetica Neue" w:hAnsi="Helvetica Neue"/>
        </w:rPr>
        <w:t xml:space="preserve"> </w:t>
      </w:r>
      <w:r w:rsidRPr="0024409C">
        <w:rPr>
          <w:rFonts w:ascii="Helvetica Neue" w:hAnsi="Helvetica Neue"/>
        </w:rPr>
        <w:t>summarizes the primary STI-related parameters from these models. We used approximate Bayesian computation to define model parameters with uncertain values, construct prior distributions for those parameters, and fit the model to HIV/STI prevalence and incidence data to estimate the posterior distributions of those parameter values. In Table S</w:t>
      </w:r>
      <w:r w:rsidR="00AE4C9D">
        <w:rPr>
          <w:rFonts w:ascii="Helvetica Neue" w:hAnsi="Helvetica Neue"/>
        </w:rPr>
        <w:t>2</w:t>
      </w:r>
      <w:r w:rsidRPr="0024409C">
        <w:rPr>
          <w:rFonts w:ascii="Helvetica Neue" w:hAnsi="Helvetica Neue"/>
        </w:rPr>
        <w:t>, we provide the posterior values of those parameters, prior distributions (all uniform over the ranges shown), and key references consulted in fo</w:t>
      </w:r>
      <w:r w:rsidR="00294713" w:rsidRPr="0024409C">
        <w:rPr>
          <w:rFonts w:ascii="Helvetica Neue" w:hAnsi="Helvetica Neue"/>
        </w:rPr>
        <w:t xml:space="preserve">rming the shape of the priors. </w:t>
      </w:r>
      <w:r w:rsidRPr="0024409C">
        <w:rPr>
          <w:rFonts w:ascii="Helvetica Neue" w:hAnsi="Helvetica Neue"/>
        </w:rPr>
        <w:lastRenderedPageBreak/>
        <w:t>Parameter values with a N/A value for the prior were not calibrated and assumed fixed as the posterior mean value shown in the table.</w:t>
      </w:r>
    </w:p>
    <w:p w14:paraId="5D6053D6" w14:textId="77777777" w:rsidR="00A15912" w:rsidRPr="0024409C" w:rsidRDefault="00A15912" w:rsidP="002232EA">
      <w:pPr>
        <w:spacing w:before="120" w:after="120" w:line="360" w:lineRule="auto"/>
        <w:rPr>
          <w:rFonts w:ascii="Helvetica Neue" w:hAnsi="Helvetica Neue"/>
        </w:rPr>
      </w:pPr>
    </w:p>
    <w:tbl>
      <w:tblPr>
        <w:tblW w:w="11180" w:type="dxa"/>
        <w:tblInd w:w="-908" w:type="dxa"/>
        <w:tblLook w:val="04A0" w:firstRow="1" w:lastRow="0" w:firstColumn="1" w:lastColumn="0" w:noHBand="0" w:noVBand="1"/>
      </w:tblPr>
      <w:tblGrid>
        <w:gridCol w:w="4142"/>
        <w:gridCol w:w="996"/>
        <w:gridCol w:w="1147"/>
        <w:gridCol w:w="4895"/>
      </w:tblGrid>
      <w:tr w:rsidR="00887EBC" w:rsidRPr="001B6BD3" w14:paraId="63EB439A" w14:textId="77777777" w:rsidTr="00276301">
        <w:trPr>
          <w:trHeight w:val="315"/>
        </w:trPr>
        <w:tc>
          <w:tcPr>
            <w:tcW w:w="11180" w:type="dxa"/>
            <w:gridSpan w:val="4"/>
            <w:tcBorders>
              <w:top w:val="nil"/>
              <w:left w:val="nil"/>
              <w:bottom w:val="single" w:sz="4" w:space="0" w:color="auto"/>
              <w:right w:val="nil"/>
            </w:tcBorders>
            <w:shd w:val="clear" w:color="000000" w:fill="FFFFFF"/>
            <w:vAlign w:val="center"/>
            <w:hideMark/>
          </w:tcPr>
          <w:p w14:paraId="7AD1F685" w14:textId="24E1AD08" w:rsidR="00887EBC" w:rsidRPr="00DE4DAD" w:rsidRDefault="00887EBC" w:rsidP="00AE4C9D">
            <w:pPr>
              <w:rPr>
                <w:rFonts w:ascii="Helvetica Neue" w:hAnsi="Helvetica Neue" w:cs="Calibri"/>
                <w:color w:val="000000"/>
                <w:sz w:val="18"/>
                <w:szCs w:val="18"/>
              </w:rPr>
            </w:pPr>
            <w:r w:rsidRPr="00DE4DAD">
              <w:rPr>
                <w:rFonts w:ascii="Helvetica Neue" w:hAnsi="Helvetica Neue" w:cs="Calibri"/>
                <w:b/>
                <w:bCs/>
                <w:color w:val="000000"/>
                <w:sz w:val="18"/>
                <w:szCs w:val="18"/>
              </w:rPr>
              <w:t>Table S</w:t>
            </w:r>
            <w:r w:rsidR="00AE4C9D" w:rsidRPr="00DE4DAD">
              <w:rPr>
                <w:rFonts w:ascii="Helvetica Neue" w:hAnsi="Helvetica Neue" w:cs="Calibri"/>
                <w:b/>
                <w:bCs/>
                <w:color w:val="000000"/>
                <w:sz w:val="18"/>
                <w:szCs w:val="18"/>
              </w:rPr>
              <w:t>2</w:t>
            </w:r>
            <w:r w:rsidRPr="00DE4DAD">
              <w:rPr>
                <w:rFonts w:ascii="Helvetica Neue" w:hAnsi="Helvetica Neue" w:cs="Calibri"/>
                <w:b/>
                <w:bCs/>
                <w:color w:val="000000"/>
                <w:sz w:val="18"/>
                <w:szCs w:val="18"/>
              </w:rPr>
              <w:t xml:space="preserve">. </w:t>
            </w:r>
            <w:r w:rsidRPr="00DE4DAD">
              <w:rPr>
                <w:rFonts w:ascii="Helvetica Neue" w:hAnsi="Helvetica Neue" w:cs="Calibri"/>
                <w:color w:val="000000"/>
                <w:sz w:val="18"/>
                <w:szCs w:val="18"/>
              </w:rPr>
              <w:t>Parameters, Posterior Value, Prior Distributions, and Sources for STI-related Model Parameters</w:t>
            </w:r>
          </w:p>
        </w:tc>
      </w:tr>
      <w:tr w:rsidR="00887EBC" w:rsidRPr="001B6BD3" w14:paraId="4A433E23" w14:textId="77777777" w:rsidTr="001B1A34">
        <w:trPr>
          <w:trHeight w:val="315"/>
        </w:trPr>
        <w:tc>
          <w:tcPr>
            <w:tcW w:w="4142" w:type="dxa"/>
            <w:tcBorders>
              <w:top w:val="nil"/>
              <w:left w:val="nil"/>
              <w:bottom w:val="single" w:sz="4" w:space="0" w:color="auto"/>
              <w:right w:val="nil"/>
            </w:tcBorders>
            <w:shd w:val="clear" w:color="000000" w:fill="FFFFFF"/>
            <w:vAlign w:val="center"/>
            <w:hideMark/>
          </w:tcPr>
          <w:p w14:paraId="538D4B61" w14:textId="77777777" w:rsidR="00887EBC" w:rsidRPr="00DE4DAD" w:rsidRDefault="00887EBC" w:rsidP="00887EBC">
            <w:pPr>
              <w:rPr>
                <w:rFonts w:ascii="Helvetica Neue" w:hAnsi="Helvetica Neue" w:cs="Calibri"/>
                <w:b/>
                <w:bCs/>
                <w:color w:val="000000"/>
                <w:sz w:val="18"/>
                <w:szCs w:val="18"/>
              </w:rPr>
            </w:pPr>
            <w:r w:rsidRPr="00DE4DAD">
              <w:rPr>
                <w:rFonts w:ascii="Helvetica Neue" w:hAnsi="Helvetica Neue" w:cs="Calibri"/>
                <w:b/>
                <w:bCs/>
                <w:color w:val="000000"/>
                <w:sz w:val="18"/>
                <w:szCs w:val="18"/>
              </w:rPr>
              <w:t>Parameter</w:t>
            </w:r>
          </w:p>
        </w:tc>
        <w:tc>
          <w:tcPr>
            <w:tcW w:w="996" w:type="dxa"/>
            <w:tcBorders>
              <w:top w:val="nil"/>
              <w:left w:val="nil"/>
              <w:bottom w:val="single" w:sz="4" w:space="0" w:color="auto"/>
              <w:right w:val="nil"/>
            </w:tcBorders>
            <w:shd w:val="clear" w:color="000000" w:fill="FFFFFF"/>
            <w:vAlign w:val="center"/>
            <w:hideMark/>
          </w:tcPr>
          <w:p w14:paraId="6E91994F" w14:textId="77777777" w:rsidR="00887EBC" w:rsidRPr="00DE4DAD" w:rsidRDefault="00887EBC" w:rsidP="00887EBC">
            <w:pPr>
              <w:rPr>
                <w:rFonts w:ascii="Helvetica Neue" w:hAnsi="Helvetica Neue" w:cs="Calibri"/>
                <w:b/>
                <w:bCs/>
                <w:color w:val="000000"/>
                <w:sz w:val="18"/>
                <w:szCs w:val="18"/>
              </w:rPr>
            </w:pPr>
            <w:r w:rsidRPr="00DE4DAD">
              <w:rPr>
                <w:rFonts w:ascii="Helvetica Neue" w:hAnsi="Helvetica Neue" w:cs="Calibri"/>
                <w:b/>
                <w:bCs/>
                <w:color w:val="000000"/>
                <w:sz w:val="18"/>
                <w:szCs w:val="18"/>
              </w:rPr>
              <w:t>Value</w:t>
            </w:r>
          </w:p>
        </w:tc>
        <w:tc>
          <w:tcPr>
            <w:tcW w:w="1147" w:type="dxa"/>
            <w:tcBorders>
              <w:top w:val="nil"/>
              <w:left w:val="nil"/>
              <w:bottom w:val="single" w:sz="4" w:space="0" w:color="auto"/>
              <w:right w:val="nil"/>
            </w:tcBorders>
            <w:shd w:val="clear" w:color="000000" w:fill="FFFFFF"/>
            <w:vAlign w:val="center"/>
            <w:hideMark/>
          </w:tcPr>
          <w:p w14:paraId="62B35A11" w14:textId="77777777" w:rsidR="00887EBC" w:rsidRPr="00DE4DAD" w:rsidRDefault="00887EBC" w:rsidP="00887EBC">
            <w:pPr>
              <w:rPr>
                <w:rFonts w:ascii="Helvetica Neue" w:hAnsi="Helvetica Neue" w:cs="Calibri"/>
                <w:b/>
                <w:bCs/>
                <w:color w:val="000000"/>
                <w:sz w:val="18"/>
                <w:szCs w:val="18"/>
              </w:rPr>
            </w:pPr>
            <w:r w:rsidRPr="00DE4DAD">
              <w:rPr>
                <w:rFonts w:ascii="Helvetica Neue" w:hAnsi="Helvetica Neue" w:cs="Calibri"/>
                <w:b/>
                <w:bCs/>
                <w:color w:val="000000"/>
                <w:sz w:val="18"/>
                <w:szCs w:val="18"/>
              </w:rPr>
              <w:t>Priors</w:t>
            </w:r>
          </w:p>
        </w:tc>
        <w:tc>
          <w:tcPr>
            <w:tcW w:w="4895" w:type="dxa"/>
            <w:tcBorders>
              <w:top w:val="nil"/>
              <w:left w:val="nil"/>
              <w:bottom w:val="single" w:sz="4" w:space="0" w:color="auto"/>
              <w:right w:val="nil"/>
            </w:tcBorders>
            <w:shd w:val="clear" w:color="000000" w:fill="FFFFFF"/>
            <w:vAlign w:val="center"/>
            <w:hideMark/>
          </w:tcPr>
          <w:p w14:paraId="15932D72" w14:textId="77777777" w:rsidR="00887EBC" w:rsidRPr="00DE4DAD" w:rsidRDefault="00887EBC" w:rsidP="00887EBC">
            <w:pPr>
              <w:rPr>
                <w:rFonts w:ascii="Helvetica Neue" w:hAnsi="Helvetica Neue" w:cs="Calibri"/>
                <w:b/>
                <w:bCs/>
                <w:color w:val="000000"/>
                <w:sz w:val="18"/>
                <w:szCs w:val="18"/>
              </w:rPr>
            </w:pPr>
            <w:r w:rsidRPr="00DE4DAD">
              <w:rPr>
                <w:rFonts w:ascii="Helvetica Neue" w:hAnsi="Helvetica Neue" w:cs="Calibri"/>
                <w:b/>
                <w:bCs/>
                <w:color w:val="000000"/>
                <w:sz w:val="18"/>
                <w:szCs w:val="18"/>
              </w:rPr>
              <w:t>Source</w:t>
            </w:r>
          </w:p>
        </w:tc>
      </w:tr>
      <w:tr w:rsidR="00306A9D" w:rsidRPr="001B6BD3" w14:paraId="70678760" w14:textId="77777777" w:rsidTr="001B1A34">
        <w:trPr>
          <w:trHeight w:val="71"/>
        </w:trPr>
        <w:tc>
          <w:tcPr>
            <w:tcW w:w="4142" w:type="dxa"/>
            <w:tcBorders>
              <w:top w:val="nil"/>
              <w:left w:val="nil"/>
              <w:bottom w:val="nil"/>
              <w:right w:val="nil"/>
            </w:tcBorders>
            <w:shd w:val="clear" w:color="000000" w:fill="FFFFFF"/>
            <w:noWrap/>
            <w:vAlign w:val="center"/>
          </w:tcPr>
          <w:p w14:paraId="0B0211DA" w14:textId="3C49757A" w:rsidR="00306A9D" w:rsidRPr="00DE4DAD" w:rsidRDefault="00306A9D" w:rsidP="00E15313">
            <w:pPr>
              <w:rPr>
                <w:rFonts w:ascii="Helvetica Neue" w:hAnsi="Helvetica Neue" w:cs="Calibri"/>
                <w:b/>
                <w:iCs/>
                <w:color w:val="000000"/>
                <w:sz w:val="18"/>
                <w:szCs w:val="18"/>
              </w:rPr>
            </w:pPr>
            <w:r w:rsidRPr="00DE4DAD">
              <w:rPr>
                <w:rFonts w:ascii="Helvetica Neue" w:hAnsi="Helvetica Neue" w:cs="Calibri"/>
                <w:b/>
                <w:iCs/>
                <w:color w:val="000000"/>
                <w:sz w:val="18"/>
                <w:szCs w:val="18"/>
              </w:rPr>
              <w:t>STI Screening and Epidemic Parameters</w:t>
            </w:r>
          </w:p>
        </w:tc>
        <w:tc>
          <w:tcPr>
            <w:tcW w:w="996" w:type="dxa"/>
            <w:tcBorders>
              <w:top w:val="nil"/>
              <w:left w:val="nil"/>
              <w:bottom w:val="nil"/>
              <w:right w:val="nil"/>
            </w:tcBorders>
            <w:shd w:val="clear" w:color="000000" w:fill="FFFFFF"/>
            <w:noWrap/>
            <w:vAlign w:val="center"/>
          </w:tcPr>
          <w:p w14:paraId="69738C31" w14:textId="77777777" w:rsidR="00306A9D" w:rsidRPr="00DE4DAD" w:rsidRDefault="00306A9D" w:rsidP="00E15313">
            <w:pPr>
              <w:rPr>
                <w:rFonts w:ascii="Helvetica Neue" w:hAnsi="Helvetica Neue" w:cs="Calibri"/>
                <w:color w:val="000000"/>
                <w:sz w:val="18"/>
                <w:szCs w:val="18"/>
              </w:rPr>
            </w:pPr>
          </w:p>
        </w:tc>
        <w:tc>
          <w:tcPr>
            <w:tcW w:w="1147" w:type="dxa"/>
            <w:tcBorders>
              <w:top w:val="nil"/>
              <w:left w:val="nil"/>
              <w:bottom w:val="nil"/>
              <w:right w:val="nil"/>
            </w:tcBorders>
            <w:shd w:val="clear" w:color="000000" w:fill="FFFFFF"/>
            <w:noWrap/>
            <w:vAlign w:val="center"/>
          </w:tcPr>
          <w:p w14:paraId="10D63641" w14:textId="77777777" w:rsidR="00306A9D" w:rsidRPr="00DE4DAD" w:rsidRDefault="00306A9D" w:rsidP="00E15313">
            <w:pPr>
              <w:rPr>
                <w:rFonts w:ascii="Helvetica Neue" w:hAnsi="Helvetica Neue" w:cs="Calibri"/>
                <w:color w:val="000000"/>
                <w:sz w:val="18"/>
                <w:szCs w:val="18"/>
              </w:rPr>
            </w:pPr>
          </w:p>
        </w:tc>
        <w:tc>
          <w:tcPr>
            <w:tcW w:w="4895" w:type="dxa"/>
            <w:tcBorders>
              <w:top w:val="nil"/>
              <w:left w:val="nil"/>
              <w:bottom w:val="nil"/>
              <w:right w:val="nil"/>
            </w:tcBorders>
            <w:shd w:val="clear" w:color="000000" w:fill="FFFFFF"/>
            <w:vAlign w:val="center"/>
          </w:tcPr>
          <w:p w14:paraId="04EC1829" w14:textId="77777777" w:rsidR="00306A9D" w:rsidRPr="00DE4DAD" w:rsidRDefault="00306A9D" w:rsidP="00E15313">
            <w:pPr>
              <w:rPr>
                <w:rFonts w:ascii="Helvetica Neue" w:hAnsi="Helvetica Neue" w:cs="Calibri"/>
                <w:color w:val="000000"/>
                <w:sz w:val="18"/>
                <w:szCs w:val="18"/>
              </w:rPr>
            </w:pPr>
          </w:p>
        </w:tc>
      </w:tr>
      <w:tr w:rsidR="00887EBC" w:rsidRPr="001B6BD3" w14:paraId="75F64CCF" w14:textId="77777777" w:rsidTr="001B1A34">
        <w:trPr>
          <w:trHeight w:val="68"/>
        </w:trPr>
        <w:tc>
          <w:tcPr>
            <w:tcW w:w="4142" w:type="dxa"/>
            <w:tcBorders>
              <w:top w:val="nil"/>
              <w:left w:val="nil"/>
              <w:bottom w:val="nil"/>
              <w:right w:val="nil"/>
            </w:tcBorders>
            <w:shd w:val="clear" w:color="000000" w:fill="FFFFFF"/>
            <w:noWrap/>
            <w:vAlign w:val="center"/>
            <w:hideMark/>
          </w:tcPr>
          <w:p w14:paraId="10B3A8BF" w14:textId="77777777"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Per-act acquisition probability</w:t>
            </w:r>
          </w:p>
        </w:tc>
        <w:tc>
          <w:tcPr>
            <w:tcW w:w="996" w:type="dxa"/>
            <w:tcBorders>
              <w:top w:val="nil"/>
              <w:left w:val="nil"/>
              <w:bottom w:val="nil"/>
              <w:right w:val="nil"/>
            </w:tcBorders>
            <w:shd w:val="clear" w:color="000000" w:fill="FFFFFF"/>
            <w:noWrap/>
            <w:vAlign w:val="center"/>
            <w:hideMark/>
          </w:tcPr>
          <w:p w14:paraId="575D6DAB"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1147" w:type="dxa"/>
            <w:tcBorders>
              <w:top w:val="nil"/>
              <w:left w:val="nil"/>
              <w:bottom w:val="nil"/>
              <w:right w:val="nil"/>
            </w:tcBorders>
            <w:shd w:val="clear" w:color="000000" w:fill="FFFFFF"/>
            <w:noWrap/>
            <w:vAlign w:val="center"/>
            <w:hideMark/>
          </w:tcPr>
          <w:p w14:paraId="3645217F"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1522DFF4"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67EE5112" w14:textId="77777777" w:rsidTr="001B1A34">
        <w:trPr>
          <w:trHeight w:val="68"/>
        </w:trPr>
        <w:tc>
          <w:tcPr>
            <w:tcW w:w="4142" w:type="dxa"/>
            <w:tcBorders>
              <w:top w:val="nil"/>
              <w:left w:val="nil"/>
              <w:bottom w:val="nil"/>
              <w:right w:val="nil"/>
            </w:tcBorders>
            <w:shd w:val="clear" w:color="000000" w:fill="FFFFFF"/>
            <w:noWrap/>
            <w:vAlign w:val="center"/>
            <w:hideMark/>
          </w:tcPr>
          <w:p w14:paraId="04ED91BF"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Rectal Gonorrhea</w:t>
            </w:r>
          </w:p>
        </w:tc>
        <w:tc>
          <w:tcPr>
            <w:tcW w:w="996" w:type="dxa"/>
            <w:tcBorders>
              <w:top w:val="nil"/>
              <w:left w:val="nil"/>
              <w:bottom w:val="nil"/>
              <w:right w:val="nil"/>
            </w:tcBorders>
            <w:shd w:val="clear" w:color="000000" w:fill="FFFFFF"/>
            <w:noWrap/>
            <w:vAlign w:val="center"/>
            <w:hideMark/>
          </w:tcPr>
          <w:p w14:paraId="28FCF945" w14:textId="04B51220"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w:t>
            </w:r>
            <w:r w:rsidR="0013795F" w:rsidRPr="00DE4DAD">
              <w:rPr>
                <w:rFonts w:ascii="Helvetica Neue" w:hAnsi="Helvetica Neue" w:cs="Calibri"/>
                <w:color w:val="000000"/>
                <w:sz w:val="18"/>
                <w:szCs w:val="18"/>
              </w:rPr>
              <w:t>5364</w:t>
            </w:r>
          </w:p>
        </w:tc>
        <w:tc>
          <w:tcPr>
            <w:tcW w:w="1147" w:type="dxa"/>
            <w:tcBorders>
              <w:top w:val="nil"/>
              <w:left w:val="nil"/>
              <w:bottom w:val="nil"/>
              <w:right w:val="nil"/>
            </w:tcBorders>
            <w:shd w:val="clear" w:color="000000" w:fill="FFFFFF"/>
            <w:noWrap/>
            <w:vAlign w:val="center"/>
            <w:hideMark/>
          </w:tcPr>
          <w:p w14:paraId="0BF39E57"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0.30 – 0.60</w:t>
            </w:r>
          </w:p>
        </w:tc>
        <w:tc>
          <w:tcPr>
            <w:tcW w:w="4895" w:type="dxa"/>
            <w:tcBorders>
              <w:top w:val="nil"/>
              <w:left w:val="nil"/>
              <w:bottom w:val="nil"/>
              <w:right w:val="nil"/>
            </w:tcBorders>
            <w:shd w:val="clear" w:color="000000" w:fill="FFFFFF"/>
            <w:vAlign w:val="center"/>
            <w:hideMark/>
          </w:tcPr>
          <w:p w14:paraId="1C0E3404" w14:textId="2A0CF90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291558" w:rsidRPr="00DE4DAD">
              <w:rPr>
                <w:rFonts w:ascii="Helvetica Neue" w:hAnsi="Helvetica Neue" w:cs="Calibri"/>
                <w:color w:val="000000"/>
                <w:sz w:val="18"/>
                <w:szCs w:val="18"/>
              </w:rPr>
              <w:instrText>ADDIN CSL_CITATION {"citationItems":[{"id":"ITEM-1","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Dis","id":"ITEM-1","issue":"9","issued":{"date-parts":[["2016","9"]]},"page":"542-548","title":"Cost-effectiveness of dual antimicrobial therapy for gonococcal infections among men who have sex with men in the Netherlands","type":"article-journal","volume":"43"},"uris":["http://www.mendeley.com/documents/?uuid=bef10dd7-5fdc-4432-817f-0c375883981c"]},{"id":"ITEM-2","itemData":{"ISSN":"0148-5717","PMID":"11984448","abstract":"BACKGROUND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STDs.","author":[{"dropping-particle":"","family":"Pinkerton","given":"Steven D","non-dropping-particle":"","parse-names":false,"suffix":""},{"dropping-particle":"","family":"Layde","given":"Peter M","non-dropping-particle":"","parse-names":false,"suffix":""},{"dropping-particle":"","family":"NIMH multisite HIV prevention trial group","given":"","non-dropping-particle":"","parse-names":false,"suffix":""}],"container-title":"Sex Transm Dis","id":"ITEM-2","issue":"5","issued":{"date-parts":[["2002","5"]]},"page":"298-307","title":"Using sexually transmitted disease incidence as a surrogate marker for HIV incidence in prevention trials: a modeling study.","type":"article-journal","volume":"29"},"uris":["http://www.mendeley.com/documents/?uuid=ee316a28-9acf-468c-8cc4-aa064d938629"]},{"id":"ITEM-3","itemData":{"ISSN":"1471-2334","PMID":"23618061","abstract":"BACKGROUND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Dis","id":"ITEM-3","issued":{"date-parts":[["2013"]]},"page":"188","title":"Population movement can sustain STI prevalence in remote Australian indigenous communities.","type":"article-journal","volume":"13"},"uris":["http://www.mendeley.com/documents/?uuid=439c8ade-8864-4f5e-9dff-966b3d367e00"]}],"mendeley":{"formattedCitation":"&lt;sup&gt;53,63,93&lt;/sup&gt;","plainTextFormattedCitation":"53,63,93","previouslyFormattedCitation":"&lt;sup&gt;53,63,93&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291558" w:rsidRPr="00DE4DAD">
              <w:rPr>
                <w:rFonts w:ascii="Helvetica Neue" w:hAnsi="Helvetica Neue" w:cs="Calibri"/>
                <w:noProof/>
                <w:color w:val="000000"/>
                <w:sz w:val="18"/>
                <w:szCs w:val="18"/>
                <w:vertAlign w:val="superscript"/>
              </w:rPr>
              <w:t>53,63,93</w:t>
            </w:r>
            <w:r w:rsidRPr="00DE4DAD">
              <w:rPr>
                <w:rFonts w:ascii="Helvetica Neue" w:hAnsi="Helvetica Neue" w:cs="Calibri"/>
                <w:color w:val="000000"/>
                <w:sz w:val="18"/>
                <w:szCs w:val="18"/>
              </w:rPr>
              <w:fldChar w:fldCharType="end"/>
            </w:r>
          </w:p>
        </w:tc>
      </w:tr>
      <w:tr w:rsidR="00887EBC" w:rsidRPr="001B6BD3" w14:paraId="03F02835" w14:textId="77777777" w:rsidTr="001B1A34">
        <w:trPr>
          <w:trHeight w:val="68"/>
        </w:trPr>
        <w:tc>
          <w:tcPr>
            <w:tcW w:w="4142" w:type="dxa"/>
            <w:tcBorders>
              <w:top w:val="nil"/>
              <w:left w:val="nil"/>
              <w:bottom w:val="nil"/>
              <w:right w:val="nil"/>
            </w:tcBorders>
            <w:shd w:val="clear" w:color="000000" w:fill="FFFFFF"/>
            <w:noWrap/>
            <w:vAlign w:val="center"/>
            <w:hideMark/>
          </w:tcPr>
          <w:p w14:paraId="3CA914A7"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Urethral Gonorrhea</w:t>
            </w:r>
          </w:p>
        </w:tc>
        <w:tc>
          <w:tcPr>
            <w:tcW w:w="996" w:type="dxa"/>
            <w:tcBorders>
              <w:top w:val="nil"/>
              <w:left w:val="nil"/>
              <w:bottom w:val="nil"/>
              <w:right w:val="nil"/>
            </w:tcBorders>
            <w:shd w:val="clear" w:color="000000" w:fill="FFFFFF"/>
            <w:noWrap/>
            <w:vAlign w:val="center"/>
            <w:hideMark/>
          </w:tcPr>
          <w:p w14:paraId="3D8A20D6" w14:textId="06DA6DDB"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w:t>
            </w:r>
            <w:r w:rsidR="00111A41" w:rsidRPr="00DE4DAD">
              <w:rPr>
                <w:rFonts w:ascii="Helvetica Neue" w:hAnsi="Helvetica Neue" w:cs="Calibri"/>
                <w:color w:val="000000"/>
                <w:sz w:val="18"/>
                <w:szCs w:val="18"/>
              </w:rPr>
              <w:t>43</w:t>
            </w:r>
            <w:r w:rsidR="0013795F" w:rsidRPr="00DE4DAD">
              <w:rPr>
                <w:rFonts w:ascii="Helvetica Neue" w:hAnsi="Helvetica Neue" w:cs="Calibri"/>
                <w:color w:val="000000"/>
                <w:sz w:val="18"/>
                <w:szCs w:val="18"/>
              </w:rPr>
              <w:t>47</w:t>
            </w:r>
          </w:p>
        </w:tc>
        <w:tc>
          <w:tcPr>
            <w:tcW w:w="1147" w:type="dxa"/>
            <w:tcBorders>
              <w:top w:val="nil"/>
              <w:left w:val="nil"/>
              <w:bottom w:val="nil"/>
              <w:right w:val="nil"/>
            </w:tcBorders>
            <w:shd w:val="clear" w:color="000000" w:fill="FFFFFF"/>
            <w:noWrap/>
            <w:vAlign w:val="center"/>
            <w:hideMark/>
          </w:tcPr>
          <w:p w14:paraId="771A873B"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0.10 – 0.50</w:t>
            </w:r>
          </w:p>
        </w:tc>
        <w:tc>
          <w:tcPr>
            <w:tcW w:w="4895" w:type="dxa"/>
            <w:tcBorders>
              <w:top w:val="nil"/>
              <w:left w:val="nil"/>
              <w:bottom w:val="nil"/>
              <w:right w:val="nil"/>
            </w:tcBorders>
            <w:shd w:val="clear" w:color="000000" w:fill="FFFFFF"/>
            <w:vAlign w:val="center"/>
            <w:hideMark/>
          </w:tcPr>
          <w:p w14:paraId="4FC2EC4D" w14:textId="483C0D4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291558" w:rsidRPr="00DE4DAD">
              <w:rPr>
                <w:rFonts w:ascii="Helvetica Neue" w:hAnsi="Helvetica Neue" w:cs="Calibri"/>
                <w:color w:val="000000"/>
                <w:sz w:val="18"/>
                <w:szCs w:val="18"/>
              </w:rPr>
              <w:instrText>ADDIN CSL_CITATION {"citationItems":[{"id":"ITEM-1","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Dis","id":"ITEM-1","issue":"9","issued":{"date-parts":[["2016","9"]]},"page":"542-548","title":"Cost-effectiveness of dual antimicrobial therapy for gonococcal infections among men who have sex with men in the Netherlands","type":"article-journal","volume":"43"},"uris":["http://www.mendeley.com/documents/?uuid=bef10dd7-5fdc-4432-817f-0c375883981c"]},{"id":"ITEM-2","itemData":{"ISSN":"0148-5717","PMID":"11984448","abstract":"BACKGROUND Because many of the sexual behaviors that place individuals at risk of acquiring HIV are the same as those that place them at risk for other sexually transmitted diseases (STDs), researchers and policymakers have called for the use of non-HIV STDs as surrogate markers for HIV infection. GOALS This study examined the epidemiologic conditions under which changes in STD incidence are associated with changes in HIV incidence. STUDY DESIGN A mathematical model of HIV/STD transmission was applied to empirical data from a large HIV prevention intervention. The association between participants' HIV infection risk reduction scores and their STD risk reduction scores was measured with use of the Pearson product-moment correlation. The authors examined how the strength of association varied across different epidemiologic parameters and heterosexual behaviors. RESULTS Moderate to strong associations were noted when the infectivity of the STD was similar to the infectivity of HIV. The association was attenuated for larger STD infectivity values. The prevalence of STD infection was a less important determinant of the strength of association. Stronger associations were obtained when the number of sex partners was large or the number of sex acts was small. CONCLUSIONS Easily transmitted STDs, such as gonorrhea, are unsuitable for general use as surrogate markers for HIV infection. Hepatitis B, syphilis, and chlamydial infection have more promising epidemiologic profiles. Careful studies of STD infectivity are needed to aid in the identification of potential marker STDs.","author":[{"dropping-particle":"","family":"Pinkerton","given":"Steven D","non-dropping-particle":"","parse-names":false,"suffix":""},{"dropping-particle":"","family":"Layde","given":"Peter M","non-dropping-particle":"","parse-names":false,"suffix":""},{"dropping-particle":"","family":"NIMH multisite HIV prevention trial group","given":"","non-dropping-particle":"","parse-names":false,"suffix":""}],"container-title":"Sex Transm Dis","id":"ITEM-2","issue":"5","issued":{"date-parts":[["2002","5"]]},"page":"298-307","title":"Using sexually transmitted disease incidence as a surrogate marker for HIV incidence in prevention trials: a modeling study.","type":"article-journal","volume":"29"},"uris":["http://www.mendeley.com/documents/?uuid=ee316a28-9acf-468c-8cc4-aa064d938629"]},{"id":"ITEM-3","itemData":{"ISSN":"1471-2334","PMID":"23618061","abstract":"BACKGROUND For almost two decades, chlamydia and gonorrhoea diagnosis rates in remote Indigenous communities have been up to 30 times higher than for non-Indigenous Australians. The high levels of population movement known to occur between remote communities may contribute to these high rates. METHODS We developed an individual-based computer simulation model to study the relationship between population movement and the persistence of gonorrhoea and chlamydia transmission within hypothetical remote communities. RESULTS Results from our model suggest that short-term population movement can facilitate gonorrhoea and chlamydia persistence in small populations. By fixing the number of short-term travellers in accordance with census data, we found that these STIs can persist if at least 20% of individuals in the population seek additional partners while away from home and if the time away from home is less than 21 days. Periodic variations in travel patterns can contribute to increased sustainable levels of infection. Expanding existing STI testing and treatment programs to cater for short-term travellers is shown to be ineffective due to their short duration of stay. Testing and treatment strategies tailored to movement patterns, such as encouraging travellers to seek testing and treatment upon return from travel, will likely be more effective. CONCLUSION High population mobility is likely to contribute to the high levels of STIs observed in remote Indigenous communities of Australia. More detailed data on mobility patterns and sexual behaviour of travellers will be invaluable for designing and assessing STI control programs in highly mobile communities.","author":[{"dropping-particle":"","family":"Hui","given":"Ben B","non-dropping-particle":"","parse-names":false,"suffix":""},{"dropping-particle":"","family":"Gray","given":"Richard T","non-dropping-particle":"","parse-names":false,"suffix":""},{"dropping-particle":"","family":"Wilson","given":"David P","non-dropping-particle":"","parse-names":false,"suffix":""},{"dropping-particle":"","family":"Ward","given":"James S","non-dropping-particle":"","parse-names":false,"suffix":""},{"dropping-particle":"","family":"Smith","given":"Anthony M A","non-dropping-particle":"","parse-names":false,"suffix":""},{"dropping-particle":"","family":"Philip","given":"David J","non-dropping-particle":"","parse-names":false,"suffix":""},{"dropping-particle":"","family":"Law","given":"Matthew G","non-dropping-particle":"","parse-names":false,"suffix":""},{"dropping-particle":"","family":"Hocking","given":"Jane S","non-dropping-particle":"","parse-names":false,"suffix":""},{"dropping-particle":"","family":"Regan","given":"David G","non-dropping-particle":"","parse-names":false,"suffix":""}],"container-title":"BMC Infect Dis","id":"ITEM-3","issued":{"date-parts":[["2013"]]},"page":"188","title":"Population movement can sustain STI prevalence in remote Australian indigenous communities.","type":"article-journal","volume":"13"},"uris":["http://www.mendeley.com/documents/?uuid=439c8ade-8864-4f5e-9dff-966b3d367e00"]}],"mendeley":{"formattedCitation":"&lt;sup&gt;53,63,93&lt;/sup&gt;","plainTextFormattedCitation":"53,63,93","previouslyFormattedCitation":"&lt;sup&gt;53,63,93&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291558" w:rsidRPr="00DE4DAD">
              <w:rPr>
                <w:rFonts w:ascii="Helvetica Neue" w:hAnsi="Helvetica Neue" w:cs="Calibri"/>
                <w:noProof/>
                <w:color w:val="000000"/>
                <w:sz w:val="18"/>
                <w:szCs w:val="18"/>
                <w:vertAlign w:val="superscript"/>
              </w:rPr>
              <w:t>53,63,93</w:t>
            </w:r>
            <w:r w:rsidRPr="00DE4DAD">
              <w:rPr>
                <w:rFonts w:ascii="Helvetica Neue" w:hAnsi="Helvetica Neue" w:cs="Calibri"/>
                <w:color w:val="000000"/>
                <w:sz w:val="18"/>
                <w:szCs w:val="18"/>
              </w:rPr>
              <w:fldChar w:fldCharType="end"/>
            </w:r>
          </w:p>
        </w:tc>
      </w:tr>
      <w:tr w:rsidR="00887EBC" w:rsidRPr="001B6BD3" w14:paraId="76236E29" w14:textId="77777777" w:rsidTr="001B1A34">
        <w:trPr>
          <w:trHeight w:val="68"/>
        </w:trPr>
        <w:tc>
          <w:tcPr>
            <w:tcW w:w="4142" w:type="dxa"/>
            <w:tcBorders>
              <w:top w:val="nil"/>
              <w:left w:val="nil"/>
              <w:bottom w:val="nil"/>
              <w:right w:val="nil"/>
            </w:tcBorders>
            <w:shd w:val="clear" w:color="000000" w:fill="FFFFFF"/>
            <w:noWrap/>
            <w:vAlign w:val="center"/>
            <w:hideMark/>
          </w:tcPr>
          <w:p w14:paraId="2F4331C0"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Rectal Chlamydia</w:t>
            </w:r>
          </w:p>
        </w:tc>
        <w:tc>
          <w:tcPr>
            <w:tcW w:w="996" w:type="dxa"/>
            <w:tcBorders>
              <w:top w:val="nil"/>
              <w:left w:val="nil"/>
              <w:bottom w:val="nil"/>
              <w:right w:val="nil"/>
            </w:tcBorders>
            <w:shd w:val="clear" w:color="000000" w:fill="FFFFFF"/>
            <w:noWrap/>
            <w:vAlign w:val="center"/>
            <w:hideMark/>
          </w:tcPr>
          <w:p w14:paraId="3FD86AF1" w14:textId="590C3C1F"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w:t>
            </w:r>
            <w:r w:rsidR="0013795F" w:rsidRPr="00DE4DAD">
              <w:rPr>
                <w:rFonts w:ascii="Helvetica Neue" w:hAnsi="Helvetica Neue" w:cs="Calibri"/>
                <w:color w:val="000000"/>
                <w:sz w:val="18"/>
                <w:szCs w:val="18"/>
              </w:rPr>
              <w:t>2494</w:t>
            </w:r>
          </w:p>
        </w:tc>
        <w:tc>
          <w:tcPr>
            <w:tcW w:w="1147" w:type="dxa"/>
            <w:tcBorders>
              <w:top w:val="nil"/>
              <w:left w:val="nil"/>
              <w:bottom w:val="nil"/>
              <w:right w:val="nil"/>
            </w:tcBorders>
            <w:shd w:val="clear" w:color="000000" w:fill="FFFFFF"/>
            <w:noWrap/>
            <w:vAlign w:val="center"/>
            <w:hideMark/>
          </w:tcPr>
          <w:p w14:paraId="6C8B715F"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0.30 – 0.60</w:t>
            </w:r>
          </w:p>
        </w:tc>
        <w:tc>
          <w:tcPr>
            <w:tcW w:w="4895" w:type="dxa"/>
            <w:tcBorders>
              <w:top w:val="nil"/>
              <w:left w:val="nil"/>
              <w:bottom w:val="nil"/>
              <w:right w:val="nil"/>
            </w:tcBorders>
            <w:shd w:val="clear" w:color="000000" w:fill="FFFFFF"/>
            <w:vAlign w:val="center"/>
            <w:hideMark/>
          </w:tcPr>
          <w:p w14:paraId="3C8930D7" w14:textId="1CBC76F8"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0148-5717","author":[{"dropping-particle":"","family":"Xiridou","given":"Maria","non-dropping-particle":"","parse-names":false,"suffix":""},{"dropping-particle":"","family":"Lugnér","given":"Anna","non-dropping-particle":"","parse-names":false,"suffix":""},{"dropping-particle":"","family":"Vries","given":"Henry J.C.","non-dropping-particle":"de","parse-names":false,"suffix":""},{"dropping-particle":"","family":"Bergen","given":"Jan E.A.M.","non-dropping-particle":"van","parse-names":false,"suffix":""},{"dropping-particle":"","family":"Götz","given":"Hannelore M.","non-dropping-particle":"","parse-names":false,"suffix":""},{"dropping-particle":"","family":"Benthem","given":"Birgit H.B.","non-dropping-particle":"van","parse-names":false,"suffix":""},{"dropping-particle":"","family":"Wallinga","given":"Jacco","non-dropping-particle":"","parse-names":false,"suffix":""},{"dropping-particle":"","family":"Sande","given":"Marianne A.B.","non-dropping-particle":"van der","parse-names":false,"suffix":""}],"container-title":"Sex Transm Dis","id":"ITEM-1","issue":"9","issued":{"date-parts":[["2016","9"]]},"page":"542-548","title":"Cost-effectiveness of dual antimicrobial therapy for gonococcal infections among men who have sex with men in the Netherlands","type":"article-journal","volume":"43"},"uris":["http://www.mendeley.com/documents/?uuid=bef10dd7-5fdc-4432-817f-0c375883981c"]},{"id":"ITEM-2","itemData":{"ISSN":"0148-5717","PMID":"11912465","abstract":"BACKGROUND The proportion of cases of genital ulcer disease attributable to herpes simplex virus type 2 (HSV-2) appears to be increasing in sub-Saharan Africa. GOAL To assess the contributions of HIV disease and behavioral response to the HIV epidemic to the increasing proportion of genital ulcer disease (GUD) attributable to HSV-2 in sub-Saharan Africa. STUDY DESIGN Simulations of the transmission dynamics of ulcerative sexually transmitted diseases (STDs) and HIV with use of the model STDSIM. RESULTS In simulations, 28% of GUD was caused by HSV-2 before a severe HIV epidemic. If HIV disease was assumed to double the duration and frequency of HSV-2 recurrences, this proportion rose to 35% by year 2000. If stronger effects of HIV were assumed, this proportion rose further, but because of increased HSV-2 transmission this would shift the peak in HSV-2 seroprevalence to an unrealistically young age. A simulated 25% reduction in partner-change rates increased the proportion of GUD caused by HSV-2 to 56%, following relatively large decreases in chancroid and syphilis. CONCLUSION Behavioral change may make an important contribution to relative increases in genital herpes.","author":[{"dropping-particle":"","family":"Korenromp","given":"Eline L","non-dropping-particle":"","parse-names":false,"suffix":""},{"dropping-particle":"","family":"Bakker","given":"Roel","non-dropping-particle":"","parse-names":false,"suffix":""},{"dropping-particle":"","family":"Vlas","given":"Sake J","non-dropping-particle":"De","parse-names":false,"suffix":""},{"dropping-particle":"","family":"Robinson","given":"N Jamie","non-dropping-particle":"","parse-names":false,"suffix":""},{"dropping-particle":"","family":"Hayes","given":"Richard","non-dropping-particle":"","parse-names":false,"suffix":""},{"dropping-particle":"","family":"Habbema","given":"J Dik F","non-dropping-particle":"","parse-names":false,"suffix":""}],"container-title":"Sex Transm Dis","id":"ITEM-2","issue":"4","issued":{"date-parts":[["2002","4"]]},"page":"228-38","title":"Can behavior change explain increases in the proportion of genital ulcers attributable to herpes in sub-Saharan Africa? A simulation modeling study.","type":"article-journal","volume":"29"},"uris":["http://www.mendeley.com/documents/?uuid=64397a0c-9101-458b-bf8d-aab34f683c17"]},{"id":"ITEM-3","itemData":{"ISSN":"1365-3156","PMID":"22035250","abstract":"OBJECTIVES To assess the extent to which sexually transmitted infections (STIs) have contributed to the spread of HIV in South Africa and to estimate the extent to which improvements in STI treatment have reduced HIV incidence. METHODS A mathematical model was used to simulate interactions between HIV and six other STIs (genital herpes, syphilis, chancroid, gonorrhoea, chlamydial infection and trichomoniasis) as well as bacterial vaginosis and vaginal candidiasis. The effects of STIs on HIV transmission probabilities were assumed to be consistent with meta-analytic reviews of observational studies, and the model was fitted to South African HIV prevalence data. RESULTS The proportion of new HIV infections in adults that were attributable to curable STIs reduced from 39% (uncertainty range: 24-50%) in 1990 to 14% (8-18%) in 2010, while the proportion of new infections attributable to genital herpes increased. Syndromic management programmes are estimated to have reduced adult HIV incidence by 6.6% (3.3-10.3%) between 1994 and 2004, by which time syndromic management coverage was 52%. Had syndromic management been introduced in 1986, with immediate achievement of 100% coverage and a doubling of the rate of health seeking, HIV incidence would have reduced by 64% (36-82%) over the next decade, but had the same intervention been delayed until 2004, HIV incidence would have reduced by only 5.5% (2.8-9.0%). CONCLUSIONS Sexually transmitted infections have contributed significantly to the spread of HIV in South Africa, but STI control efforts have had limited impact on HIV incidence because of their late introduction and suboptimal coverage.","author":[{"dropping-particle":"","family":"Johnson","given":"Leigh F","non-dropping-particle":"","parse-names":false,"suffix":""},{"dropping-particle":"","family":"Dorrington","given":"Rob E","non-dropping-particle":"","parse-names":false,"suffix":""},{"dropping-particle":"","family":"Bradshaw","given":"Debbie","non-dropping-particle":"","parse-names":false,"suffix":""},{"dropping-particle":"","family":"Coetzee","given":"David J","non-dropping-particle":"","parse-names":false,"suffix":""}],"container-title":"Trop Med Int Health","id":"ITEM-3","issue":"2","issued":{"date-parts":[["2012","2"]]},"page":"161-8","title":"The role of sexually transmitted infections in the evolution of the South African HIV epidemic.","type":"article-journal","volume":"17"},"uris":["http://www.mendeley.com/documents/?uuid=0e1ea8f2-849f-41da-864c-66e864358726"]}],"mendeley":{"formattedCitation":"&lt;sup&gt;39,93,134&lt;/sup&gt;","plainTextFormattedCitation":"39,93,134","previouslyFormattedCitation":"&lt;sup&gt;39,93,134&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CC13FE" w:rsidRPr="00DE4DAD">
              <w:rPr>
                <w:rFonts w:ascii="Helvetica Neue" w:hAnsi="Helvetica Neue" w:cs="Calibri"/>
                <w:noProof/>
                <w:color w:val="000000"/>
                <w:sz w:val="18"/>
                <w:szCs w:val="18"/>
                <w:vertAlign w:val="superscript"/>
              </w:rPr>
              <w:t>39,93,134</w:t>
            </w:r>
            <w:r w:rsidRPr="00DE4DAD">
              <w:rPr>
                <w:rFonts w:ascii="Helvetica Neue" w:hAnsi="Helvetica Neue" w:cs="Calibri"/>
                <w:color w:val="000000"/>
                <w:sz w:val="18"/>
                <w:szCs w:val="18"/>
              </w:rPr>
              <w:fldChar w:fldCharType="end"/>
            </w:r>
          </w:p>
        </w:tc>
      </w:tr>
      <w:tr w:rsidR="00887EBC" w:rsidRPr="001B6BD3" w14:paraId="71489B39" w14:textId="77777777" w:rsidTr="001B1A34">
        <w:trPr>
          <w:trHeight w:val="68"/>
        </w:trPr>
        <w:tc>
          <w:tcPr>
            <w:tcW w:w="4142" w:type="dxa"/>
            <w:tcBorders>
              <w:top w:val="nil"/>
              <w:left w:val="nil"/>
              <w:bottom w:val="nil"/>
              <w:right w:val="nil"/>
            </w:tcBorders>
            <w:shd w:val="clear" w:color="000000" w:fill="FFFFFF"/>
            <w:noWrap/>
            <w:vAlign w:val="center"/>
            <w:hideMark/>
          </w:tcPr>
          <w:p w14:paraId="484614BA"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Urethral Chlamydia</w:t>
            </w:r>
          </w:p>
        </w:tc>
        <w:tc>
          <w:tcPr>
            <w:tcW w:w="996" w:type="dxa"/>
            <w:tcBorders>
              <w:top w:val="nil"/>
              <w:left w:val="nil"/>
              <w:bottom w:val="nil"/>
              <w:right w:val="nil"/>
            </w:tcBorders>
            <w:shd w:val="clear" w:color="000000" w:fill="FFFFFF"/>
            <w:noWrap/>
            <w:vAlign w:val="center"/>
            <w:hideMark/>
          </w:tcPr>
          <w:p w14:paraId="43960AE6" w14:textId="5B0B5363" w:rsidR="00887EBC" w:rsidRPr="00DE4DAD" w:rsidRDefault="0013795F" w:rsidP="00E15313">
            <w:pPr>
              <w:rPr>
                <w:rFonts w:ascii="Helvetica Neue" w:hAnsi="Helvetica Neue" w:cs="Calibri"/>
                <w:color w:val="000000"/>
                <w:sz w:val="18"/>
                <w:szCs w:val="18"/>
              </w:rPr>
            </w:pPr>
            <w:r w:rsidRPr="00DE4DAD">
              <w:rPr>
                <w:rFonts w:ascii="Helvetica Neue" w:hAnsi="Helvetica Neue" w:cs="Calibri"/>
                <w:color w:val="000000"/>
                <w:sz w:val="18"/>
                <w:szCs w:val="18"/>
              </w:rPr>
              <w:t>0.1944</w:t>
            </w:r>
          </w:p>
        </w:tc>
        <w:tc>
          <w:tcPr>
            <w:tcW w:w="1147" w:type="dxa"/>
            <w:tcBorders>
              <w:top w:val="nil"/>
              <w:left w:val="nil"/>
              <w:bottom w:val="nil"/>
              <w:right w:val="nil"/>
            </w:tcBorders>
            <w:shd w:val="clear" w:color="000000" w:fill="FFFFFF"/>
            <w:noWrap/>
            <w:vAlign w:val="center"/>
            <w:hideMark/>
          </w:tcPr>
          <w:p w14:paraId="6E2CDF89"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0.10 – 0.50</w:t>
            </w:r>
          </w:p>
        </w:tc>
        <w:tc>
          <w:tcPr>
            <w:tcW w:w="4895" w:type="dxa"/>
            <w:tcBorders>
              <w:top w:val="nil"/>
              <w:left w:val="nil"/>
              <w:bottom w:val="nil"/>
              <w:right w:val="nil"/>
            </w:tcBorders>
            <w:shd w:val="clear" w:color="000000" w:fill="FFFFFF"/>
            <w:vAlign w:val="center"/>
            <w:hideMark/>
          </w:tcPr>
          <w:p w14:paraId="4A887DA2" w14:textId="10865131"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noProof/>
                <w:color w:val="000000"/>
                <w:sz w:val="18"/>
                <w:szCs w:val="18"/>
                <w:vertAlign w:val="superscript"/>
              </w:rPr>
              <w:t>9,93,96</w:t>
            </w:r>
          </w:p>
        </w:tc>
      </w:tr>
      <w:tr w:rsidR="00887EBC" w:rsidRPr="001B6BD3" w14:paraId="43BA11F8" w14:textId="77777777" w:rsidTr="001B1A34">
        <w:trPr>
          <w:trHeight w:val="315"/>
        </w:trPr>
        <w:tc>
          <w:tcPr>
            <w:tcW w:w="4142" w:type="dxa"/>
            <w:tcBorders>
              <w:top w:val="nil"/>
              <w:left w:val="nil"/>
              <w:bottom w:val="nil"/>
              <w:right w:val="nil"/>
            </w:tcBorders>
            <w:shd w:val="clear" w:color="000000" w:fill="FFFFFF"/>
            <w:noWrap/>
            <w:vAlign w:val="center"/>
            <w:hideMark/>
          </w:tcPr>
          <w:p w14:paraId="41B4EEAD" w14:textId="77777777"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Probability of symptomatic infection</w:t>
            </w:r>
          </w:p>
        </w:tc>
        <w:tc>
          <w:tcPr>
            <w:tcW w:w="996" w:type="dxa"/>
            <w:tcBorders>
              <w:top w:val="nil"/>
              <w:left w:val="nil"/>
              <w:bottom w:val="nil"/>
              <w:right w:val="nil"/>
            </w:tcBorders>
            <w:shd w:val="clear" w:color="000000" w:fill="FFFFFF"/>
            <w:noWrap/>
            <w:vAlign w:val="center"/>
            <w:hideMark/>
          </w:tcPr>
          <w:p w14:paraId="55353365" w14:textId="77777777" w:rsidR="00887EBC" w:rsidRPr="00DE4DAD" w:rsidRDefault="00887EBC" w:rsidP="00E15313">
            <w:pPr>
              <w:rPr>
                <w:rFonts w:ascii="Helvetica Neue" w:hAnsi="Helvetica Neue" w:cs="Calibri"/>
                <w:sz w:val="18"/>
                <w:szCs w:val="18"/>
              </w:rPr>
            </w:pPr>
            <w:r w:rsidRPr="00DE4DAD">
              <w:rPr>
                <w:rFonts w:ascii="Helvetica Neue" w:hAnsi="Helvetica Neue" w:cs="Calibri"/>
                <w:sz w:val="18"/>
                <w:szCs w:val="18"/>
              </w:rPr>
              <w:t> </w:t>
            </w:r>
          </w:p>
        </w:tc>
        <w:tc>
          <w:tcPr>
            <w:tcW w:w="1147" w:type="dxa"/>
            <w:tcBorders>
              <w:top w:val="nil"/>
              <w:left w:val="nil"/>
              <w:bottom w:val="nil"/>
              <w:right w:val="nil"/>
            </w:tcBorders>
            <w:shd w:val="clear" w:color="000000" w:fill="FFFFFF"/>
            <w:noWrap/>
            <w:vAlign w:val="center"/>
            <w:hideMark/>
          </w:tcPr>
          <w:p w14:paraId="75018DA5"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57A3D89E"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54516329" w14:textId="77777777" w:rsidTr="001B1A34">
        <w:trPr>
          <w:trHeight w:val="68"/>
        </w:trPr>
        <w:tc>
          <w:tcPr>
            <w:tcW w:w="4142" w:type="dxa"/>
            <w:tcBorders>
              <w:top w:val="nil"/>
              <w:left w:val="nil"/>
              <w:bottom w:val="nil"/>
              <w:right w:val="nil"/>
            </w:tcBorders>
            <w:shd w:val="clear" w:color="000000" w:fill="FFFFFF"/>
            <w:noWrap/>
            <w:vAlign w:val="center"/>
            <w:hideMark/>
          </w:tcPr>
          <w:p w14:paraId="54503880"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Rectal Gonorrhea</w:t>
            </w:r>
          </w:p>
        </w:tc>
        <w:tc>
          <w:tcPr>
            <w:tcW w:w="996" w:type="dxa"/>
            <w:tcBorders>
              <w:top w:val="nil"/>
              <w:left w:val="nil"/>
              <w:bottom w:val="nil"/>
              <w:right w:val="nil"/>
            </w:tcBorders>
            <w:shd w:val="clear" w:color="000000" w:fill="FFFFFF"/>
            <w:noWrap/>
            <w:vAlign w:val="center"/>
            <w:hideMark/>
          </w:tcPr>
          <w:p w14:paraId="24946570"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0.1600</w:t>
            </w:r>
          </w:p>
        </w:tc>
        <w:tc>
          <w:tcPr>
            <w:tcW w:w="1147" w:type="dxa"/>
            <w:tcBorders>
              <w:top w:val="nil"/>
              <w:left w:val="nil"/>
              <w:bottom w:val="nil"/>
              <w:right w:val="nil"/>
            </w:tcBorders>
            <w:shd w:val="clear" w:color="000000" w:fill="FFFFFF"/>
            <w:noWrap/>
            <w:vAlign w:val="center"/>
            <w:hideMark/>
          </w:tcPr>
          <w:p w14:paraId="6C04327B" w14:textId="79A5253D"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tcPr>
          <w:p w14:paraId="78118CBF" w14:textId="0735F674"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71</w:t>
            </w:r>
            <w:r w:rsidRPr="00DE4DAD">
              <w:rPr>
                <w:rFonts w:ascii="Helvetica Neue" w:hAnsi="Helvetica Neue" w:cs="Calibri"/>
                <w:color w:val="000000"/>
                <w:sz w:val="18"/>
                <w:szCs w:val="18"/>
              </w:rPr>
              <w:fldChar w:fldCharType="end"/>
            </w:r>
          </w:p>
        </w:tc>
      </w:tr>
      <w:tr w:rsidR="00887EBC" w:rsidRPr="001B6BD3" w14:paraId="6F9AC789" w14:textId="77777777" w:rsidTr="001B1A34">
        <w:trPr>
          <w:trHeight w:val="68"/>
        </w:trPr>
        <w:tc>
          <w:tcPr>
            <w:tcW w:w="4142" w:type="dxa"/>
            <w:tcBorders>
              <w:top w:val="nil"/>
              <w:left w:val="nil"/>
              <w:bottom w:val="nil"/>
              <w:right w:val="nil"/>
            </w:tcBorders>
            <w:shd w:val="clear" w:color="000000" w:fill="FFFFFF"/>
            <w:noWrap/>
            <w:vAlign w:val="center"/>
            <w:hideMark/>
          </w:tcPr>
          <w:p w14:paraId="51560BC3"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Urethral Gonorrhea</w:t>
            </w:r>
          </w:p>
        </w:tc>
        <w:tc>
          <w:tcPr>
            <w:tcW w:w="996" w:type="dxa"/>
            <w:tcBorders>
              <w:top w:val="nil"/>
              <w:left w:val="nil"/>
              <w:bottom w:val="nil"/>
              <w:right w:val="nil"/>
            </w:tcBorders>
            <w:shd w:val="clear" w:color="000000" w:fill="FFFFFF"/>
            <w:noWrap/>
            <w:vAlign w:val="center"/>
            <w:hideMark/>
          </w:tcPr>
          <w:p w14:paraId="6D0E18F2" w14:textId="5C2F39C1"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w:t>
            </w:r>
            <w:r w:rsidR="00BD3226" w:rsidRPr="00DE4DAD">
              <w:rPr>
                <w:rFonts w:ascii="Helvetica Neue" w:hAnsi="Helvetica Neue" w:cs="Calibri"/>
                <w:color w:val="000000"/>
                <w:sz w:val="18"/>
                <w:szCs w:val="18"/>
              </w:rPr>
              <w:t>8</w:t>
            </w:r>
            <w:r w:rsidRPr="00DE4DAD">
              <w:rPr>
                <w:rFonts w:ascii="Helvetica Neue" w:hAnsi="Helvetica Neue" w:cs="Calibri"/>
                <w:color w:val="000000"/>
                <w:sz w:val="18"/>
                <w:szCs w:val="18"/>
              </w:rPr>
              <w:t>000</w:t>
            </w:r>
          </w:p>
        </w:tc>
        <w:tc>
          <w:tcPr>
            <w:tcW w:w="1147" w:type="dxa"/>
            <w:tcBorders>
              <w:top w:val="nil"/>
              <w:left w:val="nil"/>
              <w:bottom w:val="nil"/>
              <w:right w:val="nil"/>
            </w:tcBorders>
            <w:shd w:val="clear" w:color="000000" w:fill="FFFFFF"/>
            <w:noWrap/>
            <w:vAlign w:val="center"/>
            <w:hideMark/>
          </w:tcPr>
          <w:p w14:paraId="50DFE556" w14:textId="467BA26E"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386E03F6" w14:textId="6AE2B9B8"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71</w:t>
            </w:r>
            <w:r w:rsidRPr="00DE4DAD">
              <w:rPr>
                <w:rFonts w:ascii="Helvetica Neue" w:hAnsi="Helvetica Neue" w:cs="Calibri"/>
                <w:color w:val="000000"/>
                <w:sz w:val="18"/>
                <w:szCs w:val="18"/>
              </w:rPr>
              <w:fldChar w:fldCharType="end"/>
            </w:r>
            <w:r w:rsidR="00BD3226" w:rsidRPr="00DE4DAD">
              <w:rPr>
                <w:rFonts w:ascii="Helvetica Neue" w:hAnsi="Helvetica Neue" w:cs="Calibri"/>
                <w:color w:val="000000"/>
                <w:sz w:val="18"/>
                <w:szCs w:val="18"/>
              </w:rPr>
              <w:t xml:space="preserve"> (reduced by 0.10 to account for STD clinic population)</w:t>
            </w:r>
          </w:p>
        </w:tc>
      </w:tr>
      <w:tr w:rsidR="00887EBC" w:rsidRPr="001B6BD3" w14:paraId="53E0D59A" w14:textId="77777777" w:rsidTr="001B1A34">
        <w:trPr>
          <w:trHeight w:val="68"/>
        </w:trPr>
        <w:tc>
          <w:tcPr>
            <w:tcW w:w="4142" w:type="dxa"/>
            <w:tcBorders>
              <w:top w:val="nil"/>
              <w:left w:val="nil"/>
              <w:bottom w:val="nil"/>
              <w:right w:val="nil"/>
            </w:tcBorders>
            <w:shd w:val="clear" w:color="000000" w:fill="FFFFFF"/>
            <w:noWrap/>
            <w:vAlign w:val="center"/>
            <w:hideMark/>
          </w:tcPr>
          <w:p w14:paraId="1FE5C470"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Rectal Chlamydia</w:t>
            </w:r>
          </w:p>
        </w:tc>
        <w:tc>
          <w:tcPr>
            <w:tcW w:w="996" w:type="dxa"/>
            <w:tcBorders>
              <w:top w:val="nil"/>
              <w:left w:val="nil"/>
              <w:bottom w:val="nil"/>
              <w:right w:val="nil"/>
            </w:tcBorders>
            <w:shd w:val="clear" w:color="000000" w:fill="FFFFFF"/>
            <w:noWrap/>
            <w:vAlign w:val="center"/>
            <w:hideMark/>
          </w:tcPr>
          <w:p w14:paraId="4CADC54B"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0.1400</w:t>
            </w:r>
          </w:p>
        </w:tc>
        <w:tc>
          <w:tcPr>
            <w:tcW w:w="1147" w:type="dxa"/>
            <w:tcBorders>
              <w:top w:val="nil"/>
              <w:left w:val="nil"/>
              <w:bottom w:val="nil"/>
              <w:right w:val="nil"/>
            </w:tcBorders>
            <w:shd w:val="clear" w:color="000000" w:fill="FFFFFF"/>
            <w:noWrap/>
            <w:vAlign w:val="center"/>
            <w:hideMark/>
          </w:tcPr>
          <w:p w14:paraId="4176A876" w14:textId="4DD81DB8"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00298506" w14:textId="7F7E8038"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71</w:t>
            </w:r>
            <w:r w:rsidRPr="00DE4DAD">
              <w:rPr>
                <w:rFonts w:ascii="Helvetica Neue" w:hAnsi="Helvetica Neue" w:cs="Calibri"/>
                <w:color w:val="000000"/>
                <w:sz w:val="18"/>
                <w:szCs w:val="18"/>
              </w:rPr>
              <w:fldChar w:fldCharType="end"/>
            </w:r>
          </w:p>
        </w:tc>
      </w:tr>
      <w:tr w:rsidR="00887EBC" w:rsidRPr="001B6BD3" w14:paraId="581548C2" w14:textId="77777777" w:rsidTr="001B1A34">
        <w:trPr>
          <w:trHeight w:val="180"/>
        </w:trPr>
        <w:tc>
          <w:tcPr>
            <w:tcW w:w="4142" w:type="dxa"/>
            <w:tcBorders>
              <w:top w:val="nil"/>
              <w:left w:val="nil"/>
              <w:bottom w:val="nil"/>
              <w:right w:val="nil"/>
            </w:tcBorders>
            <w:shd w:val="clear" w:color="000000" w:fill="FFFFFF"/>
            <w:noWrap/>
            <w:vAlign w:val="center"/>
            <w:hideMark/>
          </w:tcPr>
          <w:p w14:paraId="736F450B"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Urethral Chlamydia</w:t>
            </w:r>
          </w:p>
        </w:tc>
        <w:tc>
          <w:tcPr>
            <w:tcW w:w="996" w:type="dxa"/>
            <w:tcBorders>
              <w:top w:val="nil"/>
              <w:left w:val="nil"/>
              <w:bottom w:val="nil"/>
              <w:right w:val="nil"/>
            </w:tcBorders>
            <w:shd w:val="clear" w:color="000000" w:fill="FFFFFF"/>
            <w:noWrap/>
            <w:vAlign w:val="center"/>
            <w:hideMark/>
          </w:tcPr>
          <w:p w14:paraId="0EB8A5E5" w14:textId="5917ABFF" w:rsidR="00887EBC" w:rsidRPr="00DE4DAD" w:rsidRDefault="00BD3226" w:rsidP="00E15313">
            <w:pPr>
              <w:rPr>
                <w:rFonts w:ascii="Helvetica Neue" w:hAnsi="Helvetica Neue" w:cs="Calibri"/>
                <w:color w:val="000000"/>
                <w:sz w:val="18"/>
                <w:szCs w:val="18"/>
              </w:rPr>
            </w:pPr>
            <w:r w:rsidRPr="00DE4DAD">
              <w:rPr>
                <w:rFonts w:ascii="Helvetica Neue" w:hAnsi="Helvetica Neue" w:cs="Calibri"/>
                <w:color w:val="000000"/>
                <w:sz w:val="18"/>
                <w:szCs w:val="18"/>
              </w:rPr>
              <w:t>0.4</w:t>
            </w:r>
            <w:r w:rsidR="00887EBC" w:rsidRPr="00DE4DAD">
              <w:rPr>
                <w:rFonts w:ascii="Helvetica Neue" w:hAnsi="Helvetica Neue" w:cs="Calibri"/>
                <w:color w:val="000000"/>
                <w:sz w:val="18"/>
                <w:szCs w:val="18"/>
              </w:rPr>
              <w:t>800</w:t>
            </w:r>
          </w:p>
        </w:tc>
        <w:tc>
          <w:tcPr>
            <w:tcW w:w="1147" w:type="dxa"/>
            <w:tcBorders>
              <w:top w:val="nil"/>
              <w:left w:val="nil"/>
              <w:bottom w:val="nil"/>
              <w:right w:val="nil"/>
            </w:tcBorders>
            <w:shd w:val="clear" w:color="000000" w:fill="FFFFFF"/>
            <w:noWrap/>
            <w:vAlign w:val="center"/>
            <w:hideMark/>
          </w:tcPr>
          <w:p w14:paraId="5CC0EF12" w14:textId="474C73E0"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70A07E2C" w14:textId="4338EAB3"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mendeley":{"formattedCitation":"&lt;sup&gt;71&lt;/sup&gt;","plainTextFormattedCitation":"71","previouslyFormattedCitation":"&lt;sup&gt;71&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71</w:t>
            </w:r>
            <w:r w:rsidRPr="00DE4DAD">
              <w:rPr>
                <w:rFonts w:ascii="Helvetica Neue" w:hAnsi="Helvetica Neue" w:cs="Calibri"/>
                <w:color w:val="000000"/>
                <w:sz w:val="18"/>
                <w:szCs w:val="18"/>
              </w:rPr>
              <w:fldChar w:fldCharType="end"/>
            </w:r>
            <w:r w:rsidR="005C74E2" w:rsidRPr="00DE4DAD">
              <w:rPr>
                <w:rFonts w:ascii="Helvetica Neue" w:hAnsi="Helvetica Neue" w:cs="Calibri"/>
                <w:color w:val="000000"/>
                <w:sz w:val="18"/>
                <w:szCs w:val="18"/>
              </w:rPr>
              <w:t xml:space="preserve"> </w:t>
            </w:r>
            <w:r w:rsidR="00BD3226" w:rsidRPr="00DE4DAD">
              <w:rPr>
                <w:rFonts w:ascii="Helvetica Neue" w:hAnsi="Helvetica Neue" w:cs="Calibri"/>
                <w:color w:val="000000"/>
                <w:sz w:val="18"/>
                <w:szCs w:val="18"/>
              </w:rPr>
              <w:t>(reduced by 0.10 to account for STD clinic population)</w:t>
            </w:r>
          </w:p>
        </w:tc>
      </w:tr>
      <w:tr w:rsidR="00887EBC" w:rsidRPr="001B6BD3" w14:paraId="486E448A" w14:textId="77777777" w:rsidTr="001B1A34">
        <w:trPr>
          <w:trHeight w:val="68"/>
        </w:trPr>
        <w:tc>
          <w:tcPr>
            <w:tcW w:w="4142" w:type="dxa"/>
            <w:tcBorders>
              <w:top w:val="nil"/>
              <w:left w:val="nil"/>
              <w:bottom w:val="nil"/>
              <w:right w:val="nil"/>
            </w:tcBorders>
            <w:shd w:val="clear" w:color="000000" w:fill="FFFFFF"/>
            <w:noWrap/>
            <w:vAlign w:val="center"/>
            <w:hideMark/>
          </w:tcPr>
          <w:p w14:paraId="5EA673E6" w14:textId="4837A986"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 xml:space="preserve">Duration of untreated infection </w:t>
            </w:r>
          </w:p>
        </w:tc>
        <w:tc>
          <w:tcPr>
            <w:tcW w:w="996" w:type="dxa"/>
            <w:tcBorders>
              <w:top w:val="nil"/>
              <w:left w:val="nil"/>
              <w:bottom w:val="nil"/>
              <w:right w:val="nil"/>
            </w:tcBorders>
            <w:shd w:val="clear" w:color="000000" w:fill="FFFFFF"/>
            <w:noWrap/>
            <w:vAlign w:val="center"/>
            <w:hideMark/>
          </w:tcPr>
          <w:p w14:paraId="32B9329F" w14:textId="77777777" w:rsidR="00887EBC" w:rsidRPr="00DE4DAD" w:rsidRDefault="00887EBC" w:rsidP="00E15313">
            <w:pPr>
              <w:rPr>
                <w:rFonts w:ascii="Helvetica Neue" w:hAnsi="Helvetica Neue" w:cs="Calibri"/>
                <w:sz w:val="18"/>
                <w:szCs w:val="18"/>
              </w:rPr>
            </w:pPr>
            <w:r w:rsidRPr="00DE4DAD">
              <w:rPr>
                <w:rFonts w:ascii="Helvetica Neue" w:hAnsi="Helvetica Neue" w:cs="Calibri"/>
                <w:sz w:val="18"/>
                <w:szCs w:val="18"/>
              </w:rPr>
              <w:t> </w:t>
            </w:r>
          </w:p>
        </w:tc>
        <w:tc>
          <w:tcPr>
            <w:tcW w:w="1147" w:type="dxa"/>
            <w:tcBorders>
              <w:top w:val="nil"/>
              <w:left w:val="nil"/>
              <w:bottom w:val="nil"/>
              <w:right w:val="nil"/>
            </w:tcBorders>
            <w:shd w:val="clear" w:color="000000" w:fill="FFFFFF"/>
            <w:noWrap/>
            <w:vAlign w:val="center"/>
            <w:hideMark/>
          </w:tcPr>
          <w:p w14:paraId="05D7BF1A"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40CB0AE8"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062A6122" w14:textId="77777777" w:rsidTr="001B1A34">
        <w:trPr>
          <w:trHeight w:val="68"/>
        </w:trPr>
        <w:tc>
          <w:tcPr>
            <w:tcW w:w="4142" w:type="dxa"/>
            <w:tcBorders>
              <w:top w:val="nil"/>
              <w:left w:val="nil"/>
              <w:bottom w:val="nil"/>
              <w:right w:val="nil"/>
            </w:tcBorders>
            <w:shd w:val="clear" w:color="000000" w:fill="FFFFFF"/>
            <w:noWrap/>
            <w:vAlign w:val="center"/>
            <w:hideMark/>
          </w:tcPr>
          <w:p w14:paraId="49484F4E"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Gonorrhea (days)</w:t>
            </w:r>
          </w:p>
        </w:tc>
        <w:tc>
          <w:tcPr>
            <w:tcW w:w="996" w:type="dxa"/>
            <w:tcBorders>
              <w:top w:val="nil"/>
              <w:left w:val="nil"/>
              <w:bottom w:val="nil"/>
              <w:right w:val="nil"/>
            </w:tcBorders>
            <w:shd w:val="clear" w:color="000000" w:fill="FFFFFF"/>
            <w:noWrap/>
            <w:vAlign w:val="center"/>
            <w:hideMark/>
          </w:tcPr>
          <w:p w14:paraId="76172FC3" w14:textId="6BAC265F" w:rsidR="00887EBC" w:rsidRPr="00DE4DAD" w:rsidRDefault="003838FC" w:rsidP="00E15313">
            <w:pPr>
              <w:rPr>
                <w:rFonts w:ascii="Helvetica Neue" w:hAnsi="Helvetica Neue" w:cs="Calibri"/>
                <w:color w:val="000000"/>
                <w:sz w:val="18"/>
                <w:szCs w:val="18"/>
              </w:rPr>
            </w:pPr>
            <w:r w:rsidRPr="00DE4DAD">
              <w:rPr>
                <w:rFonts w:ascii="Helvetica Neue" w:hAnsi="Helvetica Neue" w:cs="Calibri"/>
                <w:color w:val="000000"/>
                <w:sz w:val="18"/>
                <w:szCs w:val="18"/>
              </w:rPr>
              <w:t>175</w:t>
            </w:r>
            <w:r w:rsidR="00887EBC" w:rsidRPr="00DE4DAD">
              <w:rPr>
                <w:rFonts w:ascii="Helvetica Neue" w:hAnsi="Helvetica Neue" w:cs="Calibri"/>
                <w:color w:val="000000"/>
                <w:sz w:val="18"/>
                <w:szCs w:val="18"/>
              </w:rPr>
              <w:t>.0000</w:t>
            </w:r>
          </w:p>
        </w:tc>
        <w:tc>
          <w:tcPr>
            <w:tcW w:w="1147" w:type="dxa"/>
            <w:tcBorders>
              <w:top w:val="nil"/>
              <w:left w:val="nil"/>
              <w:bottom w:val="nil"/>
              <w:right w:val="nil"/>
            </w:tcBorders>
            <w:shd w:val="clear" w:color="000000" w:fill="FFFFFF"/>
            <w:noWrap/>
            <w:vAlign w:val="center"/>
            <w:hideMark/>
          </w:tcPr>
          <w:p w14:paraId="7290302B" w14:textId="4815E060"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2094C3DB" w14:textId="50AF55DE"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291558"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STIs","type":"article-journal","volume":"70"},"uris":["http://www.mendeley.com/documents/?uuid=cce0386d-0de1-4180-8bc8-5bad7d021421"]},{"id":"ITEM-2","itemData":{"ISSN":"1368-4973","PMID":"17012515","abstract":"BACKGROUND In sub-Saharan Africa, gonococcal and chlamydial infections are usually managed using the syndromic approach. However, many infections are asymptomatic in women, and the syndromic algorithm has poor sensitivity and specificity for infections caused by Neisseria gonorrhoeae (Ng) and Chlamydia trachomatis (Ct). Because of this, rapid point of care (POC) tests for Ct/Ng could improve sexually transmitted infection (STI) management in women. This study uses mathematical modelling to estimate the incremental cost effectiveness of using POC tests to diagnose Ng/Ct instead of the current syndromic approach used by the SIDA2 HIV/STI prevention project for female sex workers in Cotonou, Benin. METHODS A dynamic mathematical model was used with data from Cotonou to estimate the HIV impact of the existing SIDA2 project (1995-8), and to project how impact would change if POC tests had been used. As observed in test evaluations, the POC tests were assumed to have high specificity, but a range of sensitivities. The incremental economic cost effectiveness of using POC tests was modelled using data on intervention costs and an evaluation of an Ng POC test in Cotonou in 2004. All costs were in 2004 US dollars. RESULTS The model estimated the STI treatment aspect of the intervention averted 18 553 Ng/Ct and 359 HIV infections over 4 years when the syndromic approach was used. In contrast, if Ng/Ct had been diagnosed with a 70-80% sensitive and 95% specific POC test then 24-31% fewer clinic attenders would have been treated, 40-60% more Ng/Ct and HIV infections would have been averted, and the incremental cost effectiveness of using them would have been 107-151 dollars per HIV infection averted if the POC tests cost 2 dollars and 58-81 dollars if they cost 1 dollar. CONCLUSIONS POC tests can be a cost effective strategy for substantially increasing the impact on HIV transmission, and decreasing the degree of inappropriate treatment of STI treatment interventions that use syndromic management to diagnose Ng/Ct.","author":[{"dropping-particle":"","family":"Vickerman","given":"P","non-dropping-particle":"","parse-names":false,"suffix":""},{"dropping-particle":"","family":"Watts","given":"C","non-dropping-particle":"","parse-names":false,"suffix":""},{"dropping-particle":"","family":"Peeling","given":"R W","non-dropping-particle":"","parse-names":false,"suffix":""},{"dropping-particle":"","family":"Mabey","given":"D","non-dropping-particle":"","parse-names":false,"suffix":""},{"dropping-particle":"","family":"Alary","given":"M","non-dropping-particle":"","parse-names":false,"suffix":""}],"container-title":"Sex Transm Infect","id":"ITEM-2","issue":"5","issued":{"date-parts":[["2006","10"]]},"page":"403-12","title":"Modelling the cost effectiveness of rapid point of care diagnostic tests for the control of HIV and other sexually transmitted infections among female sex workers.","type":"article-journal","volume":"82"},"uris":["http://www.mendeley.com/documents/?uuid=34653315-add2-4125-a9d5-d49b26f46065"]},{"id":"ITEM-3","itemData":{"ISSN":"1058-4838","PMID":"28505240","abstract":"Background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Diseases","id":"ITEM-3","issue":"5","issued":{"date-parts":[["2017","5","13"]]},"page":"712-718","title":"Incidence of Gonorrhea and Chlamydia Following HIV Preexposure Prophylaxis among Men Who Have Sex with Men: A Modeling Study","type":"article-journal","volume":"65"},"uris":["http://www.mendeley.com/documents/?uuid=06c51e07-3921-3ca9-8a0d-d43bc4f78464"]}],"mendeley":{"formattedCitation":"&lt;sup&gt;5,48,71&lt;/sup&gt;","plainTextFormattedCitation":"5,48,71","previouslyFormattedCitation":"&lt;sup&gt;5,48,71&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291558" w:rsidRPr="00DE4DAD">
              <w:rPr>
                <w:rFonts w:ascii="Helvetica Neue" w:hAnsi="Helvetica Neue" w:cs="Calibri"/>
                <w:noProof/>
                <w:color w:val="000000"/>
                <w:sz w:val="18"/>
                <w:szCs w:val="18"/>
                <w:vertAlign w:val="superscript"/>
              </w:rPr>
              <w:t>5,48,71</w:t>
            </w:r>
            <w:r w:rsidRPr="00DE4DAD">
              <w:rPr>
                <w:rFonts w:ascii="Helvetica Neue" w:hAnsi="Helvetica Neue" w:cs="Calibri"/>
                <w:color w:val="000000"/>
                <w:sz w:val="18"/>
                <w:szCs w:val="18"/>
              </w:rPr>
              <w:fldChar w:fldCharType="end"/>
            </w:r>
          </w:p>
        </w:tc>
      </w:tr>
      <w:tr w:rsidR="00887EBC" w:rsidRPr="001B6BD3" w14:paraId="40718AFA" w14:textId="77777777" w:rsidTr="001B1A34">
        <w:trPr>
          <w:trHeight w:val="315"/>
        </w:trPr>
        <w:tc>
          <w:tcPr>
            <w:tcW w:w="4142" w:type="dxa"/>
            <w:tcBorders>
              <w:top w:val="nil"/>
              <w:left w:val="nil"/>
              <w:bottom w:val="nil"/>
              <w:right w:val="nil"/>
            </w:tcBorders>
            <w:shd w:val="clear" w:color="000000" w:fill="FFFFFF"/>
            <w:noWrap/>
            <w:vAlign w:val="center"/>
            <w:hideMark/>
          </w:tcPr>
          <w:p w14:paraId="22DD0E26"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Chlamydia (days)</w:t>
            </w:r>
          </w:p>
        </w:tc>
        <w:tc>
          <w:tcPr>
            <w:tcW w:w="996" w:type="dxa"/>
            <w:tcBorders>
              <w:top w:val="nil"/>
              <w:left w:val="nil"/>
              <w:bottom w:val="nil"/>
              <w:right w:val="nil"/>
            </w:tcBorders>
            <w:shd w:val="clear" w:color="000000" w:fill="FFFFFF"/>
            <w:noWrap/>
            <w:vAlign w:val="center"/>
            <w:hideMark/>
          </w:tcPr>
          <w:p w14:paraId="15749582"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310.0000</w:t>
            </w:r>
          </w:p>
        </w:tc>
        <w:tc>
          <w:tcPr>
            <w:tcW w:w="1147" w:type="dxa"/>
            <w:tcBorders>
              <w:top w:val="nil"/>
              <w:left w:val="nil"/>
              <w:bottom w:val="nil"/>
              <w:right w:val="nil"/>
            </w:tcBorders>
            <w:shd w:val="clear" w:color="000000" w:fill="FFFFFF"/>
            <w:noWrap/>
            <w:vAlign w:val="center"/>
            <w:hideMark/>
          </w:tcPr>
          <w:p w14:paraId="34985D91" w14:textId="5D0C3AF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544A4623" w14:textId="54520BFA"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{"citationItems":[{"id":"ITEM-1","itemData":{"ISSN":"1368-4973","PMID":"17405782","abstract":"OBJECTIVE To understand the changing impact of herpes simplex 2 (HSV-2) and other sexually transmitted infections (STIs) on HIV incidence over time in four sub-Saharan African cities, using simulation models. METHODS An individual-based stochastic model was fitted to demographic, behavioural and epidemiological data from cross-sectional population-based surveys in four African cities (Kisumu, Kenya; Ndola, Zambia; Yaoundé, Cameroon; and Cotonou, Benin) in 1997. To estimate the proportion of new HIV infections attributable to HSV-2 and other STIs over time, HIV incidence in the fitted model was compared with that in model scenarios in which the cofactor effect of the STIs on HIV susceptibility and infectivity were removed 5, 10, 15, 20 and 25 years into the simulated HIV epidemics. RESULTS The proportion of incident HIV attributable to HSV-2 infection (the model estimated population attributable fraction (PAF(M))) increased with maturity of the HIV epidemic. In the different cities, the PAF(M) was 8-31% 5 years into the epidemic, but rose to 35-48% 15 years after the introduction of HIV. In contrast, the proportion of incident HIV attributable to chancroid decreased over time with strongest effects five years after HIV introduction, falling to no effect 15 years after. Sensitivity analyses showed that, in the model, recurrent HSV-2 ulcers had more of an impact on HIV incidence than did primary HSV-2 ulcers, and that the effect of HSV-2 on HIV infectivity may be more important for HIV spread than the effect on HIV susceptibility, assuming that HSV-2 has similar cofactor effects on HIV susceptibility and infectivity. The overall impact of other curable STIs on HIV spread (syphilis, gonorrhoea and chlamydia) remained relatively constant over time. CONCLUSIONS Although HSV-2 appears to have a limited impact on HIV incidence in the early stages of sub-Saharan African HIV epidemics when the epidemic is concentrated in core groups, it has an increasingly large impact as the epidemic progresses. In generalised HIV epidemics where control programmes for curable STIs are already in place, interventions against HSV-2 may have a key role in HIV prevention.","author":[{"dropping-particle":"","family":"Freeman","given":"Esther E","non-dropping-particle":"","parse-names":false,"suffix":""},{"dropping-particle":"","family":"Orroth","given":"Kate K","non-dropping-particle":"","parse-names":false,"suffix":""},{"dropping-particle":"","family":"White","given":"Richard G","non-dropping-particle":"","parse-names":false,"suffix":""},{"dropping-particle":"","family":"Glynn","given":"Judith R","non-dropping-particle":"","parse-names":false,"suffix":""},{"dropping-particle":"","family":"Bakker","given":"Roel","non-dropping-particle":"","parse-names":false,"suffix":""},{"dropping-particle":"","family":"Boily","given":"Marie-Claude","non-dropping-particle":"","parse-names":false,"suffix":""},{"dropping-particle":"","family":"Habbema","given":"Dik","non-dropping-particle":"","parse-names":false,"suffix":""},{"dropping-particle":"","family":"Buvé","given":"Anne","non-dropping-particle":"","parse-names":false,"suffix":""},{"dropping-particle":"","family":"Hayes","given":"Richard","non-dropping-particle":"","parse-names":false,"suffix":""}],"container-title":"Sex Transm Infect","id":"ITEM-1","issued":{"date-parts":[["2007","8"]]},"page":"i17-24","title":"Proportion of new HIV infections attributable to herpes simplex 2 increases over time: simulations of the changing role of sexually transmitted infections in sub-Saharan African HIV epidemics.","type":"article-journal","volume":"83 Suppl 1"},"uris":["http://www.mendeley.com/documents/?uuid=7e2d643a-2494-4c7a-a5d0-ab0e53ceb072"]},{"id":"ITEM-2","itemData":{"ISSN":"1058-4838","PMID":"28505240","abstract":"Background Preexposure prophylaxis (PrEP) is highly effective for preventing HIV, but risk compensation (RC) in men who have sex with men (MSM) raises concerns about increased sexually transmitted infections (STIs). CDC's PrEP guidelines recommend biannual STI screening, which may reduce incidence by treating STIs that would otherwise remain undiagnosed. We investigated the impact of these two potentially counteracting phenomena. Methods With a stochastic network-based mathematical model of HIV and rectal/urogenital Neisseria gonorrhoeae (NG) and Chlamydia trachomatis (CT) transmission dynamics among MSM in the United States, we simulated PrEP uptake following the prescription indications and HIV/STI screening recommendations in the CDC guidelines. Model scenarios varied PrEP coverage (the proportion of MSM indicated for PrEP who received it), RC (as a reduction in the per-act probability of condom use), and the STI screening interval. Results In our reference scenario (40% coverage, 40% RC), 42% of NG and 40% of CT infections would be averted over the next decade. A doubling of RC would still result in net STI prevention relative to no PrEP. STIs declined because PrEP-related STI screening resulted in a 17% and 16% absolute increase in the treatment of asymptomatic and rectal STIs, respectively. Screening and timely treatment at quarterly vs biannual intervals would reduce STI incidence a further 50%. Conclusions Implementation of the CDC PrEP guidelines while scaling up PrEP coverage could result in a significant decline in STI incidence among MSM. Our study highlights the design of PrEP not only as antiretroviral medication, but as combination HIV/STI prevention incorporating STI screening.","author":[{"dropping-particle":"","family":"Jenness","given":"Samuel M.","non-dropping-particle":"","parse-names":false,"suffix":""},{"dropping-particle":"","family":"Weiss","given":"Kevin M.","non-dropping-particle":"","parse-names":false,"suffix":""},{"dropping-particle":"","family":"Goodreau","given":"Steven M.","non-dropping-particle":"","parse-names":false,"suffix":""},{"dropping-particle":"","family":"Gift","given":"Thomas","non-dropping-particle":"","parse-names":false,"suffix":""},{"dropping-particle":"","family":"Chesson","given":"Harrell","non-dropping-particle":"","parse-names":false,"suffix":""},{"dropping-particle":"","family":"Hoover","given":"Karen W.","non-dropping-particle":"","parse-names":false,"suffix":""},{"dropping-particle":"","family":"Smith","given":"Dawn K.","non-dropping-particle":"","parse-names":false,"suffix":""},{"dropping-particle":"","family":"Liu","given":"Albert Y.","non-dropping-particle":"","parse-names":false,"suffix":""},{"dropping-particle":"","family":"Sullivan","given":"Patrick S.","non-dropping-particle":"","parse-names":false,"suffix":""},{"dropping-particle":"","family":"Rosenberg","given":"Eli S.","non-dropping-particle":"","parse-names":false,"suffix":""}],"container-title":"Clinical Infectious Diseases","id":"ITEM-2","issue":"5","issued":{"date-parts":[["2017","5","13"]]},"page":"712-718","title":"Incidence of Gonorrhea and Chlamydia Following HIV Preexposure Prophylaxis among Men Who Have Sex with Men: A Modeling Study","type":"article-journal","volume":"65"},"uris":["http://www.mendeley.com/documents/?uuid=06c51e07-3921-3ca9-8a0d-d43bc4f78464"]},{"id":"ITEM-3","itemData":{"ISSN":"1537-4521","PMID":"24275727","abstract":"BACKGROUND Chlamydia and gonorrhea infections can lead to serious and costly sequelae in women, but sequelae in men are rare. In accordance with the Centers for Disease Control and Prevention guidelines, female jail inmates in Maricopa County (Phoenix area), Arizona, are screened for these infections. Owing to lack of evidence of screening benefits in men, male inmates are tested and treated based on symptoms only. METHODS We developed a probabilistic simulation model to simulate chlamydia and gonorrhea infections in Maricopa County jail male inmates and transmissions to female partners per year. We estimated the cost-effectiveness of screening as the cost per infection averted. Costs were estimated from the perspective of the Maricopa County Department of Public Health and the Correctional Health Services. RESULTS Compared with symptom-based testing and treating strategy, screening male arrestees of all ages and only those 35 years or younger yielded the following results: averted approximately 556 and 491 cases of infection in women at a cost of approximately US $1240 and $860 per case averted, respectively, if screened during physical examination (between days 8 and 14 from entry to jail), and averted approximately 1100 and 995 cases of infections averted at a cost of US $1030 and $710 per infection averted, respectively, if screened early, within 2 to 3 days from entry to jail. CONCLUSIONS Screening of male inmates incurs a modest cost per infection averted in women compared with symptom-based testing. Screening in correctional settings can be used by public health programs to reduce disease burden, sequelae, and associated costs.","author":[{"dropping-particle":"","family":"Gopalappa","given":"Chaitra","non-dropping-particle":"","parse-names":false,"suffix":""},{"dropping-particle":"","family":"Huang","given":"Ya-Lin A","non-dropping-particle":"","parse-names":false,"suffix":""},{"dropping-particle":"","family":"Gift","given":"Thomas L","non-dropping-particle":"","parse-names":false,"suffix":""},{"dropping-particle":"","family":"Owusu-Edusei","given":"Kwame","non-dropping-particle":"","parse-names":false,"suffix":""},{"dropping-particle":"","family":"Taylor","given":"Melanie","non-dropping-particle":"","parse-names":false,"suffix":""},{"dropping-particle":"","family":"Gales","given":"Vincent","non-dropping-particle":"","parse-names":false,"suffix":""}],"container-title":"Sex Transm Dis","id":"ITEM-3","issue":"10","issued":{"date-parts":[["2013","10"]]},"page":"776-83","title":"Cost-effectiveness of screening men in Maricopa County jails for chlamydia and gonorrhea to avert infections in women.","type":"article-journal","volume":"40"},"uris":["http://www.mendeley.com/documents/?uuid=ffb1178c-a6e8-4076-8f5b-4bfe4e98d860"]}],"mendeley":{"formattedCitation":"&lt;sup&gt;5,54,57&lt;/sup&gt;","plainTextFormattedCitation":"5,54,57","previouslyFormattedCitation":"&lt;sup&gt;5,54,57&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5,54,57</w:t>
            </w:r>
            <w:r w:rsidRPr="00DE4DAD">
              <w:rPr>
                <w:rFonts w:ascii="Helvetica Neue" w:hAnsi="Helvetica Neue" w:cs="Calibri"/>
                <w:color w:val="000000"/>
                <w:sz w:val="18"/>
                <w:szCs w:val="18"/>
              </w:rPr>
              <w:fldChar w:fldCharType="end"/>
            </w:r>
          </w:p>
        </w:tc>
      </w:tr>
      <w:tr w:rsidR="00887EBC" w:rsidRPr="001B6BD3" w14:paraId="2B022458" w14:textId="77777777" w:rsidTr="001B1A34">
        <w:trPr>
          <w:trHeight w:val="68"/>
        </w:trPr>
        <w:tc>
          <w:tcPr>
            <w:tcW w:w="4142" w:type="dxa"/>
            <w:tcBorders>
              <w:top w:val="nil"/>
              <w:left w:val="nil"/>
              <w:bottom w:val="nil"/>
              <w:right w:val="nil"/>
            </w:tcBorders>
            <w:shd w:val="clear" w:color="000000" w:fill="FFFFFF"/>
            <w:noWrap/>
            <w:vAlign w:val="center"/>
            <w:hideMark/>
          </w:tcPr>
          <w:p w14:paraId="6AAEB2BF" w14:textId="65DB13F5"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 xml:space="preserve">HIV </w:t>
            </w:r>
            <w:r w:rsidR="00F85E22" w:rsidRPr="00DE4DAD">
              <w:rPr>
                <w:rFonts w:ascii="Helvetica Neue" w:hAnsi="Helvetica Neue" w:cs="Calibri"/>
                <w:i/>
                <w:iCs/>
                <w:color w:val="000000"/>
                <w:sz w:val="18"/>
                <w:szCs w:val="18"/>
              </w:rPr>
              <w:t>acquisition</w:t>
            </w:r>
            <w:r w:rsidRPr="00DE4DAD">
              <w:rPr>
                <w:rFonts w:ascii="Helvetica Neue" w:hAnsi="Helvetica Neue" w:cs="Calibri"/>
                <w:i/>
                <w:iCs/>
                <w:color w:val="000000"/>
                <w:sz w:val="18"/>
                <w:szCs w:val="18"/>
              </w:rPr>
              <w:t xml:space="preserve"> risk ratio multiplier</w:t>
            </w:r>
          </w:p>
        </w:tc>
        <w:tc>
          <w:tcPr>
            <w:tcW w:w="996" w:type="dxa"/>
            <w:tcBorders>
              <w:top w:val="nil"/>
              <w:left w:val="nil"/>
              <w:bottom w:val="nil"/>
              <w:right w:val="nil"/>
            </w:tcBorders>
            <w:shd w:val="clear" w:color="000000" w:fill="FFFFFF"/>
            <w:noWrap/>
            <w:vAlign w:val="center"/>
            <w:hideMark/>
          </w:tcPr>
          <w:p w14:paraId="4B0C43F8" w14:textId="77777777" w:rsidR="00887EBC" w:rsidRPr="00DE4DAD" w:rsidRDefault="00887EBC" w:rsidP="00E15313">
            <w:pPr>
              <w:rPr>
                <w:rFonts w:ascii="Helvetica Neue" w:hAnsi="Helvetica Neue" w:cs="Calibri"/>
                <w:sz w:val="18"/>
                <w:szCs w:val="18"/>
              </w:rPr>
            </w:pPr>
            <w:r w:rsidRPr="00DE4DAD">
              <w:rPr>
                <w:rFonts w:ascii="Helvetica Neue" w:hAnsi="Helvetica Neue" w:cs="Calibri"/>
                <w:sz w:val="18"/>
                <w:szCs w:val="18"/>
              </w:rPr>
              <w:t> </w:t>
            </w:r>
          </w:p>
        </w:tc>
        <w:tc>
          <w:tcPr>
            <w:tcW w:w="1147" w:type="dxa"/>
            <w:tcBorders>
              <w:top w:val="nil"/>
              <w:left w:val="nil"/>
              <w:bottom w:val="nil"/>
              <w:right w:val="nil"/>
            </w:tcBorders>
            <w:shd w:val="clear" w:color="000000" w:fill="FFFFFF"/>
            <w:noWrap/>
            <w:vAlign w:val="center"/>
            <w:hideMark/>
          </w:tcPr>
          <w:p w14:paraId="3098613A"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60D6C9A2"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3A2421A1" w14:textId="77777777" w:rsidTr="001B1A34">
        <w:trPr>
          <w:trHeight w:val="68"/>
        </w:trPr>
        <w:tc>
          <w:tcPr>
            <w:tcW w:w="4142" w:type="dxa"/>
            <w:tcBorders>
              <w:top w:val="nil"/>
              <w:left w:val="nil"/>
              <w:bottom w:val="nil"/>
              <w:right w:val="nil"/>
            </w:tcBorders>
            <w:shd w:val="clear" w:color="000000" w:fill="FFFFFF"/>
            <w:noWrap/>
            <w:vAlign w:val="center"/>
            <w:hideMark/>
          </w:tcPr>
          <w:p w14:paraId="0C390B4E"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Rectal STI Infection</w:t>
            </w:r>
          </w:p>
        </w:tc>
        <w:tc>
          <w:tcPr>
            <w:tcW w:w="996" w:type="dxa"/>
            <w:tcBorders>
              <w:top w:val="nil"/>
              <w:left w:val="nil"/>
              <w:bottom w:val="nil"/>
              <w:right w:val="nil"/>
            </w:tcBorders>
            <w:shd w:val="clear" w:color="000000" w:fill="FFFFFF"/>
            <w:noWrap/>
            <w:vAlign w:val="center"/>
            <w:hideMark/>
          </w:tcPr>
          <w:p w14:paraId="03735FD2" w14:textId="5D5B23FE" w:rsidR="00887EBC" w:rsidRPr="00DE4DAD" w:rsidRDefault="00524A64" w:rsidP="00E15313">
            <w:pPr>
              <w:rPr>
                <w:rFonts w:ascii="Helvetica Neue" w:hAnsi="Helvetica Neue" w:cs="Calibri"/>
                <w:color w:val="000000"/>
                <w:sz w:val="18"/>
                <w:szCs w:val="18"/>
              </w:rPr>
            </w:pPr>
            <w:r w:rsidRPr="00DE4DAD">
              <w:rPr>
                <w:rFonts w:ascii="Helvetica Neue" w:hAnsi="Helvetica Neue" w:cs="Calibri"/>
                <w:color w:val="000000"/>
                <w:sz w:val="18"/>
                <w:szCs w:val="18"/>
              </w:rPr>
              <w:t>2.1759</w:t>
            </w:r>
          </w:p>
        </w:tc>
        <w:tc>
          <w:tcPr>
            <w:tcW w:w="1147" w:type="dxa"/>
            <w:tcBorders>
              <w:top w:val="nil"/>
              <w:left w:val="nil"/>
              <w:bottom w:val="nil"/>
              <w:right w:val="nil"/>
            </w:tcBorders>
            <w:shd w:val="clear" w:color="000000" w:fill="FFFFFF"/>
            <w:noWrap/>
            <w:vAlign w:val="center"/>
            <w:hideMark/>
          </w:tcPr>
          <w:p w14:paraId="7C2F9C67"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1.50 – 3.00</w:t>
            </w:r>
          </w:p>
        </w:tc>
        <w:tc>
          <w:tcPr>
            <w:tcW w:w="4895" w:type="dxa"/>
            <w:tcBorders>
              <w:top w:val="nil"/>
              <w:left w:val="nil"/>
              <w:bottom w:val="nil"/>
              <w:right w:val="nil"/>
            </w:tcBorders>
            <w:shd w:val="clear" w:color="000000" w:fill="FFFFFF"/>
            <w:vAlign w:val="center"/>
            <w:hideMark/>
          </w:tcPr>
          <w:p w14:paraId="4990268F" w14:textId="497E30F9"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{"citationItems":[{"id":"ITEM-1","itemData":{"abstract":"Exploring causal associations in HIV research requires careful consideration of numerous epidemiologic limitations. First, a primary cause of HIV, unprotected anal intercourse (UAI), is time-varying and, if it is also associated with an exposure of interest, may be on a confounding path. Second, HIV is a rare outcome, even in high-risk populations. Finally, for most causal, non-preventive exposures, a randomized trial is impossible. In order to address these limitations and provide a practical illustration of efficient statistical control via propensity-score weighting, we examine the causal association between rectal STI and HIV acquisition in the InvolveMENt study, a cohort of Atlanta-area men who have sex with men (MSM). We hypothesized that, after controlling for potentially confounding behavioral and demographic factors, the significant STI-HIV association would attenuate, but yield an estimate of the causal effect. The exposure of interest was incident rectal gonorrhea or chlamydia infection; the outcome was incident HIV infection. To adjust for behavioral confounding, while accounting for limited HIV infections, we used an inverse probability of treatment weighted (IPTW) Cox proportional hazards (PH) model for incident HIV. Weights were derived from propensity score modeling of the probability of incident rectal STI as a function of potential confounders, including UAI in the interval of rectal STI acquisition/censoring. Of 556 HIV-negative MSM at baseline, 552 (99%) men were included in this analysis. 79 men were diagnosed with an incident rectal STI and 26 with HIV. 6 HIV-infected men were previously diagnosed with a rectal STI. In unadjusted analysis, incident rectal STI was significantly associated with subsequent incident HIV (HR (95%CI): 3.6 (1.4-9.2)). In the final weighted and adjusted model, the association was attenuated and more precise (HR (95% CI): 2.7 (1.2-6.4)). We found that, controlling for time-varying risk behaviors and time-invariant demographic factors, diagnosis with HIV was significantly associated with prior diagnosis of rectal CT or GC. Our analysis lends support to the causal effect of incident rectal STI on HIV diagnosis and provides a framework for similar analyses of HIV incidence.","author":[{"dropping-particle":"","family":"Vaughan","given":"Adam S","non-dropping-particle":"","parse-names":false,"suffix":""},{"dropping-particle":"","family":"Kelley","given":"Colleen F","non-dropping-particle":"","parse-names":false,"suffix":""},{"dropping-particle":"","family":"Luisi","given":"Nicole","non-dropping-particle":"","parse-names":false,"suffix":""},{"dropping-particle":"","family":"Rio","given":"Carlos","non-dropping-particle":"del","parse-names":false,"suffix":""},{"dropping-particle":"","family":"Sullivan","given":"Patrick S","non-dropping-particle":"","parse-names":false,"suffix":""},{"dropping-particle":"","family":"Rosenberg","given":"Eli S","non-dropping-particle":"","parse-names":false,"suffix":""},{"dropping-particle":"","family":"Mayer","given":"KH","non-dropping-particle":"","parse-names":false,"suffix":""},{"dropping-particle":"","family":"Venkatesh","given":"KK","non-dropping-particle":"","parse-names":false,"suffix":""},{"dropping-particle":"","family":"Howards","given":"PP","non-dropping-particle":"","parse-names":false,"suffix":""},{"dropping-particle":"","family":"Schisterman","given":"EF","non-dropping-particle":"","parse-names":false,"suffix":""},{"dropping-particle":"","family":"Poole","given":"C","non-dropping-particle":"","parse-names":false,"suffix":""},{"dropping-particle":"","family":"Kaufman","given":"JS","non-dropping-particle":"","parse-names":false,"suffix":""},{"dropping-particle":"","family":"Weinberg","given":"CR","non-dropping-particle":"","parse-names":false,"suffix":""},{"dropping-particle":"","family":"Solomon","given":"MM","non-dropping-particle":"","parse-names":false,"suffix":""},{"dropping-particle":"","family":"Mayer","given":"KH","non-dropping-particle":"","parse-names":false,"suffix":""},{"dropping-particle":"","family":"Glidden","given":"DV","non-dropping-particle":"","parse-names":false,"suffix":""},{"dropping-particle":"","family":"Liu","given":"AY","non-dropping-particle":"","parse-names":false,"suffix":""},{"dropping-particle":"","family":"McMahan","given":"VM","non-dropping-particle":"","parse-names":false,"suffix":""},{"dropping-particle":"","family":"Guanira","given":"JV","non-dropping-particle":"","parse-names":false,"suffix":""},{"dropping-particle":"","family":"Bernstein","given":"KT","non-dropping-particle":"","parse-names":false,"suffix":""},{"dropping-particle":"","family":"Marcus","given":"JL","non-dropping-particle":"","parse-names":false,"suffix":""},{"dropping-particle":"","family":"Nieri","given":"G","non-dropping-particle":"","parse-names":false,"suffix":""},{"dropping-particle":"","family":"Philip","given":"SS","non-dropping-particle":"","parse-names":false,"suffix":""},{"dropping-particle":"","family":"Klausner","given":"JD","non-dropping-particle":"","parse-names":false,"suffix":""},{"dropping-particle":"","family":"Buchbinder","given":"SP","non-dropping-particle":"","parse-names":false,"suffix":""},{"dropping-particle":"","family":"Glidden","given":"DV","non-dropping-particle":"","parse-names":false,"suffix":""},{"dropping-particle":"","family":"Liu","given":"AY","non-dropping-particle":"","parse-names":false,"suffix":""},{"dropping-particle":"","family":"McMahan","given":"V","non-dropping-particle":"","parse-names":false,"suffix":""},{"dropping-particle":"","family":"Guanira","given":"JV","non-dropping-particle":"","parse-names":false,"suffix":""},{"dropping-particle":"","family":"Mayer","given":"KH","non-dropping-particle":"","parse-names":false,"suffix":""},{"dropping-particle":"","family":"Jin","given":"F","non-dropping-particle":"","parse-names":false,"suffix":""},{"dropping-particle":"","family":"Prestage","given":"GP","non-dropping-particle":"","parse-names":false,"suffix":""},{"dropping-particle":"","family":"Imrie","given":"J","non-dropping-particle":"","parse-names":false,"suffix":""},{"dropping-particle":"","family":"Kippax","given":"SC","non-dropping-particle":"","parse-names":false,"suffix":""},{"dropping-particle":"","family":"Donovan","given":"B","non-dropping-particle":"","parse-names":false,"suffix":""},{"dropping-particle":"","family":"Templeton","given":"DJ","non-dropping-particle":"","parse-names":false,"suffix":""},{"dropping-particle":"","family":"Pathela","given":"P","non-dropping-particle":"","parse-names":false,"suffix":""},{"dropping-particle":"","family":"Braunstein","given":"SL","non-dropping-particle":"","parse-names":false,"suffix":""},{"dropping-particle":"","family":"Blank","given":"S","non-dropping-particle":"","parse-names":false,"suffix":""},{"dropping-particle":"","family":"Schillinger","given":"JA","non-dropping-particle":"","parse-names":false,"suffix":""},{"dropping-particle":"","family":"Austin","given":"PC","non-dropping-particle":"","parse-names":false,"suffix":""},{"dropping-particle":"","family":"Røttingen","given":"J-A","non-dropping-particle":"","parse-names":false,"suffix":""},{"dropping-particle":"","family":"Cameron","given":"DW","non-dropping-particle":"","parse-names":false,"suffix":""},{"dropping-particle":"","family":"Garnett","given":"GP","non-dropping-particle":"","parse-names":false,"suffix":""},{"dropping-particle":"","family":"Sexton","given":"J","non-dropping-particle":"","parse-names":false,"suffix":""},{"dropping-particle":"","family":"Garnett","given":"G","non-dropping-particle":"","parse-names":false,"suffix":""},{"dropping-particle":"","family":"Røttingen","given":"J-A","non-dropping-particle":"","parse-names":false,"suffix":""},{"dropping-particle":"","family":"Payn","given":"B","non-dropping-particle":"","parse-names":false,"suffix":""},{"dropping-particle":"","family":"Tanfer","given":"K","non-dropping-particle":"","parse-names":false,"suffix":""},{"dropping-particle":"","family":"Billy","given":"JOG","non-dropping-particle":"","parse-names":false,"suffix":""},{"dropping-particle":"","family":"Grady","given":"WR","non-dropping-particle":"","parse-names":false,"suffix":""},{"dropping-particle":"","family":"Fox","given":"J","non-dropping-particle":"","parse-names":false,"suffix":""},{"dropping-particle":"","family":"White","given":"PJ","non-dropping-particle":"","parse-names":false,"suffix":""},{"dropping-particle":"","family":"Macdonald","given":"N","non-dropping-particle":"","parse-names":false,"suffix":""},{"dropping-particle":"","family":"Weber","given":"J","non-dropping-particle":"","parse-names":false,"suffix":""},{"dropping-particle":"","family":"McClure","given":"M","non-dropping-particle":"","parse-names":false,"suffix":""},{"dropping-particle":"","family":"Fidler","given":"S","non-dropping-particle":"","parse-names":false,"suffix":""},{"dropping-particle":"","family":"Fortenberry","given":"JD","non-dropping-particle":"","parse-names":false,"suffix":""},{"dropping-particle":"","family":"Sullivan","given":"PS","non-dropping-particle":"","parse-names":false,"suffix":""},{"dropping-particle":"","family":"Peterson","given":"J","non-dropping-particle":"","parse-names":false,"suffix":""},{"dropping-particle":"","family":"Rosenberg","given":"ES","non-dropping-particle":"","parse-names":false,"suffix":""},{"dropping-particle":"","family":"Kelley","given":"CF","non-dropping-particle":"","parse-names":false,"suffix":""},{"dropping-particle":"","family":"Cooper","given":"H","non-dropping-particle":"","parse-names":false,"suffix":""},{"dropping-particle":"","family":"Vaughan","given":"AS","non-dropping-particle":"","parse-names":false,"suffix":""},{"dropping-particle":"","family":"Portnoy","given":"J","non-dropping-particle":"","parse-names":false,"suffix":""},{"dropping-particle":"","family":"Garson","given":"W","non-dropping-particle":"","parse-names":false,"suffix":""},{"dropping-particle":"","family":"Smith","given":"CA","non-dropping-particle":"","parse-names":false,"suffix":""},{"dropping-particle":"","family":"Pol","given":"B","non-dropping-particle":"","parse-names":false,"suffix":""},{"dropping-particle":"","family":"Ferrero","given":"DV","non-dropping-particle":"","parse-names":false,"suffix":""},{"dropping-particle":"","family":"Buck-Barrington","given":"L","non-dropping-particle":"","parse-names":false,"suffix":""},{"dropping-particle":"","family":"Hook","given":"E","non-dropping-particle":"","parse-names":false,"suffix":""},{"dropping-particle":"","family":"Lenderman","given":"C","non-dropping-particle":"","parse-names":false,"suffix":""},{"dropping-particle":"","family":"Quinn","given":"T","non-dropping-particle":"","parse-names":false,"suffix":""},{"dropping-particle":"","family":"Rosenberg","given":"ES","non-dropping-particle":"","parse-names":false,"suffix":""},{"dropping-particle":"","family":"Sullivan","given":"PS","non-dropping-particle":"","parse-names":false,"suffix":""},{"dropping-particle":"","family":"Kelley","given":"CF","non-dropping-particle":"","parse-names":false,"suffix":""},{"dropping-particle":"","family":"Sanchez","given":"TH","non-dropping-particle":"","parse-names":false,"suffix":""},{"dropping-particle":"","family":"Luisi","given":"N","non-dropping-particle":"","parse-names":false,"suffix":""},{"dropping-particle":"","family":"Rio","given":"C","non-dropping-particle":"","parse-names":false,"suffix":""},{"dropping-particle":"","family":"Robins","given":"JM","non-dropping-particle":"","parse-names":false,"suffix":""},{"dropping-particle":"","family":"Hernán","given":"MÁ","non-dropping-particle":"","parse-names":false,"suffix":""},{"dropping-particle":"","family":"Brumback","given":"B","non-dropping-particle":"","parse-names":false,"suffix":""},{"dropping-particle":"","family":"Williamson","given":"EJ","non-dropping-particle":"","parse-names":false,"suffix":""},{"dropping-particle":"","family":"Forbes","given":"A","non-dropping-particle":"","parse-names":false,"suffix":""},{"dropping-particle":"","family":"White","given":"IR","non-dropping-particle":"","parse-names":false,"suffix":""},{"dropping-particle":"","family":"Austin","given":"PC","non-dropping-particle":"","parse-names":false,"suffix":""},{"dropping-particle":"","family":"Harder","given":"VS","non-dropping-particle":"","parse-names":false,"suffix":""},{"dropping-particle":"","family":"Stuart","given":"EA","non-dropping-particle":"","parse-names":false,"suffix":""},{"dropping-particle":"","family":"Anthony","given":"JC","non-dropping-particle":"","parse-names":false,"suffix":""},{"dropping-particle":"","family":"Hernán","given":"MÁ","non-dropping-particle":"","parse-names":false,"suffix":""},{"dropping-particle":"","family":"Robins","given":"JM","non-dropping-particle":"","parse-names":false,"suffix":""},{"dropping-particle":"","family":"Ho","given":"DE","non-dropping-particle":"","parse-names":false,"suffix":""},{"dropping-particle":"","family":"Imai","given":"K","non-dropping-particle":"","parse-names":false,"suffix":""},{"dropping-particle":"","family":"King","given":"G","non-dropping-particle":"","parse-names":false,"suffix":""},{"dropping-particle":"","family":"Stuart","given":"EA","non-dropping-particle":"","parse-names":false,"suffix":""},{"dropping-particle":"","family":"Normand","given":"ST","non-dropping-particle":"","parse-names":false,"suffix":""},{"dropping-particle":"","family":"Landrum","given":"MB","non-dropping-particle":"","parse-names":false,"suffix":""},{"dropping-particle":"","family":"Guadagnoli","given":"E","non-dropping-particle":"","parse-names":false,"suffix":""},{"dropping-particle":"","family":"Ayanian","given":"JZ","non-dropping-particle":"","parse-names":false,"suffix":""},{"dropping-particle":"","family":"Ryan","given":"TJ","non-dropping-particle":"","parse-names":false,"suffix":""},{"dropping-particle":"","family":"Cleary","given":"PD","non-dropping-particle":"","parse-names":false,"suffix":""},{"dropping-particle":"","family":"Imai","given":"K","non-dropping-particle":"","parse-names":false,"suffix":""},{"dropping-particle":"","family":"King","given":"G","non-dropping-particle":"","parse-names":false,"suffix":""},{"dropping-particle":"","family":"Stuart","given":"EA","non-dropping-particle":"","parse-names":false,"suffix":""},{"dropping-particle":"","family":"Austin","given":"PC","non-dropping-particle":"","parse-names":false,"suffix":""},{"dropping-particle":"","family":"Kelley","given":"CF","non-dropping-particle":"","parse-names":false,"suffix":""},{"dropping-particle":"","family":"Rosenberg","given":"ES","non-dropping-particle":"","parse-names":false,"suffix":""},{"dropping-particle":"","family":"O’Hara","given":"BM","non-dropping-particle":"","parse-names":false,"suffix":""},{"dropping-particle":"","family":"Frew","given":"PM","non-dropping-particle":"","parse-names":false,"suffix":""},{"dropping-particle":"","family":"Sanchez","given":"TH","non-dropping-particle":"","parse-names":false,"suffix":""},{"dropping-particle":"","family":"Peterson","given":"JL","non-dropping-particle":"","parse-names":false,"suffix":""},{"dropping-particle":"","family":"Newcomb","given":"ME","non-dropping-particle":"","parse-names":false,"suffix":""},{"dropping-particle":"","family":"Mustanski","given":"B","non-dropping-particle":"","parse-names":false,"suffix":""},{"dropping-particle":"","family":"Millett","given":"GA","non-dropping-particle":"","parse-names":false,"suffix":""},{"dropping-particle":"","family":"Peterson","given":"JL","non-dropping-particle":"","parse-names":false,"suffix":""},{"dropping-particle":"","family":"Flores","given":"SA","non-dropping-particle":"","parse-names":false,"suffix":""},{"dropping-particle":"","family":"Hart","given":"TA","non-dropping-particle":"","parse-names":false,"suffix":""},{"dropping-particle":"","family":"Jeffries","given":"WL","non-dropping-particle":"","parse-names":false,"suffix":""},{"dropping-particle":"","family":"Wilson","given":"PA","non-dropping-particle":"","parse-names":false,"suffix":""},{"dropping-particle":"","family":"Morgan","given":"SL","non-dropping-particle":"","parse-names":false,"suffix":""},{"dropping-particle":"","family":"Todd","given":"JJ","non-dropping-particle":"","parse-names":false,"suffix":""},{"dropping-particle":"","family":"Flury","given":"BK","non-dropping-particle":"","parse-names":false,"suffix":""},{"dropping-particle":"","family":"Riedwyl","given":"H","non-dropping-particle":"","parse-names":false,"suffix":""},{"dropping-particle":"","family":"Robins","given":"JM","non-dropping-particle":"","parse-names":false,"suffix":""},{"dropping-particle":"","family":"Kleinbaum","given":"DG","non-dropping-particle":"","parse-names":false,"suffix":""},{"dropping-particle":"","family":"Klein","given":"M","non-dropping-particle":"","parse-names":false,"suffix":""},{"dropping-particle":"","family":"Cole","given":"SR","non-dropping-particle":"","parse-names":false,"suffix":""},{"dropping-particle":"","family":"Hernán","given":"MÁ","non-dropping-particle":"","parse-names":false,"suffix":""},{"dropping-particle":"","family":"Lanehart","given":"RE","non-dropping-particle":"","parse-names":false,"suffix":""},{"dropping-particle":"","family":"Gil","given":"PR","non-dropping-particle":"","parse-names":false,"suffix":""},{"dropping-particle":"","family":"Kim","given":"ES","non-dropping-particle":"","parse-names":false,"suffix":""},{"dropping-particle":"","family":"Bellara","given":"AP","non-dropping-particle":"","parse-names":false,"suffix":""},{"dropping-particle":"","family":"Kromrey","given":"JD","non-dropping-particle":"","parse-names":false,"suffix":""},{"dropping-particle":"","family":"Lee","given":"RS","non-dropping-particle":"","parse-names":false,"suffix":""},{"dropping-particle":"","family":"Peduzzi","given":"P","non-dropping-particle":"","parse-names":false,"suffix":""},{"dropping-particle":"","family":"Concato","given":"J","non-dropping-particle":"","parse-names":false,"suffix":""},{"dropping-particle":"","family":"Feinstein","given":"A","non-dropping-particle":"","parse-names":false,"suffix":""},{"dropping-particle":"","family":"Holford","given":"T","non-dropping-particle":"","parse-names":false,"suffix":""},{"dropping-particle":"","family":"Jansen","given":"IAV","non-dropping-particle":"","parse-names":false,"suffix":""},{"dropping-particle":"","family":"Geskus","given":"RB","non-dropping-particle":"","parse-names":false,"suffix":""},{"dropping-particle":"","family":"Davidovich","given":"U","non-dropping-particle":"","parse-names":false,"suffix":""},{"dropping-particle":"","family":"Jurriaans","given":"S","non-dropping-particle":"","parse-names":false,"suffix":""},{"dropping-particle":"","family":"Coutinho","given":"RA","non-dropping-particle":"","parse-names":false,"suffix":""},{"dropping-particle":"","family":"Prins","given":"M","non-dropping-particle":"","parse-names":false,"suffix":""},{"dropping-particle":"","family":"Anderson","given":"C","non-dropping-particle":"","parse-names":false,"suffix":""},{"dropping-particle":"","family":"Gallo","given":"MF","non-dropping-particle":"","parse-names":false,"suffix":""},{"dropping-particle":"","family":"Hylton-Kong","given":"T","non-dropping-particle":"","parse-names":false,"suffix":""},{"dropping-particle":"","family":"Steiner","given":"MJ","non-dropping-particle":"","parse-names":false,"suffix":""},{"dropping-particle":"","family":"Hobbs","given":"MM","non-dropping-particle":"","parse-names":false,"suffix":""},{"dropping-particle":"","family":"Macaluso","given":"M","non-dropping-particle":"","parse-names":false,"suffix":""},{"dropping-particle":"","family":"Mayer","given":"KH","non-dropping-particle":"","parse-names":false,"suffix":""},{"dropping-particle":"","family":"Wang","given":"L","non-dropping-particle":"","parse-names":false,"suffix":""},{"dropping-particle":"","family":"Koblin","given":"B","non-dropping-particle":"","parse-names":false,"suffix":""},{"dropping-particle":"","family":"Mannheimer","given":"S","non-dropping-particle":"","parse-names":false,"suffix":""},{"dropping-particle":"","family":"Magnus","given":"M","non-dropping-particle":"","parse-names":false,"suffix":""},{"dropping-particle":"","family":"Rio","given":"C","non-dropping-particle":"","parse-names":false,"suffix":""},{"dropping-particle":"","family":"Sanders","given":"EJ","non-dropping-particle":"","parse-names":false,"suffix":""},{"dropping-particle":"","family":"Okuku","given":"HS","non-dropping-particle":"","parse-names":false,"suffix":""},{"dropping-particle":"","family":"Smith","given":"AD","non-dropping-particle":"","parse-names":false,"suffix":""},{"dropping-particle":"","family":"Mwangome","given":"M","non-dropping-particle":"","parse-names":false,"suffix":""},{"dropping-particle":"","family":"Wahome","given":"E","non-dropping-particle":"","parse-names":false,"suffix":""},{"dropping-particle":"","family":"Fegan","given":"G","non-dropping-particle":"","parse-names":false,"suffix":""},{"dropping-particle":"","family":"Sullivan","given":"PS","non-dropping-particle":"","parse-names":false,"suffix":""},{"dropping-particle":"","family":"Carballo-Diéguez","given":"A","non-dropping-particle":"","parse-names":false,"suffix":""},{"dropping-particle":"","family":"Coates","given":"T","non-dropping-particle":"","parse-names":false,"suffix":""},{"dropping-particle":"","family":"Goodreau","given":"SM","non-dropping-particle":"","parse-names":false,"suffix":""},{"dropping-particle":"","family":"McGowan","given":"I","non-dropping-particle":"","parse-names":false,"suffix":""},{"dropping-particle":"","family":"Sanders","given":"EJ","non-dropping-particle":"","parse-names":false,"suffix":""}],"container-title":"BMC Medical Research Methodology","id":"ITEM-1","issue":"1","issued":{"date-parts":[["2015","12","21"]]},"page":"25","publisher":"BioMed Central","title":"An application of propensity score weighting to quantify the causal effect of rectal sexually transmitted infections on incident HIV among men who have sex with men","type":"article-journal","volume":"15"},"uris":["http://www.mendeley.com/documents/?uuid=9f838d7d-4b58-42fe-9721-31df93595fb5"]},{"id":"ITEM-2","itemData":{"DOI":"10.1093/cid/cit437","ISSN":"1058-4838","author":[{"dropping-particle":"","family":"Pathela","given":"P.","non-dropping-particle":"","parse-names":false,"suffix":""},{"dropping-particle":"","family":"Braunstein","given":"S. L.","non-dropping-particle":"","parse-names":false,"suffix":""},{"dropping-particle":"","family":"Blank","given":"S.","non-dropping-particle":"","parse-names":false,"suffix":""},{"dropping-particle":"","family":"Schillinger","given":"J. A.","non-dropping-particle":"","parse-names":false,"suffix":""}],"container-title":"Clinical Infectious Diseases","id":"ITEM-2","issue":"8","issued":{"date-parts":[["2013","10","15"]]},"page":"1203-1209","title":"HIV Incidence Among Men With and Those Without Sexually Transmitted Rectal Infections: Estimates From Matching Against an HIV Case Registry","type":"article-journal","volume":"57"},"uris":["http://www.mendeley.com/documents/?uuid=87277f1b-c1a4-31c6-aee7-216703185ac9"]}],"mendeley":{"formattedCitation":"&lt;sup&gt;36,37&lt;/sup&gt;","plainTextFormattedCitation":"36,37","previouslyFormattedCitation":"&lt;sup&gt;36,37&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36,37</w:t>
            </w:r>
            <w:r w:rsidRPr="00DE4DAD">
              <w:rPr>
                <w:rFonts w:ascii="Helvetica Neue" w:hAnsi="Helvetica Neue" w:cs="Calibri"/>
                <w:color w:val="000000"/>
                <w:sz w:val="18"/>
                <w:szCs w:val="18"/>
              </w:rPr>
              <w:fldChar w:fldCharType="end"/>
            </w:r>
          </w:p>
        </w:tc>
      </w:tr>
      <w:tr w:rsidR="00887EBC" w:rsidRPr="001B6BD3" w14:paraId="792DC43A" w14:textId="77777777" w:rsidTr="001B1A34">
        <w:trPr>
          <w:trHeight w:val="68"/>
        </w:trPr>
        <w:tc>
          <w:tcPr>
            <w:tcW w:w="4142" w:type="dxa"/>
            <w:tcBorders>
              <w:top w:val="nil"/>
              <w:left w:val="nil"/>
              <w:bottom w:val="nil"/>
              <w:right w:val="nil"/>
            </w:tcBorders>
            <w:shd w:val="clear" w:color="000000" w:fill="FFFFFF"/>
            <w:noWrap/>
            <w:vAlign w:val="center"/>
            <w:hideMark/>
          </w:tcPr>
          <w:p w14:paraId="172AE3A0"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Urethral STI Infection</w:t>
            </w:r>
          </w:p>
        </w:tc>
        <w:tc>
          <w:tcPr>
            <w:tcW w:w="996" w:type="dxa"/>
            <w:tcBorders>
              <w:top w:val="nil"/>
              <w:left w:val="nil"/>
              <w:bottom w:val="nil"/>
              <w:right w:val="nil"/>
            </w:tcBorders>
            <w:shd w:val="clear" w:color="000000" w:fill="FFFFFF"/>
            <w:noWrap/>
            <w:vAlign w:val="center"/>
            <w:hideMark/>
          </w:tcPr>
          <w:p w14:paraId="636B2533" w14:textId="22953905"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1</w:t>
            </w:r>
            <w:r w:rsidR="008A0159" w:rsidRPr="00DE4DAD">
              <w:rPr>
                <w:rFonts w:ascii="Helvetica Neue" w:hAnsi="Helvetica Neue" w:cs="Calibri"/>
                <w:color w:val="000000"/>
                <w:sz w:val="18"/>
                <w:szCs w:val="18"/>
              </w:rPr>
              <w:t>.5648</w:t>
            </w:r>
          </w:p>
        </w:tc>
        <w:tc>
          <w:tcPr>
            <w:tcW w:w="1147" w:type="dxa"/>
            <w:tcBorders>
              <w:top w:val="nil"/>
              <w:left w:val="nil"/>
              <w:bottom w:val="nil"/>
              <w:right w:val="nil"/>
            </w:tcBorders>
            <w:shd w:val="clear" w:color="000000" w:fill="FFFFFF"/>
            <w:noWrap/>
            <w:vAlign w:val="center"/>
            <w:hideMark/>
          </w:tcPr>
          <w:p w14:paraId="207EF896"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1.00 – 2.50</w:t>
            </w:r>
          </w:p>
        </w:tc>
        <w:tc>
          <w:tcPr>
            <w:tcW w:w="4895" w:type="dxa"/>
            <w:tcBorders>
              <w:top w:val="nil"/>
              <w:left w:val="nil"/>
              <w:bottom w:val="nil"/>
              <w:right w:val="nil"/>
            </w:tcBorders>
            <w:shd w:val="clear" w:color="000000" w:fill="FFFFFF"/>
            <w:vAlign w:val="center"/>
            <w:hideMark/>
          </w:tcPr>
          <w:p w14:paraId="42134AEA" w14:textId="2817221B"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{"citationItems":[{"id":"ITEM-1","itemData":{"ISSN":"1537-4521","PMID":"23588125","abstract":"BACKGROUND Men who have sex with men (MSM) who have a current or recent history of rectal Chlamydia trachomatis (CT) and Neisseria gonorrhoeae (GC) infection are at greater risk for HIV than MSM with no history of rectal infection. Screening and treating MSM for rectal CT/GC infection may help reduce any increased biological susceptibility to HIV infection. METHODS We used 2 versions of a Markov state-transition model to examine the impact and cost-effectiveness of screening MSM for rectal CT/GC infection in San Francisco: a static version that included only the benefits to those screened and a dynamic version that accounted for population-level impacts of screening. HIV prevention through reduced susceptibility to HIV was the only potential benefit of rectal CT/GC screening that we included in our analysis. Parameter values were based on San Francisco program data and the literature. RESULTS In the base case, the cost per quality-adjusted life year gained through screening MSM for rectal CT/GC infection was $16,300 in the static version of the model. In the dynamic model, the cost per quality-adjusted life year gained was less than $0, meaning that rectal screening was cost-saving. The impact of rectal CT/GC infection on the risk of HIV acquisition was the most influential model parameter. CONCLUSIONS Although more information is needed regarding the impact of rectal CT/GC screening on HIV incidence, rectal CT/GC screening of MSM can potentially be a cost-effective, scalable intervention targeted to at-risk MSM in certain urban settings such as San Francisco.","author":[{"dropping-particle":"","family":"Chesson","given":"Harrell W","non-dropping-particle":"","parse-names":false,"suffix":""},{"dropping-particle":"","family":"Bernstein","given":"Kyle T","non-dropping-particle":"","parse-names":false,"suffix":""},{"dropping-particle":"","family":"Gift","given":"Thomas L","non-dropping-particle":"","parse-names":false,"suffix":""},{"dropping-particle":"","family":"Marcus","given":"Julia L","non-dropping-particle":"","parse-names":false,"suffix":""},{"dropping-particle":"","family":"Pipkin","given":"Sharon","non-dropping-particle":"","parse-names":false,"suffix":""},{"dropping-particle":"","family":"Kent","given":"Charlotte K","non-dropping-particle":"","parse-names":false,"suffix":""}],"container-title":"Sex Transm Dis","id":"ITEM-1","issue":"5","issued":{"date-parts":[["2013","5"]]},"page":"366-71","title":"The cost-effectiveness of screening men who have sex with men for rectal chlamydial and gonococcal infection to prevent HIV Infection.","type":"article-journal","volume":"40"},"uris":["http://www.mendeley.com/documents/?uuid=a4be3bae-bc0b-4f41-8839-b77815413a6f"]}],"mendeley":{"formattedCitation":"&lt;sup&gt;38&lt;/sup&gt;","plainTextFormattedCitation":"38","previouslyFormattedCitation":"&lt;sup&gt;38&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38</w:t>
            </w:r>
            <w:r w:rsidRPr="00DE4DAD">
              <w:rPr>
                <w:rFonts w:ascii="Helvetica Neue" w:hAnsi="Helvetica Neue" w:cs="Calibri"/>
                <w:color w:val="000000"/>
                <w:sz w:val="18"/>
                <w:szCs w:val="18"/>
              </w:rPr>
              <w:fldChar w:fldCharType="end"/>
            </w:r>
          </w:p>
        </w:tc>
      </w:tr>
      <w:tr w:rsidR="00887EBC" w:rsidRPr="001B6BD3" w14:paraId="4F331C61" w14:textId="77777777" w:rsidTr="001B1A34">
        <w:trPr>
          <w:trHeight w:val="68"/>
        </w:trPr>
        <w:tc>
          <w:tcPr>
            <w:tcW w:w="4142" w:type="dxa"/>
            <w:tcBorders>
              <w:top w:val="nil"/>
              <w:left w:val="nil"/>
              <w:bottom w:val="nil"/>
              <w:right w:val="nil"/>
            </w:tcBorders>
            <w:shd w:val="clear" w:color="000000" w:fill="FFFFFF"/>
            <w:noWrap/>
            <w:vAlign w:val="center"/>
            <w:hideMark/>
          </w:tcPr>
          <w:p w14:paraId="5123CB0E" w14:textId="77777777"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STI transmission multipliers</w:t>
            </w:r>
          </w:p>
        </w:tc>
        <w:tc>
          <w:tcPr>
            <w:tcW w:w="996" w:type="dxa"/>
            <w:tcBorders>
              <w:top w:val="nil"/>
              <w:left w:val="nil"/>
              <w:bottom w:val="nil"/>
              <w:right w:val="nil"/>
            </w:tcBorders>
            <w:shd w:val="clear" w:color="000000" w:fill="FFFFFF"/>
            <w:vAlign w:val="center"/>
            <w:hideMark/>
          </w:tcPr>
          <w:p w14:paraId="6531A5C9"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1147" w:type="dxa"/>
            <w:tcBorders>
              <w:top w:val="nil"/>
              <w:left w:val="nil"/>
              <w:bottom w:val="nil"/>
              <w:right w:val="nil"/>
            </w:tcBorders>
            <w:shd w:val="clear" w:color="000000" w:fill="FFFFFF"/>
            <w:noWrap/>
            <w:vAlign w:val="center"/>
            <w:hideMark/>
          </w:tcPr>
          <w:p w14:paraId="3CB1F7B9"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127936AC"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2407373B" w14:textId="77777777" w:rsidTr="001B1A34">
        <w:trPr>
          <w:trHeight w:val="68"/>
        </w:trPr>
        <w:tc>
          <w:tcPr>
            <w:tcW w:w="4142" w:type="dxa"/>
            <w:tcBorders>
              <w:top w:val="nil"/>
              <w:left w:val="nil"/>
              <w:bottom w:val="nil"/>
              <w:right w:val="nil"/>
            </w:tcBorders>
            <w:shd w:val="clear" w:color="000000" w:fill="FFFFFF"/>
            <w:noWrap/>
            <w:vAlign w:val="center"/>
            <w:hideMark/>
          </w:tcPr>
          <w:p w14:paraId="76D4A268"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Condom use</w:t>
            </w:r>
          </w:p>
        </w:tc>
        <w:tc>
          <w:tcPr>
            <w:tcW w:w="996" w:type="dxa"/>
            <w:tcBorders>
              <w:top w:val="nil"/>
              <w:left w:val="nil"/>
              <w:bottom w:val="nil"/>
              <w:right w:val="nil"/>
            </w:tcBorders>
            <w:shd w:val="clear" w:color="000000" w:fill="FFFFFF"/>
            <w:vAlign w:val="center"/>
            <w:hideMark/>
          </w:tcPr>
          <w:p w14:paraId="56676292"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0.3000</w:t>
            </w:r>
          </w:p>
        </w:tc>
        <w:tc>
          <w:tcPr>
            <w:tcW w:w="1147" w:type="dxa"/>
            <w:tcBorders>
              <w:top w:val="nil"/>
              <w:left w:val="nil"/>
              <w:bottom w:val="nil"/>
              <w:right w:val="nil"/>
            </w:tcBorders>
            <w:shd w:val="clear" w:color="000000" w:fill="FFFFFF"/>
            <w:vAlign w:val="center"/>
            <w:hideMark/>
          </w:tcPr>
          <w:p w14:paraId="573D5F5E" w14:textId="2D9B3B05"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nil"/>
              <w:right w:val="nil"/>
            </w:tcBorders>
            <w:shd w:val="clear" w:color="000000" w:fill="FFFFFF"/>
            <w:vAlign w:val="center"/>
            <w:hideMark/>
          </w:tcPr>
          <w:p w14:paraId="68807B4D" w14:textId="66DE5408"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{"citationItems":[{"id":"ITEM-1","itemData":{"PMID":"2554516","abstract":"In vitro evidence strongly suggests that latex condoms provide an impenetrable barrier for the passage of infectious agents, but few have studied the use-effectiveness of condoms in preventing sexually transmitted diseases. In 1971, a prospective evaluation of the condom failed to demonstrate efficacy against infections with gonorrhea because users were exposed to infectious secretions before the condom was used. An ongoing multicenter study of female prostitutes in the United States shows that none of 22 women who always use condoms with all male partners has antibody to human immunodeficiency virus (HIV), but differences in HIV antibody status by patterns of condom use are not statistically significant. An educational campaign to promote the proper and consistent use of condoms as prophylactics is needed to stop the spread of gonorrhea, infections with HIV, and other sexually transmitted diseases. Despite in vitro evidence of the effectiveness of latex condoms in preventing the passage of infectious agents, there have been few studies of condom's use-effectiveness in terms of the transmission of sexually transmitted diseases (STDs). The Sacramento (California) Special Study sought to address this research gap through a survey of all patients presenting to the County Health Department from May 24-August 13, 1971. Patients were asked to complete a questionnaire and given a coupon that could be exchanged for 3 regular and 3 lubricated condoms. Of the 2045 individuals who visited the clinic during the study period, 557 (27%) accepted condoms. These acceptors were significantly more likely to be male, Black, or Hispanic and to have histories of both previous condom use (43%) and gonococcal infection (31%). Of the 122 patients who returned to the clinic for follow-up and had sexual intercourse since the last visit, 91 (75%) had not used a condom at any time in this period, 21 (17%) had used a condom at least once, and 10 (8%) had used a condom at each sexual exposure. There was no significant difference between users and nonusers in terms of whether they were diagnosed with nongonococcal urethritis, gonorrhea, and other STDs at the follow-up visit. However, questioning of condom users who presented with reinfection with gonorrhea indicated that, in some cases, the condom was not put on until the man had already been exposed to vaginal fluids. This suggests a need for thorough education on proper condom use, including avoidance of all exposure to infectious …","author":[{"dropping-particle":"","family":"Darrow","given":"W W","non-dropping-particle":"","parse-names":false,"suffix":""}],"container-title":"Sexually Transmitted Diseases","id":"ITEM-1","issue":"3","issued":{"date-parts":[["1989"]]},"page":"157-60","title":"Condom use and use-effectiveness in high-risk populations.","type":"article-journal","volume":"16"},"uris":["http://www.mendeley.com/documents/?uuid=c69c7dd6-67e5-4636-9ebb-a121036e9008"]},{"id":"ITEM-2","itemData":{"PMID":"9292347","abstract":"Sex workers and their clients as core groups of high frequency transmitters play a dominant role in the transmission of HIV and other sexually transmitted diseases (STDs). In Surabaya, Indonesia, little is known about the prevalence of STDs in various sex establishments. We conducted an STD prevalence survey of 1873 female sex workers in Surabaya, Indonesia. We did not find any sex workers with HIV infection. Prevalence rates of other STDs (chlamydia, gonorrhoea, serological test for syphilis positive, and/or trichomoniasis) in female sex workers were 48% in brothels (n = 696), 42% on the streets (n = 192), 16% in massage parlours (n = 344), 25% in barber shops (n = 150), 17% at call-girl houses (n = 73), and 10% in nightclubs (n = 418). Sex workers from the brothels had the highest prevalence rates of gonorrhoea (24%) and trichomoniasis (8%), while sex workers from the streets and the barber shop had the highest rates of serological test for syphilis (STS) positive (30%) and chlamydia (18%). STD rates decreased with an increase in age (except for STS positive), an increase in education, a decrease in the number of sex partners, and condom use in the previous week. Condom use in the previous week was universally low among sex workers, especially among sex workers from the brothels (14%). Sex workers from the brothels had STD rates about 4 times higher than sex workers from the nightclubs (adjusted odds ratio of 4.4). Although the HIV seroprevalence rate is currently low, widespread prostitution and high rates of STDs in sex workers warrant programmes to avert a potential explosion of HIV transmission. Because sex workers from the brothels in Surabaya have high rates of STDs and low use of condoms but good cooperation with local authorities, STD preventive measures should focus on this group. A sexually transmitted disease (STD) prevalence survey of 1873 female sex workers recruited from six types of sex establishments in Surabaya, Indonesia, in 1992-93 failed to reveal any cases of HIV. The prevalence rates of the other STDs included in the study (chlamydia, gonorrhea, syphilis, and trichomoniasis), by setting, were as follows: brothels (n = 696), 48%; streets (n = 192), 42%; massage parlors (n = 344), 16%; barber shops (n = 150), 25%; call-girl houses (n = 73), 17%; and nightclubs (n = 418), 10%. Sex workers based in brothels and on the streets had the lowest socioeconomic status, while nightclub and call-girl house workers had the highest status. Brot…","author":[{"dropping-particle":"","family":"Joesoef","given":"M R","non-dropping-particle":"","parse-names":false,"suffix":""},{"dropping-particle":"","family":"Linnan","given":"M","non-dropping-particle":"","parse-names":false,"suffix":""},{"dropping-particle":"","family":"Barakbah","given":"Y","non-dropping-particle":"","parse-names":false,"suffix":""},{"dropping-particle":"","family":"Idajadi","given":"A","non-dropping-particle":"","parse-names":false,"suffix":""},{"dropping-particle":"","family":"Kambodji","given":"A","non-dropping-particle":"","parse-names":false,"suffix":""},{"dropping-particle":"","family":"Schulz","given":"K","non-dropping-particle":"","parse-names":false,"suffix":""}],"container-title":"International Journal of STD &amp; AIDS","id":"ITEM-2","issue":"9","issued":{"date-parts":[["1997","9"]]},"page":"576-80","title":"Patterns of sexually transmitted diseases in female sex workers in Surabaya, Indonesia.","type":"article-journal","volume":"8"},"uris":["http://www.mendeley.com/documents/?uuid=91d8f22b-d8b2-4d8f-aceb-a967d0304952"]}],"mendeley":{"formattedCitation":"&lt;sup&gt;73,74&lt;/sup&gt;","plainTextFormattedCitation":"73,74","previouslyFormattedCitation":"&lt;sup&gt;73,74&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Pr="00DE4DAD">
              <w:rPr>
                <w:rFonts w:ascii="Helvetica Neue" w:hAnsi="Helvetica Neue" w:cs="Calibri"/>
                <w:noProof/>
                <w:color w:val="000000"/>
                <w:sz w:val="18"/>
                <w:szCs w:val="18"/>
                <w:vertAlign w:val="superscript"/>
              </w:rPr>
              <w:t>73,74</w:t>
            </w:r>
            <w:r w:rsidRPr="00DE4DAD">
              <w:rPr>
                <w:rFonts w:ascii="Helvetica Neue" w:hAnsi="Helvetica Neue" w:cs="Calibri"/>
                <w:color w:val="000000"/>
                <w:sz w:val="18"/>
                <w:szCs w:val="18"/>
              </w:rPr>
              <w:fldChar w:fldCharType="end"/>
            </w:r>
          </w:p>
        </w:tc>
      </w:tr>
      <w:tr w:rsidR="00887EBC" w:rsidRPr="001B6BD3" w14:paraId="753C2418" w14:textId="77777777" w:rsidTr="001B1A34">
        <w:trPr>
          <w:trHeight w:val="117"/>
        </w:trPr>
        <w:tc>
          <w:tcPr>
            <w:tcW w:w="4142" w:type="dxa"/>
            <w:tcBorders>
              <w:top w:val="nil"/>
              <w:left w:val="nil"/>
              <w:bottom w:val="nil"/>
              <w:right w:val="nil"/>
            </w:tcBorders>
            <w:shd w:val="clear" w:color="000000" w:fill="FFFFFF"/>
            <w:noWrap/>
            <w:vAlign w:val="center"/>
            <w:hideMark/>
          </w:tcPr>
          <w:p w14:paraId="43DE8862" w14:textId="61239191"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Probability of treatment given symptom</w:t>
            </w:r>
            <w:r w:rsidR="00072929" w:rsidRPr="00DE4DAD">
              <w:rPr>
                <w:rFonts w:ascii="Helvetica Neue" w:hAnsi="Helvetica Neue" w:cs="Calibri"/>
                <w:i/>
                <w:iCs/>
                <w:color w:val="000000"/>
                <w:sz w:val="18"/>
                <w:szCs w:val="18"/>
              </w:rPr>
              <w:t>s</w:t>
            </w:r>
          </w:p>
        </w:tc>
        <w:tc>
          <w:tcPr>
            <w:tcW w:w="996" w:type="dxa"/>
            <w:tcBorders>
              <w:top w:val="nil"/>
              <w:left w:val="nil"/>
              <w:bottom w:val="nil"/>
              <w:right w:val="nil"/>
            </w:tcBorders>
            <w:shd w:val="clear" w:color="000000" w:fill="FFFFFF"/>
            <w:vAlign w:val="center"/>
            <w:hideMark/>
          </w:tcPr>
          <w:p w14:paraId="4B22E90C"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1147" w:type="dxa"/>
            <w:tcBorders>
              <w:top w:val="nil"/>
              <w:left w:val="nil"/>
              <w:bottom w:val="nil"/>
              <w:right w:val="nil"/>
            </w:tcBorders>
            <w:shd w:val="clear" w:color="000000" w:fill="FFFFFF"/>
            <w:vAlign w:val="center"/>
            <w:hideMark/>
          </w:tcPr>
          <w:p w14:paraId="15535C36"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3A0537D8"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24ACBB57" w14:textId="77777777" w:rsidTr="001B1A34">
        <w:trPr>
          <w:trHeight w:val="315"/>
        </w:trPr>
        <w:tc>
          <w:tcPr>
            <w:tcW w:w="4142" w:type="dxa"/>
            <w:tcBorders>
              <w:top w:val="nil"/>
              <w:left w:val="nil"/>
              <w:bottom w:val="nil"/>
              <w:right w:val="nil"/>
            </w:tcBorders>
            <w:shd w:val="clear" w:color="000000" w:fill="FFFFFF"/>
            <w:noWrap/>
            <w:vAlign w:val="center"/>
            <w:hideMark/>
          </w:tcPr>
          <w:p w14:paraId="1F41A9A0"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Gonorrhea</w:t>
            </w:r>
          </w:p>
        </w:tc>
        <w:tc>
          <w:tcPr>
            <w:tcW w:w="996" w:type="dxa"/>
            <w:tcBorders>
              <w:top w:val="nil"/>
              <w:left w:val="nil"/>
              <w:bottom w:val="nil"/>
              <w:right w:val="nil"/>
            </w:tcBorders>
            <w:shd w:val="clear" w:color="000000" w:fill="FFFFFF"/>
            <w:noWrap/>
            <w:vAlign w:val="center"/>
            <w:hideMark/>
          </w:tcPr>
          <w:p w14:paraId="3515312C"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0.9000</w:t>
            </w:r>
          </w:p>
        </w:tc>
        <w:tc>
          <w:tcPr>
            <w:tcW w:w="1147" w:type="dxa"/>
            <w:tcBorders>
              <w:top w:val="nil"/>
              <w:left w:val="nil"/>
              <w:bottom w:val="nil"/>
              <w:right w:val="nil"/>
            </w:tcBorders>
            <w:shd w:val="clear" w:color="000000" w:fill="FFFFFF"/>
            <w:noWrap/>
            <w:vAlign w:val="center"/>
            <w:hideMark/>
          </w:tcPr>
          <w:p w14:paraId="090C3ADB"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w:t>
            </w:r>
          </w:p>
        </w:tc>
        <w:tc>
          <w:tcPr>
            <w:tcW w:w="4895" w:type="dxa"/>
            <w:tcBorders>
              <w:top w:val="nil"/>
              <w:left w:val="nil"/>
              <w:bottom w:val="nil"/>
              <w:right w:val="nil"/>
            </w:tcBorders>
            <w:shd w:val="clear" w:color="000000" w:fill="FFFFFF"/>
            <w:vAlign w:val="center"/>
            <w:hideMark/>
          </w:tcPr>
          <w:p w14:paraId="353A9D2E" w14:textId="517C1EB6"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STIs","type":"article-journal","volume":"70"},"uris":["http://www.mendeley.com/documents/?uuid=cce0386d-0de1-4180-8bc8-5bad7d021421"]},{"id":"ITEM-2","itemData":{"PMID":"12649059","abstract":"BACKGROUND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sites.","author":[{"dropping-particle":"","family":"Farley","given":"Thomas A","non-dropping-particle":"","parse-names":false,"suffix":""},{"dropping-particle":"","family":"Cohen","given":"Deborah A","non-dropping-particle":"","parse-names":false,"suffix":""},{"dropping-particle":"","family":"Elkins","given":"Whitney","non-dropping-particle":"","parse-names":false,"suffix":""}],"container-title":"Preventive Medicine","id":"ITEM-2","issue":"4","issued":{"date-parts":[["2003","4"]]},"page":"502-9","title":"Asymptomatic sexually transmitted diseases: The case for screening.","type":"article-journal","volume":"36"},"uris":["http://www.mendeley.com/documents/?uuid=e989fc63-4be0-42c0-8dac-482d0edf0142"]},{"id":"ITEM-3","itemData":{"ISSN":"1537-6591","PMID":"15937765","abstract":"BACKGROUND: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NAATs.","author":[{"dropping-particle":"","family":"Kent","given":"Charlotte K","non-dropping-particle":"","parse-names":false,"suffix":""},{"dropping-particle":"","family":"Chaw","given":"Janice K","non-dropping-particle":"","parse-names":false,"suffix":""},{"dropping-particle":"","family":"Wong","given":"William","non-dropping-particle":"","parse-names":false,"suffix":""},{"dropping-particle":"","family":"Liska","given":"Sally","non-dropping-particle":"","parse-names":false,"suffix":""},{"dropping-particle":"","family":"Gibson","given":"Steven","non-dropping-particle":"","parse-names":false,"suffix":""},{"dropping-particle":"","family":"Hubbard","given":"Gregory","non-dropping-particle":"","parse-names":false,"suffix":""},{"dropping-particle":"","family":"Klausner","given":"Jeffrey D","non-dropping-particle":"","parse-names":false,"suffix":""}],"container-title":"Clin Infect Dis","id":"ITEM-3","issue":"1","issued":{"date-parts":[["2005","7"]]},"page":"67-74","title":"Prevalence of rectal, urethral, and pharyngeal chlamydia and gonorrhea detected in 2 clinical settings among men who have sex with men: San Francisco, California, 2003.","type":"article-journal","volume":"41"},"uris":["http://www.mendeley.com/documents/?uuid=ac78ab87-47aa-43f8-8ea6-83eabe6a5918"]}],"mendeley":{"formattedCitation":"&lt;sup&gt;71,95,96&lt;/sup&gt;","plainTextFormattedCitation":"71,95,96","previouslyFormattedCitation":"&lt;sup&gt;71,95,96&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DB1A5C" w:rsidRPr="00DE4DAD">
              <w:rPr>
                <w:rFonts w:ascii="Helvetica Neue" w:hAnsi="Helvetica Neue" w:cs="Calibri"/>
                <w:noProof/>
                <w:color w:val="000000"/>
                <w:sz w:val="18"/>
                <w:szCs w:val="18"/>
                <w:vertAlign w:val="superscript"/>
              </w:rPr>
              <w:t>71,95,96</w:t>
            </w:r>
            <w:r w:rsidRPr="00DE4DAD">
              <w:rPr>
                <w:rFonts w:ascii="Helvetica Neue" w:hAnsi="Helvetica Neue" w:cs="Calibri"/>
                <w:color w:val="000000"/>
                <w:sz w:val="18"/>
                <w:szCs w:val="18"/>
              </w:rPr>
              <w:fldChar w:fldCharType="end"/>
            </w:r>
          </w:p>
        </w:tc>
      </w:tr>
      <w:tr w:rsidR="00887EBC" w:rsidRPr="001B6BD3" w14:paraId="0995A4CB" w14:textId="77777777" w:rsidTr="001B1A34">
        <w:trPr>
          <w:trHeight w:val="68"/>
        </w:trPr>
        <w:tc>
          <w:tcPr>
            <w:tcW w:w="4142" w:type="dxa"/>
            <w:tcBorders>
              <w:top w:val="nil"/>
              <w:left w:val="nil"/>
              <w:bottom w:val="nil"/>
              <w:right w:val="nil"/>
            </w:tcBorders>
            <w:shd w:val="clear" w:color="000000" w:fill="FFFFFF"/>
            <w:noWrap/>
            <w:vAlign w:val="center"/>
            <w:hideMark/>
          </w:tcPr>
          <w:p w14:paraId="119BB2FA"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Chlamydia</w:t>
            </w:r>
          </w:p>
        </w:tc>
        <w:tc>
          <w:tcPr>
            <w:tcW w:w="996" w:type="dxa"/>
            <w:tcBorders>
              <w:top w:val="nil"/>
              <w:left w:val="nil"/>
              <w:bottom w:val="nil"/>
              <w:right w:val="nil"/>
            </w:tcBorders>
            <w:shd w:val="clear" w:color="000000" w:fill="FFFFFF"/>
            <w:noWrap/>
            <w:vAlign w:val="center"/>
            <w:hideMark/>
          </w:tcPr>
          <w:p w14:paraId="1D2DE768"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0.8500</w:t>
            </w:r>
          </w:p>
        </w:tc>
        <w:tc>
          <w:tcPr>
            <w:tcW w:w="1147" w:type="dxa"/>
            <w:tcBorders>
              <w:top w:val="nil"/>
              <w:left w:val="nil"/>
              <w:bottom w:val="nil"/>
              <w:right w:val="nil"/>
            </w:tcBorders>
            <w:shd w:val="clear" w:color="000000" w:fill="FFFFFF"/>
            <w:noWrap/>
            <w:vAlign w:val="center"/>
            <w:hideMark/>
          </w:tcPr>
          <w:p w14:paraId="0513384F"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w:t>
            </w:r>
          </w:p>
        </w:tc>
        <w:tc>
          <w:tcPr>
            <w:tcW w:w="4895" w:type="dxa"/>
            <w:tcBorders>
              <w:top w:val="nil"/>
              <w:left w:val="nil"/>
              <w:bottom w:val="nil"/>
              <w:right w:val="nil"/>
            </w:tcBorders>
            <w:shd w:val="clear" w:color="000000" w:fill="FFFFFF"/>
            <w:vAlign w:val="center"/>
            <w:hideMark/>
          </w:tcPr>
          <w:p w14:paraId="4D63D2AA" w14:textId="577342DD"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fldChar w:fldCharType="begin" w:fldLock="1"/>
            </w:r>
            <w:r w:rsidR="00665BF2" w:rsidRPr="00DE4DAD">
              <w:rPr>
                <w:rFonts w:ascii="Helvetica Neue" w:hAnsi="Helvetica Neue" w:cs="Calibri"/>
                <w:color w:val="000000"/>
                <w:sz w:val="18"/>
                <w:szCs w:val="18"/>
              </w:rPr>
              <w:instrText>ADDIN CSL_CITATION {"citationItems":[{"id":"ITEM-1","itemData":{"ISSN":"1944-7884","PMID":"26102448","abstract":"OBJECTIVE Young men who have sex with men (YMSM) in the United States have a high HIV incidence with substantial racial disparities that are poorly understood. We use a data-driven simulation model to understand the impact of network-level mechanisms and sexually transmitted infections on the spread of HIV among YMSM. METHODS We designed and parameterized a stochastic agent-based network simulation model using results of a longitudinal cohort study of YMSM in Chicago. Within this model, YMSM formed and dissolved partnerships over time, and partnership types were stratified by length of partnership, sex, and age of the partner. In each partnership, HIV, gonorrhea, and chlamydia could be transmitted. Counterfactual scenarios were run to examine drivers of HIV. RESULTS Over a 15-year simulation, the HIV epidemic among YMSM continued to rise, with Latino/white YMSM facing a steeper increase in the HIV burden compared with black YMSM. YMSM in partnerships with older MSM, in particular black YMSM with older black MSM, were at highest risk for HIV, and 1 infection prevented with an older partner would prevent 0.8 additional infections among YMSM. Additionally, racial disparities in HIV were driven by differences in the HIV prevalence of YMSM partners. Finally, of all HIV infections among YMSM, 14.6% were attributable to NG and CT infections. CONCLUSION Network-level mechanisms and sexually transmitted infections play a significant role in the spread of HIV and in racial disparities among YMSM. HIV prevention efforts should target YMSM across race, and interventions focusing on YMSM partnerships with older MSM might be highly effective.","author":[{"dropping-particle":"","family":"Beck","given":"Ekkehard C","non-dropping-particle":"","parse-names":false,"suffix":""},{"dropping-particle":"","family":"Birkett","given":"Michelle","non-dropping-particle":"","parse-names":false,"suffix":""},{"dropping-particle":"","family":"Armbruster","given":"Benjamin","non-dropping-particle":"","parse-names":false,"suffix":""},{"dropping-particle":"","family":"Mustanski","given":"Brian","non-dropping-particle":"","parse-names":false,"suffix":""}],"container-title":"J Acquir Immune Defic Syndr","id":"ITEM-1","issue":"2","issued":{"date-parts":[["2015","10","1"]]},"page":"186-94","title":"A data-driven simulation of HIV spread among young men who have sex with men: Role of age and race mixing and STIs","type":"article-journal","volume":"70"},"uris":["http://www.mendeley.com/documents/?uuid=cce0386d-0de1-4180-8bc8-5bad7d021421"]},{"id":"ITEM-2","itemData":{"PMID":"12649059","abstract":"BACKGROUND The United States has the highest prevalence of sexually transmitted diseases in the developed world. Control strategies should address the most frequent reasons why curable sexually transmitted diseases are not treated. METHODS We approached 1,631 persons ages 18-29 in various sites and offered them screening for gonorrhea and chlamydial infection and surveys regarding past genitourinary symptoms. For those with past symptoms we abstracted medical records or conducted additional interviews. From these data we estimated the total number of persons who had gonorrhea or chlamydial infections in the previous year, the proportion treated, and the primary reasons for nontreatment. RESULTS The prevalence of gonorrhea was 2.3% and that of chlamydial infection was 10.1%. We estimate that 45 and 77% of all cases of gonorrhea and chlamydial infection, respectively, were never symptomatic and that 86 and 95% of untreated cases of gonorrhea and chlamydial infection, respectively, were untreated because they were never symptomatic. The remaining 14 and 5% of untreated cases of gonorrhea and chlamydia, respectively, were not treated because persons did not receive medical care for symptoms. CONCLUSIONS The primary reason that gonorrhea and chlamydial infections are untreated is that infected persons never have symptoms. The most effective method to control these sexually transmitted diseases is routine screening at high-volume sites.","author":[{"dropping-particle":"","family":"Farley","given":"Thomas A","non-dropping-particle":"","parse-names":false,"suffix":""},{"dropping-particle":"","family":"Cohen","given":"Deborah A","non-dropping-particle":"","parse-names":false,"suffix":""},{"dropping-particle":"","family":"Elkins","given":"Whitney","non-dropping-particle":"","parse-names":false,"suffix":""}],"container-title":"Preventive Medicine","id":"ITEM-2","issue":"4","issued":{"date-parts":[["2003","4"]]},"page":"502-9","title":"Asymptomatic sexually transmitted diseases: The case for screening.","type":"article-journal","volume":"36"},"uris":["http://www.mendeley.com/documents/?uuid=e989fc63-4be0-42c0-8dac-482d0edf0142"]},{"id":"ITEM-3","itemData":{"ISSN":"1537-6591","PMID":"15937765","abstract":"BACKGROUND: The Centers for Disease Control and Prevention developed screening and diagnostic testing guidelines for chlamydia and gonorrhea at urethral, rectal, and pharyngeal sites for men who have sex with men (MSM). However, in most clinical settings, rectal chlamydial testing is not performed for MSM, and primarily sexually transmitted disease (STD) clinics alone perform routine rectal and pharyngeal gonorrhea screening for asymptomatic men. METHODS: We evaluated the prevalence of rectal, urethral, and pharyngeal chlamydial and gonococcal infections among MSM seen at the municipal STD clinic and the gay men's community health center. We also determined the proportion of asymptomatic rectal infections, described the patterns of single and multiple anatomic sites of infection, and evaluated the proportion of chlamydial infections that would be missed and not treated if MSM were not routinely tested for chlamydia. We tested specimens using previously validated nucleic acid amplification tests (NAATs). RESULTS: The prevalence of infection varied by anatomic site (chlamydia: rectal, 7.9%; urethral, 5.2%; and pharyngeal, 1.4%; for gonorrhea, rectal, 6.9%; urethral, 6.0%; and pharyngeal, 9.2%). Approximately 85% of rectal infections were asymptomatic supporting the need for routine screening. Because 53% of chlamydial infections and 64% of gonococcal infections were at nonurethral sites, these infections would be missed and not treated if only urethral screening was performed. In addition, &gt;70% of chlamydial infections would be missed and not treated if MSM were tested only for gonorrhea. CONCLUSIONS: Because these infections enhance both HIV transmission and susceptibility, clinical settings serving MSM should evaluate the prevalence of chlamydial and gonococcal infections by anatomic site using validated NAATs.","author":[{"dropping-particle":"","family":"Kent","given":"Charlotte K","non-dropping-particle":"","parse-names":false,"suffix":""},{"dropping-particle":"","family":"Chaw","given":"Janice K","non-dropping-particle":"","parse-names":false,"suffix":""},{"dropping-particle":"","family":"Wong","given":"William","non-dropping-particle":"","parse-names":false,"suffix":""},{"dropping-particle":"","family":"Liska","given":"Sally","non-dropping-particle":"","parse-names":false,"suffix":""},{"dropping-particle":"","family":"Gibson","given":"Steven","non-dropping-particle":"","parse-names":false,"suffix":""},{"dropping-particle":"","family":"Hubbard","given":"Gregory","non-dropping-particle":"","parse-names":false,"suffix":""},{"dropping-particle":"","family":"Klausner","given":"Jeffrey D","non-dropping-particle":"","parse-names":false,"suffix":""}],"container-title":"Clin Infect Dis","id":"ITEM-3","issue":"1","issued":{"date-parts":[["2005","7"]]},"page":"67-74","title":"Prevalence of rectal, urethral, and pharyngeal chlamydia and gonorrhea detected in 2 clinical settings among men who have sex with men: San Francisco, California, 2003.","type":"article-journal","volume":"41"},"uris":["http://www.mendeley.com/documents/?uuid=ac78ab87-47aa-43f8-8ea6-83eabe6a5918"]}],"mendeley":{"formattedCitation":"&lt;sup&gt;71,95,96&lt;/sup&gt;","plainTextFormattedCitation":"71,95,96","previouslyFormattedCitation":"&lt;sup&gt;71,95,96&lt;/sup&gt;"},"properties":{"noteIndex":0},"schema":"https://github.com/citation-style-language/schema/raw/master/csl-citation.json"}</w:instrText>
            </w:r>
            <w:r w:rsidRPr="00DE4DAD">
              <w:rPr>
                <w:rFonts w:ascii="Helvetica Neue" w:hAnsi="Helvetica Neue" w:cs="Calibri"/>
                <w:color w:val="000000"/>
                <w:sz w:val="18"/>
                <w:szCs w:val="18"/>
              </w:rPr>
              <w:fldChar w:fldCharType="separate"/>
            </w:r>
            <w:r w:rsidR="00DB1A5C" w:rsidRPr="00DE4DAD">
              <w:rPr>
                <w:rFonts w:ascii="Helvetica Neue" w:hAnsi="Helvetica Neue" w:cs="Calibri"/>
                <w:noProof/>
                <w:color w:val="000000"/>
                <w:sz w:val="18"/>
                <w:szCs w:val="18"/>
                <w:vertAlign w:val="superscript"/>
              </w:rPr>
              <w:t>71,95,96</w:t>
            </w:r>
            <w:r w:rsidRPr="00DE4DAD">
              <w:rPr>
                <w:rFonts w:ascii="Helvetica Neue" w:hAnsi="Helvetica Neue" w:cs="Calibri"/>
                <w:color w:val="000000"/>
                <w:sz w:val="18"/>
                <w:szCs w:val="18"/>
              </w:rPr>
              <w:fldChar w:fldCharType="end"/>
            </w:r>
          </w:p>
        </w:tc>
      </w:tr>
      <w:tr w:rsidR="00887EBC" w:rsidRPr="001B6BD3" w14:paraId="42F8DBE8" w14:textId="77777777" w:rsidTr="001B1A34">
        <w:trPr>
          <w:trHeight w:val="259"/>
        </w:trPr>
        <w:tc>
          <w:tcPr>
            <w:tcW w:w="4142" w:type="dxa"/>
            <w:tcBorders>
              <w:top w:val="nil"/>
              <w:left w:val="nil"/>
              <w:bottom w:val="nil"/>
              <w:right w:val="nil"/>
            </w:tcBorders>
            <w:shd w:val="clear" w:color="000000" w:fill="FFFFFF"/>
            <w:noWrap/>
            <w:vAlign w:val="center"/>
            <w:hideMark/>
          </w:tcPr>
          <w:p w14:paraId="69EC59E9" w14:textId="77777777" w:rsidR="00887EBC" w:rsidRPr="00DE4DAD" w:rsidRDefault="00887EBC" w:rsidP="00E15313">
            <w:pPr>
              <w:rPr>
                <w:rFonts w:ascii="Helvetica Neue" w:hAnsi="Helvetica Neue" w:cs="Calibri"/>
                <w:i/>
                <w:iCs/>
                <w:color w:val="000000"/>
                <w:sz w:val="18"/>
                <w:szCs w:val="18"/>
              </w:rPr>
            </w:pPr>
            <w:r w:rsidRPr="00DE4DAD">
              <w:rPr>
                <w:rFonts w:ascii="Helvetica Neue" w:hAnsi="Helvetica Neue" w:cs="Calibri"/>
                <w:i/>
                <w:iCs/>
                <w:color w:val="000000"/>
                <w:sz w:val="18"/>
                <w:szCs w:val="18"/>
              </w:rPr>
              <w:t>Duration of complete recovery (days)</w:t>
            </w:r>
          </w:p>
        </w:tc>
        <w:tc>
          <w:tcPr>
            <w:tcW w:w="996" w:type="dxa"/>
            <w:tcBorders>
              <w:top w:val="nil"/>
              <w:left w:val="nil"/>
              <w:bottom w:val="nil"/>
              <w:right w:val="nil"/>
            </w:tcBorders>
            <w:shd w:val="clear" w:color="000000" w:fill="FFFFFF"/>
            <w:noWrap/>
            <w:vAlign w:val="center"/>
            <w:hideMark/>
          </w:tcPr>
          <w:p w14:paraId="2B423176"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1147" w:type="dxa"/>
            <w:tcBorders>
              <w:top w:val="nil"/>
              <w:left w:val="nil"/>
              <w:bottom w:val="nil"/>
              <w:right w:val="nil"/>
            </w:tcBorders>
            <w:shd w:val="clear" w:color="000000" w:fill="FFFFFF"/>
            <w:noWrap/>
            <w:vAlign w:val="center"/>
            <w:hideMark/>
          </w:tcPr>
          <w:p w14:paraId="25705256"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c>
          <w:tcPr>
            <w:tcW w:w="4895" w:type="dxa"/>
            <w:tcBorders>
              <w:top w:val="nil"/>
              <w:left w:val="nil"/>
              <w:bottom w:val="nil"/>
              <w:right w:val="nil"/>
            </w:tcBorders>
            <w:shd w:val="clear" w:color="000000" w:fill="FFFFFF"/>
            <w:vAlign w:val="center"/>
            <w:hideMark/>
          </w:tcPr>
          <w:p w14:paraId="6113783E" w14:textId="77777777"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 </w:t>
            </w:r>
          </w:p>
        </w:tc>
      </w:tr>
      <w:tr w:rsidR="00887EBC" w:rsidRPr="001B6BD3" w14:paraId="3C58AAB7" w14:textId="77777777" w:rsidTr="001B1A34">
        <w:trPr>
          <w:trHeight w:val="68"/>
        </w:trPr>
        <w:tc>
          <w:tcPr>
            <w:tcW w:w="4142" w:type="dxa"/>
            <w:tcBorders>
              <w:top w:val="nil"/>
              <w:left w:val="nil"/>
              <w:right w:val="nil"/>
            </w:tcBorders>
            <w:shd w:val="clear" w:color="000000" w:fill="FFFFFF"/>
            <w:noWrap/>
            <w:vAlign w:val="center"/>
            <w:hideMark/>
          </w:tcPr>
          <w:p w14:paraId="60193702"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Gonorrhea</w:t>
            </w:r>
          </w:p>
        </w:tc>
        <w:tc>
          <w:tcPr>
            <w:tcW w:w="996" w:type="dxa"/>
            <w:tcBorders>
              <w:top w:val="nil"/>
              <w:left w:val="nil"/>
              <w:right w:val="nil"/>
            </w:tcBorders>
            <w:shd w:val="clear" w:color="000000" w:fill="FFFFFF"/>
            <w:noWrap/>
            <w:vAlign w:val="center"/>
            <w:hideMark/>
          </w:tcPr>
          <w:p w14:paraId="42603EDD" w14:textId="62B2918B" w:rsidR="00887EBC" w:rsidRPr="00DE4DAD" w:rsidRDefault="00C36921" w:rsidP="00E15313">
            <w:pPr>
              <w:rPr>
                <w:rFonts w:ascii="Helvetica Neue" w:hAnsi="Helvetica Neue" w:cs="Calibri"/>
                <w:color w:val="000000"/>
                <w:sz w:val="18"/>
                <w:szCs w:val="18"/>
              </w:rPr>
            </w:pPr>
            <w:r w:rsidRPr="00DE4DAD">
              <w:rPr>
                <w:rFonts w:ascii="Helvetica Neue" w:hAnsi="Helvetica Neue" w:cs="Calibri"/>
                <w:color w:val="000000"/>
                <w:sz w:val="18"/>
                <w:szCs w:val="18"/>
              </w:rPr>
              <w:t>7</w:t>
            </w:r>
            <w:r w:rsidR="00887EBC" w:rsidRPr="00DE4DAD">
              <w:rPr>
                <w:rFonts w:ascii="Helvetica Neue" w:hAnsi="Helvetica Neue" w:cs="Calibri"/>
                <w:color w:val="000000"/>
                <w:sz w:val="18"/>
                <w:szCs w:val="18"/>
              </w:rPr>
              <w:t>.0000</w:t>
            </w:r>
          </w:p>
        </w:tc>
        <w:tc>
          <w:tcPr>
            <w:tcW w:w="1147" w:type="dxa"/>
            <w:tcBorders>
              <w:top w:val="nil"/>
              <w:left w:val="nil"/>
              <w:right w:val="nil"/>
            </w:tcBorders>
            <w:shd w:val="clear" w:color="000000" w:fill="FFFFFF"/>
            <w:noWrap/>
            <w:vAlign w:val="center"/>
            <w:hideMark/>
          </w:tcPr>
          <w:p w14:paraId="015876C9" w14:textId="514A895A"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right w:val="nil"/>
            </w:tcBorders>
            <w:shd w:val="clear" w:color="000000" w:fill="FFFFFF"/>
            <w:vAlign w:val="center"/>
            <w:hideMark/>
          </w:tcPr>
          <w:p w14:paraId="39D1AFF9" w14:textId="6072D4A8" w:rsidR="00887EBC" w:rsidRPr="00DE4DAD" w:rsidRDefault="00CC4E2C" w:rsidP="00E15313">
            <w:pPr>
              <w:rPr>
                <w:rFonts w:ascii="Helvetica Neue" w:hAnsi="Helvetica Neue" w:cs="Calibri"/>
                <w:color w:val="000000"/>
                <w:sz w:val="18"/>
                <w:szCs w:val="18"/>
              </w:rPr>
            </w:pPr>
            <w:r w:rsidRPr="00DE4DAD">
              <w:rPr>
                <w:rFonts w:ascii="Helvetica Neue" w:hAnsi="Helvetica Neue" w:cs="Calibri"/>
                <w:color w:val="000000"/>
                <w:sz w:val="18"/>
                <w:szCs w:val="18"/>
              </w:rPr>
              <w:t>Assumption</w:t>
            </w:r>
          </w:p>
        </w:tc>
      </w:tr>
      <w:tr w:rsidR="00887EBC" w:rsidRPr="001B6BD3" w14:paraId="2F3EEB06" w14:textId="77777777" w:rsidTr="001B1A34">
        <w:trPr>
          <w:trHeight w:val="68"/>
        </w:trPr>
        <w:tc>
          <w:tcPr>
            <w:tcW w:w="4142" w:type="dxa"/>
            <w:tcBorders>
              <w:top w:val="nil"/>
              <w:left w:val="nil"/>
              <w:bottom w:val="single" w:sz="4" w:space="0" w:color="auto"/>
              <w:right w:val="nil"/>
            </w:tcBorders>
            <w:shd w:val="clear" w:color="000000" w:fill="FFFFFF"/>
            <w:noWrap/>
            <w:vAlign w:val="center"/>
            <w:hideMark/>
          </w:tcPr>
          <w:p w14:paraId="309A09D2" w14:textId="77777777" w:rsidR="00887EBC" w:rsidRPr="00DE4DAD" w:rsidRDefault="00887EBC" w:rsidP="00E15313">
            <w:pPr>
              <w:ind w:firstLineChars="100" w:firstLine="180"/>
              <w:rPr>
                <w:rFonts w:ascii="Helvetica Neue" w:hAnsi="Helvetica Neue" w:cs="Calibri"/>
                <w:color w:val="000000"/>
                <w:sz w:val="18"/>
                <w:szCs w:val="18"/>
              </w:rPr>
            </w:pPr>
            <w:r w:rsidRPr="00DE4DAD">
              <w:rPr>
                <w:rFonts w:ascii="Helvetica Neue" w:hAnsi="Helvetica Neue" w:cs="Calibri"/>
                <w:color w:val="000000"/>
                <w:sz w:val="18"/>
                <w:szCs w:val="18"/>
              </w:rPr>
              <w:t>Chlamydia</w:t>
            </w:r>
          </w:p>
        </w:tc>
        <w:tc>
          <w:tcPr>
            <w:tcW w:w="996" w:type="dxa"/>
            <w:tcBorders>
              <w:top w:val="nil"/>
              <w:left w:val="nil"/>
              <w:bottom w:val="single" w:sz="4" w:space="0" w:color="auto"/>
              <w:right w:val="nil"/>
            </w:tcBorders>
            <w:shd w:val="clear" w:color="000000" w:fill="FFFFFF"/>
            <w:noWrap/>
            <w:vAlign w:val="center"/>
            <w:hideMark/>
          </w:tcPr>
          <w:p w14:paraId="207780E0" w14:textId="1F9FF385" w:rsidR="00887EBC" w:rsidRPr="00DE4DAD" w:rsidRDefault="00C36921" w:rsidP="00E15313">
            <w:pPr>
              <w:rPr>
                <w:rFonts w:ascii="Helvetica Neue" w:hAnsi="Helvetica Neue" w:cs="Calibri"/>
                <w:color w:val="000000"/>
                <w:sz w:val="18"/>
                <w:szCs w:val="18"/>
              </w:rPr>
            </w:pPr>
            <w:r w:rsidRPr="00DE4DAD">
              <w:rPr>
                <w:rFonts w:ascii="Helvetica Neue" w:hAnsi="Helvetica Neue" w:cs="Calibri"/>
                <w:color w:val="000000"/>
                <w:sz w:val="18"/>
                <w:szCs w:val="18"/>
              </w:rPr>
              <w:t>7</w:t>
            </w:r>
            <w:r w:rsidR="00887EBC" w:rsidRPr="00DE4DAD">
              <w:rPr>
                <w:rFonts w:ascii="Helvetica Neue" w:hAnsi="Helvetica Neue" w:cs="Calibri"/>
                <w:color w:val="000000"/>
                <w:sz w:val="18"/>
                <w:szCs w:val="18"/>
              </w:rPr>
              <w:t>.0000</w:t>
            </w:r>
          </w:p>
        </w:tc>
        <w:tc>
          <w:tcPr>
            <w:tcW w:w="1147" w:type="dxa"/>
            <w:tcBorders>
              <w:top w:val="nil"/>
              <w:left w:val="nil"/>
              <w:bottom w:val="single" w:sz="4" w:space="0" w:color="auto"/>
              <w:right w:val="nil"/>
            </w:tcBorders>
            <w:shd w:val="clear" w:color="000000" w:fill="FFFFFF"/>
            <w:noWrap/>
            <w:vAlign w:val="center"/>
            <w:hideMark/>
          </w:tcPr>
          <w:p w14:paraId="2397E512" w14:textId="6FB95613" w:rsidR="00887EBC" w:rsidRPr="00DE4DAD" w:rsidRDefault="00887EBC" w:rsidP="00E15313">
            <w:pPr>
              <w:rPr>
                <w:rFonts w:ascii="Helvetica Neue" w:hAnsi="Helvetica Neue" w:cs="Calibri"/>
                <w:color w:val="000000"/>
                <w:sz w:val="18"/>
                <w:szCs w:val="18"/>
              </w:rPr>
            </w:pPr>
            <w:r w:rsidRPr="00DE4DAD">
              <w:rPr>
                <w:rFonts w:ascii="Helvetica Neue" w:hAnsi="Helvetica Neue" w:cs="Calibri"/>
                <w:color w:val="000000"/>
                <w:sz w:val="18"/>
                <w:szCs w:val="18"/>
              </w:rPr>
              <w:t>N/A</w:t>
            </w:r>
          </w:p>
        </w:tc>
        <w:tc>
          <w:tcPr>
            <w:tcW w:w="4895" w:type="dxa"/>
            <w:tcBorders>
              <w:top w:val="nil"/>
              <w:left w:val="nil"/>
              <w:bottom w:val="single" w:sz="4" w:space="0" w:color="auto"/>
              <w:right w:val="nil"/>
            </w:tcBorders>
            <w:shd w:val="clear" w:color="000000" w:fill="FFFFFF"/>
            <w:vAlign w:val="center"/>
            <w:hideMark/>
          </w:tcPr>
          <w:p w14:paraId="153BB943" w14:textId="6F53C908" w:rsidR="00887EBC" w:rsidRPr="00DE4DAD" w:rsidRDefault="00CC4E2C" w:rsidP="00E15313">
            <w:pPr>
              <w:rPr>
                <w:rFonts w:ascii="Helvetica Neue" w:hAnsi="Helvetica Neue" w:cs="Calibri"/>
                <w:color w:val="000000"/>
                <w:sz w:val="18"/>
                <w:szCs w:val="18"/>
              </w:rPr>
            </w:pPr>
            <w:r w:rsidRPr="00DE4DAD">
              <w:rPr>
                <w:rFonts w:ascii="Helvetica Neue" w:hAnsi="Helvetica Neue" w:cs="Calibri"/>
                <w:color w:val="000000"/>
                <w:sz w:val="18"/>
                <w:szCs w:val="18"/>
              </w:rPr>
              <w:t>Assumption</w:t>
            </w:r>
          </w:p>
        </w:tc>
      </w:tr>
      <w:tr w:rsidR="00887EBC" w:rsidRPr="001B6BD3" w14:paraId="7A09D698" w14:textId="77777777" w:rsidTr="001B1A34">
        <w:trPr>
          <w:trHeight w:val="259"/>
        </w:trPr>
        <w:tc>
          <w:tcPr>
            <w:tcW w:w="4142" w:type="dxa"/>
            <w:tcBorders>
              <w:top w:val="nil"/>
              <w:left w:val="nil"/>
              <w:bottom w:val="nil"/>
              <w:right w:val="nil"/>
            </w:tcBorders>
            <w:shd w:val="clear" w:color="auto" w:fill="auto"/>
            <w:noWrap/>
            <w:vAlign w:val="center"/>
            <w:hideMark/>
          </w:tcPr>
          <w:p w14:paraId="71BB558F" w14:textId="01F5E131" w:rsidR="00887EBC" w:rsidRPr="00DE4DAD" w:rsidRDefault="00306A9D" w:rsidP="00E15313">
            <w:pPr>
              <w:rPr>
                <w:rFonts w:ascii="Helvetica Neue" w:hAnsi="Helvetica Neue" w:cs="Calibri"/>
                <w:b/>
                <w:color w:val="000000"/>
                <w:sz w:val="18"/>
                <w:szCs w:val="18"/>
              </w:rPr>
            </w:pPr>
            <w:r w:rsidRPr="00DE4DAD">
              <w:rPr>
                <w:rFonts w:ascii="Helvetica Neue" w:hAnsi="Helvetica Neue" w:cs="Calibri"/>
                <w:b/>
                <w:color w:val="000000"/>
                <w:sz w:val="18"/>
                <w:szCs w:val="18"/>
              </w:rPr>
              <w:t>EPT Parameters</w:t>
            </w:r>
          </w:p>
        </w:tc>
        <w:tc>
          <w:tcPr>
            <w:tcW w:w="996" w:type="dxa"/>
            <w:tcBorders>
              <w:top w:val="nil"/>
              <w:left w:val="nil"/>
              <w:bottom w:val="nil"/>
              <w:right w:val="nil"/>
            </w:tcBorders>
            <w:shd w:val="clear" w:color="auto" w:fill="auto"/>
            <w:noWrap/>
            <w:vAlign w:val="center"/>
            <w:hideMark/>
          </w:tcPr>
          <w:p w14:paraId="3ACE4842" w14:textId="77777777" w:rsidR="00887EBC" w:rsidRPr="00DE4DAD" w:rsidRDefault="00887EBC" w:rsidP="00E15313">
            <w:pPr>
              <w:rPr>
                <w:rFonts w:ascii="Helvetica Neue" w:hAnsi="Helvetica Neue"/>
                <w:sz w:val="18"/>
                <w:szCs w:val="18"/>
              </w:rPr>
            </w:pPr>
          </w:p>
        </w:tc>
        <w:tc>
          <w:tcPr>
            <w:tcW w:w="1147" w:type="dxa"/>
            <w:tcBorders>
              <w:top w:val="nil"/>
              <w:left w:val="nil"/>
              <w:bottom w:val="nil"/>
              <w:right w:val="nil"/>
            </w:tcBorders>
            <w:shd w:val="clear" w:color="auto" w:fill="auto"/>
            <w:noWrap/>
            <w:vAlign w:val="center"/>
            <w:hideMark/>
          </w:tcPr>
          <w:p w14:paraId="16B6E8D1" w14:textId="77777777" w:rsidR="00887EBC" w:rsidRPr="00DE4DAD" w:rsidRDefault="00887EBC" w:rsidP="00E15313">
            <w:pPr>
              <w:rPr>
                <w:rFonts w:ascii="Helvetica Neue" w:hAnsi="Helvetica Neue"/>
                <w:sz w:val="18"/>
                <w:szCs w:val="18"/>
              </w:rPr>
            </w:pPr>
          </w:p>
        </w:tc>
        <w:tc>
          <w:tcPr>
            <w:tcW w:w="4895" w:type="dxa"/>
            <w:tcBorders>
              <w:top w:val="nil"/>
              <w:left w:val="nil"/>
              <w:bottom w:val="nil"/>
              <w:right w:val="nil"/>
            </w:tcBorders>
            <w:shd w:val="clear" w:color="auto" w:fill="auto"/>
            <w:vAlign w:val="center"/>
            <w:hideMark/>
          </w:tcPr>
          <w:p w14:paraId="020E4F6E" w14:textId="77777777" w:rsidR="00887EBC" w:rsidRPr="00DE4DAD" w:rsidRDefault="00887EBC" w:rsidP="00E15313">
            <w:pPr>
              <w:rPr>
                <w:rFonts w:ascii="Helvetica Neue" w:hAnsi="Helvetica Neue"/>
                <w:sz w:val="18"/>
                <w:szCs w:val="18"/>
              </w:rPr>
            </w:pPr>
          </w:p>
        </w:tc>
      </w:tr>
      <w:tr w:rsidR="00306A9D" w:rsidRPr="001B6BD3" w14:paraId="3BB495A2" w14:textId="77777777" w:rsidTr="001B1A34">
        <w:trPr>
          <w:trHeight w:val="259"/>
        </w:trPr>
        <w:tc>
          <w:tcPr>
            <w:tcW w:w="4142" w:type="dxa"/>
            <w:tcBorders>
              <w:top w:val="nil"/>
              <w:left w:val="nil"/>
              <w:bottom w:val="nil"/>
              <w:right w:val="nil"/>
            </w:tcBorders>
            <w:shd w:val="clear" w:color="auto" w:fill="auto"/>
            <w:noWrap/>
            <w:vAlign w:val="center"/>
          </w:tcPr>
          <w:p w14:paraId="329EAB08" w14:textId="46179C24" w:rsidR="00306A9D" w:rsidRPr="00DE4DAD" w:rsidRDefault="00306A9D" w:rsidP="00E15313">
            <w:pPr>
              <w:rPr>
                <w:rFonts w:ascii="Helvetica Neue" w:hAnsi="Helvetica Neue" w:cs="Calibri"/>
                <w:b/>
                <w:color w:val="000000"/>
                <w:sz w:val="18"/>
                <w:szCs w:val="18"/>
              </w:rPr>
            </w:pPr>
            <w:r w:rsidRPr="00DE4DAD">
              <w:rPr>
                <w:rFonts w:ascii="Helvetica Neue" w:hAnsi="Helvetica Neue"/>
                <w:i/>
                <w:iCs/>
                <w:color w:val="000000"/>
                <w:sz w:val="18"/>
                <w:szCs w:val="18"/>
              </w:rPr>
              <w:t>EPT Risk Interval</w:t>
            </w:r>
            <w:r w:rsidR="00D429F0" w:rsidRPr="00DE4DAD">
              <w:rPr>
                <w:rFonts w:ascii="Helvetica Neue" w:hAnsi="Helvetica Neue"/>
                <w:i/>
                <w:iCs/>
                <w:color w:val="000000"/>
                <w:sz w:val="18"/>
                <w:szCs w:val="18"/>
              </w:rPr>
              <w:t xml:space="preserve"> (days)</w:t>
            </w:r>
          </w:p>
        </w:tc>
        <w:tc>
          <w:tcPr>
            <w:tcW w:w="996" w:type="dxa"/>
            <w:tcBorders>
              <w:top w:val="nil"/>
              <w:left w:val="nil"/>
              <w:bottom w:val="nil"/>
              <w:right w:val="nil"/>
            </w:tcBorders>
            <w:shd w:val="clear" w:color="auto" w:fill="auto"/>
            <w:noWrap/>
            <w:vAlign w:val="center"/>
          </w:tcPr>
          <w:p w14:paraId="0C1416C5" w14:textId="68CCC74C" w:rsidR="00306A9D" w:rsidRPr="00DE4DAD" w:rsidRDefault="00D429F0" w:rsidP="00E15313">
            <w:pPr>
              <w:rPr>
                <w:rFonts w:ascii="Helvetica Neue" w:hAnsi="Helvetica Neue"/>
                <w:sz w:val="18"/>
                <w:szCs w:val="18"/>
              </w:rPr>
            </w:pPr>
            <w:r w:rsidRPr="00DE4DAD">
              <w:rPr>
                <w:rFonts w:ascii="Helvetica Neue" w:hAnsi="Helvetica Neue"/>
                <w:color w:val="000000"/>
                <w:sz w:val="18"/>
                <w:szCs w:val="18"/>
              </w:rPr>
              <w:t>60.00</w:t>
            </w:r>
          </w:p>
        </w:tc>
        <w:tc>
          <w:tcPr>
            <w:tcW w:w="1147" w:type="dxa"/>
            <w:tcBorders>
              <w:top w:val="nil"/>
              <w:left w:val="nil"/>
              <w:bottom w:val="nil"/>
              <w:right w:val="nil"/>
            </w:tcBorders>
            <w:shd w:val="clear" w:color="auto" w:fill="auto"/>
            <w:noWrap/>
            <w:vAlign w:val="center"/>
          </w:tcPr>
          <w:p w14:paraId="79BA3444" w14:textId="0E8A0E36" w:rsidR="00306A9D" w:rsidRPr="00DE4DAD" w:rsidRDefault="00D429F0" w:rsidP="00E15313">
            <w:pPr>
              <w:rPr>
                <w:rStyle w:val="CommentReference"/>
                <w:rFonts w:ascii="Helvetica Neue" w:hAnsi="Helvetica Neue"/>
                <w:sz w:val="18"/>
                <w:szCs w:val="18"/>
              </w:rPr>
            </w:pPr>
            <w:r w:rsidRPr="00DE4DAD">
              <w:rPr>
                <w:rStyle w:val="CommentReference"/>
                <w:rFonts w:ascii="Helvetica Neue" w:hAnsi="Helvetica Neue"/>
                <w:sz w:val="18"/>
                <w:szCs w:val="18"/>
              </w:rPr>
              <w:t>N</w:t>
            </w:r>
            <w:r w:rsidR="00944E3B" w:rsidRPr="00DE4DAD">
              <w:rPr>
                <w:rStyle w:val="CommentReference"/>
                <w:rFonts w:ascii="Helvetica Neue" w:hAnsi="Helvetica Neue"/>
                <w:sz w:val="18"/>
                <w:szCs w:val="18"/>
              </w:rPr>
              <w:t>/A</w:t>
            </w:r>
          </w:p>
        </w:tc>
        <w:tc>
          <w:tcPr>
            <w:tcW w:w="4895" w:type="dxa"/>
            <w:tcBorders>
              <w:top w:val="nil"/>
              <w:left w:val="nil"/>
              <w:bottom w:val="nil"/>
              <w:right w:val="nil"/>
            </w:tcBorders>
            <w:shd w:val="clear" w:color="auto" w:fill="auto"/>
            <w:vAlign w:val="center"/>
          </w:tcPr>
          <w:p w14:paraId="77741773" w14:textId="77754F50" w:rsidR="00306A9D" w:rsidRPr="00DE4DAD" w:rsidRDefault="00306A9D" w:rsidP="00E15313">
            <w:pPr>
              <w:rPr>
                <w:rFonts w:ascii="Helvetica Neue" w:hAnsi="Helvetica Neue"/>
                <w:sz w:val="18"/>
                <w:szCs w:val="18"/>
              </w:rPr>
            </w:pPr>
            <w:r w:rsidRPr="00DE4DAD">
              <w:rPr>
                <w:rFonts w:ascii="Helvetica Neue" w:hAnsi="Helvetica Neue"/>
                <w:color w:val="000000"/>
                <w:sz w:val="18"/>
                <w:szCs w:val="18"/>
              </w:rPr>
              <w:fldChar w:fldCharType="begin" w:fldLock="1"/>
            </w:r>
            <w:r w:rsidR="00D429F0" w:rsidRPr="00DE4DAD">
              <w:rPr>
                <w:rFonts w:ascii="Helvetica Neue" w:hAnsi="Helvetica Neue"/>
                <w:color w:val="000000"/>
                <w:sz w:val="18"/>
                <w:szCs w:val="18"/>
              </w:rPr>
              <w:instrText>ADDIN CSL_CITATION {"citationItems":[{"id":"ITEM-1","itemData":{"author":[{"dropping-particle":"","family":"Centers for Disease Control and Prevention","given":"","non-dropping-particle":"","parse-names":false,"suffix":""}],"container-title":"MMWR Recommended Reports","id":"ITEM-1","issue":"3","issued":{"date-parts":[["2015"]]},"title":"2015 STD Treatment Guidelines","type":"article-journal","volume":"64"},"uris":["http://www.mendeley.com/documents/?uuid=48bde350-eac4-33a5-bd61-f979ec788a3c"]},{"id":"ITEM-2","itemData":{"URL":"http://www.cdc.gov/std/ept/gc-guidance.htm","accessed":{"date-parts":[["2016","9","28"]]},"author":[{"dropping-particle":"","family":"Centers for Disease Control and Prevention","given":"","non-dropping-particle":"","parse-names":false,"suffix":""}],"id":"ITEM-2","issued":{"date-parts":[["0"]]},"title":"Guidance on the Use of Expedited Partner Therapy in the Treatment of Gonorrhea","type":"webpage"},"uris":["http://www.mendeley.com/documents/?uuid=f586f9aa-3e8f-384d-b6de-13f9d8c4b866"]}],"mendeley":{"formattedCitation":"&lt;sup&gt;104,135&lt;/sup&gt;","plainTextFormattedCitation":"104,135","previouslyFormattedCitation":"&lt;sup&gt;104,135&lt;/sup&gt;"},"properties":{"noteIndex":0},"schema":"https://github.com/citation-style-language/schema/raw/master/csl-citation.json"}</w:instrText>
            </w:r>
            <w:r w:rsidRPr="00DE4DAD">
              <w:rPr>
                <w:rFonts w:ascii="Helvetica Neue" w:hAnsi="Helvetica Neue"/>
                <w:color w:val="000000"/>
                <w:sz w:val="18"/>
                <w:szCs w:val="18"/>
              </w:rPr>
              <w:fldChar w:fldCharType="separate"/>
            </w:r>
            <w:r w:rsidR="00CC13FE" w:rsidRPr="00DE4DAD">
              <w:rPr>
                <w:rFonts w:ascii="Helvetica Neue" w:hAnsi="Helvetica Neue"/>
                <w:noProof/>
                <w:color w:val="000000"/>
                <w:sz w:val="18"/>
                <w:szCs w:val="18"/>
                <w:vertAlign w:val="superscript"/>
              </w:rPr>
              <w:t>104,135</w:t>
            </w:r>
            <w:r w:rsidRPr="00DE4DAD">
              <w:rPr>
                <w:rFonts w:ascii="Helvetica Neue" w:hAnsi="Helvetica Neue"/>
                <w:color w:val="000000"/>
                <w:sz w:val="18"/>
                <w:szCs w:val="18"/>
              </w:rPr>
              <w:fldChar w:fldCharType="end"/>
            </w:r>
          </w:p>
        </w:tc>
      </w:tr>
      <w:tr w:rsidR="00306A9D" w:rsidRPr="001B6BD3" w14:paraId="613D1C85" w14:textId="77777777" w:rsidTr="001B1A34">
        <w:trPr>
          <w:trHeight w:val="259"/>
        </w:trPr>
        <w:tc>
          <w:tcPr>
            <w:tcW w:w="4142" w:type="dxa"/>
            <w:tcBorders>
              <w:top w:val="nil"/>
              <w:left w:val="nil"/>
              <w:bottom w:val="nil"/>
              <w:right w:val="nil"/>
            </w:tcBorders>
            <w:shd w:val="clear" w:color="auto" w:fill="auto"/>
            <w:noWrap/>
            <w:vAlign w:val="center"/>
          </w:tcPr>
          <w:p w14:paraId="58518CC5" w14:textId="6523AEA8" w:rsidR="00306A9D" w:rsidRPr="00DE4DAD" w:rsidRDefault="00306A9D" w:rsidP="00E15313">
            <w:pPr>
              <w:rPr>
                <w:rFonts w:ascii="Helvetica Neue" w:hAnsi="Helvetica Neue" w:cs="Calibri"/>
                <w:b/>
                <w:color w:val="000000"/>
                <w:sz w:val="18"/>
                <w:szCs w:val="18"/>
              </w:rPr>
            </w:pPr>
            <w:r w:rsidRPr="00DE4DAD">
              <w:rPr>
                <w:rFonts w:ascii="Helvetica Neue" w:hAnsi="Helvetica Neue"/>
                <w:i/>
                <w:iCs/>
                <w:color w:val="000000"/>
                <w:sz w:val="18"/>
                <w:szCs w:val="18"/>
              </w:rPr>
              <w:t>EPT Coverage (Provision to Treated Index Partner)</w:t>
            </w:r>
          </w:p>
        </w:tc>
        <w:tc>
          <w:tcPr>
            <w:tcW w:w="996" w:type="dxa"/>
            <w:tcBorders>
              <w:top w:val="nil"/>
              <w:left w:val="nil"/>
              <w:bottom w:val="nil"/>
              <w:right w:val="nil"/>
            </w:tcBorders>
            <w:shd w:val="clear" w:color="auto" w:fill="auto"/>
            <w:noWrap/>
            <w:vAlign w:val="center"/>
          </w:tcPr>
          <w:p w14:paraId="4B923868" w14:textId="3952DB49" w:rsidR="00306A9D" w:rsidRPr="00DE4DAD" w:rsidRDefault="00944E3B" w:rsidP="00E15313">
            <w:pPr>
              <w:rPr>
                <w:rFonts w:ascii="Helvetica Neue" w:hAnsi="Helvetica Neue"/>
                <w:sz w:val="18"/>
                <w:szCs w:val="18"/>
              </w:rPr>
            </w:pPr>
            <w:r w:rsidRPr="00DE4DAD">
              <w:rPr>
                <w:rFonts w:ascii="Helvetica Neue" w:hAnsi="Helvetica Neue"/>
                <w:color w:val="000000"/>
                <w:sz w:val="18"/>
                <w:szCs w:val="18"/>
              </w:rPr>
              <w:t>0.20</w:t>
            </w:r>
          </w:p>
        </w:tc>
        <w:tc>
          <w:tcPr>
            <w:tcW w:w="1147" w:type="dxa"/>
            <w:tcBorders>
              <w:top w:val="nil"/>
              <w:left w:val="nil"/>
              <w:bottom w:val="nil"/>
              <w:right w:val="nil"/>
            </w:tcBorders>
            <w:shd w:val="clear" w:color="auto" w:fill="auto"/>
            <w:noWrap/>
            <w:vAlign w:val="center"/>
          </w:tcPr>
          <w:p w14:paraId="438ADBA0" w14:textId="7D5FFB89" w:rsidR="00306A9D" w:rsidRPr="00DE4DAD" w:rsidRDefault="00944E3B"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vAlign w:val="center"/>
          </w:tcPr>
          <w:p w14:paraId="41186DE7" w14:textId="555BAA5B" w:rsidR="00306A9D" w:rsidRPr="00DE4DAD" w:rsidRDefault="00291558" w:rsidP="00E15313">
            <w:pPr>
              <w:rPr>
                <w:rFonts w:ascii="Helvetica Neue" w:hAnsi="Helvetica Neue"/>
                <w:sz w:val="18"/>
                <w:szCs w:val="18"/>
              </w:rPr>
            </w:pPr>
            <w:r w:rsidRPr="00DE4DAD">
              <w:rPr>
                <w:rFonts w:ascii="Helvetica Neue" w:hAnsi="Helvetica Neue"/>
                <w:i/>
                <w:sz w:val="18"/>
                <w:szCs w:val="18"/>
              </w:rPr>
              <w:fldChar w:fldCharType="begin" w:fldLock="1"/>
            </w:r>
            <w:r w:rsidRPr="00DE4DAD">
              <w:rPr>
                <w:rFonts w:ascii="Helvetica Neue" w:hAnsi="Helvetica Neue"/>
                <w:i/>
                <w:sz w:val="18"/>
                <w:szCs w:val="18"/>
              </w:rPr>
              <w:instrText>ADDIN CSL_CITATION {"citationItems":[{"id":"ITEM-1","itemData":{"DOI":"10.1097/OLQ.0b013e318223fcbc","ISSN":"1537-4521","PMID":"21934569","abstract":"BACKGROUND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diseases","id":"ITEM-1","issue":"10","issued":{"date-parts":[["2011","10"]]},"page":"941-6","title":"A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men.","type":"article-journal","volume":"38"},"uris":["http://www.mendeley.com/documents/?uuid=dec4e4af-2bf3-3705-823c-ee50a1daee59"]},{"id":"ITEM-2","itemData":{"abstract":"BACKGROUND Expedited partner therapy (EPT) has been shown to prevent reinfection in persons with gonorrhea and to plausibly reduce incidence. The Centers for Disease Control and Prevention recommends EPT as an option for treating sex partners of heterosexual patients. Few studies that examine how the reported use of this valuable intervention differs by patient and provider characteristics and by geography across multiple jurisdictions in the United States are currently available. METHODS Case and patient interview data were obtained for a random sample of reported cases from 7 geographically disparate US jurisdictions participating in the Sexually Transmitted Disease (STD) Surveillance Network. These data were weighted to be representative of all reported gonorrhea cases in the 7 study sites. Patient receipt of EPT was estimated, and multivariate models were constructed separately to examine factors associated with receipt of EPT for heterosexuals and for men who have sex with men. RESULTS Overall, 5.4% of patients diagnosed and reported as having gonorrhea reported receiving EPT to treat their sex partners. Heterosexual patients were more likely to have received EPT than men who have sex with men at 6.6% and 2.6% of patients, respectively. Receipt of EPT did not vary significantly by race, Hispanic ethnicity, or age for either group, although significant variation was observed in different provider settings, with patients from family planning/reproductive health and STD clinic settings more likely to report receiving EPT. Jurisdiction variations were also observed with heterosexual patients in Washington State most likely (35.5%), and those in New York City, Connecticut, and Philadelphia least likely to report receiving EPT (&lt;2%). CONCLUSIONS With the exception of one jurisdiction in the STD Surveillance Network actively promoting EPT use, patient-reported receipt of the intervention remains suboptimal across the network. Additional efforts to promote EPT, especially for patients diagnosed in private provider and hospital settings, are needed to realize the full potential of this valuable gonorrhea control intervention.","author":[{"dropping-particle":"","family":"Stenger","given":"Mark R","non-dropping-particle":"","parse-names":false,"suffix":""},{"dropping-particle":"","family":"Kerani","given":"Roxanne P","non-dropping-particle":"","parse-names":false,"suffix":""},{"dropping-particle":"","family":"Bauer","given":"Heidi M","non-dropping-particle":"","parse-names":false,"suffix":""},{"dropping-particle":"","family":"Burghardt","given":"Nicole","non-dropping-particle":"","parse-names":false,"suffix":""},{"dropping-particle":"","family":"Anschuetz","given":"Greta L","non-dropping-particle":"","parse-names":false,"suffix":""},{"dropping-particle":"","family":"Klingler","given":"Ellen","non-dropping-particle":"","parse-names":false,"suffix":""},{"dropping-particle":"","family":"Schumacher","given":"Christina M","non-dropping-particle":"","parse-names":false,"suffix":""},{"dropping-particle":"","family":"Simon","given":"Julie","non-dropping-particle":"","parse-names":false,"suffix":""},{"dropping-particle":"","family":"Golden","given":"Matthew","non-dropping-particle":"","parse-names":false,"suffix":""}],"container-title":"Sexually transmitted diseases","id":"ITEM-2","issue":"9","issued":{"date-parts":[["2015","9"]]},"page":"470-4","title":"Patient-Reported Expedited Partner Therapy for Gonorrhea in the United States: Findings of the STD Surveillance Network 2010-2012.","type":"article-journal","volume":"42"},"uris":["http://www.mendeley.com/documents/?uuid=0fafc8bc-a287-3d2c-b74d-0d378427fc55"]},{"id":"ITEM-3","itemData":{"DOI":"10.1371/journal.pmed.1001777","ISSN":"1549-1676","PMID":"25590331","abstract":"BACKGROUND Expedited partner therapy (EPT), the practice of treating the sex partners of persons with sexually transmitted infections without their medical evaluation, increases partner treatment and decreases gonorrhea and chlamydia reinfection rates. We conducted a stepped-wedge, community-level randomized trial to determine whether a public health intervention promoting EPT could increase its use and decrease chlamydia test positivity and gonorrhea incidence in women. METHODS AND FINDINGS The trial randomly assigned local health jurisdictions (LHJs) in Washington State, US, into four study waves. Waves instituted the intervention in randomly assigned order at intervals of 6-8 mo. Of the state's 25 LHJs, 24 were eligible and 23 participated. Heterosexual individuals with gonorrhea or chlamydial infection were eligible for the intervention. The study made free patient-delivered partner therapy (PDPT) available to clinicians, and provided public health partner services based on clinician referral. The main study outcomes were chlamydia test positivity among women ages 14-25 y in 219 sentinel clinics, and incidence of reported gonorrhea in women, both measured at the community level. Receipt of PDPT from clinicians was evaluated among randomly selected patients. 23 and 22 LHJs provided data on gonorrhea and chlamydia outcomes, respectively. The intervention increased the percentage of persons receiving PDPT from clinicians (from 18% to 34%, p &lt; 0.001) and the percentage receiving partner services (from 25% to 45%, p &lt; 0.001). Chlamydia test positivity and gonorrhea incidence in women decreased over the study period, from 8.2% to 6.5% and from 59.6 to 26.4 per 100,000, respectively. After adjusting for temporal trends, the intervention was associated with an approximately 10% reduction in both chlamydia positivity and gonorrhea incidence, though the confidence bounds on these outcomes both crossed one (chlamydia positivity prevalence ratio = 0.89, 95% CI 0.77-1.04, p = 0.15; gonorrhea incidence rate ratio = 0.91, 95% CI .71-1.16, p = 0.45). Study findings were potentially limited by inadequate statistical power, by the institution of some aspects of the study intervention outside of the research randomization sequence, and by the fact that LHJs did not constitute truly isolated sexual networks. CONCLUSIONS A public health intervention promoting the use of free PDPT substantially increased its use and may have resulted in decreased chlamydial and gonococca…","author":[{"dropping-particle":"","family":"Golden","given":"Matthew R","non-dropping-particle":"","parse-names":false,"suffix":""},{"dropping-particle":"","family":"Kerani","given":"Roxanne P","non-dropping-particle":"","parse-names":false,"suffix":""},{"dropping-particle":"","family":"Stenger","given":"Mark","non-dropping-particle":"","parse-names":false,"suffix":""},{"dropping-particle":"","family":"Hughes","given":"James P","non-dropping-particle":"","parse-names":false,"suffix":""},{"dropping-particle":"","family":"Aubin","given":"Mark","non-dropping-particle":"","parse-names":false,"suffix":""},{"dropping-particle":"","family":"Malinski","given":"Cheryl","non-dropping-particle":"","parse-names":false,"suffix":""},{"dropping-particle":"","family":"Holmes","given":"King K","non-dropping-particle":"","parse-names":false,"suffix":""}],"container-title":"PLoS medicine","id":"ITEM-3","issue":"1","issued":{"date-parts":[["2015","1"]]},"page":"e1001777","publisher":"Public Library of Science","title":"Uptake and population-level impact of expedited partner therapy (EPT) on Chlamydia trachomatis and Neisseria gonorrhoeae: the Washington State community-level randomized trial of EPT.","type":"article-journal","volume":"12"},"uris":["http://www.mendeley.com/documents/?uuid=b91bcd4b-f724-3e38-874b-18d67af8b11b"]},{"id":"ITEM-4","itemData":{"ISSN":"0148-5717","PMID":"15668616","abstract":"OBJECTIVE The objective of this study was to estimate how many U.S. physicians practice patient-delivered partner therapy (PDPT), which is the practice of giving patients diagnosed with curable sexually transmitted infections medication to give to their sex partners. STUDY The authors conducted a national survey of physicians in specialties that diagnose the majority of sexually transmitted diseases in the United States. RESULTS A total of 3011 physicians diagnosed at least 1 case of either gonorrhea or chlamydial infection in the preceding year. For gonorrhea and chlamydial infection, 50% to 56% reported ever using PDPT; 11% to 14% reported usually or always doing so. Obstetricians and gynecologists and family practice physicians more often used PDPT than internists, pediatricians, and emergency department physicians. Clinicians who collected sex partner information, as well as those who saw more female and white patients, used PDPT most often. CONCLUSIONS PDPT is widely but inconsistently used throughout the United States and is typically provided to a minority of persons.","author":[{"dropping-particle":"","family":"Hogben","given":"Matthew","non-dropping-particle":"","parse-names":false,"suffix":""},{"dropping-particle":"","family":"McCree","given":"Donna H","non-dropping-particle":"","parse-names":false,"suffix":""},{"dropping-particle":"","family":"Golden","given":"Matthew R","non-dropping-particle":"","parse-names":false,"suffix":""}],"container-title":"Sexually transmitted diseases","id":"ITEM-4","issue":"2","issued":{"date-parts":[["2005","2"]]},"page":"101-5","title":"Patient-delivered partner therapy for sexually transmitted diseases as practiced by U.S. physicians.","type":"article-journal","volume":"32"},"uris":["http://www.mendeley.com/documents/?uuid=06ef7899-e04e-39a3-bff5-4dc97bb1d78f"]}],"mendeley":{"formattedCitation":"&lt;sup&gt;109,110,114,115&lt;/sup&gt;","plainTextFormattedCitation":"109,110,114,115","previouslyFormattedCitation":"&lt;sup&gt;109,110,114,115&lt;/sup&gt;"},"properties":{"noteIndex":0},"schema":"https://github.com/citation-style-language/schema/raw/master/csl-citation.json"}</w:instrText>
            </w:r>
            <w:r w:rsidRPr="00DE4DAD">
              <w:rPr>
                <w:rFonts w:ascii="Helvetica Neue" w:hAnsi="Helvetica Neue"/>
                <w:i/>
                <w:sz w:val="18"/>
                <w:szCs w:val="18"/>
              </w:rPr>
              <w:fldChar w:fldCharType="separate"/>
            </w:r>
            <w:r w:rsidRPr="00DE4DAD">
              <w:rPr>
                <w:rFonts w:ascii="Helvetica Neue" w:hAnsi="Helvetica Neue"/>
                <w:noProof/>
                <w:sz w:val="18"/>
                <w:szCs w:val="18"/>
                <w:vertAlign w:val="superscript"/>
              </w:rPr>
              <w:t>109,110,114,115</w:t>
            </w:r>
            <w:r w:rsidRPr="00DE4DAD">
              <w:rPr>
                <w:rFonts w:ascii="Helvetica Neue" w:hAnsi="Helvetica Neue"/>
                <w:i/>
                <w:sz w:val="18"/>
                <w:szCs w:val="18"/>
              </w:rPr>
              <w:fldChar w:fldCharType="end"/>
            </w:r>
          </w:p>
        </w:tc>
      </w:tr>
      <w:tr w:rsidR="00306A9D" w:rsidRPr="001B6BD3" w14:paraId="497F3507" w14:textId="77777777" w:rsidTr="001B1A34">
        <w:trPr>
          <w:trHeight w:val="259"/>
        </w:trPr>
        <w:tc>
          <w:tcPr>
            <w:tcW w:w="4142" w:type="dxa"/>
            <w:tcBorders>
              <w:top w:val="nil"/>
              <w:left w:val="nil"/>
              <w:bottom w:val="nil"/>
              <w:right w:val="nil"/>
            </w:tcBorders>
            <w:shd w:val="clear" w:color="auto" w:fill="auto"/>
            <w:noWrap/>
            <w:vAlign w:val="center"/>
          </w:tcPr>
          <w:p w14:paraId="007BFFD9" w14:textId="5A1E9425" w:rsidR="00306A9D" w:rsidRPr="00DE4DAD" w:rsidRDefault="00306A9D" w:rsidP="00E15313">
            <w:pPr>
              <w:rPr>
                <w:rFonts w:ascii="Helvetica Neue" w:hAnsi="Helvetica Neue" w:cs="Calibri"/>
                <w:b/>
                <w:color w:val="000000"/>
                <w:sz w:val="18"/>
                <w:szCs w:val="18"/>
              </w:rPr>
            </w:pPr>
            <w:r w:rsidRPr="00DE4DAD">
              <w:rPr>
                <w:rFonts w:ascii="Helvetica Neue" w:hAnsi="Helvetica Neue"/>
                <w:i/>
                <w:iCs/>
                <w:color w:val="000000"/>
                <w:sz w:val="18"/>
                <w:szCs w:val="18"/>
              </w:rPr>
              <w:t>Likelihood of EPT Provision to Non-Index Partner</w:t>
            </w:r>
          </w:p>
        </w:tc>
        <w:tc>
          <w:tcPr>
            <w:tcW w:w="996" w:type="dxa"/>
            <w:tcBorders>
              <w:top w:val="nil"/>
              <w:left w:val="nil"/>
              <w:bottom w:val="nil"/>
              <w:right w:val="nil"/>
            </w:tcBorders>
            <w:shd w:val="clear" w:color="auto" w:fill="auto"/>
            <w:noWrap/>
            <w:vAlign w:val="center"/>
          </w:tcPr>
          <w:p w14:paraId="3012E008" w14:textId="77777777" w:rsidR="00306A9D" w:rsidRPr="00DE4DAD" w:rsidRDefault="00306A9D" w:rsidP="00E15313">
            <w:pPr>
              <w:rPr>
                <w:rFonts w:ascii="Helvetica Neue" w:hAnsi="Helvetica Neue"/>
                <w:sz w:val="18"/>
                <w:szCs w:val="18"/>
              </w:rPr>
            </w:pPr>
          </w:p>
        </w:tc>
        <w:tc>
          <w:tcPr>
            <w:tcW w:w="1147" w:type="dxa"/>
            <w:tcBorders>
              <w:top w:val="nil"/>
              <w:left w:val="nil"/>
              <w:bottom w:val="nil"/>
              <w:right w:val="nil"/>
            </w:tcBorders>
            <w:shd w:val="clear" w:color="auto" w:fill="auto"/>
            <w:noWrap/>
            <w:vAlign w:val="center"/>
          </w:tcPr>
          <w:p w14:paraId="5F294F39" w14:textId="77777777" w:rsidR="00306A9D" w:rsidRPr="00DE4DAD" w:rsidRDefault="00306A9D" w:rsidP="00E15313">
            <w:pPr>
              <w:rPr>
                <w:rStyle w:val="CommentReference"/>
                <w:rFonts w:ascii="Helvetica Neue" w:hAnsi="Helvetica Neue"/>
                <w:sz w:val="18"/>
                <w:szCs w:val="18"/>
              </w:rPr>
            </w:pPr>
          </w:p>
        </w:tc>
        <w:tc>
          <w:tcPr>
            <w:tcW w:w="4895" w:type="dxa"/>
            <w:tcBorders>
              <w:top w:val="nil"/>
              <w:left w:val="nil"/>
              <w:bottom w:val="nil"/>
              <w:right w:val="nil"/>
            </w:tcBorders>
            <w:shd w:val="clear" w:color="auto" w:fill="auto"/>
            <w:vAlign w:val="center"/>
          </w:tcPr>
          <w:p w14:paraId="4ED12B84" w14:textId="0544807C" w:rsidR="00306A9D" w:rsidRPr="00DE4DAD" w:rsidRDefault="00952527" w:rsidP="00E15313">
            <w:pPr>
              <w:rPr>
                <w:rFonts w:ascii="Helvetica Neue" w:hAnsi="Helvetica Neue"/>
                <w:sz w:val="18"/>
                <w:szCs w:val="18"/>
              </w:rPr>
            </w:pPr>
            <w:r w:rsidRPr="00DE4DAD">
              <w:rPr>
                <w:rFonts w:ascii="Helvetica Neue" w:hAnsi="Helvetica Neue"/>
                <w:sz w:val="18"/>
                <w:szCs w:val="18"/>
              </w:rPr>
              <w:fldChar w:fldCharType="begin" w:fldLock="1"/>
            </w:r>
            <w:r w:rsidR="00E15313" w:rsidRPr="00DE4DAD">
              <w:rPr>
                <w:rFonts w:ascii="Helvetica Neue" w:hAnsi="Helvetica Neue"/>
                <w:sz w:val="18"/>
                <w:szCs w:val="18"/>
              </w:rPr>
              <w:instrText>ADDIN CSL_CITATION {"citationItems":[{"id":"ITEM-1","itemData":{"DOI":"10.1186/s12916-017-0858-9","ISSN":"1741-7015","author":[{"dropping-particle":"","family":"Clark","given":"Jesse L.","non-dropping-particle":"","parse-names":false,"suffix":""},{"dropping-particle":"","family":"Segura","given":"Eddy R.","non-dropping-particle":"","parse-names":false,"suffix":""},{"dropping-particle":"","family":"Oldenburg","given":"Catherine E.","non-dropping-particle":"","parse-names":false,"suffix":""},{"dropping-particle":"","family":"Rios","given":"Jessica","non-dropping-particle":"","parse-names":false,"suffix":""},{"dropping-particle":"","family":"Montano","given":"Silvia M.","non-dropping-particle":"","parse-names":false,"suffix":""},{"dropping-particle":"","family":"Perez-Brumer","given":"Amaya","non-dropping-particle":"","parse-names":false,"suffix":""},{"dropping-particle":"","family":"Villaran","given":"Manuel","non-dropping-particle":"","parse-names":false,"suffix":""},{"dropping-particle":"","family":"Sanchez","given":"Jorge","non-dropping-particle":"","parse-names":false,"suffix":""},{"dropping-particle":"","family":"Coates","given":"Thomas J.","non-dropping-particle":"","parse-names":false,"suffix":""},{"dropping-particle":"","family":"Lama","given":"Javier R.","non-dropping-particle":"","parse-names":false,"suffix":""}],"container-title":"BMC Medicine","id":"ITEM-1","issue":"1","issued":{"date-parts":[["2017","12","4"]]},"page":"94","title":"Expedited Partner Therapy (EPT) increases the frequency of partner notification among MSM in Lima, Peru: a pilot randomized controlled trial","type":"article-journal","volume":"15"},"uris":["http://www.mendeley.com/documents/?uuid=823d2418-555c-334d-9437-b38b2a01707d"]},{"id":"ITEM-2","itemData":{"DOI":"10.1097/OLQ.0b013e3181d012e0","ISSN":"0148-5717","author":[{"dropping-particle":"","family":"Bilardi","given":"Jade E.","non-dropping-particle":"","parse-names":false,"suffix":""},{"dropping-particle":"","family":"Fairley","given":"Christopher K.","non-dropping-particle":"","parse-names":false,"suffix":""},{"dropping-particle":"","family":"Hopkins","given":"Carol A.","non-dropping-particle":"","parse-names":false,"suffix":""},{"dropping-particle":"","family":"Hocking","given":"Jane S.","non-dropping-particle":"","parse-names":false,"suffix":""},{"dropping-particle":"","family":"Temple-Smith","given":"Meredith J.","non-dropping-particle":"","parse-names":false,"suffix":""},{"dropping-particle":"","family":"Bowden","given":"Francis J.","non-dropping-particle":"","parse-names":false,"suffix":""},{"dropping-particle":"","family":"Russell","given":"Darren B.","non-dropping-particle":"","parse-names":false,"suffix":""},{"dropping-particle":"","family":"Pitts","given":"Marian","non-dropping-particle":"","parse-names":false,"suffix":""},{"dropping-particle":"","family":"Tomnay","given":"Jane E.","non-dropping-particle":"","parse-names":false,"suffix":""},{"dropping-particle":"","family":"Parker","given":"Rhian M.","non-dropping-particle":"","parse-names":false,"suffix":""},{"dropping-particle":"","family":"Pavlin","given":"Natasha L.","non-dropping-particle":"","parse-names":false,"suffix":""},{"dropping-particle":"","family":"Chen","given":"Marcus Y.","non-dropping-particle":"","parse-names":false,"suffix":""}],"container-title":"Sexually Transmitted Diseases","id":"ITEM-2","issue":"4","issued":{"date-parts":[["2010","2"]]},"page":"253-258","title":"Experiences and Outcomes of Partner Notification Among Men and Women Recently Diagnosed With Chlamydia and Their Views on Innovative Resources Aimed at Improving Notification Rates","type":"article-journal","volume":"37"},"uris":["http://www.mendeley.com/documents/?uuid=525d117c-b9fb-3e49-891b-ffe2c1654cd3"]},{"id":"ITEM-3","itemData":{"ISSN":"0148-5717","PMID":"12514443","abstract":"BACKGROUND Repeated infection with C trachomatis increases the risk for serious sequelae: pelvic inflammatory disease, ectopic pregnancy, infertility, and chronic pelvic pain. A substantial proportion of women treated for C trachomatis infection are reinfected by an untreated male sex partner in the first several months after treatment. Effective strategies to ensure partner treatment are needed. GOAL The goal of the study was to determine whether repeated infections with C trachomatis can be reduced by giving women doses of azithromycin to deliver to male sex partners. STUDY DESIGN A multicenter randomized controlled trial was conducted among 1,787 women aged 14 to 34 years with uncomplicated C trachomatis genital infection diagnosed at family planning, adolescent, sexually transmitted disease, and primary care clinics or emergency or other hospital departments in five US cities. Women treated for infection were randomized to one of two groups: patient-delivered partner treatment (in which they were given a dose of azithromycin to deliver to each sex partner) or self-referral (in which they were asked to refer their sex partners for treatment). The main outcome measure was C trachomatis DNA detected by urine ligase chain reaction (LCR) or polymerase chain reaction (PCR) by 4 months after treatment. RESULTS The characteristics of study participants enrolled in each arm were similar except for a small difference in the age distribution. Risk of reinfection was 20% lower among women in the patient-delivered partner treatment arm (87/728; 12%) than among those in the self-referral arm (106/726; 15%); however, this difference was not statistically significant (odds ratio, 0.80; 95% confidence interval, 0.62-1.05; = 0.102). Women in the patient-delivered partner treatment arm reported high compliance with the intervention (82%). CONCLUSION Patient-delivered partner treatment for prevention of repeated infection among women is comparable to self-referral and may be an appropriate option for some patients.","author":[{"dropping-particle":"","family":"Schillinger","given":"Julia A","non-dropping-particle":"","parse-names":false,"suffix":""},{"dropping-particle":"","family":"Kissinger","given":"Patricia","non-dropping-particle":"","parse-names":false,"suffix":""},{"dropping-particle":"","family":"Calvet","given":"Helene","non-dropping-particle":"","parse-names":false,"suffix":""},{"dropping-particle":"","family":"Whittington","given":"William L H","non-dropping-particle":"","parse-names":false,"suffix":""},{"dropping-particle":"","family":"Ransom","given":"Ray L","non-dropping-particle":"","parse-names":false,"suffix":""},{"dropping-particle":"","family":"Sternberg","given":"Maya R","non-dropping-particle":"","parse-names":false,"suffix":""},{"dropping-particle":"","family":"Berman","given":"Stuart M","non-dropping-particle":"","parse-names":false,"suffix":""},{"dropping-particle":"","family":"Kent","given":"Charlotte K","non-dropping-particle":"","parse-names":false,"suffix":""},{"dropping-particle":"","family":"Martin","given":"David H","non-dropping-particle":"","parse-names":false,"suffix":""},{"dropping-particle":"","family":"Oh","given":"M Kim","non-dropping-particle":"","parse-names":false,"suffix":""},{"dropping-particle":"","family":"Handsfield","given":"H Hunter","non-dropping-particle":"","parse-names":false,"suffix":""},{"dropping-particle":"","family":"Bolan","given":"Gail","non-dropping-particle":"","parse-names":false,"suffix":""},{"dropping-particle":"","family":"Markowitz","given":"Lauri E","non-dropping-particle":"","parse-names":false,"suffix":""},{"dropping-particle":"","family":"Fortenberry","given":"J Dennis","non-dropping-particle":"","parse-names":false,"suffix":""}],"container-title":"Sexually transmitted diseases","id":"ITEM-3","issue":"1","issued":{"date-parts":[["2003","1"]]},"page":"49-56","title":"Patient-delivered partner treatment with azithromycin to prevent repeated Chlamydia trachomatis infection among women: a randomized, controlled trial.","type":"article-journal","volume":"30"},"uris":["http://www.mendeley.com/documents/?uuid=f58252bd-f218-3352-a25b-3845142f368b"]},{"id":"ITEM-4","itemData":{"DOI":"10.1056/NEJMoa041681","ISSN":"0028-4793","abstract":"Background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Medicine","id":"ITEM-4","issue":"7","issued":{"date-parts":[["2005","2","17"]]},"page":"676-685","publisher":"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Infection","type":"article-journal","volume":"352"},"uris":["http://www.mendeley.com/documents/?uuid=b528edda-cfdf-3e5b-9efa-b5e00b152856"]},{"id":"ITEM-5","itemData":{"DOI":"10.1097/OLQ.0b013e318223fcbc","ISSN":"1537-4521","PMID":"21934569","abstract":"BACKGROUND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diseases","id":"ITEM-5","issue":"10","issued":{"date-parts":[["2011","10"]]},"page":"941-6","title":"A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men.","type":"article-journal","volume":"38"},"uris":["http://www.mendeley.com/documents/?uuid=dec4e4af-2bf3-3705-823c-ee50a1daee59"]},{"id":"ITEM-6","itemData":{"DOI":"10.1371/journal.pmed.1001777","ISSN":"1549-1676","PMID":"25590331","abstract":"BACKGROUND Expedited partner therapy (EPT), the practice of treating the sex partners of persons with sexually transmitted infections without their medical evaluation, increases partner treatment and decreases gonorrhea and chlamydia reinfection rates. We conducted a stepped-wedge, community-level randomized trial to determine whether a public health intervention promoting EPT could increase its use and decrease chlamydia test positivity and gonorrhea incidence in women. METHODS AND FINDINGS The trial randomly assigned local health jurisdictions (LHJs) in Washington State, US, into four study waves. Waves instituted the intervention in randomly assigned order at intervals of 6-8 mo. Of the state's 25 LHJs, 24 were eligible and 23 participated. Heterosexual individuals with gonorrhea or chlamydial infection were eligible for the intervention. The study made free patient-delivered partner therapy (PDPT) available to clinicians, and provided public health partner services based on clinician referral. The main study outcomes were chlamydia test positivity among women ages 14-25 y in 219 sentinel clinics, and incidence of reported gonorrhea in women, both measured at the community level. Receipt of PDPT from clinicians was evaluated among randomly selected patients. 23 and 22 LHJs provided data on gonorrhea and chlamydia outcomes, respectively. The intervention increased the percentage of persons receiving PDPT from clinicians (from 18% to 34%, p &lt; 0.001) and the percentage receiving partner services (from 25% to 45%, p &lt; 0.001). Chlamydia test positivity and gonorrhea incidence in women decreased over the study period, from 8.2% to 6.5% and from 59.6 to 26.4 per 100,000, respectively. After adjusting for temporal trends, the intervention was associated with an approximately 10% reduction in both chlamydia positivity and gonorrhea incidence, though the confidence bounds on these outcomes both crossed one (chlamydia positivity prevalence ratio = 0.89, 95% CI 0.77-1.04, p = 0.15; gonorrhea incidence rate ratio = 0.91, 95% CI .71-1.16, p = 0.45). Study findings were potentially limited by inadequate statistical power, by the institution of some aspects of the study intervention outside of the research randomization sequence, and by the fact that LHJs did not constitute truly isolated sexual networks. CONCLUSIONS A public health intervention promoting the use of free PDPT substantially increased its use and may have resulted in decreased chlamydial and gonococca…","author":[{"dropping-particle":"","family":"Golden","given":"Matthew R","non-dropping-particle":"","parse-names":false,"suffix":""},{"dropping-particle":"","family":"Kerani","given":"Roxanne P","non-dropping-particle":"","parse-names":false,"suffix":""},{"dropping-particle":"","family":"Stenger","given":"Mark","non-dropping-particle":"","parse-names":false,"suffix":""},{"dropping-particle":"","family":"Hughes","given":"James P","non-dropping-particle":"","parse-names":false,"suffix":""},{"dropping-particle":"","family":"Aubin","given":"Mark","non-dropping-particle":"","parse-names":false,"suffix":""},{"dropping-particle":"","family":"Malinski","given":"Cheryl","non-dropping-particle":"","parse-names":false,"suffix":""},{"dropping-particle":"","family":"Holmes","given":"King K","non-dropping-particle":"","parse-names":false,"suffix":""}],"container-title":"PLoS medicine","id":"ITEM-6","issue":"1","issued":{"date-parts":[["2015","1"]]},"page":"e1001777","publisher":"Public Library of Science","title":"Uptake and population-level impact of expedited partner therapy (EPT) on Chlamydia trachomatis and Neisseria gonorrhoeae: the Washington State community-level randomized trial of EPT.","type":"article-journal","volume":"12"},"uris":["http://www.mendeley.com/documents/?uuid=b91bcd4b-f724-3e38-874b-18d67af8b11b"]},{"id":"ITEM-7","itemData":{"DOI":"10.1093/humrep/den475","PMID":"19136481","abstract":"BACKGROUND The aim of this study was to determine whether postal testing kits (PTKs) or patient-delivered partner therapy (PDPT) for partners of women with Chlamydia trachomatis reduce re-infection rates in women, compared with partner notification by patient referral. METHODS Three hundred and thirty women testing positive for chlamydia, at clinics for genitourinary medicine, family planning and termination of pregnancy in Edinburgh, were randomized to one of three partner interventions: patient referral, PTK (partners post urine for testing) or PDPT (1 g azithromycin for partners). Women submitted urine for chlamydia testing every 3 months. The primary outcome was re-infection assessed as time to first positive result by the Cox proportional hazard regression. The proportion of partners tested or treated with each intervention was determined. RESULTS Out of 330 women, 215 (65%) were retested over 12 months. There were 32 of 215 women (15%) who retested positive (7, 15 and 10 women from the patient referral, PTK and PDPT groups, respectively). There was no significant difference in re-infection between PDPT versus patient referral (HR 1.32, 95% CI 0.50-3.56), PTK versus patient referral (HR 2.35, 95% CI 0.94-5.88) or PDPT versus PTK (HR 0.55, 95% CI 0.24-1.24). There was no significant difference in the proportion of partners confirmed tested/treated between the patient referral (34%) and PTK (41%, P = 0.32) or PDPT (42%, P = 0.28) groups. CONCLUSIONS PTK and PDPT do not reduce re-infection rates in women with chlamydia compared with patient referral. However, PDPT may offer other advantages such as simplicity and cost compared with patient referral.","author":[{"dropping-particle":"","family":"Cameron","given":"S T","non-dropping-particle":"","parse-names":false,"suffix":""},{"dropping-particle":"","family":"Glasier","given":"A","non-dropping-particle":"","parse-names":false,"suffix":""},{"dropping-particle":"","family":"Scott","given":"G","non-dropping-particle":"","parse-names":false,"suffix":""},{"dropping-particle":"","family":"Young","given":"H","non-dropping-particle":"","parse-names":false,"suffix":""},{"dropping-particle":"","family":"Melvin","given":"L","non-dropping-particle":"","parse-names":false,"suffix":""},{"dropping-particle":"","family":"Johnstone","given":"A","non-dropping-particle":"","parse-names":false,"suffix":""},{"dropping-particle":"","family":"Elton","given":"R","non-dropping-particle":"","parse-names":false,"suffix":""}],"container-title":"Human reproduction","id":"ITEM-7","issue":"4","issued":{"date-parts":[["2009","4"]]},"page":"888-95","title":"Novel interventions to reduce re-infection in women with chlamydia: a randomized controlled trial.","type":"article-journal","volume":"24"},"uris":["http://www.mendeley.com/documents/?uuid=e116f172-857a-3bb3-ae82-83b71869322e"]},{"id":"ITEM-8","itemData":{"DOI":"10.1086/432476","PMID":"16080084","abstract":"BACKGROUND Traditional partner referral for sexually transmitted diseases (STDs) is ineffective at assuring that partners are treated. Alternative methods are needed. We sought to determine whether patient-delivered partner treatment (PDPT) is better than 2 different methods of partner referral in providing antibiotic treatment to sex partners of men with urethritis and in reducing recurrence of Chlamydia trachomatis and Neisseria gonorrhoeae. METHODS Men who received a diagnosis of urethritis at a public STD clinic in New Orleans, Louisiana, during the period of December 2001 through March 2004 were randomly assigned according to the month of treatment for either standard partner referral (PR), booklet-enhanced partner referral (BEPR), or PDPT. At baseline and after 1 month, men were asked to provide information about each partner and were tested for C. trachomatis and N. gonorrhoeae. RESULTS Most enrolled index men (n = 977) were &gt; 24 years of age (51.6%) and African American (95%) and had &gt; or = 2 partners (68.3%). They reported information on 1991 partners, and 78.8% were reinterviewed 4-8 weeks later. Men in the PDPT arm were more likely than men in the BEPR and PR arms to report having seen their partners, having talked to their partners about the infection, having given the intervention to their partners, and having been told by their partners that the antibiotic treatment had been taken (55.8%, 45.6%, and 35.0%, respectively; P &lt; .001). Of men who were reinterviewed, 37.5% agreed to follow-up testing for N. gonorrhoeae and C. trachomatis infection. Those tested were similar to those not tested with regard to the study variables measured. Among those tested, men in the PDPT and BEPR arms were less likely than those in the PR arm to test positive for C. trachomatis and/or N. gonorrhoeae (23.0%, 14.3%, and 42.7%, respectively; P &lt; .001). CONCLUSION Among heterosexual men with urethritis, PDPT was better than standard partner referral for treatment of partners and prevention of recurrence of C. trachomatis or N. gonorrhoeae infection.","author":[{"dropping-particle":"","family":"Kissinger","given":"Patricia","non-dropping-particle":"","parse-names":false,"suffix":""},{"dropping-particle":"","family":"Mohammed","given":"Hamish","non-dropping-particle":"","parse-names":false,"suffix":""},{"dropping-particle":"","family":"Richardson-Alston","given":"Gwangi","non-dropping-particle":"","parse-names":false,"suffix":""},{"dropping-particle":"","family":"Leichliter","given":"Jami S","non-dropping-particle":"","parse-names":false,"suffix":""},{"dropping-particle":"","family":"Taylor","given":"Stephanie N","non-dropping-particle":"","parse-names":false,"suffix":""},{"dropping-particle":"","family":"Martin","given":"David H","non-dropping-particle":"","parse-names":false,"suffix":""},{"dropping-particle":"","family":"Farley","given":"Thomas A","non-dropping-particle":"","parse-names":false,"suffix":""}],"container-title":"Clinical Infectious Diseases","id":"ITEM-8","issue":"5","issued":{"date-parts":[["2005","9","1"]]},"page":"623-9","title":"Patient-delivered partner treatment for male urethritis: a randomized, controlled trial.","type":"article-journal","volume":"41"},"uris":["http://www.mendeley.com/documents/?uuid=b899e15a-905f-3b40-81b2-6e13179675bf"]}],"mendeley":{"formattedCitation":"&lt;sup&gt;109,114,117–120,122,124&lt;/sup&gt;","plainTextFormattedCitation":"109,114,117–120,122,124","previouslyFormattedCitation":"&lt;sup&gt;109,114,117–120,122,124&lt;/sup&gt;"},"properties":{"noteIndex":0},"schema":"https://github.com/citation-style-language/schema/raw/master/csl-citation.json"}</w:instrText>
            </w:r>
            <w:r w:rsidRPr="00DE4DAD">
              <w:rPr>
                <w:rFonts w:ascii="Helvetica Neue" w:hAnsi="Helvetica Neue"/>
                <w:sz w:val="18"/>
                <w:szCs w:val="18"/>
              </w:rPr>
              <w:fldChar w:fldCharType="separate"/>
            </w:r>
            <w:r w:rsidRPr="00DE4DAD">
              <w:rPr>
                <w:rFonts w:ascii="Helvetica Neue" w:hAnsi="Helvetica Neue"/>
                <w:noProof/>
                <w:sz w:val="18"/>
                <w:szCs w:val="18"/>
                <w:vertAlign w:val="superscript"/>
              </w:rPr>
              <w:t>109,114,117–120,122,124</w:t>
            </w:r>
            <w:r w:rsidRPr="00DE4DAD">
              <w:rPr>
                <w:rFonts w:ascii="Helvetica Neue" w:hAnsi="Helvetica Neue"/>
                <w:sz w:val="18"/>
                <w:szCs w:val="18"/>
              </w:rPr>
              <w:fldChar w:fldCharType="end"/>
            </w:r>
          </w:p>
        </w:tc>
      </w:tr>
      <w:tr w:rsidR="00E15313" w:rsidRPr="001B6BD3" w14:paraId="6A8C8F21" w14:textId="77777777" w:rsidTr="001B1A34">
        <w:trPr>
          <w:trHeight w:val="259"/>
        </w:trPr>
        <w:tc>
          <w:tcPr>
            <w:tcW w:w="4142" w:type="dxa"/>
            <w:tcBorders>
              <w:top w:val="nil"/>
              <w:left w:val="nil"/>
              <w:bottom w:val="nil"/>
              <w:right w:val="nil"/>
            </w:tcBorders>
            <w:shd w:val="clear" w:color="auto" w:fill="auto"/>
            <w:noWrap/>
            <w:vAlign w:val="center"/>
          </w:tcPr>
          <w:p w14:paraId="263DE4BE" w14:textId="622643F4" w:rsidR="00E15313" w:rsidRPr="00DE4DAD" w:rsidRDefault="00E15313" w:rsidP="00E15313">
            <w:pPr>
              <w:rPr>
                <w:rFonts w:ascii="Helvetica Neue" w:hAnsi="Helvetica Neue" w:cs="Calibri"/>
                <w:b/>
                <w:color w:val="000000"/>
                <w:sz w:val="18"/>
                <w:szCs w:val="18"/>
              </w:rPr>
            </w:pPr>
            <w:r w:rsidRPr="00DE4DAD">
              <w:rPr>
                <w:rFonts w:ascii="Helvetica Neue" w:hAnsi="Helvetica Neue"/>
                <w:color w:val="000000"/>
                <w:sz w:val="18"/>
                <w:szCs w:val="18"/>
              </w:rPr>
              <w:t xml:space="preserve">   Existing Main Partnership</w:t>
            </w:r>
          </w:p>
        </w:tc>
        <w:tc>
          <w:tcPr>
            <w:tcW w:w="996" w:type="dxa"/>
            <w:tcBorders>
              <w:top w:val="nil"/>
              <w:left w:val="nil"/>
              <w:bottom w:val="nil"/>
              <w:right w:val="nil"/>
            </w:tcBorders>
            <w:shd w:val="clear" w:color="auto" w:fill="auto"/>
            <w:noWrap/>
            <w:vAlign w:val="center"/>
          </w:tcPr>
          <w:p w14:paraId="2F7D06CB" w14:textId="7829823A"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 xml:space="preserve">0.50 </w:t>
            </w:r>
          </w:p>
        </w:tc>
        <w:tc>
          <w:tcPr>
            <w:tcW w:w="1147" w:type="dxa"/>
            <w:tcBorders>
              <w:top w:val="nil"/>
              <w:left w:val="nil"/>
              <w:bottom w:val="nil"/>
              <w:right w:val="nil"/>
            </w:tcBorders>
            <w:shd w:val="clear" w:color="auto" w:fill="auto"/>
            <w:noWrap/>
            <w:vAlign w:val="center"/>
          </w:tcPr>
          <w:p w14:paraId="6A7A754E" w14:textId="25F86554"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tcPr>
          <w:p w14:paraId="76F33030" w14:textId="0AA5E930"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E15313" w:rsidRPr="001B6BD3" w14:paraId="6F0F7BF0" w14:textId="77777777" w:rsidTr="001B1A34">
        <w:trPr>
          <w:trHeight w:val="259"/>
        </w:trPr>
        <w:tc>
          <w:tcPr>
            <w:tcW w:w="4142" w:type="dxa"/>
            <w:tcBorders>
              <w:top w:val="nil"/>
              <w:left w:val="nil"/>
              <w:bottom w:val="nil"/>
              <w:right w:val="nil"/>
            </w:tcBorders>
            <w:shd w:val="clear" w:color="auto" w:fill="auto"/>
            <w:noWrap/>
            <w:vAlign w:val="center"/>
          </w:tcPr>
          <w:p w14:paraId="2D5BE232" w14:textId="20E85F7C" w:rsidR="00E15313" w:rsidRPr="00DE4DAD" w:rsidRDefault="00E15313" w:rsidP="00E15313">
            <w:pPr>
              <w:rPr>
                <w:rFonts w:ascii="Helvetica Neue" w:hAnsi="Helvetica Neue" w:cs="Calibri"/>
                <w:b/>
                <w:color w:val="000000"/>
                <w:sz w:val="18"/>
                <w:szCs w:val="18"/>
              </w:rPr>
            </w:pPr>
            <w:r w:rsidRPr="00DE4DAD">
              <w:rPr>
                <w:rFonts w:ascii="Helvetica Neue" w:hAnsi="Helvetica Neue"/>
                <w:color w:val="000000"/>
                <w:sz w:val="18"/>
                <w:szCs w:val="18"/>
              </w:rPr>
              <w:t xml:space="preserve">   Former Main Partnership</w:t>
            </w:r>
          </w:p>
        </w:tc>
        <w:tc>
          <w:tcPr>
            <w:tcW w:w="996" w:type="dxa"/>
            <w:tcBorders>
              <w:top w:val="nil"/>
              <w:left w:val="nil"/>
              <w:bottom w:val="nil"/>
              <w:right w:val="nil"/>
            </w:tcBorders>
            <w:shd w:val="clear" w:color="auto" w:fill="auto"/>
            <w:noWrap/>
            <w:vAlign w:val="center"/>
          </w:tcPr>
          <w:p w14:paraId="39015FA5" w14:textId="26D82248"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0.40</w:t>
            </w:r>
          </w:p>
        </w:tc>
        <w:tc>
          <w:tcPr>
            <w:tcW w:w="1147" w:type="dxa"/>
            <w:tcBorders>
              <w:top w:val="nil"/>
              <w:left w:val="nil"/>
              <w:bottom w:val="nil"/>
              <w:right w:val="nil"/>
            </w:tcBorders>
            <w:shd w:val="clear" w:color="auto" w:fill="auto"/>
            <w:noWrap/>
            <w:vAlign w:val="center"/>
          </w:tcPr>
          <w:p w14:paraId="04BF21B9" w14:textId="4553FD9D"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tcPr>
          <w:p w14:paraId="337D7573" w14:textId="19EF9F1F"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E15313" w:rsidRPr="001B6BD3" w14:paraId="772E02FD" w14:textId="77777777" w:rsidTr="001B1A34">
        <w:trPr>
          <w:trHeight w:val="259"/>
        </w:trPr>
        <w:tc>
          <w:tcPr>
            <w:tcW w:w="4142" w:type="dxa"/>
            <w:tcBorders>
              <w:top w:val="nil"/>
              <w:left w:val="nil"/>
              <w:bottom w:val="nil"/>
              <w:right w:val="nil"/>
            </w:tcBorders>
            <w:shd w:val="clear" w:color="auto" w:fill="auto"/>
            <w:noWrap/>
            <w:vAlign w:val="center"/>
          </w:tcPr>
          <w:p w14:paraId="4012AB1C" w14:textId="60C659B6" w:rsidR="00E15313" w:rsidRPr="00DE4DAD" w:rsidRDefault="00E15313" w:rsidP="00E15313">
            <w:pPr>
              <w:rPr>
                <w:rFonts w:ascii="Helvetica Neue" w:hAnsi="Helvetica Neue" w:cs="Calibri"/>
                <w:b/>
                <w:color w:val="000000"/>
                <w:sz w:val="18"/>
                <w:szCs w:val="18"/>
              </w:rPr>
            </w:pPr>
            <w:r w:rsidRPr="00DE4DAD">
              <w:rPr>
                <w:rFonts w:ascii="Helvetica Neue" w:hAnsi="Helvetica Neue"/>
                <w:color w:val="000000"/>
                <w:sz w:val="18"/>
                <w:szCs w:val="18"/>
              </w:rPr>
              <w:t xml:space="preserve">   Existing Casual Partnership</w:t>
            </w:r>
          </w:p>
        </w:tc>
        <w:tc>
          <w:tcPr>
            <w:tcW w:w="996" w:type="dxa"/>
            <w:tcBorders>
              <w:top w:val="nil"/>
              <w:left w:val="nil"/>
              <w:bottom w:val="nil"/>
              <w:right w:val="nil"/>
            </w:tcBorders>
            <w:shd w:val="clear" w:color="auto" w:fill="auto"/>
            <w:noWrap/>
            <w:vAlign w:val="center"/>
          </w:tcPr>
          <w:p w14:paraId="273B3401" w14:textId="308F5FC6"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0.40</w:t>
            </w:r>
          </w:p>
        </w:tc>
        <w:tc>
          <w:tcPr>
            <w:tcW w:w="1147" w:type="dxa"/>
            <w:tcBorders>
              <w:top w:val="nil"/>
              <w:left w:val="nil"/>
              <w:bottom w:val="nil"/>
              <w:right w:val="nil"/>
            </w:tcBorders>
            <w:shd w:val="clear" w:color="auto" w:fill="auto"/>
            <w:noWrap/>
            <w:vAlign w:val="center"/>
          </w:tcPr>
          <w:p w14:paraId="2546D43F" w14:textId="42354F6B"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tcPr>
          <w:p w14:paraId="29492C1C" w14:textId="18B82315"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E15313" w:rsidRPr="001B6BD3" w14:paraId="466E6141" w14:textId="77777777" w:rsidTr="001B1A34">
        <w:trPr>
          <w:trHeight w:val="259"/>
        </w:trPr>
        <w:tc>
          <w:tcPr>
            <w:tcW w:w="4142" w:type="dxa"/>
            <w:tcBorders>
              <w:top w:val="nil"/>
              <w:left w:val="nil"/>
              <w:bottom w:val="nil"/>
              <w:right w:val="nil"/>
            </w:tcBorders>
            <w:shd w:val="clear" w:color="auto" w:fill="auto"/>
            <w:noWrap/>
            <w:vAlign w:val="center"/>
          </w:tcPr>
          <w:p w14:paraId="3B35956D" w14:textId="41A71777" w:rsidR="00E15313" w:rsidRPr="00DE4DAD" w:rsidRDefault="00E15313" w:rsidP="00E15313">
            <w:pPr>
              <w:rPr>
                <w:rFonts w:ascii="Helvetica Neue" w:hAnsi="Helvetica Neue" w:cs="Calibri"/>
                <w:b/>
                <w:color w:val="000000"/>
                <w:sz w:val="18"/>
                <w:szCs w:val="18"/>
              </w:rPr>
            </w:pPr>
            <w:r w:rsidRPr="00DE4DAD">
              <w:rPr>
                <w:rFonts w:ascii="Helvetica Neue" w:hAnsi="Helvetica Neue"/>
                <w:color w:val="000000"/>
                <w:sz w:val="18"/>
                <w:szCs w:val="18"/>
              </w:rPr>
              <w:t xml:space="preserve">   Former Casual Partnership</w:t>
            </w:r>
          </w:p>
        </w:tc>
        <w:tc>
          <w:tcPr>
            <w:tcW w:w="996" w:type="dxa"/>
            <w:tcBorders>
              <w:top w:val="nil"/>
              <w:left w:val="nil"/>
              <w:bottom w:val="nil"/>
              <w:right w:val="nil"/>
            </w:tcBorders>
            <w:shd w:val="clear" w:color="auto" w:fill="auto"/>
            <w:noWrap/>
            <w:vAlign w:val="center"/>
          </w:tcPr>
          <w:p w14:paraId="11B257A2" w14:textId="24543C23"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0.30</w:t>
            </w:r>
          </w:p>
        </w:tc>
        <w:tc>
          <w:tcPr>
            <w:tcW w:w="1147" w:type="dxa"/>
            <w:tcBorders>
              <w:top w:val="nil"/>
              <w:left w:val="nil"/>
              <w:bottom w:val="nil"/>
              <w:right w:val="nil"/>
            </w:tcBorders>
            <w:shd w:val="clear" w:color="auto" w:fill="auto"/>
            <w:noWrap/>
            <w:vAlign w:val="center"/>
          </w:tcPr>
          <w:p w14:paraId="01D89DF3" w14:textId="12349E7B"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tcPr>
          <w:p w14:paraId="6E301A50" w14:textId="6B26A6A8"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E15313" w:rsidRPr="001B6BD3" w14:paraId="66684D2E" w14:textId="77777777" w:rsidTr="001B1A34">
        <w:trPr>
          <w:trHeight w:val="259"/>
        </w:trPr>
        <w:tc>
          <w:tcPr>
            <w:tcW w:w="4142" w:type="dxa"/>
            <w:tcBorders>
              <w:top w:val="nil"/>
              <w:left w:val="nil"/>
              <w:bottom w:val="nil"/>
              <w:right w:val="nil"/>
            </w:tcBorders>
            <w:shd w:val="clear" w:color="auto" w:fill="auto"/>
            <w:noWrap/>
            <w:vAlign w:val="center"/>
          </w:tcPr>
          <w:p w14:paraId="2292C8A8" w14:textId="167D4DA4" w:rsidR="00E15313" w:rsidRPr="00DE4DAD" w:rsidRDefault="00E15313" w:rsidP="00E15313">
            <w:pPr>
              <w:rPr>
                <w:rFonts w:ascii="Helvetica Neue" w:hAnsi="Helvetica Neue" w:cs="Calibri"/>
                <w:b/>
                <w:color w:val="000000"/>
                <w:sz w:val="18"/>
                <w:szCs w:val="18"/>
              </w:rPr>
            </w:pPr>
            <w:r w:rsidRPr="00DE4DAD">
              <w:rPr>
                <w:rFonts w:ascii="Helvetica Neue" w:hAnsi="Helvetica Neue"/>
                <w:color w:val="000000"/>
                <w:sz w:val="18"/>
                <w:szCs w:val="18"/>
              </w:rPr>
              <w:t xml:space="preserve">   One-Off Partnership</w:t>
            </w:r>
          </w:p>
        </w:tc>
        <w:tc>
          <w:tcPr>
            <w:tcW w:w="996" w:type="dxa"/>
            <w:tcBorders>
              <w:top w:val="nil"/>
              <w:left w:val="nil"/>
              <w:bottom w:val="nil"/>
              <w:right w:val="nil"/>
            </w:tcBorders>
            <w:shd w:val="clear" w:color="auto" w:fill="auto"/>
            <w:noWrap/>
            <w:vAlign w:val="center"/>
          </w:tcPr>
          <w:p w14:paraId="7428A2CE" w14:textId="174FD451"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0.20</w:t>
            </w:r>
          </w:p>
        </w:tc>
        <w:tc>
          <w:tcPr>
            <w:tcW w:w="1147" w:type="dxa"/>
            <w:tcBorders>
              <w:top w:val="nil"/>
              <w:left w:val="nil"/>
              <w:bottom w:val="nil"/>
              <w:right w:val="nil"/>
            </w:tcBorders>
            <w:shd w:val="clear" w:color="auto" w:fill="auto"/>
            <w:noWrap/>
            <w:vAlign w:val="center"/>
          </w:tcPr>
          <w:p w14:paraId="55FAA781" w14:textId="07B089A9"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tcPr>
          <w:p w14:paraId="0BF8E4A5" w14:textId="44D4668E"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306A9D" w:rsidRPr="001B6BD3" w14:paraId="445C2160" w14:textId="77777777" w:rsidTr="001B1A34">
        <w:trPr>
          <w:trHeight w:val="259"/>
        </w:trPr>
        <w:tc>
          <w:tcPr>
            <w:tcW w:w="4142" w:type="dxa"/>
            <w:tcBorders>
              <w:top w:val="nil"/>
              <w:left w:val="nil"/>
              <w:bottom w:val="nil"/>
              <w:right w:val="nil"/>
            </w:tcBorders>
            <w:shd w:val="clear" w:color="auto" w:fill="auto"/>
            <w:noWrap/>
            <w:vAlign w:val="center"/>
          </w:tcPr>
          <w:p w14:paraId="4A65C33D" w14:textId="7A31D0EF" w:rsidR="00306A9D" w:rsidRPr="00DE4DAD" w:rsidRDefault="00306A9D" w:rsidP="00E15313">
            <w:pPr>
              <w:rPr>
                <w:rFonts w:ascii="Helvetica Neue" w:hAnsi="Helvetica Neue" w:cs="Calibri"/>
                <w:b/>
                <w:color w:val="000000"/>
                <w:sz w:val="18"/>
                <w:szCs w:val="18"/>
              </w:rPr>
            </w:pPr>
            <w:r w:rsidRPr="00DE4DAD">
              <w:rPr>
                <w:rFonts w:ascii="Helvetica Neue" w:hAnsi="Helvetica Neue"/>
                <w:i/>
                <w:iCs/>
                <w:color w:val="000000"/>
                <w:sz w:val="18"/>
                <w:szCs w:val="18"/>
              </w:rPr>
              <w:t>Likelihood of EPT Uptake by Non-Index Partner</w:t>
            </w:r>
          </w:p>
        </w:tc>
        <w:tc>
          <w:tcPr>
            <w:tcW w:w="996" w:type="dxa"/>
            <w:tcBorders>
              <w:top w:val="nil"/>
              <w:left w:val="nil"/>
              <w:bottom w:val="nil"/>
              <w:right w:val="nil"/>
            </w:tcBorders>
            <w:shd w:val="clear" w:color="auto" w:fill="auto"/>
            <w:noWrap/>
            <w:vAlign w:val="center"/>
          </w:tcPr>
          <w:p w14:paraId="3CFFD9B8" w14:textId="77777777" w:rsidR="00306A9D" w:rsidRPr="00DE4DAD" w:rsidRDefault="00306A9D" w:rsidP="00E15313">
            <w:pPr>
              <w:rPr>
                <w:rFonts w:ascii="Helvetica Neue" w:hAnsi="Helvetica Neue"/>
                <w:sz w:val="18"/>
                <w:szCs w:val="18"/>
              </w:rPr>
            </w:pPr>
          </w:p>
        </w:tc>
        <w:tc>
          <w:tcPr>
            <w:tcW w:w="1147" w:type="dxa"/>
            <w:tcBorders>
              <w:top w:val="nil"/>
              <w:left w:val="nil"/>
              <w:bottom w:val="nil"/>
              <w:right w:val="nil"/>
            </w:tcBorders>
            <w:shd w:val="clear" w:color="auto" w:fill="auto"/>
            <w:noWrap/>
            <w:vAlign w:val="center"/>
          </w:tcPr>
          <w:p w14:paraId="3E504A86" w14:textId="77777777" w:rsidR="00306A9D" w:rsidRPr="00DE4DAD" w:rsidRDefault="00306A9D" w:rsidP="00E15313">
            <w:pPr>
              <w:rPr>
                <w:rStyle w:val="CommentReference"/>
                <w:rFonts w:ascii="Helvetica Neue" w:hAnsi="Helvetica Neue"/>
                <w:sz w:val="18"/>
                <w:szCs w:val="18"/>
              </w:rPr>
            </w:pPr>
          </w:p>
        </w:tc>
        <w:tc>
          <w:tcPr>
            <w:tcW w:w="4895" w:type="dxa"/>
            <w:tcBorders>
              <w:top w:val="nil"/>
              <w:left w:val="nil"/>
              <w:bottom w:val="nil"/>
              <w:right w:val="nil"/>
            </w:tcBorders>
            <w:shd w:val="clear" w:color="auto" w:fill="auto"/>
            <w:vAlign w:val="center"/>
          </w:tcPr>
          <w:p w14:paraId="2947D8FD" w14:textId="718D84F7" w:rsidR="00306A9D" w:rsidRPr="00DE4DAD" w:rsidRDefault="00E15313" w:rsidP="00E15313">
            <w:pPr>
              <w:rPr>
                <w:rFonts w:ascii="Helvetica Neue" w:hAnsi="Helvetica Neue"/>
                <w:sz w:val="18"/>
                <w:szCs w:val="18"/>
              </w:rPr>
            </w:pPr>
            <w:r w:rsidRPr="00DE4DAD">
              <w:rPr>
                <w:rFonts w:ascii="Helvetica Neue" w:hAnsi="Helvetica Neue"/>
                <w:sz w:val="18"/>
                <w:szCs w:val="18"/>
              </w:rPr>
              <w:fldChar w:fldCharType="begin" w:fldLock="1"/>
            </w:r>
            <w:r w:rsidRPr="00DE4DAD">
              <w:rPr>
                <w:rFonts w:ascii="Helvetica Neue" w:hAnsi="Helvetica Neue"/>
                <w:sz w:val="18"/>
                <w:szCs w:val="18"/>
              </w:rPr>
              <w:instrText>ADDIN CSL_CITATION {"citationItems":[{"id":"ITEM-1","itemData":{"DOI":"10.1097/OLQ.0b013e31827adc06","ISSN":"1537-4521","PMID":"23324981","abstract":"BACKGROUND Little is known about how men who have sex with men (MSM) exposed to a sexually transmitted infection respond to receiving patient-delivered partner therapy (PDPT) or electronic partner notification postcards (e-cards). METHODS We anonymously surveyed MSM in a sexually transmitted disease (STD) clinic and a private medical practice. Three scenarios were presented in which participants had oral or anal sex with a new partner and were subsequently notified of a chlamydia or gonorrhea exposure and offered PDPT by the partner. A fourth scenario described partner notification via an anonymous inSPOT e-card. We asked participants if they would see a doctor, test for HIV/STD, and/or notify other partners in each situation. RESULTS Among 198 MSM, the percentage indicating that they would seek a medical evaluation was higher when scenarios described proctitis (97%-98%) versus pharyngitis (84%) or no symptoms (84%-89%). In the absence of symptoms, men indicated that they would be less likely to seek care (62% vs. 84%-88%, P &lt; 0.0001) and notify partners (85% vs. 69%, P &lt; 0.0001) if notified via an anonymous e-card than if notified directly by a partner. Approximately half reported that they would use PDPT provided by a partner. In the absence of symptoms, men who indicated that they would use PDPT reported that they would seek medical care less frequently than men who indicated that they would not take PDPT (74% vs. 92% [P = 0.0007 for oral sex exposure] 82% vs. 94%-94% [P = 0.01 or unprotected anal sex exposure]). CONCLUSIONS Although many MSM express interest in using PDPT and anonymous e-cards, these methods may result in missed opportunities to test for HIV and other STDs.","author":[{"dropping-particle":"","family":"Kerani","given":"Roxanne Pieper","non-dropping-particle":"","parse-names":false,"suffix":""},{"dropping-particle":"","family":"Fleming","given":"Mark","non-dropping-particle":"","parse-names":false,"suffix":""},{"dropping-particle":"","family":"Golden","given":"Matthew Robert","non-dropping-particle":"","parse-names":false,"suffix":""}],"container-title":"Sexually transmitted diseases","id":"ITEM-1","issue":"2","issued":{"date-parts":[["2013","2"]]},"page":"179-85","title":"Acceptability and intention to seek medical care after hypothetical receipt of patient-delivered partner therapy or electronic partner notification postcards among men who have sex with men: the partner's perspective.","type":"article-journal","volume":"40"},"uris":["http://www.mendeley.com/documents/?uuid=806f32a6-a211-34a4-b6d9-221223c4481c"]},{"id":"ITEM-2","itemData":{"DOI":"10.1097/OLQ.0b013e31822e9192","ISSN":"1537-4521","PMID":"21992986","abstract":"BACKGROUND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≥32% to 37% of male index patients' female partners or ≥29%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payer.","author":[{"dropping-particle":"","family":"Gift","given":"Thomas L","non-dropping-particle":"","parse-names":false,"suffix":""},{"dropping-particle":"","family":"Kissinger","given":"Patricia","non-dropping-particle":"","parse-names":false,"suffix":""},{"dropping-particle":"","family":"Mohammed","given":"Hamish","non-dropping-particle":"","parse-names":false,"suffix":""},{"dropping-particle":"","family":"Leichliter","given":"Jami S","non-dropping-particle":"","parse-names":false,"suffix":""},{"dropping-particle":"","family":"Hogben","given":"Matthew","non-dropping-particle":"","parse-names":false,"suffix":""},{"dropping-particle":"","family":"Golden","given":"Matthew R","non-dropping-particle":"","parse-names":false,"suffix":""}],"container-title":"Sexually transmitted diseases","id":"ITEM-2","issue":"11","issued":{"date-parts":[["2011","11"]]},"page":"1067-73","title":"The cost and cost-effectiveness of expedited partner therapy compared with standard partner referral for the treatment of chlamydia or gonorrhea.","type":"article-journal","volume":"38"},"uris":["http://www.mendeley.com/documents/?uuid=4eeec641-58bf-3a80-9d3e-c5d6d9b87eb4"]},{"id":"ITEM-3","itemData":{"DOI":"10.1097/01.olq.0000258319.54316.06","ISSN":"0148-5717","author":[{"dropping-particle":"","family":"Golden","given":"Matthew R.","non-dropping-particle":"","parse-names":false,"suffix":""},{"dropping-particle":"","family":"Hughes","given":"James P","non-dropping-particle":"","parse-names":false,"suffix":""},{"dropping-particle":"","family":"Brewer","given":"Devon D.","non-dropping-particle":"","parse-names":false,"suffix":""},{"dropping-particle":"","family":"Holmes","given":"King K.","non-dropping-particle":"","parse-names":false,"suffix":""},{"dropping-particle":"","family":"Whittington","given":"William L.H.","non-dropping-particle":"","parse-names":false,"suffix":""},{"dropping-particle":"","family":"Hogben","given":"Matthew","non-dropping-particle":"","parse-names":false,"suffix":""},{"dropping-particle":"","family":"Malinski","given":"Cheryl","non-dropping-particle":"","parse-names":false,"suffix":""},{"dropping-particle":"","family":"Golding","given":"Anne","non-dropping-particle":"","parse-names":false,"suffix":""},{"dropping-particle":"","family":"Handsfield","given":"H. Hunter","non-dropping-particle":"","parse-names":false,"suffix":""}],"container-title":"Sexually Transmitted Diseases","id":"ITEM-3","issued":{"date-parts":[["2007","3"]]},"title":"Evaluation of a Population-Based Program of Expedited Partner Therapy for Gonorrhea and Chlamydial Infection","type":"article-journal","volume":"PAP"},"uris":["http://www.mendeley.com/documents/?uuid=c53e9c80-8856-3195-a13e-c2dc33c73d88"]},{"id":"ITEM-4","itemData":{"DOI":"10.1097/OLQ.0b013e3181e1a296","ISSN":"1537-4521","PMID":"20601929","abstract":"BACKGROUND Expedited partner therapy (EPT) has been shown to reduce the risk of persistent or recurrent gonorrhea and chlamydial infection in heterosexuals, and to increase the proportion of sex partners receiving treatment. The objective of this analysis was to evaluate the consistency of EPT's effect across sociodemographic and behavioral subgroups. METHODS Subset analyses from a randomized controlled trial compared EPT to standard partner referral (SPR) in sociodemographic and behaviorally defined subgroups. Outcomes included persistent or recurrent infection in study participants and participants' report that their partners received treatment. RESULTS Reinfection risk was lower among EPT recipients than nonrecipients in 21 of 22 subgroups, with relative risks (RRs) varying from 0.4 to 0.94. Compared to persons receiving SPR, persons receiving EPT were more likely to report that their partners were very likely to have been treated in 33 of 34 subgroups (RRs range, 1.03-1.36). Although EPT reduced the risk of persistent or recurrent infection somewhat more in men (RR, 0.56; 95% CI, 0.3-1.08) than in women (RR, 0.81; 95% CI, 0.61-1.07) and more in persons with gonorrhea (RR, 0.32; 95% CI, 0.13-0.78) than those with chlamydial infection (RR, 0.82; 95% CI, 0.63-1.07), the RR of partners being treated associated with EPT was similar in men (RR, 1.21; 95% CI, 1.05-1.39) and women (RR, 1.18; 95% CI, 1.10-1.27), and also in persons with gonorrhea (RR, 1.33; 95% CI, 0.80-2.23) and chlamydial infection (RR, 1.33; 95% CI, 1.07-1.66). CONCLUSIONS In this study, EPT is shown to be superior to SPR across a wide spectrum of sociodemographic and behaviorally defined subgroups.","author":[{"dropping-particle":"","family":"Shiely","given":"Frances","non-dropping-particle":"","parse-names":false,"suffix":""},{"dropping-particle":"","family":"Hayes","given":"Kevin","non-dropping-particle":"","parse-names":false,"suffix":""},{"dropping-particle":"","family":"Thomas","given":"Katherine K","non-dropping-particle":"","parse-names":false,"suffix":""},{"dropping-particle":"","family":"Kerani","given":"Roxanne P","non-dropping-particle":"","parse-names":false,"suffix":""},{"dropping-particle":"","family":"Hughes","given":"James P","non-dropping-particle":"","parse-names":false,"suffix":""},{"dropping-particle":"","family":"Whittington","given":"William L H","non-dropping-particle":"","parse-names":false,"suffix":""},{"dropping-particle":"","family":"Holmes","given":"King K","non-dropping-particle":"","parse-names":false,"suffix":""},{"dropping-particle":"","family":"Handsfield","given":"H Hunter","non-dropping-particle":"","parse-names":false,"suffix":""},{"dropping-particle":"","family":"Hogben","given":"Matthew","non-dropping-particle":"","parse-names":false,"suffix":""},{"dropping-particle":"","family":"Golden","given":"Matthew R","non-dropping-particle":"","parse-names":false,"suffix":""}],"container-title":"Sexually transmitted diseases","id":"ITEM-4","issue":"10","issued":{"date-parts":[["2010","10"]]},"page":"602-7","title":"Expedited partner therapy: a robust intervention.","type":"article-journal","volume":"37"},"uris":["http://www.mendeley.com/documents/?uuid=c9557981-b7fb-3c24-b57f-ef8ab7db3eb1"]},{"id":"ITEM-5","itemData":{"DOI":"10.1056/NEJMoa041681","ISSN":"0028-4793","abstract":"Background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Medicine","id":"ITEM-5","issue":"7","issued":{"date-parts":[["2005","2","17"]]},"page":"676-685","publisher":"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Infection","type":"article-journal","volume":"352"},"uris":["http://www.mendeley.com/documents/?uuid=b528edda-cfdf-3e5b-9efa-b5e00b152856"]},{"id":"ITEM-6","itemData":{"DOI":"10.1097/OLQ.0b013e318223fcbc","ISSN":"1537-4521","PMID":"21934569","abstract":"BACKGROUND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diseases","id":"ITEM-6","issue":"10","issued":{"date-parts":[["2011","10"]]},"page":"941-6","title":"A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men.","type":"article-journal","volume":"38"},"uris":["http://www.mendeley.com/documents/?uuid=dec4e4af-2bf3-3705-823c-ee50a1daee59"]},{"id":"ITEM-7","itemData":{"DOI":"10.1093/humrep/den475","PMID":"19136481","abstract":"BACKGROUND The aim of this study was to determine whether postal testing kits (PTKs) or patient-delivered partner therapy (PDPT) for partners of women with Chlamydia trachomatis reduce re-infection rates in women, compared with partner notification by patient referral. METHODS Three hundred and thirty women testing positive for chlamydia, at clinics for genitourinary medicine, family planning and termination of pregnancy in Edinburgh, were randomized to one of three partner interventions: patient referral, PTK (partners post urine for testing) or PDPT (1 g azithromycin for partners). Women submitted urine for chlamydia testing every 3 months. The primary outcome was re-infection assessed as time to first positive result by the Cox proportional hazard regression. The proportion of partners tested or treated with each intervention was determined. RESULTS Out of 330 women, 215 (65%) were retested over 12 months. There were 32 of 215 women (15%) who retested positive (7, 15 and 10 women from the patient referral, PTK and PDPT groups, respectively). There was no significant difference in re-infection between PDPT versus patient referral (HR 1.32, 95% CI 0.50-3.56), PTK versus patient referral (HR 2.35, 95% CI 0.94-5.88) or PDPT versus PTK (HR 0.55, 95% CI 0.24-1.24). There was no significant difference in the proportion of partners confirmed tested/treated between the patient referral (34%) and PTK (41%, P = 0.32) or PDPT (42%, P = 0.28) groups. CONCLUSIONS PTK and PDPT do not reduce re-infection rates in women with chlamydia compared with patient referral. However, PDPT may offer other advantages such as simplicity and cost compared with patient referral.","author":[{"dropping-particle":"","family":"Cameron","given":"S T","non-dropping-particle":"","parse-names":false,"suffix":""},{"dropping-particle":"","family":"Glasier","given":"A","non-dropping-particle":"","parse-names":false,"suffix":""},{"dropping-particle":"","family":"Scott","given":"G","non-dropping-particle":"","parse-names":false,"suffix":""},{"dropping-particle":"","family":"Young","given":"H","non-dropping-particle":"","parse-names":false,"suffix":""},{"dropping-particle":"","family":"Melvin","given":"L","non-dropping-particle":"","parse-names":false,"suffix":""},{"dropping-particle":"","family":"Johnstone","given":"A","non-dropping-particle":"","parse-names":false,"suffix":""},{"dropping-particle":"","family":"Elton","given":"R","non-dropping-particle":"","parse-names":false,"suffix":""}],"container-title":"Human reproduction","id":"ITEM-7","issue":"4","issued":{"date-parts":[["2009","4"]]},"page":"888-95","title":"Novel interventions to reduce re-infection in women with chlamydia: a randomized controlled trial.","type":"article-journal","volume":"24"},"uris":["http://www.mendeley.com/documents/?uuid=e116f172-857a-3bb3-ae82-83b71869322e"]},{"id":"ITEM-8","itemData":{"DOI":"10.1086/432476","PMID":"16080084","abstract":"BACKGROUND Traditional partner referral for sexually transmitted diseases (STDs) is ineffective at assuring that partners are treated. Alternative methods are needed. We sought to determine whether patient-delivered partner treatment (PDPT) is better than 2 different methods of partner referral in providing antibiotic treatment to sex partners of men with urethritis and in reducing recurrence of Chlamydia trachomatis and Neisseria gonorrhoeae. METHODS Men who received a diagnosis of urethritis at a public STD clinic in New Orleans, Louisiana, during the period of December 2001 through March 2004 were randomly assigned according to the month of treatment for either standard partner referral (PR), booklet-enhanced partner referral (BEPR), or PDPT. At baseline and after 1 month, men were asked to provide information about each partner and were tested for C. trachomatis and N. gonorrhoeae. RESULTS Most enrolled index men (n = 977) were &gt; 24 years of age (51.6%) and African American (95%) and had &gt; or = 2 partners (68.3%). They reported information on 1991 partners, and 78.8% were reinterviewed 4-8 weeks later. Men in the PDPT arm were more likely than men in the BEPR and PR arms to report having seen their partners, having talked to their partners about the infection, having given the intervention to their partners, and having been told by their partners that the antibiotic treatment had been taken (55.8%, 45.6%, and 35.0%, respectively; P &lt; .001). Of men who were reinterviewed, 37.5% agreed to follow-up testing for N. gonorrhoeae and C. trachomatis infection. Those tested were similar to those not tested with regard to the study variables measured. Among those tested, men in the PDPT and BEPR arms were less likely than those in the PR arm to test positive for C. trachomatis and/or N. gonorrhoeae (23.0%, 14.3%, and 42.7%, respectively; P &lt; .001). CONCLUSION Among heterosexual men with urethritis, PDPT was better than standard partner referral for treatment of partners and prevention of recurrence of C. trachomatis or N. gonorrhoeae infection.","author":[{"dropping-particle":"","family":"Kissinger","given":"Patricia","non-dropping-particle":"","parse-names":false,"suffix":""},{"dropping-particle":"","family":"Mohammed","given":"Hamish","non-dropping-particle":"","parse-names":false,"suffix":""},{"dropping-particle":"","family":"Richardson-Alston","given":"Gwangi","non-dropping-particle":"","parse-names":false,"suffix":""},{"dropping-particle":"","family":"Leichliter","given":"Jami S","non-dropping-particle":"","parse-names":false,"suffix":""},{"dropping-particle":"","family":"Taylor","given":"Stephanie N","non-dropping-particle":"","parse-names":false,"suffix":""},{"dropping-particle":"","family":"Martin","given":"David H","non-dropping-particle":"","parse-names":false,"suffix":""},{"dropping-particle":"","family":"Farley","given":"Thomas A","non-dropping-particle":"","parse-names":false,"suffix":""}],"container-title":"Clinical Infectious Diseases","id":"ITEM-8","issue":"5","issued":{"date-parts":[["2005","9","1"]]},"page":"623-9","title":"Patient-delivered partner treatment for male urethritis: a randomized, controlled trial.","type":"article-journal","volume":"41"},"uris":["http://www.mendeley.com/documents/?uuid=b899e15a-905f-3b40-81b2-6e13179675bf"]},{"id":"ITEM-9","itemData":{"DOI":"10.1097/OLQ.0000000000000511","ISSN":"0148-5717","author":[{"dropping-particle":"","family":"Oliver","given":"Ashley","non-dropping-particle":"","parse-names":false,"suffix":""},{"dropping-particle":"","family":"Rogers","given":"Meighan","non-dropping-particle":"","parse-names":false,"suffix":""},{"dropping-particle":"","family":"Schillinger","given":"Julia A.","non-dropping-particle":"","parse-names":false,"suffix":""}],"container-title":"Sexually Transmitted Diseases","id":"ITEM-9","issue":"11","issued":{"date-parts":[["2016","11"]]},"page":"673-678","title":"The Impact of Prescriptions on Sex Partner Treatment Using Expedited Partner Therapy for Chlamydia trachomatis Infection, New York City, 2014–2015","type":"article-journal","volume":"43"},"uris":["http://www.mendeley.com/documents/?uuid=e8f70f8e-c777-3f2e-8098-11ab5c8845fb"]}],"mendeley":{"formattedCitation":"&lt;sup&gt;97,109,111,113,119,120,123–125&lt;/sup&gt;","plainTextFormattedCitation":"97,109,111,113,119,120,123–125"},"properties":{"noteIndex":0},"schema":"https://github.com/citation-style-language/schema/raw/master/csl-citation.json"}</w:instrText>
            </w:r>
            <w:r w:rsidRPr="00DE4DAD">
              <w:rPr>
                <w:rFonts w:ascii="Helvetica Neue" w:hAnsi="Helvetica Neue"/>
                <w:sz w:val="18"/>
                <w:szCs w:val="18"/>
              </w:rPr>
              <w:fldChar w:fldCharType="separate"/>
            </w:r>
            <w:r w:rsidRPr="00DE4DAD">
              <w:rPr>
                <w:rFonts w:ascii="Helvetica Neue" w:hAnsi="Helvetica Neue"/>
                <w:noProof/>
                <w:sz w:val="18"/>
                <w:szCs w:val="18"/>
                <w:vertAlign w:val="superscript"/>
              </w:rPr>
              <w:t>97,109,111,113,119,120,123–125</w:t>
            </w:r>
            <w:r w:rsidRPr="00DE4DAD">
              <w:rPr>
                <w:rFonts w:ascii="Helvetica Neue" w:hAnsi="Helvetica Neue"/>
                <w:sz w:val="18"/>
                <w:szCs w:val="18"/>
              </w:rPr>
              <w:fldChar w:fldCharType="end"/>
            </w:r>
          </w:p>
        </w:tc>
      </w:tr>
      <w:tr w:rsidR="00306A9D" w:rsidRPr="001B6BD3" w14:paraId="328446C3" w14:textId="77777777" w:rsidTr="001B1A34">
        <w:trPr>
          <w:trHeight w:val="259"/>
        </w:trPr>
        <w:tc>
          <w:tcPr>
            <w:tcW w:w="4142" w:type="dxa"/>
            <w:tcBorders>
              <w:top w:val="nil"/>
              <w:left w:val="nil"/>
              <w:bottom w:val="nil"/>
              <w:right w:val="nil"/>
            </w:tcBorders>
            <w:shd w:val="clear" w:color="auto" w:fill="auto"/>
            <w:noWrap/>
            <w:vAlign w:val="center"/>
          </w:tcPr>
          <w:p w14:paraId="1D7933F2" w14:textId="64294DFE" w:rsidR="00306A9D" w:rsidRPr="00DE4DAD" w:rsidRDefault="00306A9D" w:rsidP="00E15313">
            <w:pPr>
              <w:rPr>
                <w:rFonts w:ascii="Helvetica Neue" w:hAnsi="Helvetica Neue" w:cs="Calibri"/>
                <w:b/>
                <w:color w:val="000000"/>
                <w:sz w:val="18"/>
                <w:szCs w:val="18"/>
              </w:rPr>
            </w:pPr>
            <w:r w:rsidRPr="00DE4DAD">
              <w:rPr>
                <w:rFonts w:ascii="Helvetica Neue" w:hAnsi="Helvetica Neue"/>
                <w:iCs/>
                <w:color w:val="000000"/>
                <w:sz w:val="18"/>
                <w:szCs w:val="18"/>
              </w:rPr>
              <w:t xml:space="preserve">   Main Partnership</w:t>
            </w:r>
          </w:p>
        </w:tc>
        <w:tc>
          <w:tcPr>
            <w:tcW w:w="996" w:type="dxa"/>
            <w:tcBorders>
              <w:top w:val="nil"/>
              <w:left w:val="nil"/>
              <w:bottom w:val="nil"/>
              <w:right w:val="nil"/>
            </w:tcBorders>
            <w:shd w:val="clear" w:color="auto" w:fill="auto"/>
            <w:noWrap/>
            <w:vAlign w:val="center"/>
          </w:tcPr>
          <w:p w14:paraId="4DCA9D1C" w14:textId="10C04C5B" w:rsidR="00306A9D" w:rsidRPr="00DE4DAD" w:rsidRDefault="00306A9D" w:rsidP="00E15313">
            <w:pPr>
              <w:rPr>
                <w:rFonts w:ascii="Helvetica Neue" w:hAnsi="Helvetica Neue"/>
                <w:sz w:val="18"/>
                <w:szCs w:val="18"/>
              </w:rPr>
            </w:pPr>
            <w:r w:rsidRPr="00DE4DAD">
              <w:rPr>
                <w:rFonts w:ascii="Helvetica Neue" w:hAnsi="Helvetica Neue"/>
                <w:color w:val="000000"/>
                <w:sz w:val="18"/>
                <w:szCs w:val="18"/>
              </w:rPr>
              <w:t>0.</w:t>
            </w:r>
            <w:r w:rsidR="00D21242" w:rsidRPr="00DE4DAD">
              <w:rPr>
                <w:rFonts w:ascii="Helvetica Neue" w:hAnsi="Helvetica Neue"/>
                <w:color w:val="000000"/>
                <w:sz w:val="18"/>
                <w:szCs w:val="18"/>
              </w:rPr>
              <w:t>80</w:t>
            </w:r>
          </w:p>
        </w:tc>
        <w:tc>
          <w:tcPr>
            <w:tcW w:w="1147" w:type="dxa"/>
            <w:tcBorders>
              <w:top w:val="nil"/>
              <w:left w:val="nil"/>
              <w:bottom w:val="nil"/>
              <w:right w:val="nil"/>
            </w:tcBorders>
            <w:shd w:val="clear" w:color="auto" w:fill="auto"/>
            <w:noWrap/>
            <w:vAlign w:val="center"/>
          </w:tcPr>
          <w:p w14:paraId="70FA1EF9" w14:textId="1A9DDBFC" w:rsidR="00306A9D" w:rsidRPr="00DE4DAD" w:rsidRDefault="00D21242"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vAlign w:val="center"/>
          </w:tcPr>
          <w:p w14:paraId="46833490" w14:textId="7414453D" w:rsidR="00306A9D" w:rsidRPr="00DE4DAD" w:rsidRDefault="00E15313" w:rsidP="00E15313">
            <w:pPr>
              <w:rPr>
                <w:rFonts w:ascii="Helvetica Neue" w:hAnsi="Helvetica Neue"/>
                <w:sz w:val="18"/>
                <w:szCs w:val="18"/>
              </w:rPr>
            </w:pPr>
            <w:r w:rsidRPr="00DE4DAD">
              <w:rPr>
                <w:rFonts w:ascii="Helvetica Neue" w:hAnsi="Helvetica Neue"/>
                <w:sz w:val="18"/>
                <w:szCs w:val="18"/>
              </w:rPr>
              <w:t>Assumption</w:t>
            </w:r>
          </w:p>
        </w:tc>
      </w:tr>
      <w:tr w:rsidR="00306A9D" w:rsidRPr="001B6BD3" w14:paraId="0EFAED56" w14:textId="77777777" w:rsidTr="001B1A34">
        <w:trPr>
          <w:trHeight w:val="259"/>
        </w:trPr>
        <w:tc>
          <w:tcPr>
            <w:tcW w:w="4142" w:type="dxa"/>
            <w:tcBorders>
              <w:top w:val="nil"/>
              <w:left w:val="nil"/>
              <w:bottom w:val="nil"/>
              <w:right w:val="nil"/>
            </w:tcBorders>
            <w:shd w:val="clear" w:color="auto" w:fill="auto"/>
            <w:noWrap/>
            <w:vAlign w:val="center"/>
          </w:tcPr>
          <w:p w14:paraId="179B8780" w14:textId="2452B604" w:rsidR="00306A9D" w:rsidRPr="00DE4DAD" w:rsidRDefault="00306A9D" w:rsidP="00E15313">
            <w:pPr>
              <w:rPr>
                <w:rFonts w:ascii="Helvetica Neue" w:hAnsi="Helvetica Neue" w:cs="Calibri"/>
                <w:b/>
                <w:color w:val="000000"/>
                <w:sz w:val="18"/>
                <w:szCs w:val="18"/>
              </w:rPr>
            </w:pPr>
            <w:r w:rsidRPr="00DE4DAD">
              <w:rPr>
                <w:rFonts w:ascii="Helvetica Neue" w:hAnsi="Helvetica Neue"/>
                <w:iCs/>
                <w:color w:val="000000"/>
                <w:sz w:val="18"/>
                <w:szCs w:val="18"/>
              </w:rPr>
              <w:t xml:space="preserve">   Casual Partnership</w:t>
            </w:r>
          </w:p>
        </w:tc>
        <w:tc>
          <w:tcPr>
            <w:tcW w:w="996" w:type="dxa"/>
            <w:tcBorders>
              <w:top w:val="nil"/>
              <w:left w:val="nil"/>
              <w:bottom w:val="nil"/>
              <w:right w:val="nil"/>
            </w:tcBorders>
            <w:shd w:val="clear" w:color="auto" w:fill="auto"/>
            <w:noWrap/>
            <w:vAlign w:val="center"/>
          </w:tcPr>
          <w:p w14:paraId="44A9F91D" w14:textId="0EB1D498" w:rsidR="00306A9D" w:rsidRPr="00DE4DAD" w:rsidRDefault="00306A9D" w:rsidP="00E15313">
            <w:pPr>
              <w:rPr>
                <w:rFonts w:ascii="Helvetica Neue" w:hAnsi="Helvetica Neue"/>
                <w:sz w:val="18"/>
                <w:szCs w:val="18"/>
              </w:rPr>
            </w:pPr>
            <w:r w:rsidRPr="00DE4DAD">
              <w:rPr>
                <w:rFonts w:ascii="Helvetica Neue" w:hAnsi="Helvetica Neue"/>
                <w:color w:val="000000"/>
                <w:sz w:val="18"/>
                <w:szCs w:val="18"/>
              </w:rPr>
              <w:t>0.</w:t>
            </w:r>
            <w:r w:rsidR="00D21242" w:rsidRPr="00DE4DAD">
              <w:rPr>
                <w:rFonts w:ascii="Helvetica Neue" w:hAnsi="Helvetica Neue"/>
                <w:color w:val="000000"/>
                <w:sz w:val="18"/>
                <w:szCs w:val="18"/>
              </w:rPr>
              <w:t>80</w:t>
            </w:r>
          </w:p>
        </w:tc>
        <w:tc>
          <w:tcPr>
            <w:tcW w:w="1147" w:type="dxa"/>
            <w:tcBorders>
              <w:top w:val="nil"/>
              <w:left w:val="nil"/>
              <w:bottom w:val="nil"/>
              <w:right w:val="nil"/>
            </w:tcBorders>
            <w:shd w:val="clear" w:color="auto" w:fill="auto"/>
            <w:noWrap/>
            <w:vAlign w:val="center"/>
          </w:tcPr>
          <w:p w14:paraId="47C6AF8B" w14:textId="350CFFE1" w:rsidR="00306A9D" w:rsidRPr="00DE4DAD" w:rsidRDefault="00D21242"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vAlign w:val="center"/>
          </w:tcPr>
          <w:p w14:paraId="2C493174" w14:textId="408FCCF4" w:rsidR="00306A9D" w:rsidRPr="00DE4DAD" w:rsidRDefault="00E15313" w:rsidP="00E15313">
            <w:pPr>
              <w:rPr>
                <w:rFonts w:ascii="Helvetica Neue" w:hAnsi="Helvetica Neue"/>
                <w:sz w:val="18"/>
                <w:szCs w:val="18"/>
              </w:rPr>
            </w:pPr>
            <w:r w:rsidRPr="00DE4DAD">
              <w:rPr>
                <w:rFonts w:ascii="Helvetica Neue" w:hAnsi="Helvetica Neue"/>
                <w:sz w:val="18"/>
                <w:szCs w:val="18"/>
              </w:rPr>
              <w:t>Assumption</w:t>
            </w:r>
          </w:p>
        </w:tc>
      </w:tr>
      <w:tr w:rsidR="00306A9D" w:rsidRPr="001B6BD3" w14:paraId="112503CE" w14:textId="77777777" w:rsidTr="001B1A34">
        <w:trPr>
          <w:trHeight w:val="259"/>
        </w:trPr>
        <w:tc>
          <w:tcPr>
            <w:tcW w:w="4142" w:type="dxa"/>
            <w:tcBorders>
              <w:top w:val="nil"/>
              <w:left w:val="nil"/>
              <w:bottom w:val="nil"/>
              <w:right w:val="nil"/>
            </w:tcBorders>
            <w:shd w:val="clear" w:color="auto" w:fill="auto"/>
            <w:noWrap/>
            <w:vAlign w:val="center"/>
          </w:tcPr>
          <w:p w14:paraId="2FB892EB" w14:textId="483CF6E4" w:rsidR="00306A9D" w:rsidRPr="00DE4DAD" w:rsidRDefault="00306A9D" w:rsidP="00E15313">
            <w:pPr>
              <w:rPr>
                <w:rFonts w:ascii="Helvetica Neue" w:hAnsi="Helvetica Neue" w:cs="Calibri"/>
                <w:b/>
                <w:color w:val="000000"/>
                <w:sz w:val="18"/>
                <w:szCs w:val="18"/>
              </w:rPr>
            </w:pPr>
            <w:r w:rsidRPr="00DE4DAD">
              <w:rPr>
                <w:rFonts w:ascii="Helvetica Neue" w:hAnsi="Helvetica Neue"/>
                <w:iCs/>
                <w:color w:val="000000"/>
                <w:sz w:val="18"/>
                <w:szCs w:val="18"/>
              </w:rPr>
              <w:t xml:space="preserve">   One-Off Partnership</w:t>
            </w:r>
          </w:p>
        </w:tc>
        <w:tc>
          <w:tcPr>
            <w:tcW w:w="996" w:type="dxa"/>
            <w:tcBorders>
              <w:top w:val="nil"/>
              <w:left w:val="nil"/>
              <w:bottom w:val="nil"/>
              <w:right w:val="nil"/>
            </w:tcBorders>
            <w:shd w:val="clear" w:color="auto" w:fill="auto"/>
            <w:noWrap/>
            <w:vAlign w:val="center"/>
          </w:tcPr>
          <w:p w14:paraId="56E90987" w14:textId="0BE47C6E" w:rsidR="00306A9D" w:rsidRPr="00DE4DAD" w:rsidRDefault="00306A9D" w:rsidP="00E15313">
            <w:pPr>
              <w:rPr>
                <w:rFonts w:ascii="Helvetica Neue" w:hAnsi="Helvetica Neue"/>
                <w:sz w:val="18"/>
                <w:szCs w:val="18"/>
              </w:rPr>
            </w:pPr>
            <w:r w:rsidRPr="00DE4DAD">
              <w:rPr>
                <w:rFonts w:ascii="Helvetica Neue" w:hAnsi="Helvetica Neue"/>
                <w:color w:val="000000"/>
                <w:sz w:val="18"/>
                <w:szCs w:val="18"/>
              </w:rPr>
              <w:t>0.</w:t>
            </w:r>
            <w:r w:rsidR="00D21242" w:rsidRPr="00DE4DAD">
              <w:rPr>
                <w:rFonts w:ascii="Helvetica Neue" w:hAnsi="Helvetica Neue"/>
                <w:color w:val="000000"/>
                <w:sz w:val="18"/>
                <w:szCs w:val="18"/>
              </w:rPr>
              <w:t>80</w:t>
            </w:r>
          </w:p>
        </w:tc>
        <w:tc>
          <w:tcPr>
            <w:tcW w:w="1147" w:type="dxa"/>
            <w:tcBorders>
              <w:top w:val="nil"/>
              <w:left w:val="nil"/>
              <w:bottom w:val="nil"/>
              <w:right w:val="nil"/>
            </w:tcBorders>
            <w:shd w:val="clear" w:color="auto" w:fill="auto"/>
            <w:noWrap/>
            <w:vAlign w:val="center"/>
          </w:tcPr>
          <w:p w14:paraId="451F56CF" w14:textId="4EC13075" w:rsidR="00306A9D" w:rsidRPr="00DE4DAD" w:rsidRDefault="00D21242"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nil"/>
              <w:right w:val="nil"/>
            </w:tcBorders>
            <w:shd w:val="clear" w:color="auto" w:fill="auto"/>
            <w:vAlign w:val="center"/>
          </w:tcPr>
          <w:p w14:paraId="5E522A13" w14:textId="5F12DCB6" w:rsidR="00306A9D" w:rsidRPr="00DE4DAD" w:rsidRDefault="00E15313" w:rsidP="00E15313">
            <w:pPr>
              <w:rPr>
                <w:rFonts w:ascii="Helvetica Neue" w:hAnsi="Helvetica Neue"/>
                <w:sz w:val="18"/>
                <w:szCs w:val="18"/>
              </w:rPr>
            </w:pPr>
            <w:r w:rsidRPr="00DE4DAD">
              <w:rPr>
                <w:rFonts w:ascii="Helvetica Neue" w:hAnsi="Helvetica Neue"/>
                <w:sz w:val="18"/>
                <w:szCs w:val="18"/>
              </w:rPr>
              <w:t>Assumption</w:t>
            </w:r>
          </w:p>
        </w:tc>
      </w:tr>
      <w:tr w:rsidR="00306A9D" w:rsidRPr="001B6BD3" w14:paraId="4FBF78F8" w14:textId="77777777" w:rsidTr="001B1A34">
        <w:trPr>
          <w:trHeight w:val="259"/>
        </w:trPr>
        <w:tc>
          <w:tcPr>
            <w:tcW w:w="4142" w:type="dxa"/>
            <w:tcBorders>
              <w:top w:val="nil"/>
              <w:left w:val="nil"/>
              <w:bottom w:val="nil"/>
              <w:right w:val="nil"/>
            </w:tcBorders>
            <w:shd w:val="clear" w:color="auto" w:fill="auto"/>
            <w:noWrap/>
            <w:vAlign w:val="center"/>
          </w:tcPr>
          <w:p w14:paraId="540FB4B3" w14:textId="3925CD9B" w:rsidR="00306A9D" w:rsidRPr="00DE4DAD" w:rsidRDefault="00306A9D" w:rsidP="00E15313">
            <w:pPr>
              <w:rPr>
                <w:rFonts w:ascii="Helvetica Neue" w:hAnsi="Helvetica Neue" w:cs="Calibri"/>
                <w:b/>
                <w:color w:val="000000"/>
                <w:sz w:val="18"/>
                <w:szCs w:val="18"/>
              </w:rPr>
            </w:pPr>
            <w:r w:rsidRPr="00DE4DAD">
              <w:rPr>
                <w:rFonts w:ascii="Helvetica Neue" w:hAnsi="Helvetica Neue"/>
                <w:i/>
                <w:iCs/>
                <w:color w:val="000000"/>
                <w:sz w:val="18"/>
                <w:szCs w:val="18"/>
              </w:rPr>
              <w:t>Treatment Success After EPT Uptake</w:t>
            </w:r>
          </w:p>
        </w:tc>
        <w:tc>
          <w:tcPr>
            <w:tcW w:w="996" w:type="dxa"/>
            <w:tcBorders>
              <w:top w:val="nil"/>
              <w:left w:val="nil"/>
              <w:bottom w:val="nil"/>
              <w:right w:val="nil"/>
            </w:tcBorders>
            <w:shd w:val="clear" w:color="auto" w:fill="auto"/>
            <w:noWrap/>
            <w:vAlign w:val="center"/>
          </w:tcPr>
          <w:p w14:paraId="79942013" w14:textId="77777777" w:rsidR="00306A9D" w:rsidRPr="00DE4DAD" w:rsidRDefault="00306A9D" w:rsidP="00E15313">
            <w:pPr>
              <w:rPr>
                <w:rFonts w:ascii="Helvetica Neue" w:hAnsi="Helvetica Neue"/>
                <w:sz w:val="18"/>
                <w:szCs w:val="18"/>
              </w:rPr>
            </w:pPr>
          </w:p>
        </w:tc>
        <w:tc>
          <w:tcPr>
            <w:tcW w:w="1147" w:type="dxa"/>
            <w:tcBorders>
              <w:top w:val="nil"/>
              <w:left w:val="nil"/>
              <w:bottom w:val="nil"/>
              <w:right w:val="nil"/>
            </w:tcBorders>
            <w:shd w:val="clear" w:color="auto" w:fill="auto"/>
            <w:noWrap/>
            <w:vAlign w:val="center"/>
          </w:tcPr>
          <w:p w14:paraId="429F6C11" w14:textId="77777777" w:rsidR="00306A9D" w:rsidRPr="00DE4DAD" w:rsidRDefault="00306A9D" w:rsidP="00E15313">
            <w:pPr>
              <w:rPr>
                <w:rStyle w:val="CommentReference"/>
                <w:rFonts w:ascii="Helvetica Neue" w:hAnsi="Helvetica Neue"/>
                <w:sz w:val="18"/>
                <w:szCs w:val="18"/>
              </w:rPr>
            </w:pPr>
          </w:p>
        </w:tc>
        <w:tc>
          <w:tcPr>
            <w:tcW w:w="4895" w:type="dxa"/>
            <w:tcBorders>
              <w:top w:val="nil"/>
              <w:left w:val="nil"/>
              <w:bottom w:val="nil"/>
              <w:right w:val="nil"/>
            </w:tcBorders>
            <w:shd w:val="clear" w:color="auto" w:fill="auto"/>
            <w:vAlign w:val="center"/>
          </w:tcPr>
          <w:p w14:paraId="7901A90E" w14:textId="77777777" w:rsidR="00306A9D" w:rsidRPr="00DE4DAD" w:rsidRDefault="00306A9D" w:rsidP="00E15313">
            <w:pPr>
              <w:rPr>
                <w:rFonts w:ascii="Helvetica Neue" w:hAnsi="Helvetica Neue"/>
                <w:sz w:val="18"/>
                <w:szCs w:val="18"/>
              </w:rPr>
            </w:pPr>
          </w:p>
        </w:tc>
      </w:tr>
      <w:tr w:rsidR="00E15313" w:rsidRPr="001B6BD3" w14:paraId="3ADE7CF0" w14:textId="77777777" w:rsidTr="001B1A34">
        <w:trPr>
          <w:trHeight w:val="259"/>
        </w:trPr>
        <w:tc>
          <w:tcPr>
            <w:tcW w:w="4142" w:type="dxa"/>
            <w:tcBorders>
              <w:top w:val="nil"/>
              <w:left w:val="nil"/>
              <w:right w:val="nil"/>
            </w:tcBorders>
            <w:shd w:val="clear" w:color="auto" w:fill="auto"/>
            <w:noWrap/>
            <w:vAlign w:val="center"/>
          </w:tcPr>
          <w:p w14:paraId="7F9097BC" w14:textId="7A4D79AA" w:rsidR="00E15313" w:rsidRPr="00DE4DAD" w:rsidRDefault="00E15313" w:rsidP="00E15313">
            <w:pPr>
              <w:rPr>
                <w:rFonts w:ascii="Helvetica Neue" w:hAnsi="Helvetica Neue" w:cs="Calibri"/>
                <w:b/>
                <w:color w:val="000000"/>
                <w:sz w:val="18"/>
                <w:szCs w:val="18"/>
              </w:rPr>
            </w:pPr>
            <w:r w:rsidRPr="00DE4DAD">
              <w:rPr>
                <w:rFonts w:ascii="Helvetica Neue" w:hAnsi="Helvetica Neue"/>
                <w:i/>
                <w:color w:val="000000"/>
                <w:sz w:val="18"/>
                <w:szCs w:val="18"/>
              </w:rPr>
              <w:t xml:space="preserve">   Neisseria </w:t>
            </w:r>
            <w:proofErr w:type="spellStart"/>
            <w:r w:rsidRPr="00DE4DAD">
              <w:rPr>
                <w:rFonts w:ascii="Helvetica Neue" w:hAnsi="Helvetica Neue"/>
                <w:i/>
                <w:color w:val="000000"/>
                <w:sz w:val="18"/>
                <w:szCs w:val="18"/>
              </w:rPr>
              <w:t>gonorrhoeae</w:t>
            </w:r>
            <w:proofErr w:type="spellEnd"/>
            <w:r w:rsidRPr="00DE4DAD">
              <w:rPr>
                <w:rFonts w:ascii="Helvetica Neue" w:hAnsi="Helvetica Neue"/>
                <w:i/>
                <w:color w:val="000000"/>
                <w:sz w:val="18"/>
                <w:szCs w:val="18"/>
              </w:rPr>
              <w:t xml:space="preserve"> </w:t>
            </w:r>
            <w:r w:rsidRPr="00DE4DAD">
              <w:rPr>
                <w:rFonts w:ascii="Helvetica Neue" w:hAnsi="Helvetica Neue"/>
                <w:color w:val="000000"/>
                <w:sz w:val="18"/>
                <w:szCs w:val="18"/>
              </w:rPr>
              <w:t>(NG)</w:t>
            </w:r>
          </w:p>
        </w:tc>
        <w:tc>
          <w:tcPr>
            <w:tcW w:w="996" w:type="dxa"/>
            <w:tcBorders>
              <w:top w:val="nil"/>
              <w:left w:val="nil"/>
              <w:right w:val="nil"/>
            </w:tcBorders>
            <w:shd w:val="clear" w:color="auto" w:fill="auto"/>
            <w:noWrap/>
            <w:vAlign w:val="center"/>
          </w:tcPr>
          <w:p w14:paraId="6919F8BC" w14:textId="3CA998DE"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1.0</w:t>
            </w:r>
          </w:p>
        </w:tc>
        <w:tc>
          <w:tcPr>
            <w:tcW w:w="1147" w:type="dxa"/>
            <w:tcBorders>
              <w:top w:val="nil"/>
              <w:left w:val="nil"/>
              <w:right w:val="nil"/>
            </w:tcBorders>
            <w:shd w:val="clear" w:color="auto" w:fill="auto"/>
            <w:noWrap/>
            <w:vAlign w:val="center"/>
          </w:tcPr>
          <w:p w14:paraId="246844CD" w14:textId="558CE1B7"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right w:val="nil"/>
            </w:tcBorders>
            <w:shd w:val="clear" w:color="auto" w:fill="auto"/>
          </w:tcPr>
          <w:p w14:paraId="4F2433A7" w14:textId="4E8B9BC3"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E15313" w:rsidRPr="001B6BD3" w14:paraId="6FDFFF98" w14:textId="77777777" w:rsidTr="001B1A34">
        <w:trPr>
          <w:trHeight w:val="259"/>
        </w:trPr>
        <w:tc>
          <w:tcPr>
            <w:tcW w:w="4142" w:type="dxa"/>
            <w:tcBorders>
              <w:top w:val="nil"/>
              <w:left w:val="nil"/>
              <w:bottom w:val="single" w:sz="4" w:space="0" w:color="auto"/>
              <w:right w:val="nil"/>
            </w:tcBorders>
            <w:shd w:val="clear" w:color="auto" w:fill="auto"/>
            <w:noWrap/>
            <w:vAlign w:val="center"/>
          </w:tcPr>
          <w:p w14:paraId="046BD2EA" w14:textId="2BC3E24A" w:rsidR="00E15313" w:rsidRPr="00DE4DAD" w:rsidRDefault="00E15313" w:rsidP="00E15313">
            <w:pPr>
              <w:rPr>
                <w:rFonts w:ascii="Helvetica Neue" w:hAnsi="Helvetica Neue" w:cs="Calibri"/>
                <w:b/>
                <w:color w:val="000000"/>
                <w:sz w:val="18"/>
                <w:szCs w:val="18"/>
              </w:rPr>
            </w:pPr>
            <w:r w:rsidRPr="00DE4DAD">
              <w:rPr>
                <w:rFonts w:ascii="Helvetica Neue" w:hAnsi="Helvetica Neue"/>
                <w:i/>
                <w:color w:val="000000"/>
                <w:sz w:val="18"/>
                <w:szCs w:val="18"/>
              </w:rPr>
              <w:t xml:space="preserve">   Chlamydia trachomatis</w:t>
            </w:r>
            <w:r w:rsidRPr="00DE4DAD">
              <w:rPr>
                <w:rFonts w:ascii="Helvetica Neue" w:hAnsi="Helvetica Neue"/>
                <w:color w:val="000000"/>
                <w:sz w:val="18"/>
                <w:szCs w:val="18"/>
              </w:rPr>
              <w:t xml:space="preserve"> (CT)</w:t>
            </w:r>
          </w:p>
        </w:tc>
        <w:tc>
          <w:tcPr>
            <w:tcW w:w="996" w:type="dxa"/>
            <w:tcBorders>
              <w:top w:val="nil"/>
              <w:left w:val="nil"/>
              <w:bottom w:val="single" w:sz="4" w:space="0" w:color="auto"/>
              <w:right w:val="nil"/>
            </w:tcBorders>
            <w:shd w:val="clear" w:color="auto" w:fill="auto"/>
            <w:noWrap/>
            <w:vAlign w:val="center"/>
          </w:tcPr>
          <w:p w14:paraId="378718AD" w14:textId="515A4062" w:rsidR="00E15313" w:rsidRPr="00DE4DAD" w:rsidRDefault="00E15313" w:rsidP="00E15313">
            <w:pPr>
              <w:rPr>
                <w:rFonts w:ascii="Helvetica Neue" w:hAnsi="Helvetica Neue"/>
                <w:sz w:val="18"/>
                <w:szCs w:val="18"/>
              </w:rPr>
            </w:pPr>
            <w:r w:rsidRPr="00DE4DAD">
              <w:rPr>
                <w:rFonts w:ascii="Helvetica Neue" w:hAnsi="Helvetica Neue"/>
                <w:color w:val="000000"/>
                <w:sz w:val="18"/>
                <w:szCs w:val="18"/>
              </w:rPr>
              <w:t>1.0</w:t>
            </w:r>
          </w:p>
        </w:tc>
        <w:tc>
          <w:tcPr>
            <w:tcW w:w="1147" w:type="dxa"/>
            <w:tcBorders>
              <w:top w:val="nil"/>
              <w:left w:val="nil"/>
              <w:bottom w:val="single" w:sz="4" w:space="0" w:color="auto"/>
              <w:right w:val="nil"/>
            </w:tcBorders>
            <w:shd w:val="clear" w:color="auto" w:fill="auto"/>
            <w:noWrap/>
            <w:vAlign w:val="center"/>
          </w:tcPr>
          <w:p w14:paraId="54CA6B21" w14:textId="528F9CC0" w:rsidR="00E15313" w:rsidRPr="00DE4DAD" w:rsidRDefault="00E15313" w:rsidP="00E15313">
            <w:pPr>
              <w:rPr>
                <w:rStyle w:val="CommentReference"/>
                <w:rFonts w:ascii="Helvetica Neue" w:hAnsi="Helvetica Neue"/>
                <w:sz w:val="18"/>
                <w:szCs w:val="18"/>
              </w:rPr>
            </w:pPr>
            <w:r w:rsidRPr="00DE4DAD">
              <w:rPr>
                <w:rStyle w:val="CommentReference"/>
                <w:rFonts w:ascii="Helvetica Neue" w:hAnsi="Helvetica Neue"/>
                <w:sz w:val="18"/>
                <w:szCs w:val="18"/>
              </w:rPr>
              <w:t>N/A</w:t>
            </w:r>
          </w:p>
        </w:tc>
        <w:tc>
          <w:tcPr>
            <w:tcW w:w="4895" w:type="dxa"/>
            <w:tcBorders>
              <w:top w:val="nil"/>
              <w:left w:val="nil"/>
              <w:bottom w:val="single" w:sz="4" w:space="0" w:color="auto"/>
              <w:right w:val="nil"/>
            </w:tcBorders>
            <w:shd w:val="clear" w:color="auto" w:fill="auto"/>
          </w:tcPr>
          <w:p w14:paraId="747CB95C" w14:textId="1C3DC9D5" w:rsidR="00E15313" w:rsidRPr="00DE4DAD" w:rsidRDefault="00E15313" w:rsidP="00E15313">
            <w:pPr>
              <w:rPr>
                <w:rFonts w:ascii="Helvetica Neue" w:hAnsi="Helvetica Neue"/>
                <w:sz w:val="18"/>
                <w:szCs w:val="18"/>
              </w:rPr>
            </w:pPr>
            <w:r w:rsidRPr="00DE4DAD">
              <w:rPr>
                <w:rFonts w:ascii="Helvetica Neue" w:hAnsi="Helvetica Neue" w:cs="Calibri"/>
                <w:color w:val="000000"/>
                <w:sz w:val="18"/>
                <w:szCs w:val="18"/>
              </w:rPr>
              <w:t>Assumption</w:t>
            </w:r>
          </w:p>
        </w:tc>
      </w:tr>
      <w:tr w:rsidR="00C90674" w:rsidRPr="001B6BD3" w14:paraId="40D5AAF0" w14:textId="77777777" w:rsidTr="00DE4DAD">
        <w:trPr>
          <w:trHeight w:val="70"/>
        </w:trPr>
        <w:tc>
          <w:tcPr>
            <w:tcW w:w="11180" w:type="dxa"/>
            <w:gridSpan w:val="4"/>
            <w:tcBorders>
              <w:top w:val="single" w:sz="4" w:space="0" w:color="auto"/>
              <w:left w:val="nil"/>
              <w:bottom w:val="nil"/>
              <w:right w:val="nil"/>
            </w:tcBorders>
            <w:shd w:val="clear" w:color="auto" w:fill="auto"/>
            <w:noWrap/>
            <w:vAlign w:val="center"/>
          </w:tcPr>
          <w:p w14:paraId="5B767603" w14:textId="77777777" w:rsidR="00C90674" w:rsidRPr="00DE4DAD" w:rsidRDefault="00C90674" w:rsidP="00306A9D">
            <w:pPr>
              <w:rPr>
                <w:rFonts w:ascii="Helvetica Neue" w:hAnsi="Helvetica Neue"/>
                <w:sz w:val="18"/>
                <w:szCs w:val="18"/>
              </w:rPr>
            </w:pPr>
            <w:r w:rsidRPr="00DE4DAD">
              <w:rPr>
                <w:rFonts w:ascii="Helvetica Neue" w:hAnsi="Helvetica Neue"/>
                <w:sz w:val="18"/>
                <w:szCs w:val="18"/>
              </w:rPr>
              <w:t xml:space="preserve">EPT Data Sources: </w:t>
            </w:r>
            <w:r w:rsidRPr="00DE4DAD">
              <w:rPr>
                <w:rFonts w:ascii="Helvetica Neue" w:hAnsi="Helvetica Neue"/>
                <w:sz w:val="18"/>
                <w:szCs w:val="18"/>
              </w:rPr>
              <w:fldChar w:fldCharType="begin" w:fldLock="1"/>
            </w:r>
            <w:r w:rsidRPr="00DE4DAD">
              <w:rPr>
                <w:rFonts w:ascii="Helvetica Neue" w:hAnsi="Helvetica Neue"/>
                <w:sz w:val="18"/>
                <w:szCs w:val="18"/>
              </w:rPr>
              <w:instrText>ADDIN CSL_CITATION {"citationItems":[{"id":"ITEM-1","itemData":{"DOI":"10.1097/01.olq.0000225322.94613.c2","ISSN":"0148-5717","author":[{"dropping-particle":"","family":"Rogers","given":"Meighan E.","non-dropping-particle":"","parse-names":false,"suffix":""},{"dropping-particle":"","family":"Opdyke","given":"Kelly M.","non-dropping-particle":"","parse-names":false,"suffix":""},{"dropping-particle":"","family":"Blank","given":"Susan","non-dropping-particle":"","parse-names":false,"suffix":""},{"dropping-particle":"","family":"Schillinger","given":"Julia A.","non-dropping-particle":"","parse-names":false,"suffix":""}],"container-title":"Sexually Transmitted Diseases","id":"ITEM-1","issue":"2","issued":{"date-parts":[["2007","2"]]},"page":"88-92","title":"Patient-Delivered Partner Treatment and Other Partner Management Strategies for Sexually Transmitted Diseases Used by New York City Healthcare Providers","type":"article-journal","volume":"34"},"uris":["http://www.mendeley.com/documents/?uuid=e631a41b-66c9-3737-a0d6-107d8ac7e2da"]},{"id":"ITEM-2","itemData":{"DOI":"10.1097/01.olq.0000258319.54316.06","ISSN":"0148-5717","author":[{"dropping-particle":"","family":"Golden","given":"Matthew R.","non-dropping-particle":"","parse-names":false,"suffix":""},{"dropping-particle":"","family":"Hughes","given":"James P","non-dropping-particle":"","parse-names":false,"suffix":""},{"dropping-particle":"","family":"Brewer","given":"Devon D.","non-dropping-particle":"","parse-names":false,"suffix":""},{"dropping-particle":"","family":"Holmes","given":"King K.","non-dropping-particle":"","parse-names":false,"suffix":""},{"dropping-particle":"","family":"Whittington","given":"William L.H.","non-dropping-particle":"","parse-names":false,"suffix":""},{"dropping-particle":"","family":"Hogben","given":"Matthew","non-dropping-particle":"","parse-names":false,"suffix":""},{"dropping-particle":"","family":"Malinski","given":"Cheryl","non-dropping-particle":"","parse-names":false,"suffix":""},{"dropping-particle":"","family":"Golding","given":"Anne","non-dropping-particle":"","parse-names":false,"suffix":""},{"dropping-particle":"","family":"Handsfield","given":"H. Hunter","non-dropping-particle":"","parse-names":false,"suffix":""}],"container-title":"Sexually Transmitted Diseases","id":"ITEM-2","issued":{"date-parts":[["2007","3"]]},"title":"Evaluation of a Population-Based Program of Expedited Partner Therapy for Gonorrhea and Chlamydial Infection","type":"article-journal","volume":"PAP"},"uris":["http://www.mendeley.com/documents/?uuid=c53e9c80-8856-3195-a13e-c2dc33c73d88"]},{"id":"ITEM-3","itemData":{"PMID":"26793265","abstract":"Pre-Exposure Prophylaxis (PrEP) has shown high efficacy in preventing human immunodeficiency virus (HIV) infection among men who have sex with men (MSM) in several large clinical trials, and more recently in \"real world\" reports of clinical implementation and a PrEP demonstration project. Those studies also demonstrated high bacterial sexually transmitted infection (STI) incidence and raised the discussion of how PrEP may impact STI control efforts, especially in the setting of increasing Neisseria gonorrhoeae antimicrobial resistance and the increase in syphilis cases among MSM. Here, we discuss STIs as a driver of HIV transmission risk among MSM, and the potential opportunities and challenges for STI control afforded by expanded PrEP implementation among high-risk MSM.","author":[{"dropping-particle":"","family":"Scott","given":"Hyman M","non-dropping-particle":"","parse-names":false,"suffix":""},{"dropping-particle":"","family":"Klausner","given":"Jeffrey D","non-dropping-particle":"","parse-names":false,"suffix":""}],"container-title":"AIDS Research and Therapy","id":"ITEM-3","issued":{"date-parts":[["2016"]]},"page":"5","publisher":"BioMed Central","title":"Sexually transmitted infections and pre-exposure prophylaxis: challenges and opportunities among men who have sex with men in the US.","type":"article-journal","volume":"13"},"uris":["http://www.mendeley.com/documents/?uuid=a8e3258c-da6b-4ef0-b3a3-b693b36d99eb"]},{"id":"ITEM-4","itemData":{"ISSN":"1537-4521","PMID":"20393383","abstract":"BACKGROUND The incidence of syphilis infections has been substantially increasing in gay men in the developed world. METHODS We developed an individual-based mathematical model describing syphilis transmission within a gay male population: we used the model to simulate the expected relative impact of numerous screening and treatment interventions, targeting different at-risk groups with various coverage and frequency rates and follow-up schedules. RESULTS The model predicts that increasing the proportion of gay men tested each year would have a relatively modest impact on syphilis incidence. However, increasing the frequency of testing can have a large impact, with the prevalence of syphilis reduced substantially if individuals are tested every 3 months. Targeting frequent screening at gay men who have large numbers of partners or who engage in group sex is a more efficient way of reducing syphilis epidemics. Contact tracing the regular partners of infected individuals is the most efficient intervention and can have a significant epidemiological impact with relatively high coverage rates. CONCLUSIONS Increasing the frequency of testing and treatment are required to mitigate syphilis epidemics. Notifying and testing partners of infected men should occur where possible but the high rates required to reverse epidemic trends are likely to be infeasible. Contact tracing should be a secondary priority that is coupled with increases in the frequency of testing in the population. Encouraging testing among men not previously tested for syphilis is also recommended.","author":[{"dropping-particle":"","family":"Gray","given":"Richard T","non-dropping-particle":"","parse-names":false,"suffix":""},{"dropping-particle":"","family":"Hoare","given":"Alexander","non-dropping-particle":"","parse-names":false,"suffix":""},{"dropping-particle":"","family":"Prestage","given":"Garrett P","non-dropping-particle":"","parse-names":false,"suffix":""},{"dropping-particle":"","family":"Donovan","given":"Basil","non-dropping-particle":"","parse-names":false,"suffix":""},{"dropping-particle":"","family":"Kaldor","given":"John M","non-dropping-particle":"","parse-names":false,"suffix":""},{"dropping-particle":"","family":"Wilson","given":"David P","non-dropping-particle":"","parse-names":false,"suffix":""}],"container-title":"Sex Transm Dis","id":"ITEM-4","issue":"5","issued":{"date-parts":[["2010","5"]]},"page":"298-305","title":"Frequent testing of highly sexually active gay men is required to control syphilis.","type":"article-journal","volume":"37"},"uris":["http://www.mendeley.com/documents/?uuid=7bc19522-49a0-420b-ae2f-ba000dc758db"]},{"id":"ITEM-5","itemData":{"DOI":"10.1080/14787210.2016.1236683","ISSN":"1744-8336","PMID":"27626361","abstract":"INTRODUCTION Syphilis and human immunodeficiency virus (HIV) coinfection disproportionately affects men who have sex with men (MSM), and the rate of coinfection has been increasing over the last decade. HIV and syphilis coinfection is particularly challenging because the infections interact synergistically thereby increasing the risk of acquisition and transmission as well as accelerating disease progression. Areas covered: This paper reviews and summarizes the epidemiology, pathogenesis, diagnosis, clinical management and prevention of HIV and syphilis coinfection among MSM. Expert commentary: Research does not support a different syphilis treatment for coinfected individuals; however, coinfection may warrant a recommendation for antiretroviral therapy. In order to reverse the epidemic of syphilis and HIV coinfection, there needs to be greater awareness, improved cultural sensitivity among health care providers, improved access to preventative services and increased screening for syphilis and HIV.","author":[{"dropping-particle":"","family":"Roberts","given":"Chelsea P","non-dropping-particle":"","parse-names":false,"suffix":""},{"dropping-particle":"","family":"Klausner","given":"Jeffrey D","non-dropping-particle":"","parse-names":false,"suffix":""}],"container-title":"Expert review of anti-infective therapy","id":"ITEM-5","issue":"11","issued":{"date-parts":[["2016","11"]]},"page":"1037-1046","title":"Global challenges in human immunodeficiency virus and syphilis coinfection among men who have sex with men.","type":"article-journal","volume":"14"},"uris":["http://www.mendeley.com/documents/?uuid=a01fbde8-2113-418f-b95a-588fc9a8e15b"]},{"id":"ITEM-6","itemData":{"DOI":"10.1002/14651858.CD002843.pub2","author":[{"dropping-particle":"","family":"Ferreira","given":"Adel","non-dropping-particle":"","parse-names":false,"suffix":""},{"dropping-particle":"","family":"Young","given":"Taryn","non-dropping-particle":"","parse-names":false,"suffix":""},{"dropping-particle":"","family":"Mathews","given":"Catherine","non-dropping-particle":"","parse-names":false,"suffix":""},{"dropping-particle":"","family":"Zunza","given":"Moleen","non-dropping-particle":"","parse-names":false,"suffix":""},{"dropping-particle":"","family":"Low","given":"Nicola","non-dropping-particle":"","parse-names":false,"suffix":""}],"container-title":"Cochrane Database of Systematic Reviews","editor":[{"dropping-particle":"","family":"Low","given":"Nicola","non-dropping-particle":"","parse-names":false,"suffix":""}],"id":"ITEM-6","issued":{"date-parts":[["2013","10","3"]]},"publisher":"John Wiley &amp; Sons, Ltd","publisher-place":"Chichester, UK","title":"Strategies for partner notification for sexually transmitted infections, including HIV","type":"article-journal"},"uris":["http://www.mendeley.com/documents/?uuid=4ca3b694-468f-33ae-a42a-c112d4318abe"]},{"id":"ITEM-7","itemData":{"DOI":"10.1089/apc.2016.0027","ISSN":"1087-2914","author":[{"dropping-particle":"","family":"Katz","given":"David A.","non-dropping-particle":"","parse-names":false,"suffix":""},{"dropping-particle":"","family":"Dombrowski","given":"Julia C.","non-dropping-particle":"","parse-names":false,"suffix":""},{"dropping-particle":"","family":"Kerani","given":"Roxanne P.","non-dropping-particle":"","parse-names":false,"suffix":""},{"dropping-particle":"","family":"Aubin","given":"Mark R.","non-dropping-particle":"","parse-names":false,"suffix":""},{"dropping-particle":"","family":"Kern","given":"David A.","non-dropping-particle":"","parse-names":false,"suffix":""},{"dropping-particle":"","family":"Heal","given":"David D.","non-dropping-particle":"","parse-names":false,"suffix":""},{"dropping-particle":"","family":"Bell","given":"Teal R.","non-dropping-particle":"","parse-names":false,"suffix":""},{"dropping-particle":"","family":"Golden","given":"Matthew R.","non-dropping-particle":"","parse-names":false,"suffix":""}],"container-title":"AIDS Patient Care and STDs","id":"ITEM-7","issue":"5","issued":{"date-parts":[["2016","5"]]},"page":"208-214","title":"Integrating HIV Testing as an Outcome of STD Partner Services for Men Who Have Sex with Men","type":"article-journal","volume":"30"},"uris":["http://www.mendeley.com/documents/?uuid=9fd80757-6f33-3de1-a16f-12b9ee44fd03"]},{"id":"ITEM-8","itemData":{"URL":"http://www.cdc.gov/std/ept/legal/default.htm","accessed":{"date-parts":[["2018","10","4"]]},"author":[{"dropping-particle":"","family":"Centers for Disease Control and Prevention","given":"","non-dropping-particle":"","parse-names":false,"suffix":""}],"id":"ITEM-8","issued":{"date-parts":[["0"]]},"title":"Legal Status of Expedited Partner Therapy","type":"webpage"},"uris":["http://www.mendeley.com/documents/?uuid=79d77e59-889a-3466-a047-9c0630bdee8a"]},{"id":"ITEM-9","itemData":{"DOI":"10.2174/1874613620130614002","ISSN":"1874-6136","PMID":"24078858","abstract":"BACKGROUND Delay in seeking care for sexually transmitted diseases (STDs) has adverse consequences for both the individual and population. We sought to identify factors associated with delay in seeking care for STDs. METHODS Subjects included 300 young men and women (aged 15-24) attending an urban STD clinic for a new STD-related problem due to symptoms or referral for an STD screening. Subjects completed a structured interview that evaluated STD history, attitudes and beliefs about STDs, depression, substance use, and other factors possibly associated with delay. Delay was defined as waiting &gt; 7 days to seek and obtain care for STDs. RESULTS Nearly one-third of participants delayed seeking care for &gt; 7 days. Significant predictors for delay included self-referral for symptoms as the reason for visit (OR 5.3, 95% CI: 2.58 - 10.98), and the beliefs \"my partner would blame me if I had an STD\" (OR 2.44, 95% CI: 1.30 - 4.60) and \"it's hard to find time to get checked for STDs\" (OR 3.62, 95% CI: 1.95 - 6.69), after adjusting for age, race, sex, and other factors. Agreeing with the statement \"would use a STD test at home if one were available\" was associated with a decrease in delay (OR 0.24, 95% CI: 0.09 - 0.60). CONCLUSIONS Many young persons delay seeking care for STDs for a number of reasons. Strategies to improve STD care-seeking include encouragement of symptomatic persons to seek medical care more rapidly, reduction of social stigmas, and improved access to testing options.","author":[{"dropping-particle":"","family":"Malek","given":"Angela M","non-dropping-particle":"","parse-names":false,"suffix":""},{"dropping-particle":"","family":"Chang","given":"Chung-Chou H","non-dropping-particle":"","parse-names":false,"suffix":""},{"dropping-particle":"","family":"Clark","given":"Duncan B","non-dropping-particle":"","parse-names":false,"suffix":""},{"dropping-particle":"","family":"Cook","given":"Robert L","non-dropping-particle":"","parse-names":false,"suffix":""}],"container-title":"The open AIDS journal","id":"ITEM-9","issued":{"date-parts":[["2013"]]},"page":"7-13","title":"Delay in Seeking Care for Sexually Transmitted Diseases in Young Men and Women Attending a Public STD Clinic.","type":"article-journal","volume":"7"},"uris":["http://www.mendeley.com/documents/?uuid=ef8dd65c-3c91-384c-93d4-bf488ac912fd"]},{"id":"ITEM-10","itemData":{"DOI":"10.1097/OLQ.0b013e31822e9192","ISSN":"1537-4521","PMID":"21992986","abstract":"BACKGROUND Partner treatment is an important component of sexually transmitted disease control. Several randomized controlled trials have compared expedited partner treatment (EPT) to unassisted standard partner referral (SR). All of these trials found that EPT significantly increased partner treatment over SR, whereas some found that EPT significantly lowered reinfection rates in index patients. METHODS We collected cost data to assess the payer-specific, health care system, and societal-level cost of EPT and SR. We used data on partner treatment and index patient reinfection rates from 2 randomized controlled trials examining EPT and SR for patients diagnosed with chlamydia or gonorrhea. Additional elements were estimated or drawn from the literature. We used a Monte Carlo simulation to assess the impact on cost and effectiveness of varying several variables simultaneously, and calculated threshold values for selected variables at which EPT and SR costs per patient were equal. RESULTS From a health care system or societal perspective, EPT was less costly and it treated more partners than SR. From the perspective of an individual payer, EPT was less costly than SR if ≥32% to 37% of male index patients' female partners or ≥29% of female index patients' male partners received care from the same payer. CONCLUSIONS EPT has a lower cost from a societal or health care system perspective than SR and treats more partners. Individual payers may find EPT to be more costly than SR, depending on how many of their patients' partners receive care from the same payer.","author":[{"dropping-particle":"","family":"Gift","given":"Thomas L","non-dropping-particle":"","parse-names":false,"suffix":""},{"dropping-particle":"","family":"Kissinger","given":"Patricia","non-dropping-particle":"","parse-names":false,"suffix":""},{"dropping-particle":"","family":"Mohammed","given":"Hamish","non-dropping-particle":"","parse-names":false,"suffix":""},{"dropping-particle":"","family":"Leichliter","given":"Jami S","non-dropping-particle":"","parse-names":false,"suffix":""},{"dropping-particle":"","family":"Hogben","given":"Matthew","non-dropping-particle":"","parse-names":false,"suffix":""},{"dropping-particle":"","family":"Golden","given":"Matthew R","non-dropping-particle":"","parse-names":false,"suffix":""}],"container-title":"Sexually transmitted diseases","id":"ITEM-10","issue":"11","issued":{"date-parts":[["2011","11"]]},"page":"1067-73","title":"The cost and cost-effectiveness of expedited partner therapy compared with standard partner referral for the treatment of chlamydia or gonorrhea.","type":"article-journal","volume":"38"},"uris":["http://www.mendeley.com/documents/?uuid=4eeec641-58bf-3a80-9d3e-c5d6d9b87eb4"]},{"id":"ITEM-11","itemData":{"DOI":"10.1097/OLQ.0b013e31827adc06","ISSN":"1537-4521","PMID":"23324981","abstract":"BACKGROUND Little is known about how men who have sex with men (MSM) exposed to a sexually transmitted infection respond to receiving patient-delivered partner therapy (PDPT) or electronic partner notification postcards (e-cards). METHODS We anonymously surveyed MSM in a sexually transmitted disease (STD) clinic and a private medical practice. Three scenarios were presented in which participants had oral or anal sex with a new partner and were subsequently notified of a chlamydia or gonorrhea exposure and offered PDPT by the partner. A fourth scenario described partner notification via an anonymous inSPOT e-card. We asked participants if they would see a doctor, test for HIV/STD, and/or notify other partners in each situation. RESULTS Among 198 MSM, the percentage indicating that they would seek a medical evaluation was higher when scenarios described proctitis (97%-98%) versus pharyngitis (84%) or no symptoms (84%-89%). In the absence of symptoms, men indicated that they would be less likely to seek care (62% vs. 84%-88%, P &lt; 0.0001) and notify partners (85% vs. 69%, P &lt; 0.0001) if notified via an anonymous e-card than if notified directly by a partner. Approximately half reported that they would use PDPT provided by a partner. In the absence of symptoms, men who indicated that they would use PDPT reported that they would seek medical care less frequently than men who indicated that they would not take PDPT (74% vs. 92% [P = 0.0007 for oral sex exposure] 82% vs. 94%-94% [P = 0.01 or unprotected anal sex exposure]). CONCLUSIONS Although many MSM express interest in using PDPT and anonymous e-cards, these methods may result in missed opportunities to test for HIV and other STDs.","author":[{"dropping-particle":"","family":"Kerani","given":"Roxanne Pieper","non-dropping-particle":"","parse-names":false,"suffix":""},{"dropping-particle":"","family":"Fleming","given":"Mark","non-dropping-particle":"","parse-names":false,"suffix":""},{"dropping-particle":"","family":"Golden","given":"Matthew Robert","non-dropping-particle":"","parse-names":false,"suffix":""}],"container-title":"Sexually transmitted diseases","id":"ITEM-11","issue":"2","issued":{"date-parts":[["2013","2"]]},"page":"179-85","title":"Acceptability and intention to seek medical care after hypothetical receipt of patient-delivered partner therapy or electronic partner notification postcards among men who have sex with men: the partner's perspective.","type":"article-journal","volume":"40"},"uris":["http://www.mendeley.com/documents/?uuid=806f32a6-a211-34a4-b6d9-221223c4481c"]},{"id":"ITEM-12","itemData":{"DOI":"10.1097/OLQ.0b013e3181d012e0","ISSN":"0148-5717","author":[{"dropping-particle":"","family":"Bilardi","given":"Jade E.","non-dropping-particle":"","parse-names":false,"suffix":""},{"dropping-particle":"","family":"Fairley","given":"Christopher K.","non-dropping-particle":"","parse-names":false,"suffix":""},{"dropping-particle":"","family":"Hopkins","given":"Carol A.","non-dropping-particle":"","parse-names":false,"suffix":""},{"dropping-particle":"","family":"Hocking","given":"Jane S.","non-dropping-particle":"","parse-names":false,"suffix":""},{"dropping-particle":"","family":"Temple-Smith","given":"Meredith J.","non-dropping-particle":"","parse-names":false,"suffix":""},{"dropping-particle":"","family":"Bowden","given":"Francis J.","non-dropping-particle":"","parse-names":false,"suffix":""},{"dropping-particle":"","family":"Russell","given":"Darren B.","non-dropping-particle":"","parse-names":false,"suffix":""},{"dropping-particle":"","family":"Pitts","given":"Marian","non-dropping-particle":"","parse-names":false,"suffix":""},{"dropping-particle":"","family":"Tomnay","given":"Jane E.","non-dropping-particle":"","parse-names":false,"suffix":""},{"dropping-particle":"","family":"Parker","given":"Rhian M.","non-dropping-particle":"","parse-names":false,"suffix":""},{"dropping-particle":"","family":"Pavlin","given":"Natasha L.","non-dropping-particle":"","parse-names":false,"suffix":""},{"dropping-particle":"","family":"Chen","given":"Marcus Y.","non-dropping-particle":"","parse-names":false,"suffix":""}],"container-title":"Sexually Transmitted Diseases","id":"ITEM-12","issue":"4","issued":{"date-parts":[["2010","2"]]},"page":"253-258","title":"Experiences and Outcomes of Partner Notification Among Men and Women Recently Diagnosed With Chlamydia and Their Views on Innovative Resources Aimed at Improving Notification Rates","type":"article-journal","volume":"37"},"uris":["http://www.mendeley.com/documents/?uuid=525d117c-b9fb-3e49-891b-ffe2c1654cd3"]},{"id":"ITEM-13","itemData":{"DOI":"10.1097/OLQ.0b013e3181761993","ISSN":"1537-4521","PMID":"18580822","author":[{"dropping-particle":"","family":"McNulty","given":"Anna","non-dropping-particle":"","parse-names":false,"suffix":""},{"dropping-particle":"","family":"Teh","given":"Min Fuh","non-dropping-particle":"","parse-names":false,"suffix":""},{"dropping-particle":"","family":"Freedman","given":"Ellie","non-dropping-particle":"","parse-names":false,"suffix":""}],"container-title":"Sexually transmitted diseases","id":"ITEM-13","issue":"9","issued":{"date-parts":[["2008","9"]]},"page":"834-6","title":"Patient delivered partner therapy for chlamydial infection--what would be missed?","type":"article-journal","volume":"35"},"uris":["http://www.mendeley.com/documents/?uuid=961f96b3-8b6f-3550-bf7e-979d23c20bd2"]},{"id":"ITEM-14","itemData":{"ISSN":"0148-5717","PMID":"15788928","abstract":"BACKGROUND Treatment of sex partners by patient-delivered partner therapy (PDPT) may prove to be an effective strategy in reducing reinfection and preventing the sequelae of sexually transmitted infections (STIs). However, limited data exists regarding STIs within sexual partnerships (dyads). OBJECTIVE The objective of this study was to determine the prevalence of Chlamydia trachomatis (CT), Neisseria gonorrhoeae (GC), and Trichomonas vaginalis (TV) in sexual dyads to estimate the potential yield and limitations of PDPT. METHODS Male and female STI clinic attendees were invited to participate. Index subjects and partners were interviewed and tested for CT, GC, and TV. All partners were sought regardless of infection status of the index subject. RESULTS Of 210 dyads, the prevalence in index subjects was CT, 46%; GC, 18%; and TV, 14%. Considering the partners of 72 CT-only-infected index subjects, 57% had CT, 6% had GC, and 11% had TV. Considering the partners of 35 index subjects with GC or GC-CT coinfection, 57% had GC and/or CT; however, in 20% of partners, unsuspected TV was present. Among 74 dyads with uninfected index subjects, 26% of partners had an STI. Among the partners of 19 index subjects with TV only, 11% had CT, 5% had GC, and 37% had TV. CONCLUSION In our clinic population, a substantial number of partners had infections different from or in addition to those infections in the index. Many of these infected partners would not be diagnosed and treated using PDPT. Partners of index attendees without detected infection were at high risk (26%) for STI, mostly CT.","author":[{"dropping-particle":"","family":"Khan","given":"Ayesha","non-dropping-particle":"","parse-names":false,"suffix":""},{"dropping-particle":"","family":"Fortenberry","given":"J Dennis","non-dropping-particle":"","parse-names":false,"suffix":""},{"dropping-particle":"","family":"Juliar","given":"Beth E","non-dropping-particle":"","parse-names":false,"suffix":""},{"dropping-particle":"","family":"Tu","given":"Wanzhu","non-dropping-particle":"","parse-names":false,"suffix":""},{"dropping-particle":"","family":"Orr","given":"Donald P","non-dropping-particle":"","parse-names":false,"suffix":""},{"dropping-particle":"","family":"Batteiger","given":"Byron E","non-dropping-particle":"","parse-names":false,"suffix":""}],"container-title":"Sexually transmitted diseases","id":"ITEM-14","issue":"4","issued":{"date-parts":[["2005","4"]]},"page":"260-4","title":"The prevalence of chlamydia, gonorrhea, and trichomonas in sexual partnerships: implications for partner notification and treatment.","type":"article-journal","volume":"32"},"uris":["http://www.mendeley.com/documents/?uuid=7178df5d-9986-305f-80e2-054e9154d257"]},{"id":"ITEM-15","itemData":{"DOI":"10.1097/OLQ.0b013e3181e1a296","ISSN":"1537-4521","PMID":"20601929","abstract":"BACKGROUND Expedited partner therapy (EPT) has been shown to reduce the risk of persistent or recurrent gonorrhea and chlamydial infection in heterosexuals, and to increase the proportion of sex partners receiving treatment. The objective of this analysis was to evaluate the consistency of EPT's effect across sociodemographic and behavioral subgroups. METHODS Subset analyses from a randomized controlled trial compared EPT to standard partner referral (SPR) in sociodemographic and behaviorally defined subgroups. Outcomes included persistent or recurrent infection in study participants and participants' report that their partners received treatment. RESULTS Reinfection risk was lower among EPT recipients than nonrecipients in 21 of 22 subgroups, with relative risks (RRs) varying from 0.4 to 0.94. Compared to persons receiving SPR, persons receiving EPT were more likely to report that their partners were very likely to have been treated in 33 of 34 subgroups (RRs range, 1.03-1.36). Although EPT reduced the risk of persistent or recurrent infection somewhat more in men (RR, 0.56; 95% CI, 0.3-1.08) than in women (RR, 0.81; 95% CI, 0.61-1.07) and more in persons with gonorrhea (RR, 0.32; 95% CI, 0.13-0.78) than those with chlamydial infection (RR, 0.82; 95% CI, 0.63-1.07), the RR of partners being treated associated with EPT was similar in men (RR, 1.21; 95% CI, 1.05-1.39) and women (RR, 1.18; 95% CI, 1.10-1.27), and also in persons with gonorrhea (RR, 1.33; 95% CI, 0.80-2.23) and chlamydial infection (RR, 1.33; 95% CI, 1.07-1.66). CONCLUSIONS In this study, EPT is shown to be superior to SPR across a wide spectrum of sociodemographic and behaviorally defined subgroups.","author":[{"dropping-particle":"","family":"Shiely","given":"Frances","non-dropping-particle":"","parse-names":false,"suffix":""},{"dropping-particle":"","family":"Hayes","given":"Kevin","non-dropping-particle":"","parse-names":false,"suffix":""},{"dropping-particle":"","family":"Thomas","given":"Katherine K","non-dropping-particle":"","parse-names":false,"suffix":""},{"dropping-particle":"","family":"Kerani","given":"Roxanne P","non-dropping-particle":"","parse-names":false,"suffix":""},{"dropping-particle":"","family":"Hughes","given":"James P","non-dropping-particle":"","parse-names":false,"suffix":""},{"dropping-particle":"","family":"Whittington","given":"William L H","non-dropping-particle":"","parse-names":false,"suffix":""},{"dropping-particle":"","family":"Holmes","given":"King K","non-dropping-particle":"","parse-names":false,"suffix":""},{"dropping-particle":"","family":"Handsfield","given":"H Hunter","non-dropping-particle":"","parse-names":false,"suffix":""},{"dropping-particle":"","family":"Hogben","given":"Matthew","non-dropping-particle":"","parse-names":false,"suffix":""},{"dropping-particle":"","family":"Golden","given":"Matthew R","non-dropping-particle":"","parse-names":false,"suffix":""}],"container-title":"Sexually transmitted diseases","id":"ITEM-15","issue":"10","issued":{"date-parts":[["2010","10"]]},"page":"602-7","title":"Expedited partner therapy: a robust intervention.","type":"article-journal","volume":"37"},"uris":["http://www.mendeley.com/documents/?uuid=c9557981-b7fb-3c24-b57f-ef8ab7db3eb1"]},{"id":"ITEM-16","itemData":{"DOI":"10.1097/OLQ.0b013e3181a4d147","ISSN":"1537-4521","PMID":"19617870","author":[{"dropping-particle":"","family":"Kissinger","given":"Patricia J","non-dropping-particle":"","parse-names":false,"suffix":""},{"dropping-particle":"","family":"Reilly","given":"Kathleen","non-dropping-particle":"","parse-names":false,"suffix":""},{"dropping-particle":"","family":"Taylor","given":"Stephanie N","non-dropping-particle":"","parse-names":false,"suffix":""},{"dropping-particle":"","family":"Leichliter","given":"Jami S","non-dropping-particle":"","parse-names":false,"suffix":""},{"dropping-particle":"","family":"Rosenthal","given":"Susan","non-dropping-particle":"","parse-names":false,"suffix":""},{"dropping-particle":"","family":"Martin","given":"David H","non-dropping-particle":"","parse-names":false,"suffix":""}],"container-title":"Sexually transmitted diseases","id":"ITEM-16","issue":"8","issued":{"date-parts":[["2009","8"]]},"page":"498-500","publisher":"NIH Public Access","title":"Early repeat Chlamydia trachomatis and Neisseria gonorrhoeae infections among heterosexual men.","type":"article-journal","volume":"36"},"uris":["http://www.mendeley.com/documents/?uuid=d1602b71-deaf-37ce-92e9-db578105f0dc"]},{"id":"ITEM-17","itemData":{"DOI":"10.1136/sextrans-2011-050229","ISSN":"1472-3263","PMID":"22110152","author":[{"dropping-particle":"","family":"Bell","given":"Gill","non-dropping-particle":"","parse-names":false,"suffix":""},{"dropping-particle":"","family":"Potterat","given":"John","non-dropping-particle":"","parse-names":false,"suffix":""}],"container-title":"Sexually transmitted infections","id":"ITEM-17","issue":"Suppl 2","issued":{"date-parts":[["2011","12"]]},"page":"ii34-6","publisher":"BMJ Publishing Group Ltd","title":"Partner notification for sexually transmitted infections in the modern world: a practitioner perspective on challenges and opportunities.","type":"article-journal","volume":"87 Suppl 2"},"uris":["http://www.mendeley.com/documents/?uuid=4be2c785-b0cc-3240-bd0e-726e683318b2"]},{"id":"ITEM-18","itemData":{"DOI":"10.1097/OLQ.0b013e3181d8920f","ISSN":"1537-4521","PMID":"20502392","abstract":"BACKGROUND Patient-delivered partner therapy (PDPT) has been evaluated in randomized trials. No analysis has examined the impact of PDPT once implemented programmatically. METHODS We examined the association between receiving PDPT and Chlamydia trachomatis and Neisseria gonorrhoeae reinfection within 1 year in patients diagnosed at San Francisco City Clinic between October 31, 2005 and March 31, 2008. Propensity score modeling was used to control for the difference between persons who did and did not receive PDPT. RESULTS There was no significant difference between patients who received PDPT and those that did not in the crude cumulative risk for repeat infection with C. trachomatis or N. gonorrhoeae. Using propensity score analysis, the adjusted relative risk was 0.99 (0.86-1.14) for chlamydial reinfection and 0.90 (0.72-1.11) for gonococcal reinfection. Further analysis looking at men who have sex with men, men who have sex with women, and females showed no significant reductions in relative risk of reinfection for C. trachomatis or N. gonorrhoeae in these sub populations. CONCLUSIONS Continued evaluation of PDPT on reinfection rates in real world settings as well as cost-effectiveness analyses of PDPT are needed to assess this alternative method of partner treatment.","author":[{"dropping-particle":"","family":"Stephens","given":"Sally C","non-dropping-particle":"","parse-names":false,"suffix":""},{"dropping-particle":"","family":"Bernstein","given":"Kyle T","non-dropping-particle":"","parse-names":false,"suffix":""},{"dropping-particle":"","family":"Katz","given":"Mitchell H","non-dropping-particle":"","parse-names":false,"suffix":""},{"dropping-particle":"","family":"Philip","given":"Susan S","non-dropping-particle":"","parse-names":false,"suffix":""},{"dropping-particle":"","family":"Klausner","given":"Jeffrey D","non-dropping-particle":"","parse-names":false,"suffix":""}],"container-title":"Sexually transmitted diseases","id":"ITEM-18","issue":"8","issued":{"date-parts":[["2010","8"]]},"page":"525-9","title":"The effectiveness of patient-delivered partner therapy and chlamydial and gonococcal reinfection in San Francisco.","type":"article-journal","volume":"37"},"uris":["http://www.mendeley.com/documents/?uuid=6e4df939-2c21-39bc-b781-0d0d74d7345b"]},{"id":"ITEM-19","itemData":{"ISSN":"0148-5717","PMID":"12514443","abstract":"BACKGROUND Repeated infection with C trachomatis increases the risk for serious sequelae: pelvic inflammatory disease, ectopic pregnancy, infertility, and chronic pelvic pain. A substantial proportion of women treated for C trachomatis infection are reinfected by an untreated male sex partner in the first several months after treatment. Effective strategies to ensure partner treatment are needed. GOAL The goal of the study was to determine whether repeated infections with C trachomatis can be reduced by giving women doses of azithromycin to deliver to male sex partners. STUDY DESIGN A multicenter randomized controlled trial was conducted among 1,787 women aged 14 to 34 years with uncomplicated C trachomatis genital infection diagnosed at family planning, adolescent, sexually transmitted disease, and primary care clinics or emergency or other hospital departments in five US cities. Women treated for infection were randomized to one of two groups: patient-delivered partner treatment (in which they were given a dose of azithromycin to deliver to each sex partner) or self-referral (in which they were asked to refer their sex partners for treatment). The main outcome measure was C trachomatis DNA detected by urine ligase chain reaction (LCR) or polymerase chain reaction (PCR) by 4 months after treatment. RESULTS The characteristics of study participants enrolled in each arm were similar except for a small difference in the age distribution. Risk of reinfection was 20% lower among women in the patient-delivered partner treatment arm (87/728; 12%) than among those in the self-referral arm (106/726; 15%); however, this difference was not statistically significant (odds ratio, 0.80; 95% confidence interval, 0.62-1.05; = 0.102). Women in the patient-delivered partner treatment arm reported high compliance with the intervention (82%). CONCLUSION Patient-delivered partner treatment for prevention of repeated infection among women is comparable to self-referral and may be an appropriate option for some patients.","author":[{"dropping-particle":"","family":"Schillinger","given":"Julia A","non-dropping-particle":"","parse-names":false,"suffix":""},{"dropping-particle":"","family":"Kissinger","given":"Patricia","non-dropping-particle":"","parse-names":false,"suffix":""},{"dropping-particle":"","family":"Calvet","given":"Helene","non-dropping-particle":"","parse-names":false,"suffix":""},{"dropping-particle":"","family":"Whittington","given":"William L H","non-dropping-particle":"","parse-names":false,"suffix":""},{"dropping-particle":"","family":"Ransom","given":"Ray L","non-dropping-particle":"","parse-names":false,"suffix":""},{"dropping-particle":"","family":"Sternberg","given":"Maya R","non-dropping-particle":"","parse-names":false,"suffix":""},{"dropping-particle":"","family":"Berman","given":"Stuart M","non-dropping-particle":"","parse-names":false,"suffix":""},{"dropping-particle":"","family":"Kent","given":"Charlotte K","non-dropping-particle":"","parse-names":false,"suffix":""},{"dropping-particle":"","family":"Martin","given":"David H","non-dropping-particle":"","parse-names":false,"suffix":""},{"dropping-particle":"","family":"Oh","given":"M Kim","non-dropping-particle":"","parse-names":false,"suffix":""},{"dropping-particle":"","family":"Handsfield","given":"H Hunter","non-dropping-particle":"","parse-names":false,"suffix":""},{"dropping-particle":"","family":"Bolan","given":"Gail","non-dropping-particle":"","parse-names":false,"suffix":""},{"dropping-particle":"","family":"Markowitz","given":"Lauri E","non-dropping-particle":"","parse-names":false,"suffix":""},{"dropping-particle":"","family":"Fortenberry","given":"J Dennis","non-dropping-particle":"","parse-names":false,"suffix":""}],"container-title":"Sexually transmitted diseases","id":"ITEM-19","issue":"1","issued":{"date-parts":[["2003","1"]]},"page":"49-56","title":"Patient-delivered partner treatment with azithromycin to prevent repeated Chlamydia trachomatis infection among women: a randomized, controlled trial.","type":"article-journal","volume":"30"},"uris":["http://www.mendeley.com/documents/?uuid=f58252bd-f218-3352-a25b-3845142f368b"]},{"id":"ITEM-20","itemData":{"ISSN":"1368-4973","PMID":"10195027","abstract":"OBJECTIVE To determine if providing Chlamydia trachomatis infected women with medication to deliver to their sex partner(s) could reduce recurrent chlamydia infections compared with the standard partner referral method. STUDY DESIGN A observational cohort study of 178 women, 14-39 years old attending a family planning clinic, diagnosed and treated for C trachomatis between October 1993 and December 1994 was conducted (43 received patient delivered partner medication (PDPM) and 135 received partner referral cards). Women were retested before or at their annual visit. RESULTS The mean time of follow up was 17.7 months (SD 7.7). The PDPM group (n = 43) was similar to partner referral group (n = 135) for age, race, contraceptive method, history of an STD, and follow up time. The annual recurrent infection rate was lower among the PDPM group compared with the partner referral group (11.5% v 25.5%, p &lt; 0.05). After adjusting for age in logistic regression, women in the PDPM group were less likely than women in the partner referral group to have an incident C trachomatis infection (OR 0.37, 95% CI 0.15-0.97, p &lt; 0.05). CONCLUSION These findings suggest that patient delivered partner medication can protect women from recurrent C trachomatis infection compared with the standard partner referral approach. Prospective studies with larger sample sizes are under way.","author":[{"dropping-particle":"","family":"Kissinger","given":"P","non-dropping-particle":"","parse-names":false,"suffix":""},{"dropping-particle":"","family":"Brown","given":"R","non-dropping-particle":"","parse-names":false,"suffix":""},{"dropping-particle":"","family":"Reed","given":"K","non-dropping-particle":"","parse-names":false,"suffix":""},{"dropping-particle":"","family":"Salifou","given":"J","non-dropping-particle":"","parse-names":false,"suffix":""},{"dropping-particle":"","family":"Drake","given":"A","non-dropping-particle":"","parse-names":false,"suffix":""},{"dropping-particle":"","family":"Farley","given":"T A","non-dropping-particle":"","parse-names":false,"suffix":""},{"dropping-particle":"","family":"Martin","given":"D H","non-dropping-particle":"","parse-names":false,"suffix":""}],"container-title":"Sexually transmitted infections","id":"ITEM-20","issue":"5","issued":{"date-parts":[["1998","10"]]},"page":"331-3","title":"Effectiveness of patient delivered partner medication for preventing recurrent Chlamydia trachomatis.","type":"article-journal","volume":"74"},"uris":["http://www.mendeley.com/documents/?uuid=9bdcbe3a-a774-3ef1-a799-a8839125aac7"]},{"id":"ITEM-21","itemData":{"DOI":"10.1056/NEJMoa041681","ISSN":"0028-4793","abstract":"Background Many sex partners of persons with gonorrhea or chlamydial infections are not treated, which leads to frequent reinfections and further transmission. Methods We randomly assigned women and heterosexual men with gonorrhea or chlamydial infection to have their partners receive expedited treatment or standard referral. Patients in the expedited-treatment group were offered medication to give to their sex partners, or if they preferred, study staff members contacted partners and provided them with medication without a clinical examination. Patients assigned to standard partner referral were advised to refer their partners for treatment and were offered assistance notifying partners. The primary outcome was persistent or recurrent gonorrhea or chlamydial infection in patients 3 to 19 weeks after treatment. Results Persistent or recurrent gonorrhea or chlamydial infection occurred in 121 of 931 patients (13 percent) assigned to standard partner referral and 92 of 929 (10 percent) assigned to expedited...","author":[{"dropping-particle":"","family":"Golden","given":"Matthew R.","non-dropping-particle":"","parse-names":false,"suffix":""},{"dropping-particle":"","family":"Whittington","given":"William L.H.","non-dropping-particle":"","parse-names":false,"suffix":""},{"dropping-particle":"","family":"Handsfield","given":"H. Hunter","non-dropping-particle":"","parse-names":false,"suffix":""},{"dropping-particle":"","family":"Hughes","given":"James P.","non-dropping-particle":"","parse-names":false,"suffix":""},{"dropping-particle":"","family":"Stamm","given":"Walter E.","non-dropping-particle":"","parse-names":false,"suffix":""},{"dropping-particle":"","family":"Hogben","given":"Matthew","non-dropping-particle":"","parse-names":false,"suffix":""},{"dropping-particle":"","family":"Clark","given":"Agnes","non-dropping-particle":"","parse-names":false,"suffix":""},{"dropping-particle":"","family":"Malinski","given":"Cheryl","non-dropping-particle":"","parse-names":false,"suffix":""},{"dropping-particle":"","family":"Helmers","given":"Jennifer R.L.","non-dropping-particle":"","parse-names":false,"suffix":""},{"dropping-particle":"","family":"Thomas","given":"Katherine K.","non-dropping-particle":"","parse-names":false,"suffix":""},{"dropping-particle":"","family":"Holmes","given":"King K.","non-dropping-particle":"","parse-names":false,"suffix":""}],"container-title":"New England Journal of Medicine","id":"ITEM-21","issue":"7","issued":{"date-parts":[["2005","2","17"]]},"page":"676-685","publisher":" Massachusetts Medical Society ","title":"Effect of Expedited Treatment of Sex Partners on Recurrent or Persistent Gonorrhea or Chlamydial Infection","type":"article-journal","volume":"352"},"uris":["http://www.mendeley.com/documents/?uuid=b528edda-cfdf-3e5b-9efa-b5e00b152856"]},{"id":"ITEM-22","itemData":{"DOI":"10.1089/apc.2009.0237","ISSN":"1087-2914","abstract":"Abstract The objective of this research was to determine the factors associated with disclosure of three treatable sexually transmitted diseases (STDs). Data were obtained from two intervention trials to determine the ideal means of partner referral. Men diagnosed with urethritis and women diagnosed with trichomoniasis at public clinics in New Orleans, Louisiana were randomly assigned to partner referral (PR), booklet-enhanced partner referral (BEPR), or patient-delivered partner treatment (PDPT). Participants were asked about sex partners at baseline, then whether they disclosed to them at follow-up. The male trial was conducted from December 2001 to March 2004 and the female trial from December 2001 to August 2004. Data on men and women were analyzed separately. Nine hundred seventy-seven men and 463 women—reporting information on 1991 and 521 sex partners—were respectively enrolled in each trial. Disclosure occurred to 57.8% and 87.3% of their partners, respectively. Most men (68.3%) reported having tw...","author":[{"dropping-particle":"","family":"Mohammed","given":"Hamish","non-dropping-particle":"","parse-names":false,"suffix":""},{"dropping-particle":"","family":"Leichliter","given":"Jami S.","non-dropping-particle":"","parse-names":false,"suffix":""},{"dropping-particle":"","family":"Schmidt","given":"Norine","non-dropping-particle":"","parse-names":false,"suffix":""},{"dropping-particle":"","family":"Farley","given":"Thomas A.","non-dropping-particle":"","parse-names":false,"suffix":""},{"dropping-particle":"","family":"Kissinger","given":"Patricia","non-dropping-particle":"","parse-names":false,"suffix":""}],"container-title":"AIDS Patient Care and STDs","id":"ITEM-22","issue":"3","issued":{"date-parts":[["2010","3"]]},"page":"183-188","publisher":" Mary Ann Liebert, Inc.  140 Huguenot Street, 3rd Floor New Rochelle, NY 10801 USA  ","title":"Does Patient-Delivered Partner Treatment Improve Disclosure for Treatable Sexually Transmitted Diseases?","type":"article-journal","volume":"24"},"uris":["http://www.mendeley.com/documents/?uuid=3746f5cc-df99-3653-b837-cab330fe941b"]},{"id":"ITEM-23","itemData":{"DOI":"10.1097/OLQ.0b013e318223fcbc","ISSN":"1537-4521","PMID":"21934569","abstract":"BACKGROUND The efficacy of patient-delivered partner therapy (PDPT) and inSPOT, a web-based partner notification service, in increasing partner treatment and/or notification among men who have sex with men (MSM) has not been evaluated. METHODS We enrolled MSM with chlamydia and/or gonorrhea in a randomized, controlled trial with the following 4 arms: inSPOT, PDPT, combined inSPOT and PDPT (inSPOT/PDPT), and standard partner management. Men were offered enrollment when contacted for partner services. Participants completed baseline and follow-up interviews approximately 2 weeks apart. RESULTS We offered enrollment to 393 eligible MSM, of whom 75 (19%) enrolled and 318 (81%) declined enrollment. The study was halted early due to low enrollment. Among the 75 enrollees, 53 (71%) completed baseline and follow-up interviews. Of these 53 men, 13, 10, 17, and 13 were assigned to the PDPT, inSPOT, inSPOT/PDPT, and standard arms, respectively; participants provided information about 186 partners. The number of partners treated per original patient was 2.33 in the PDPT arm and 1.52 in the non-PDPT arms. PDPT assignment increased the mean number of partners treated per original patient by 54% (ratio of means = 1.54, 95% confidence interval: 1.01-2.34), after adjustment for inSPOT assignment. Among 27 men assigned to inSPOT or inSPOT/PDPT, 1 (4%) used inSPOT to notify ≥ 1 partner. inSPOT did not affect partner notification, but decreased partner human immunodeficiency virus testing (ratio of means: 0.42, 95% confidence interval: 0.18-0.99). CONCLUSIONS PDPT may increase partner treatment among MSM. Few MSM appear to be willing to use inSPOT to notify their sex partners. Traditional randomized trials of partner notification strategies may not be feasible among MSM.","author":[{"dropping-particle":"","family":"Kerani","given":"Roxanne Pieper","non-dropping-particle":"","parse-names":false,"suffix":""},{"dropping-particle":"","family":"Fleming","given":"Mark","non-dropping-particle":"","parse-names":false,"suffix":""},{"dropping-particle":"","family":"DeYoung","given":"Bill","non-dropping-particle":"","parse-names":false,"suffix":""},{"dropping-particle":"","family":"Golden","given":"Matthew Robert","non-dropping-particle":"","parse-names":false,"suffix":""}],"container-title":"Sexually transmitted diseases","id":"ITEM-23","issue":"10","issued":{"date-parts":[["2011","10"]]},"page":"941-6","title":"A randomized, controlled trial of inSPOT and patient-delivered partner therapy for gonorrhea and chlamydial infection among men who have sex with men.","type":"article-journal","volume":"38"},"uris":["http://www.mendeley.com/documents/?uuid=dec4e4af-2bf3-3705-823c-ee50a1daee59"]},{"id":"ITEM-24","itemData":{"abstract":"BACKGROUND Expedited partner therapy (EPT) has been shown to prevent reinfection in persons with gonorrhea and to plausibly reduce incidence. The Centers for Disease Control and Prevention recommends EPT as an option for treating sex partners of heterosexual patients. Few studies that examine how the reported use of this valuable intervention differs by patient and provider characteristics and by geography across multiple jurisdictions in the United States are currently available. METHODS Case and patient interview data were obtained for a random sample of reported cases from 7 geographically disparate US jurisdictions participating in the Sexually Transmitted Disease (STD) Surveillance Network. These data were weighted to be representative of all reported gonorrhea cases in the 7 study sites. Patient receipt of EPT was estimated, and multivariate models were constructed separately to examine factors associated with receipt of EPT for heterosexuals and for men who have sex with men. RESULTS Overall, 5.4% of patients diagnosed and reported as having gonorrhea reported receiving EPT to treat their sex partners. Heterosexual patients were more likely to have received EPT than men who have sex with men at 6.6% and 2.6% of patients, respectively. Receipt of EPT did not vary significantly by race, Hispanic ethnicity, or age for either group, although significant variation was observed in different provider settings, with patients from family planning/reproductive health and STD clinic settings more likely to report receiving EPT. Jurisdiction variations were also observed with heterosexual patients in Washington State most likely (35.5%), and those in New York City, Connecticut, and Philadelphia least likely to report receiving EPT (&lt;2%). CONCLUSIONS With the exception of one jurisdiction in the STD Surveillance Network actively promoting EPT use, patient-reported receipt of the intervention remains suboptimal across the network. Additional efforts to promote EPT, especially for patients diagnosed in private provider and hospital settings, are needed to realize the full potential of this valuable gonorrhea control intervention.","author":[{"dropping-particle":"","family":"Stenger","given":"Mark R","non-dropping-particle":"","parse-names":false,"suffix":""},{"dropping-particle":"","family":"Kerani","given":"Roxanne P","non-dropping-particle":"","parse-names":false,"suffix":""},{"dropping-particle":"","family":"Bauer","given":"Heidi M","non-dropping-particle":"","parse-names":false,"suffix":""},{"dropping-particle":"","family":"Burghardt","given":"Nicole","non-dropping-particle":"","parse-names":false,"suffix":""},{"dropping-particle":"","family":"Anschuetz","given":"Greta L","non-dropping-particle":"","parse-names":false,"suffix":""},{"dropping-particle":"","family":"Klingler","given":"Ellen","non-dropping-particle":"","parse-names":false,"suffix":""},{"dropping-particle":"","family":"Schumacher","given":"Christina M","non-dropping-particle":"","parse-names":false,"suffix":""},{"dropping-particle":"","family":"Simon","given":"Julie","non-dropping-particle":"","parse-names":false,"suffix":""},{"dropping-particle":"","family":"Golden","given":"Matthew","non-dropping-particle":"","parse-names":false,"suffix":""}],"container-title":"Sexually transmitted diseases","id":"ITEM-24","issue":"9","issued":{"date-parts":[["2015","9"]]},"page":"470-4","title":"Patient-Reported Expedited Partner Therapy for Gonorrhea in the United States: Findings of the STD Surveillance Network 2010-2012.","type":"article-journal","volume":"42"},"uris":["http://www.mendeley.com/documents/?uuid=0fafc8bc-a287-3d2c-b74d-0d378427fc55"]},{"id":"ITEM-25","itemData":{"DOI":"10.1371/journal.pmed.1001777","ISSN":"1549-1676","PMID":"25590331","abstract":"BACKGROUND Expedited partner therapy (EPT), the practice of treating the sex partners of persons with sexually transmitted infections without their medical evaluation, increases partner treatment and decreases gonorrhea and chlamydia reinfection rates. We conducted a stepped-wedge, community-level randomized trial to determine whether a public health intervention promoting EPT could increase its use and decrease chlamydia test positivity and gonorrhea incidence in women. METHODS AND FINDINGS The trial randomly assigned local health jurisdictions (LHJs) in Washington State, US, into four study waves. Waves instituted the intervention in randomly assigned order at intervals of 6-8 mo. Of the state's 25 LHJs, 24 were eligible and 23 participated. Heterosexual individuals with gonorrhea or chlamydial infection were eligible for the intervention. The study made free patient-delivered partner therapy (PDPT) available to clinicians, and provided public health partner services based on clinician referral. The main study outcomes were chlamydia test positivity among women ages 14-25 y in 219 sentinel clinics, and incidence of reported gonorrhea in women, both measured at the community level. Receipt of PDPT from clinicians was evaluated among randomly selected patients. 23 and 22 LHJs provided data on gonorrhea and chlamydia outcomes, respectively. The intervention increased the percentage of persons receiving PDPT from clinicians (from 18% to 34%, p &lt; 0.001) and the percentage receiving partner services (from 25% to 45%, p &lt; 0.001). Chlamydia test positivity and gonorrhea incidence in women decreased over the study period, from 8.2% to 6.5% and from 59.6 to 26.4 per 100,000, respectively. After adjusting for temporal trends, the intervention was associated with an approximately 10% reduction in both chlamydia positivity and gonorrhea incidence, though the confidence bounds on these outcomes both crossed one (chlamydia positivity prevalence ratio = 0.89, 95% CI 0.77-1.04, p = 0.15; gonorrhea incidence rate ratio = 0.91, 95% CI .71-1.16, p = 0.45). Study findings were potentially limited by inadequate statistical power, by the institution of some aspects of the study intervention outside of the research randomization sequence, and by the fact that LHJs did not constitute truly isolated sexual networks. CONCLUSIONS A public health intervention promoting the use of free PDPT substantially increased its use and may have resulted in decreased chlamydial and gonococca…","author":[{"dropping-particle":"","family":"Golden","given":"Matthew R","non-dropping-particle":"","parse-names":false,"suffix":""},{"dropping-particle":"","family":"Kerani","given":"Roxanne P","non-dropping-particle":"","parse-names":false,"suffix":""},{"dropping-particle":"","family":"Stenger","given":"Mark","non-dropping-particle":"","parse-names":false,"suffix":""},{"dropping-particle":"","family":"Hughes","given":"James P","non-dropping-particle":"","parse-names":false,"suffix":""},{"dropping-particle":"","family":"Aubin","given":"Mark","non-dropping-particle":"","parse-names":false,"suffix":""},{"dropping-particle":"","family":"Malinski","given":"Cheryl","non-dropping-particle":"","parse-names":false,"suffix":""},{"dropping-particle":"","family":"Holmes","given":"King K","non-dropping-particle":"","parse-names":false,"suffix":""}],"container-title":"PLoS medicine","id":"ITEM-25","issue":"1","issued":{"date-parts":[["2015","1"]]},"page":"e1001777","publisher":"Public Library of Science","title":"Uptake and population-level impact of expedited partner therapy (EPT) on Chlamydia trachomatis and Neisseria gonorrhoeae: the Washington State community-level randomized trial of EPT.","type":"article-journal","volume":"12"},"uris":["http://www.mendeley.com/documents/?uuid=b91bcd4b-f724-3e38-874b-18d67af8b11b"]},{"id":"ITEM-26","itemData":{"DOI":"10.1097/OLQ.0000000000000423","ISSN":"1537-4521","PMID":"26967302","abstract":"BACKGROUND Men who have sex with men (MSM) are at high risk for acquiring HIV infection after diagnosis with other sexually transmitted infections (STIs). Identifying the STIs associated with the greatest risk of subsequent HIV infection could help target prevention interventions, particularly preexposure prophylaxis (PrEP). METHODS Using matched HIV and STI surveillance data from Washington State from January 1, 2007, to June 30, 2013, we calculated the incidence of new HIV diagnoses after different STI diagnoses among MSM. Men entered observation at the time of their first STI diagnosis during the study period and exited at HIV diagnosis or June 30, 2013. Cox proportional hazards regression was used to conduct a global comparison of rates. RESULTS From January 1, 2007, to June 30, 2013, 6577 HIV-negative MSM were diagnosed as having 10,080 bacterial STIs at 8371 unique time points and followed for 17,419 person-years. Two hundred eighty (4.3%) men were subsequently diagnosed as having HIV infection for an overall incidence of 1.6 per 100 person-years (95% confidence interval, 1.4-1.8). The estimated incidence of HIV diagnoses among all MSM in the state was 0.4 per 100 person-years. Men who have sex with men were at the greatest risk for HIV diagnosis after being diagnosed as having rectal gonorrhea (HIV incidence, 4.1 per 100 person-years), followed by early syphilis (2.8), urethral gonorrhea (1.6), rectal chlamydial infection (1.6), pharyngeal gonorrhea (1.1), late syphilis (1.0), and urethral chlamydial infection (0.6; P &lt; 0.0001 overall). CONCLUSIONS Men who have sex with men diagnosed as having rectal gonorrhea and early syphilis were at the greatest risk for being diagnosed as having HIV infection after STI diagnosis. These men should be prioritized for more intensive prevention interventions, including PrEP.","author":[{"dropping-particle":"","family":"Katz","given":"David A","non-dropping-particle":"","parse-names":false,"suffix":""},{"dropping-particle":"","family":"Dombrowski","given":"Julia C","non-dropping-particle":"","parse-names":false,"suffix":""},{"dropping-particle":"","family":"Bell","given":"Teal R","non-dropping-particle":"","parse-names":false,"suffix":""},{"dropping-particle":"","family":"Kerani","given":"Roxanne P","non-dropping-particle":"","parse-names":false,"suffix":""},{"dropping-particle":"","family":"Golden","given":"Matthew R","non-dropping-particle":"","parse-names":false,"suffix":""}],"container-title":"Sexually transmitted diseases","id":"ITEM-26","issue":"4","issued":{"date-parts":[["2016","4"]]},"page":"249-54","title":"HIV Incidence Among Men Who Have Sex With Men After Diagnosis With Sexually Transmitted Infections.","type":"article-journal","volume":"43"},"uris":["http://www.mendeley.com/documents/?uuid=c152131d-2894-3eaa-bf3c-fc2535c15621"]},{"id":"ITEM-27","itemData":{"ISSN":"0148-5717","PMID":"15668616","abstract":"OBJECTIVE The objective of this study was to estimate how many U.S. physicians practice patient-delivered partner therapy (PDPT), which is the practice of giving patients diagnosed with curable sexually transmitted infections medication to give to their sex partners. STUDY The authors conducted a national survey of physicians in specialties that diagnose the majority of sexually transmitted diseases in the United States. RESULTS A total of 3011 physicians diagnosed at least 1 case of either gonorrhea or chlamydial infection in the preceding year. For gonorrhea and chlamydial infection, 50% to 56% reported ever using PDPT; 11% to 14% reported usually or always doing so. Obstetricians and gynecologists and family practice physicians more often used PDPT than internists, pediatricians, and emergency department physicians. Clinicians who collected sex partner information, as well as those who saw more female and white patients, used PDPT most often. CONCLUSIONS PDPT is widely but inconsistently used throughout the United States and is typically provided to a minority of persons.","author":[{"dropping-particle":"","family":"Hogben","given":"Matthew","non-dropping-particle":"","parse-names":false,"suffix":""},{"dropping-particle":"","family":"McCree","given":"Donna H","non-dropping-particle":"","parse-names":false,"suffix":""},{"dropping-particle":"","family":"Golden","given":"Matthew R","non-dropping-particle":"","parse-names":false,"suffix":""}],"container-title":"Sexually transmitted diseases","id":"ITEM-27","issue":"2","issued":{"date-parts":[["2005","2"]]},"page":"101-5","title":"Patient-delivered partner therapy for sexually transmitted diseases as practiced by U.S. physicians.","type":"article-journal","volume":"32"},"uris":["http://www.mendeley.com/documents/?uuid=06ef7899-e04e-39a3-bff5-4dc97bb1d78f"]},{"id":"ITEM-28","itemData":{"DOI":"10.1086/428043","PMID":"15736009","abstract":"BACKGROUND Patient-delivered partner therapy (PDPT) is the practice of providing disease-specific antimicrobial agents to patients for delivery to their sex partners. Some partners who receive PDPT may forgo clinical evaluation, resulting in missed opportunities for the diagnosis and treatment of comorbid conditions. METHODS We conducted a review of electronic charts for 8623 individuals attending 4 sexually transmitted disease clinics who were sex partners of patients with selected sexually transmitted infections (STIs). We evaluated the concordance between STIs diagnosed in partners and their reported exposures for which they might have received PDPT. RESULTS Among 3503 female and 4647 heterosexual male partners, 19 (0.4%) of 4716 individuals tested were newly diagnosed with human immunodeficiency virus (HIV) infection, and 61 individuals (0.7%) had syphilis. Pelvic inflammatory disease was diagnosed in 133 women (3.8%). Seventy-two (3.2%) of 2226 female and heterosexual male partners reporting exposure to patients with chlamydial infection had gonorrhea diagnosed. Chlamydial infection or gonorrhea was diagnosed in 81 heterosexual male partners (10.3%) who reported contact with women with trichomoniasis. Among 473 men who have sex with men (MSM; including bisexual men), 13 (6.3%) of 207 tested were newly diagnosed with HIV infection, and 8 (1.7%) had syphilis. Six (6.1%) of 98 MSM reporting exposure to patients with chlamydial infection had gonorrhea diagnosed. CONCLUSIONS Infrequent coinfections in female and heterosexual male partners exposed to patients with chlamydial infection or gonorrhea would not preclude use of PDPT. However, PDPT for male partners of women with trichomoniasis and for MSM requires further study.","author":[{"dropping-particle":"","family":"Stekler","given":"Joanne","non-dropping-particle":"","parse-names":false,"suffix":""},{"dropping-particle":"","family":"Bachmann","given":"Laura","non-dropping-particle":"","parse-names":false,"suffix":""},{"dropping-particle":"","family":"Brotman","given":"Rebecca M","non-dropping-particle":"","parse-names":false,"suffix":""},{"dropping-particle":"","family":"Erbelding","given":"Emily J","non-dropping-particle":"","parse-names":false,"suffix":""},{"dropping-particle":"V","family":"Lloyd","given":"Laura","non-dropping-particle":"","parse-names":false,"suffix":""},{"dropping-particle":"","family":"Rietmeijer","given":"Cornelis A","non-dropping-particle":"","parse-names":false,"suffix":""},{"dropping-particle":"","family":"Handsfield","given":"H Hunter","non-dropping-particle":"","parse-names":false,"suffix":""},{"dropping-particle":"","family":"Holmes","given":"King K","non-dropping-particle":"","parse-names":false,"suffix":""},{"dropping-particle":"","family":"Golden","given":"Matthew R","non-dropping-particle":"","parse-names":false,"suffix":""}],"container-title":"Clinical Infectious Diseases","id":"ITEM-28","issue":"6","issued":{"date-parts":[["2005","3","15"]]},"page":"787-93","publisher":"Oxford University Press","title":"Concurrent sexually transmitted infections (STIs) in sex partners of patients with selected STIs: implications for patient-delivered partner therapy.","type":"article-journal","volume":"40"},"uris":["http://www.mendeley.com/documents/?uuid=967edef3-213f-3750-80fc-eaf0f9e9fdf8"]},{"id":"ITEM-29","itemData":{"DOI":"10.1136/sti.2010.047670","ISSN":"1472-3263","PMID":"22110153","author":[{"dropping-particle":"","family":"Golden","given":"Matthew R","non-dropping-particle":"","parse-names":false,"suffix":""},{"dropping-particle":"","family":"Estcourt","given":"Claudia S","non-dropping-particle":"","parse-names":false,"suffix":""}],"container-title":"Sexually transmitted infections","id":"ITEM-29","issue":"Suppl 2","issued":{"date-parts":[["2011","12"]]},"page":"ii37-8","publisher":"BMJ Publishing Group Ltd","title":"Barriers to the implementation of expedited partner therapy.","type":"article-journal","volume":"87 Suppl 2"},"uris":["http://www.mendeley.com/documents/?uuid=65cb88c8-8f4e-3d1e-8dbd-6da2bc03b4c8"]},{"id":"ITEM-30","itemData":{"ISSN":"1756-1833","PMID":"21205807","abstract":"OBJECTIVES To compare the cost, cost effectiveness, and sex equity of different intervention strategies within the English National Chlamydia Screening Programme. To develop a tool for calculating cost effectiveness of chlamydia control programmes at a local, national, or international level. DESIGN An economic and mathematical modelling study with cost effectiveness analysis. Costs were restricted to those of screening and partner notification from the perspective of the NHS and excluded patient costs, the costs of reinfection, and costs of complications arising from initial infection. SETTING England. Population Individuals eligible for the National Chlamydia Screening Programme. MAIN OUTCOME MEASURES Cost effectiveness of National Chlamydia Screening Programme in 2008-9 (as cost per individual tested, cost per positive diagnosis, total cost of screening, number screened, number infected, sex ratio of those tested and treated). Comparison of baseline programme with two different interventions-(i) increased coverage of primary screening in men and (ii) increased efficacy of partner notification. RESULTS In 2008-9 screening was estimated to cost about £46.3m in total and £506 per infection treated. Provision for partner notification within the screening programme cost between £9 and £27 per index case, excluding treatment and testing. The model results suggest that increasing male screening coverage from 8% (baseline value) to 24% (to match female coverage) would cost an extra £22.9m and increase the cost per infection treated to £528. In contrast, increasing partner notification efficacy from 0.4 (baseline value) to 0.8 partners per index case would cost an extra £3.3m and would reduce the cost per infection diagnosed to £449. Increasing screening coverage to 24% in men would cost over six times as much as increasing partner notification to 0.8 but only treat twice as many additional infections. CONCLUSIONS In the English National Chlamydia Screening Programme increasing the effectiveness of partner notification is likely to cost less than increasing male coverage but also improve the ratio of women to men diagnosed. Further evaluation of the cost effectiveness of partner notification and screening is urgently needed. The spreadsheet tool developed in this study can be easily modified for use in other settings to evaluate chlamydia control programmes.","author":[{"dropping-particle":"","family":"Turner","given":"Katy","non-dropping-particle":"","parse-names":false,"suffix":""},{"dropping-particle":"","family":"Adams","given":"Elisabeth","non-dropping-particle":"","parse-names":false,"suffix":""},{"dropping-particle":"","family":"Grant","given":"Arabella","non-dropping-particle":"","parse-names":false,"suffix":""},{"dropping-particle":"","family":"Macleod","given":"John","non-dropping-particle":"","parse-names":false,"suffix":""},{"dropping-particle":"","family":"Bell","given":"Gill","non-dropping-particle":"","parse-names":false,"suffix":""},{"dropping-particle":"","family":"Clarke","given":"Jan","non-dropping-particle":"","parse-names":false,"suffix":""},{"dropping-particle":"","family":"Horner","given":"Paddy","non-dropping-particle":"","parse-names":false,"suffix":""}],"container-title":"BMJ (Clinical research ed.)","id":"ITEM-30","issued":{"date-parts":[["2011"]]},"page":"c7250","title":"Costs and cost effectiveness of different strategies for chlamydia screening and partner notification: an economic and mathematical modelling study.","type":"article-journal","volume":"342"},"uris":["http://www.mendeley.com/documents/?uuid=be40b100-7989-349d-a828-235182255202"]},{"id":"ITEM-31","itemData":{"DOI":"10.2105/AJPH.2007.113381","PMID":"18172137","abstract":"An emerging alternative to traditional partner management for sexually transmitted diseases (STDs) is expedited partner therapy (EPT), which involves the delivery of medications or prescriptions to STD patients for their partners without the clinical assessment of the partners. The Centers for Disease Control and Prevention recently recommended EPT nationally in limited circumstances; however, its implementation may raise legal concerns. We analyzed laws relevant to the distribution of medications to persons with whom clinicians have not personally treated or established a relationship. We determined that three fourths of states or territories either expressly permit EPT or do not expressly prohibit the practice. We recommend (1) expressly endorsing EPT through laws, (2) creating exceptions to existing prescription requirements, (3) increasing professional board or association support for EPT, and (4) supporting third-party payments for partners' medications.","author":[{"dropping-particle":"","family":"Hodge","given":"James G","non-dropping-particle":"","parse-names":false,"suffix":""},{"dropping-particle":"","family":"Pulver","given":"Amy","non-dropping-particle":"","parse-names":false,"suffix":""},{"dropping-particle":"","family":"Hogben","given":"Matthew","non-dropping-particle":"","parse-names":false,"suffix":""},{"dropping-particle":"","family":"Bhattacharya","given":"Dhrubajyoti","non-dropping-particle":"","parse-names":false,"suffix":""},{"dropping-particle":"","family":"Brown","given":"Erin Fuse","non-dropping-particle":"","parse-names":false,"suffix":""},{"dropping-particle":"","family":"Brown","given":"Erin Fuse","non-dropping-particle":"","parse-names":false,"suffix":""}],"container-title":"American Journal of Public Health","id":"ITEM-31","issue":"2","issued":{"date-parts":[["2008","2"]]},"page":"238-43","publisher":"American Public Health Association","title":"Expedited partner therapy for sexually transmitted diseases: assessing the legal environment.","type":"article-journal","volume":"98"},"uris":["http://www.mendeley.com/documents/?uuid=ffadfac5-b1d5-36db-ae20-edadca0da501"]},{"id":"ITEM-32","itemData":{"author":[{"dropping-particle":"","family":"Committee on Gynecologic Practice","given":"","non-dropping-particle":"","parse-names":false,"suffix":""},{"dropping-particle":"","family":"Committee on Adolescent Health Care","given":"","non-dropping-particle":"","parse-names":false,"suffix":""}],"id":"ITEM-32","issued":{"date-parts":[["2018"]]},"title":"Expedited Partner Therapy in the Management of Gonorrhea and Chlamydial Infection - ACOG","type":"report"},"uris":["http://www.mendeley.com/documents/?uuid=121694e7-88cf-3e17-bd62-153f748c34b6"]},{"id":"ITEM-33","itemData":{"DOI":"10.1097/GCO.0b013e3283577e9d","ISSN":"1473-656X","PMID":"22907483","abstract":"PURPOSE OF REVIEW In 2006, the Centers for Disease Control and Prevention recommended Expedited Partner Therapy (EPT) as a clinical option for assuring treatment of sex partners of persons infected with sexually transmitted infections. In this review, we provide an update on research, evaluation and efforts to increase EPT coverage. We also attend to EPT for gonorrhea in the context of antimicrobial resistance. RECENT FINDINGS Controlled trials in the United States and United Kingdom have presented increasing variety in intervention approaches. Trials and program evaluations typically demonstrate increased partner treatment rates, although only some studies show reductions in follow-up infection rates. Coverage has increased substantially, with over 30 states permitting EPT for chlamydial infection, gonorrhea, or both. The prospect of cephalosporin-resistant gonorrhea, however, raises the prospect that EPT may become less feasible as a partner treatment approach for gonorrhea patients. SUMMARY Clinicians should continue to be aware of the importance of partner managements for STD-infected patients, with EPT being an evidence-based intervention in that respect. The variety in EPT models provides alternatives that may suit some practices and venues. For clinicians seeing gonorrhea patients, effective counseling models - enhanced patient referral - should be closely examined in case oral treatment for gonorrhea becomes infeasible.","author":[{"dropping-particle":"","family":"Hogben","given":"Matthew","non-dropping-particle":"","parse-names":false,"suffix":""},{"dropping-particle":"","family":"Kidd","given":"Sarah","non-dropping-particle":"","parse-names":false,"suffix":""},{"dropping-particle":"","family":"Burstein","given":"Gale R","non-dropping-particle":"","parse-names":false,"suffix":""}],"container-title":"Current opinion in obstetrics &amp; gynecology","id":"ITEM-33","issue":"5","issued":{"date-parts":[["2012","10"]]},"page":"299-304","title":"Expedited partner therapy for sexually transmitted infections.","type":"article-journal","volume":"24"},"uris":["http://www.mendeley.com/documents/?uuid=961aec56-89a7-3129-bfd4-d386c86cae46"]},{"id":"ITEM-34","itemData":{"DOI":"10.1093/humrep/den475","PMID":"19136481","abstract":"BACKGROUND The aim of this study was to determine whether postal testing kits (PTKs) or patient-delivered partner therapy (PDPT) for partners of women with Chlamydia trachomatis reduce re-infection rates in women, compared with partner notification by patient referral. METHODS Three hundred and thirty women testing positive for chlamydia, at clinics for genitourinary medicine, family planning and termination of pregnancy in Edinburgh, were randomized to one of three partner interventions: patient referral, PTK (partners post urine for testing) or PDPT (1 g azithromycin for partners). Women submitted urine for chlamydia testing every 3 months. The primary outcome was re-infection assessed as time to first positive result by the Cox proportional hazard regression. The proportion of partners tested or treated with each intervention was determined. RESULTS Out of 330 women, 215 (65%) were retested over 12 months. There were 32 of 215 women (15%) who retested positive (7, 15 and 10 women from the patient referral, PTK and PDPT groups, respectively). There was no significant difference in re-infection between PDPT versus patient referral (HR 1.32, 95% CI 0.50-3.56), PTK versus patient referral (HR 2.35, 95% CI 0.94-5.88) or PDPT versus PTK (HR 0.55, 95% CI 0.24-1.24). There was no significant difference in the proportion of partners confirmed tested/treated between the patient referral (34%) and PTK (41%, P = 0.32) or PDPT (42%, P = 0.28) groups. CONCLUSIONS PTK and PDPT do not reduce re-infection rates in women with chlamydia compared with patient referral. However, PDPT may offer other advantages such as simplicity and cost compared with patient referral.","author":[{"dropping-particle":"","family":"Cameron","given":"S T","non-dropping-particle":"","parse-names":false,"suffix":""},{"dropping-particle":"","family":"Glasier","given":"A","non-dropping-particle":"","parse-names":false,"suffix":""},{"dropping-particle":"","family":"Scott","given":"G","non-dropping-particle":"","parse-names":false,"suffix":""},{"dropping-particle":"","family":"Young","given":"H","non-dropping-particle":"","parse-names":false,"suffix":""},{"dropping-particle":"","family":"Melvin","given":"L","non-dropping-particle":"","parse-names":false,"suffix":""},{"dropping-particle":"","family":"Johnstone","given":"A","non-dropping-particle":"","parse-names":false,"suffix":""},{"dropping-particle":"","family":"Elton","given":"R","non-dropping-particle":"","parse-names":false,"suffix":""}],"container-title":"Human reproduction","id":"ITEM-34","issue":"4","issued":{"date-parts":[["2009","4"]]},"page":"888-95","title":"Novel interventions to reduce re-infection in women with chlamydia: a randomized controlled trial.","type":"article-journal","volume":"24"},"uris":["http://www.mendeley.com/documents/?uuid=e116f172-857a-3bb3-ae82-83b71869322e"]},{"id":"ITEM-35","itemData":{"DOI":"10.1086/432476","PMID":"16080084","abstract":"BACKGROUND Traditional partner referral for sexually transmitted diseases (STDs) is ineffective at assuring that partners are treated. Alternative methods are needed. We sought to determine whether patient-delivered partner treatment (PDPT) is better than 2 different methods of partner referral in providing antibiotic treatment to sex partners of men with urethritis and in reducing recurrence of Chlamydia trachomatis and Neisseria gonorrhoeae. METHODS Men who received a diagnosis of urethritis at a public STD clinic in New Orleans, Louisiana, during the period of December 2001 through March 2004 were randomly assigned according to the month of treatment for either standard partner referral (PR), booklet-enhanced partner referral (BEPR), or PDPT. At baseline and after 1 month, men were asked to provide information about each partner and were tested for C. trachomatis and N. gonorrhoeae. RESULTS Most enrolled index men (n = 977) were &gt; 24 years of age (51.6%) and African American (95%) and had &gt; or = 2 partners (68.3%). They reported information on 1991 partners, and 78.8% were reinterviewed 4-8 weeks later. Men in the PDPT arm were more likely than men in the BEPR and PR arms to report having seen their partners, having talked to their partners about the infection, having given the intervention to their partners, and having been told by their partners that the antibiotic treatment had been taken (55.8%, 45.6%, and 35.0%, respectively; P &lt; .001). Of men who were reinterviewed, 37.5% agreed to follow-up testing for N. gonorrhoeae and C. trachomatis infection. Those tested were similar to those not tested with regard to the study variables measured. Among those tested, men in the PDPT and BEPR arms were less likely than those in the PR arm to test positive for C. trachomatis and/or N. gonorrhoeae (23.0%, 14.3%, and 42.7%, respectively; P &lt; .001). CONCLUSION Among heterosexual men with urethritis, PDPT was better than standard partner referral for treatment of partners and prevention of recurrence of C. trachomatis or N. gonorrhoeae infection.","author":[{"dropping-particle":"","family":"Kissinger","given":"Patricia","non-dropping-particle":"","parse-names":false,"suffix":""},{"dropping-particle":"","family":"Mohammed","given":"Hamish","non-dropping-particle":"","parse-names":false,"suffix":""},{"dropping-particle":"","family":"Richardson-Alston","given":"Gwangi","non-dropping-particle":"","parse-names":false,"suffix":""},{"dropping-particle":"","family":"Leichliter","given":"Jami S","non-dropping-particle":"","parse-names":false,"suffix":""},{"dropping-particle":"","family":"Taylor","given":"Stephanie N","non-dropping-particle":"","parse-names":false,"suffix":""},{"dropping-particle":"","family":"Martin","given":"David H","non-dropping-particle":"","parse-names":false,"suffix":""},{"dropping-particle":"","family":"Farley","given":"Thomas A","non-dropping-particle":"","parse-names":false,"suffix":""}],"container-title":"Clinical Infectious Diseases","id":"ITEM-35","issue":"5","issued":{"date-parts":[["2005","9","1"]]},"page":"623-9","title":"Patient-delivered partner treatment for male urethritis: a randomized, controlled trial.","type":"article-journal","volume":"41"},"uris":["http://www.mendeley.com/documents/?uuid=b899e15a-905f-3b40-81b2-6e13179675bf"]},{"id":"ITEM-36","itemData":{"DOI":"10.1136/sti.2006.024554","ISSN":"1368-4973","PMID":"17475683","abstract":"OBJECTIVES To quantify the contribution of patient delay, provider delay, and diversion between services to delayed access to genitourinary medicine (GUM) clinics. To describe the factors associated with delay, and their contribution to STI transmission. METHODS Cross-sectional survey of 3184 consecutive new patients attending four GUM clinics purposively selected from across England to represent different types of population. Patients completed a short written questionnaire that collected data on sociodemographics, access, and health-seeking behaviour. Questionnaires were then linked to routinely collected individual-level demographic and diagnostic data. RESULTS Patient delay is a median of 7 days, and does not vary by demographic or social characteristics, or by clinic. However, attendance at a walk-in appointment was associated with a marked reduction in patient delay and provider delay. Among symptomatics, 44.8% of men and 58.0% of women continued to have sex while awaiting treatment, with 7.0% reporting sex with &gt;1 partner; 4.2% of symptomatic patients reported sex without using condoms with new partner(s) since their symptoms had begun. Approximately 25% of all patients had already sought or received care in general practice, and these patients experienced greater provider delay. CONCLUSIONS Walk-in services are associated with a reduction in patient and provider delay, and should be available to all populations. Patients attending primary care require clear care pathways when referred on to GUM clinics. Health promotion should encourage symptomatic patients to seek care quickly, and to avoid sexual contact before treatment.","author":[{"dropping-particle":"","family":"Mercer","given":"Catherine H","non-dropping-particle":"","parse-names":false,"suffix":""},{"dropping-particle":"","family":"Sutcliffe","given":"Lorna","non-dropping-particle":"","parse-names":false,"suffix":""},{"dropping-particle":"","family":"Johnson","given":"Anne M","non-dropping-particle":"","parse-names":false,"suffix":""},{"dropping-particle":"","family":"White","given":"Peter J","non-dropping-particle":"","parse-names":false,"suffix":""},{"dropping-particle":"","family":"Brook","given":"Gary","non-dropping-particle":"","parse-names":false,"suffix":""},{"dropping-particle":"","family":"Ross","given":"Jonathan D C","non-dropping-particle":"","parse-names":false,"suffix":""},{"dropping-particle":"","family":"Dhar","given":"Jyoti","non-dropping-particle":"","parse-names":false,"suffix":""},{"dropping-particle":"","family":"Horner","given":"Paddy","non-dropping-particle":"","parse-names":false,"suffix":""},{"dropping-particle":"","family":"Keane","given":"Frances","non-dropping-particle":"","parse-names":false,"suffix":""},{"dropping-particle":"","family":"Jungmann","given":"Eva","non-dropping-particle":"","parse-names":false,"suffix":""},{"dropping-particle":"","family":"Sweeney","given":"John","non-dropping-particle":"","parse-names":false,"suffix":""},{"dropping-particle":"","family":"Kinghorn","given":"George","non-dropping-particle":"","parse-names":false,"suffix":""},{"dropping-particle":"","family":"Garnett","given":"Geoff G","non-dropping-particle":"","parse-names":false,"suffix":""},{"dropping-particle":"","family":"Stephenson","given":"Judith M","non-dropping-particle":"","parse-names":false,"suffix":""},{"dropping-particle":"","family":"Cassell","given":"Jackie A","non-dropping-particle":"","parse-names":false,"suffix":""}],"container-title":"Sexually transmitted infections","id":"ITEM-36","issue":"5","issued":{"date-parts":[["2007","8"]]},"page":"400-5","publisher":"BMJ Group","title":"How much do delayed healthcare seeking, delayed care provision, and diversion from primary care contribute to the transmission of STIs?","type":"article-journal","volume":"83"},"uris":["http://www.mendeley.com/documents/?uuid=689d7b80-d25f-338d-96f1-4b98804c9a45"]},{"id":"ITEM-37","itemData":{"DOI":"10.1136/bmj.39079.460741.7C","ISBN":"0959-8146","ISSN":"0959-8138","PMID":"17237298","abstract":"OBJECTIVE: To examine the effectiveness of methods to improve partner notification by patient referral (index patient has responsibility for informing sex partners of their exposure to a sexually transmitted infection). DESIGN: Systematic review of randomised trials of any intervention to supplement simple patient referral. DATA SOURCES: Seven electronic databases searched (January 1990 to December 2005) without language restriction, and reference lists of retrieved articles. REVIEW METHODS: Selection of trials, data extraction, and quality assessment were done by two independent reviewers. The primary outcome was a reduction of incidence or prevalence of sexually transmitted infections in index patients. If this was not reported data were extracted according to a hierarchy of secondary outcomes: number of partners treated; number of partners tested or testing positive; and number of partners notified, located, or elicited. Random effects meta-analysis was carried out when appropriate. RESULTS: 14 trials were included with 12 389 women and men diagnosed as having gonorrhoea, chlamydia, non-gonococcal urethritis, trichomoniasis, or a sexually transmitted infection syndrome. All studies had methodological weaknesses that could have biased their results. Three strategies were used. Six trials examined patient delivered partner therapy. Meta-analysis of five of these showed a reduced risk of persistent or recurrent infection in patients with chlamydia or gonorrhoea (summary risk ratio 0.73, 95% confidence interval 0.57 to 0.93). Supplementing patient referral with information for partners was as effective as patient delivered partner therapy. Neither strategy was effective in women with trichomoniasis. Two trials found that providing index patients with chlamydia with sampling kits for their partners increased the number of partners who got treated. CONCLUSIONS: Involving index patients in shared responsibility for the management of sexual partners improves outcomes. Health professionals should consider the following strategies for the management of individual patients: patient delivered partner therapy, home sampling for partners, and providing additional information for partners.","author":[{"dropping-particle":"","family":"Trelle","given":"Sven","non-dropping-particle":"","parse-names":false,"suffix":""},{"dropping-particle":"","family":"Shang","given":"Aijing","non-dropping-particle":"","parse-names":false,"suffix":""},{"dropping-particle":"","family":"Nartey","given":"Linda","non-dropping-particle":"","parse-names":false,"suffix":""},{"dropping-particle":"","family":"Cassell","given":"Jackie a","non-dropping-particle":"","parse-names":false,"suffix":""},{"dropping-particle":"","family":"Low","given":"Nicola","non-dropping-particle":"","parse-names":false,"suffix":""}],"container-title":"BMJ (Clinical research ed.)","id":"ITEM-37","issue":"7589","issued":{"date-parts":[["2007","2","17"]]},"page":"354","publisher":"BMJ Group","title":"Improved effectiveness of partner notification for patients with sexually transmitted infections: systematic review.","type":"article-journal","volume":"334"},"uris":["http://www.mendeley.com/documents/?uuid=5a439d5f-e600-347c-9b9a-a4f082e01499"]},{"id":"ITEM-38","itemData":{"author":[{"dropping-particle":"","family":"Katz","given":"David","non-dropping-particle":"","parse-names":false,"suffix":""}],"container-title":"Conference on Retroviruses and Opportunistic Infections (CROI)","id":"ITEM-38","issued":{"date-parts":[["2017"]]},"title":"STD Partner Services to Monitor and Promote PrEP Use among Men who have sex with men","type":"chapter"},"uris":["http://www.mendeley.com/documents/?uuid=84c9497d-9f2e-46c1-a0a4-05b617e9ec7d"]},{"id":"ITEM-39","itemData":{"URL":"http://www.cdc.gov/std/ept/gc-guidance.htm","accessed":{"date-parts":[["2016","9","28"]]},"author":[{"dropping-particle":"","family":"Centers for Disease Control and Prevention","given":"","non-dropping-particle":"","parse-names":false,"suffix":""}],"id":"ITEM-39","issued":{"date-parts":[["0"]]},"title":"Guidance on the Use of Expedited Partner Therapy in the Treatment of Gonorrhea","type":"webpage"},"uris":["http://www.mendeley.com/documents/?uuid=f586f9aa-3e8f-384d-b6de-13f9d8c4b866"]},{"id":"ITEM-40","itemData":{"author":[{"dropping-particle":"","family":"Centers for Disease Control and Prevention","given":"","non-dropping-particle":"","parse-names":false,"suffix":""}],"container-title":"MMWR Recommended Reports","id":"ITEM-40","issue":"3","issued":{"date-parts":[["2015"]]},"title":"2015 STD Treatment Guidelines","type":"article-journal","volume":"64"},"uris":["http://www.mendeley.com/documents/?uuid=48bde350-eac4-33a5-bd61-f979ec788a3c"]},{"id":"ITEM-41","itemData":{"DOI":"10.1097/OLQ.0000000000000511","ISSN":"0148-5717","author":[{"dropping-particle":"","family":"Oliver","given":"Ashley","non-dropping-particle":"","parse-names":false,"suffix":""},{"dropping-particle":"","family":"Rogers","given":"Meighan","non-dropping-particle":"","parse-names":false,"suffix":""},{"dropping-particle":"","family":"Schillinger","given":"Julia A.","non-dropping-particle":"","parse-names":false,"suffix":""}],"container-title":"Sexually Transmitted Diseases","id":"ITEM-41","issue":"11","issued":{"date-parts":[["2016","11"]]},"page":"673-678","title":"The Impact of Prescriptions on Sex Partner Treatment Using Expedited Partner Therapy for Chlamydia trachomatis Infection, New York City, 2014–2015","type":"article-journal","volume":"43"},"uris":["http://www.mendeley.com/documents/?uuid=e8f70f8e-c777-3f2e-8098-11ab5c8845fb"]},{"id":"ITEM-42","itemData":{"DOI":"10.1097/OLQ.0000000000000520","ISSN":"0148-5717","author":[{"dropping-particle":"","family":"Reid","given":"Amanda","non-dropping-particle":"","parse-names":false,"suffix":""},{"dropping-particle":"","family":"Rogers","given":"Meighan E.","non-dropping-particle":"","parse-names":false,"suffix":""},{"dropping-particle":"","family":"Arya","given":"Vibhuti","non-dropping-particle":"","parse-names":false,"suffix":""},{"dropping-particle":"","family":"Edelstein","given":"Zoe R.","non-dropping-particle":"","parse-names":false,"suffix":""},{"dropping-particle":"","family":"Schillinger","given":"Julia A.","non-dropping-particle":"","parse-names":false,"suffix":""}],"container-title":"Sexually Transmitted Diseases","id":"ITEM-42","issue":"11","issued":{"date-parts":[["2016","11"]]},"page":"679-684","title":"Pharmacists</w:instrText>
            </w:r>
            <w:r w:rsidRPr="00DE4DAD">
              <w:rPr>
                <w:sz w:val="18"/>
                <w:szCs w:val="18"/>
              </w:rPr>
              <w:instrText>ʼ</w:instrText>
            </w:r>
            <w:r w:rsidRPr="00DE4DAD">
              <w:rPr>
                <w:rFonts w:ascii="Helvetica Neue" w:hAnsi="Helvetica Neue"/>
                <w:sz w:val="18"/>
                <w:szCs w:val="18"/>
              </w:rPr>
              <w:instrText xml:space="preserve"> Knowledge and Practices Surrounding Expedited Partner Therapy for Chlamydia trachomatis, New York City, 2012 and 2014","type":"article-journal","volume":"43"},"uris":["http://www.mendeley.com/documents/?uuid=ed0c848d-07b7-3a68-a5e4-091999485395"]},{"id":"ITEM-43","itemData":{"author":[{"dropping-particle":"","family":"Okah","given":"Ebiere","non-dropping-particle":"","parse-names":false,"suffix":""},{"dropping-particle":"","family":"Arya","given":"Vibhuti","non-dropping-particle":"","parse-names":false,"suffix":""},{"dropping-particle":"","family":"Rogers","given":"Meighan","non-dropping-particle":"","parse-names":false,"suffix":""},{"dropping-particle":"","family":"Kim","given":"Michelle","non-dropping-particle":"","parse-names":false,"suffix":""},{"dropping-particle":"","family":"Schillinger","given":"Julia Ann","non-dropping-particle":"","parse-names":false,"suffix":""}],"container-title":"Sexually Transmitted Diseases","id":"ITEM-43","issue":"2","issued":{"date-parts":[["2017","2"]]},"page":"104-108","title":"Sentinel Surveillance for Expedited Partner Therapy Prescriptions Using Pharmacy Data, in 2 New York City Neighborhoods, 2015","type":"article-journal","volume":"44"},"uris":["http://www.mendeley.com/documents/?uuid=abb708a6-a9f0-3cb0-9b95-d35ab9d165d4"]},{"id":"ITEM-44","itemData":{"DOI":"10.1097/OLQ.0000000000000512","ISSN":"0148-5717","author":[{"dropping-particle":"","family":"Tan","given":"Wei Sheng","non-dropping-particle":"","parse-names":false,"suffix":""},{"dropping-particle":"","family":"Chen","given":"Marcus","non-dropping-particle":"","parse-names":false,"suffix":""},{"dropping-particle":"","family":"Ivan","given":"Mihaela","non-dropping-particle":"","parse-names":false,"suffix":""},{"dropping-particle":"","family":"Stone","given":"Kristine","non-dropping-particle":"","parse-names":false,"suffix":""},{"dropping-particle":"","family":"Rane","given":"Vinita","non-dropping-particle":"","parse-names":false,"suffix":""},{"dropping-particle":"","family":"Fairley","given":"Christopher K.","non-dropping-particle":"","parse-names":false,"suffix":""},{"dropping-particle":"","family":"Ong","given":"Jason J.","non-dropping-particle":"","parse-names":false,"suffix":""}],"container-title":"Sexually Transmitted Diseases","id":"ITEM-44","issue":"11","issued":{"date-parts":[["2016","11"]]},"page":"685-689","title":"Partner Notification Outcomes for Men Who Have Sex With Men Diagnosed With Syphilis Referred to Partner Notification Officers, Melbourne, Australia","type":"article-journal","volume":"43"},"uris":["http://www.mendeley.com/documents/?uuid=7d1e4bc4-50f6-3215-9534-28ae0ed396be"]},{"id":"ITEM-45","itemData":{"author":[{"dropping-particle":"","family":"Introcaso","given":"Camille E.","non-dropping-particle":"","parse-names":false,"suffix":""},{"dropping-particle":"","family":"Rogers","given":"Meighan E.","non-dropping-particle":"","parse-names":false,"suffix":""},{"dropping-particle":"","family":"Abbott","given":"Sharon A.","non-dropping-particle":"","parse-names":false,"suffix":""},{"dropping-particle":"","family":"Gorwitz","given":"Rachel J.","non-dropping-particle":"","parse-names":false,"suffix":""},{"dropping-particle":"","family":"Markowitz","given":"Lauri E.","non-dropping-particle":"","parse-names":false,"suffix":""},{"dropping-particle":"","family":"Schillinger","given":"Julia A.","non-dropping-particle":"","parse-names":false,"suffix":""}],"container-title":"Sexually Transmitted Diseases","id":"ITEM-45","issue":"11","issued":{"date-parts":[["2013","11"]]},"page":"881-885","title":"Expedited Partner Therapy in Federally Qualified Health Centers—New York City, 2012","type":"article-journal","volume":"40"},"uris":["http://www.mendeley.com/documents/?uuid=6182ba76-42da-36a2-8a7c-b7344953b20b"]},{"id":"ITEM-46","itemData":{"author":[{"dropping-particle":"","family":"Kissinger","given":"Patricia J.","non-dropping-particle":"","parse-names":false,"suffix":""}],"container-title":"Sexually Transmitted Diseases","id":"ITEM-46","issue":"2","issued":{"date-parts":[["2017","2"]]},"page":"109-110","title":"The Challenges of Implementing and Evaluating Prescription Expedited Partner Treatment","type":"article-journal","volume":"44"},"uris":["http://www.mendeley.com/documents/?uuid=a2790d9f-3296-30d5-9eae-efbb8ab997fb"]},{"id":"ITEM-47","itemData":{"DOI":"10.1097/OLQ.0000000000000399","ISSN":"0148-5717","PMID":"26771402","abstract":"BACKGROUND Expedited partner therapy (EPT) is a partner treatment strategy wherein health care providers give patients antibiotics or a prescription to deliver to their sex partners as treatment, without an intervening medical evaluation. METHODS We used PubMed and the Cochrane database to systematically identify published articles about EPT after 2006 and randomized controlled trials before that date; we also sought conference abstracts and unpublished data from 2013 to 2014. We described key steps in a hypothetical \"EPT continuum,\" beginning with diagnosis of Chlamydia trachomatis or Neisseria gonorrhoeae in a patient and ending with treatment for the patient's sex partner(s) with EPT. All reports were abstracted for a set of defined measures and related interventions. RESULTS We reviewed 100 published articles, unpublished data reports, and conference abstracts; 42 met the inclusion criteria and provided measures of the following: provider uptake and offer of EPT, patient acceptance and receipt of EPT, patient delivery of EPT to sex partners, and partner receipt of EPT and treatment. Implementation phase, populations, settings, and methodologies varied across reports. Providers' uptake and offer of EPT are rate-limiting steps in the EPT continuum and were the focus of all 5 programmatic interventions we identified. There were 7 population-based measures of patient receipt of EPT; however, several of the patient populations overlapped. CONCLUSIONS A heterogenous body of literature describes EPT, and variation in study population, setting, and metrics limit generalizability. Programs seeking to increase partner treatment should focus their efforts on provider uptake and offer and should use population-based measures to monitor EPT use.","author":[{"dropping-particle":"","family":"Schillinger","given":"Julia Ann","non-dropping-particle":"","parse-names":false,"suffix":""},{"dropping-particle":"","family":"Gorwitz","given":"Rachel","non-dropping-particle":"","parse-names":false,"suffix":""},{"dropping-particle":"","family":"Rietmeijer","given":"Cornelis","non-dropping-particle":"","parse-names":false,"suffix":""},{"dropping-particle":"","family":"Golden","given":"Matthew R.","non-dropping-particle":"","parse-names":false,"suffix":""}],"container-title":"Sexually Transmitted Diseases","id":"ITEM-47","issue":"2 Suppl 1","issued":{"date-parts":[["2016","2"]]},"page":"S63-S75","title":"The Expedited Partner Therapy Continuum","type":"article-journal","volume":"43"},"uris":["http://www.mendeley.com/documents/?uuid=01c74cce-c2e3-33af-99b8-3380ef23c2eb"]},{"id":"ITEM-48","itemData":{"DOI":"10.1097/OLQ.0000000000000197","ISSN":"0148-5717","PMID":"25299418","abstract":"BACKGROUND Expedited partner therapy (EPT) for Chlamydia trachomatis (Ct) reduces repeat Ct infection and was legalized in New York State in 2009. It is a practice in which a Ct-infected index patient delivers medication or a prescription directly to sex partner(s), without those partners receiving medical evaluation. There have been few evaluations of EPT implementation assessing acceptance and uptake among index patients. We measured EPT acceptance among index patients, identified predictors of accepting EPT, and described reasons for declining EPT. METHODS We conducted a retrospective analysis using electronic medical records from patients attending New York City Department of Health and Mental Hygiene STD clinics from July 2011 to October 2012. A multivariable model examined the associations between accepting EPT and patient and clinic-level characteristics. RESULTS Overall, 54.8% (1076/1964) of index patients accepted EPT when offered (55.9% of males and 54.4% of females [P = 0.55]). Predictors of EPT acceptance included having a male provider offer EPT (adjusted odds ratio, 1.43; 95% confidence interval, 1.12-1.83). Index patients who had a partner present at the clinic during the treatment visit were less likely to accept EPT (adjusted odds ratio, 0.28; 95% confidence interval, 0.20-0.40). Among 888 patients who refused EPT, common reasons were as follows: \"partner in clinic today for treatment\" (26.3% [234/888]), \"no longer with partner\" (25.0% [222/888]), \"partner already treated\" (20.3% [180/888]), and \"prefer medication be delivered by clinician\" (19.6% [174/888]). Expedited partner therapy acceptance did not differ by patient age, sex, or race. Excluding persons whose partners were already treated and persons whose partners were in the clinic for treatment, EPT acceptance rates were 69.4%. CONCLUSIONS Expedited partner therapy acceptance rates were high among index patients whose partners were not otherwise treated.","author":[{"dropping-particle":"","family":"Vaidya","given":"Sheila","non-dropping-particle":"","parse-names":false,"suffix":""},{"dropping-particle":"","family":"Johnson","given":"Kimberly","non-dropping-particle":"","parse-names":false,"suffix":""},{"dropping-particle":"","family":"Rogers","given":"Meighan","non-dropping-particle":"","parse-names":false,"suffix":""},{"dropping-particle":"","family":"Nash","given":"Denis","non-dropping-particle":"","parse-names":false,"suffix":""},{"dropping-particle":"","family":"Schillinger","given":"Julia A.","non-dropping-particle":"","parse-names":false,"suffix":""}],"container-title":"Sexually Transmitted Diseases","id":"ITEM-48","issue":"11","issued":{"date-parts":[["2014","11"]]},"page":"690-694","title":"Predictors of Index Patient Acceptance of Expedited Partner Therapy for Chlamydia trachomatis Infection and Reasons for Refusal, Sexually Transmitted Disease Clinics, New York City, 2011 to 2012","type":"article-journal","volume":"41"},"uris":["http://www.mendeley.com/documents/?uuid=4ab22d00-6568-3236-bc56-f793ed304401"]},{"id":"ITEM-49","itemData":{"DOI":"10.1186/s12916-017-0858-9","ISSN":"1741-7015","author":[{"dropping-particle":"","family":"Clark","given":"Jesse L.","non-dropping-particle":"","parse-names":false,"suffix":""},{"dropping-particle":"","family":"Segura","given":"Eddy R.","non-dropping-particle":"","parse-names":false,"suffix":""},{"dropping-particle":"","family":"Oldenburg","given":"Catherine E.","non-dropping-particle":"","parse-names":false,"suffix":""},{"dropping-particle":"","family":"Rios","given":"Jessica","non-dropping-particle":"","parse-names":false,"suffix":""},{"dropping-particle":"","family":"Montano","given":"Silvia M.","non-dropping-particle":"","parse-names":false,"suffix":""},{"dropping-particle":"","family":"Perez-Brumer","given":"Amaya","non-dropping-particle":"","parse-names":false,"suffix":""},{"dropping-particle":"","family":"Villaran","given":"Manuel","non-dropping-particle":"","parse-names":false,"suffix":""},{"dropping-particle":"","family":"Sanchez","given":"Jorge","non-dropping-particle":"","parse-names":false,"suffix":""},{"dropping-particle":"","family":"Coates","given":"Thomas J.","non-dropping-particle":"","parse-names":false,"suffix":""},{"dropping-particle":"","family":"Lama","given":"Javier R.","non-dropping-particle":"","parse-names":false,"suffix":""}],"container-title":"BMC Medicine","id":"ITEM-49","issue":"1","issued":{"date-parts":[["2017","12","4"]]},"page":"94","title":"Expedited Partner Therapy (EPT) increases the frequency of partner notification among MSM in Lima, Peru: a pilot randomized controlled trial","type":"article-journal","volume":"15"},"uris":["http://www.mendeley.com/documents/?uuid=823d2418-555c-334d-9437-b38b2a01707d"]}],"mendeley":{"formattedCitation":"&lt;sup&gt;97,104,116–125,108,126–130,135–139,109,140–149,110,150–158,111–115&lt;/sup&gt;","plainTextFormattedCitation":"97,104,116–125,108,126–130,135–139,109,140–149,110,150–158,111–115","previouslyFormattedCitation":"&lt;sup&gt;97,104,116–125,108,126–130,135–139,109,140–149,110,150–158,111–115&lt;/sup&gt;"},"properties":{"noteIndex":0},"schema":"https://github.com/citation-style-language/schema/raw/master/csl-citation.json"}</w:instrText>
            </w:r>
            <w:r w:rsidRPr="00DE4DAD">
              <w:rPr>
                <w:rFonts w:ascii="Helvetica Neue" w:hAnsi="Helvetica Neue"/>
                <w:sz w:val="18"/>
                <w:szCs w:val="18"/>
              </w:rPr>
              <w:fldChar w:fldCharType="separate"/>
            </w:r>
            <w:r w:rsidRPr="00DE4DAD">
              <w:rPr>
                <w:rFonts w:ascii="Helvetica Neue" w:hAnsi="Helvetica Neue"/>
                <w:noProof/>
                <w:sz w:val="18"/>
                <w:szCs w:val="18"/>
                <w:vertAlign w:val="superscript"/>
              </w:rPr>
              <w:t>97,104,116–125,108,126–130,135–139,109,140–149,110,150–158,111–115</w:t>
            </w:r>
            <w:r w:rsidRPr="00DE4DAD">
              <w:rPr>
                <w:rFonts w:ascii="Helvetica Neue" w:hAnsi="Helvetica Neue"/>
                <w:sz w:val="18"/>
                <w:szCs w:val="18"/>
              </w:rPr>
              <w:fldChar w:fldCharType="end"/>
            </w:r>
          </w:p>
          <w:p w14:paraId="3934FCDE" w14:textId="77777777" w:rsidR="00C90674" w:rsidRPr="00DE4DAD" w:rsidRDefault="00C90674" w:rsidP="00306A9D">
            <w:pPr>
              <w:rPr>
                <w:rFonts w:ascii="Helvetica Neue" w:hAnsi="Helvetica Neue"/>
                <w:sz w:val="18"/>
                <w:szCs w:val="18"/>
              </w:rPr>
            </w:pPr>
          </w:p>
        </w:tc>
      </w:tr>
    </w:tbl>
    <w:p w14:paraId="41846664" w14:textId="35B2BF69" w:rsidR="00EA16D9" w:rsidRDefault="00EA16D9" w:rsidP="00EA16D9">
      <w:pPr>
        <w:tabs>
          <w:tab w:val="left" w:pos="540"/>
        </w:tabs>
        <w:spacing w:before="120" w:line="360" w:lineRule="auto"/>
        <w:rPr>
          <w:rFonts w:ascii="Helvetica Neue" w:hAnsi="Helvetica Neue"/>
        </w:rPr>
      </w:pPr>
      <w:r w:rsidRPr="0024409C">
        <w:rPr>
          <w:rFonts w:ascii="Helvetica Neue" w:hAnsi="Helvetica Neue"/>
        </w:rPr>
        <w:lastRenderedPageBreak/>
        <w:t xml:space="preserve">The targeted </w:t>
      </w:r>
      <w:r>
        <w:rPr>
          <w:rFonts w:ascii="Helvetica Neue" w:hAnsi="Helvetica Neue"/>
        </w:rPr>
        <w:t xml:space="preserve">NG and CT </w:t>
      </w:r>
      <w:r w:rsidRPr="0024409C">
        <w:rPr>
          <w:rFonts w:ascii="Helvetica Neue" w:hAnsi="Helvetica Neue"/>
        </w:rPr>
        <w:t>incidence</w:t>
      </w:r>
      <w:r>
        <w:rPr>
          <w:rFonts w:ascii="Helvetica Neue" w:hAnsi="Helvetica Neue"/>
        </w:rPr>
        <w:t xml:space="preserve"> rates were based on results from non-</w:t>
      </w:r>
      <w:proofErr w:type="spellStart"/>
      <w:r>
        <w:rPr>
          <w:rFonts w:ascii="Helvetica Neue" w:hAnsi="Helvetica Neue"/>
        </w:rPr>
        <w:t>PrEP</w:t>
      </w:r>
      <w:proofErr w:type="spellEnd"/>
      <w:r>
        <w:rPr>
          <w:rFonts w:ascii="Helvetica Neue" w:hAnsi="Helvetica Neue"/>
        </w:rPr>
        <w:t xml:space="preserve"> using cohorts in a recent meta-analysis</w:t>
      </w:r>
      <w:r w:rsidRPr="0024409C">
        <w:rPr>
          <w:rFonts w:ascii="Helvetica Neue" w:hAnsi="Helvetica Neue"/>
        </w:rPr>
        <w:fldChar w:fldCharType="begin" w:fldLock="1"/>
      </w:r>
      <w:r w:rsidR="00665BF2">
        <w:rPr>
          <w:rFonts w:ascii="Helvetica Neue" w:hAnsi="Helvetica Neue"/>
        </w:rPr>
        <w:instrText>ADDIN CSL_CITATION {"citationItems":[{"id":"ITEM-1","itemData":{"ISSN":"0269-9370","author":[{"dropping-particle":"","family":"Kojima","given":"Noah","non-dropping-particle":"","parse-names":false,"suffix":""},{"dropping-particle":"","family":"Davey","given":"Dvora Joseph","non-dropping-particle":"","parse-names":false,"suffix":""},{"dropping-particle":"","family":"Klausner","given":"Jeffrey D.","non-dropping-particle":"","parse-names":false,"suffix":""}],"container-title":"AIDS","id":"ITEM-1","issue":"14","issued":{"date-parts":[["2016","9"]]},"page":"2251-2252","title":"Pre-exposure prophylaxis for HIV infection and new sexually transmitted infections among men who have sex with men","type":"article-journal","volume":"30"},"uris":["http://www.mendeley.com/documents/?uuid=7a038106-c9e3-40f6-b9f7-4c3b20441036"]}],"mendeley":{"formattedCitation":"&lt;sup&gt;159&lt;/sup&gt;","plainTextFormattedCitation":"159","previouslyFormattedCitation":"&lt;sup&gt;159&lt;/sup&gt;"},"properties":{"noteIndex":0},"schema":"https://github.com/citation-style-language/schema/raw/master/csl-citation.json"}</w:instrText>
      </w:r>
      <w:r w:rsidRPr="0024409C">
        <w:rPr>
          <w:rFonts w:ascii="Helvetica Neue" w:hAnsi="Helvetica Neue"/>
        </w:rPr>
        <w:fldChar w:fldCharType="separate"/>
      </w:r>
      <w:r w:rsidRPr="00EA16D9">
        <w:rPr>
          <w:rFonts w:ascii="Helvetica Neue" w:hAnsi="Helvetica Neue"/>
          <w:noProof/>
          <w:vertAlign w:val="superscript"/>
        </w:rPr>
        <w:t>159</w:t>
      </w:r>
      <w:r w:rsidRPr="0024409C">
        <w:rPr>
          <w:rFonts w:ascii="Helvetica Neue" w:hAnsi="Helvetica Neue"/>
        </w:rPr>
        <w:fldChar w:fldCharType="end"/>
      </w:r>
      <w:r>
        <w:rPr>
          <w:rFonts w:ascii="Helvetica Neue" w:hAnsi="Helvetica Neue"/>
        </w:rPr>
        <w:t xml:space="preserve"> which included data from two Atlanta-based cohorts.</w:t>
      </w:r>
      <w:r>
        <w:rPr>
          <w:rFonts w:ascii="Helvetica Neue" w:hAnsi="Helvetica Neue"/>
        </w:rPr>
        <w:fldChar w:fldCharType="begin" w:fldLock="1"/>
      </w:r>
      <w:r w:rsidR="00665BF2">
        <w:rPr>
          <w:rFonts w:ascii="Helvetica Neue" w:hAnsi="Helvetica Neue"/>
        </w:rPr>
        <w:instrText>ADDIN CSL_CITATION {"citationItems":[{"id":"ITEM-1","itemData":{"ISSN":"1537-4521","PMID":"26267877","abstract":"BACKGROUND Studying the heterogeneity and correlates of HIV risk in the sexual networks of black and white men who have sex with men (MSM) may help explain racial disparities in HIV-infection. METHODS Black and white MSM were recruited as seeds using venue-based time sampling and provided data regarding their recent sex partners. We used chain referral methods to enroll seeds' recent sex partners; newly enrolled partners in turn provided data on their recent sex partners, some of whom later enrolled. Data about unenrolled recent sex partners obtained from seeds and enrolled participants were also analyzed. We estimated the prevalence of HIV in sexual networks of MSM and assessed differential patterns of network HIV risk by the race of the seed. RESULTS The mean network prevalence of HIV in sexual networks of black MSM (n = 117) was 36% compared with 4% in networks of white MSM (n = 78; P &lt; 0.0001). Sexual networks of unemployed black MSM had a higher prevalence of HIV than their employed counterparts (51% vs. 29%, P = 0.007). The networks of HIV-negative black MSM seeds aged 18 to 24 years had a network prevalence of 9% compared with 2% among those aged 30 years or older. In networks originating from a black HIV-positive seed, the prevalence ranged from 63% among those aged 18 to 24 years to 80% among those 30 years or older. CONCLUSIONS The high prevalence of HIV in the networks of HIV-negative young black MSM demonstrates a mechanism for the increased HIV incidence observed in this age group. More research is needed into how age and socioeconomic factors shape sexual networks and HIV risk.","author":[{"dropping-particle":"","family":"Hernández-Romieu","given":"Alfonso C","non-dropping-particle":"","parse-names":false,"suffix":""},{"dropping-particle":"","family":"Sullivan","given":"Patrick S","non-dropping-particle":"","parse-names":false,"suffix":""},{"dropping-particle":"","family":"Rothenberg","given":"Richard","non-dropping-particle":"","parse-names":false,"suffix":""},{"dropping-particle":"","family":"Grey","given":"Jeremy","non-dropping-particle":"","parse-names":false,"suffix":""},{"dropping-particle":"","family":"Luisi","given":"Nicole","non-dropping-particle":"","parse-names":false,"suffix":""},{"dropping-particle":"","family":"Kelley","given":"Colleen F","non-dropping-particle":"","parse-names":false,"suffix":""},{"dropping-particle":"","family":"Rosenberg","given":"Eli S","non-dropping-particle":"","parse-names":false,"suffix":""}],"container-title":"Sex Transm Dis","id":"ITEM-1","issue":"9","issued":{"date-parts":[["2015","9"]]},"page":"505-12","title":"Heterogeneity of HIV prevalence among the sexual networks of black and white men who have sex with men in Atlanta: Illuminating a mechanism for increased HIV risk for young black men who have sex with men.","type":"article-journal","volume":"42"},"uris":["http://www.mendeley.com/documents/?uuid=6e4624eb-137a-49c4-9725-b20a62e58693"]},{"id":"ITEM-2","itemData":{"PMID":"25719950","abstract":"Data reporting sexually transmitted infection (STI) incidence rates among HIV-negative U.S. men who have sex with men (MSM) are lacking. In addition, it is difficult to analyze the effect of STI on HIV acquisition given that sexual risk behaviors confound the relationship between bacterial STIs and incident HIV. The InvolveMENt study was a longitudinal cohort of black and white HIV-negative, sexually active MSM in Atlanta who underwent routine screening for STI and HIV and completed behavioral questionnaires. Age-adjusted incidence rates were calculated for urethral and rectal Chlamydia (CT), gonorrhea (GC), and syphilis, stratified by race. Propensity-score-weighted Cox proportional hazards models were used to estimate the effect of STI on HIV incidence and calculate the population attributable fraction (PAF) for STI. We included 562 HIV-negative MSM with 843 person-years of follow-up in this analysis. High incidence rates were documented for all STIs, particularly among black MSM. Having a rectal STI was significantly associated with subsequent HIV incidence in adjusted analyses (aHR 2.7; 95% CI 1.2, 6.4) that controlled for behavioral risk factors associated with STI and HIV using propensity score weights. The PAF for rectal STI was 14.6 (95% CI 6.8, 31.4). The high incidence of STIs among Atlanta MSM and the association of rectal STI with HIV acquisition after controlling for behavioral risk underscore the importance of routine screening and treatment for STIs among sexually active MSM. Our data support targeting intensive HIV prevention interventions, such as preexposure chemoprophylaxis (PrEP), for Atlanta MSM diagnosed with rectal STIs.","author":[{"dropping-particle":"","family":"Kelley","given":"Colleen F","non-dropping-particle":"","parse-names":false,"suffix":""},{"dropping-particle":"","family":"Vaughan","given":"Adam S","non-dropping-particle":"","parse-names":false,"suffix":""},{"dropping-particle":"","family":"Luisi","given":"Nicole","non-dropping-particle":"","parse-names":false,"suffix":""},{"dropping-particle":"","family":"Sanchez","given":"Travis H","non-dropping-particle":"","parse-names":false,"suffix":""},{"dropping-particle":"","family":"Salazar","given":"Laura F","non-dropping-particle":"","parse-names":false,"suffix":""},{"dropping-particle":"","family":"Frew","given":"Paula M","non-dropping-particle":"","parse-names":false,"suffix":""},{"dropping-particle":"","family":"Cooper","given":"Hannah L F","non-dropping-particle":"","parse-names":false,"suffix":""},{"dropping-particle":"","family":"Diclemente","given":"Ralph","non-dropping-particle":"","parse-names":false,"suffix":""},{"dropping-particle":"","family":"Rio","given":"Carlos","non-dropping-particle":"del","parse-names":false,"suffix":""},{"dropping-particle":"","family":"Sullivan","given":"Patrick S","non-dropping-particle":"","parse-names":false,"suffix":""},{"dropping-particle":"","family":"Rosenberg","given":"Eli S","non-dropping-particle":"","parse-names":false,"suffix":""}],"container-title":"AIDS Res Hum Retroviruses","id":"ITEM-2","issue":"6","issued":{"date-parts":[["2015","6"]]},"page":"587-92","title":"The effect of high rates of bacterial sexually transmitted infections on HIV incidence in a cohort of black and white men who have sex with men in Atlanta, Georgia.","type":"article-journal","volume":"31"},"uris":["http://www.mendeley.com/documents/?uuid=9a4d96f1-ac24-4340-b64e-7e2df162dc60"]}],"mendeley":{"formattedCitation":"&lt;sup&gt;132,133&lt;/sup&gt;","plainTextFormattedCitation":"132,133","previouslyFormattedCitation":"&lt;sup&gt;132,133&lt;/sup&gt;"},"properties":{"noteIndex":0},"schema":"https://github.com/citation-style-language/schema/raw/master/csl-citation.json"}</w:instrText>
      </w:r>
      <w:r>
        <w:rPr>
          <w:rFonts w:ascii="Helvetica Neue" w:hAnsi="Helvetica Neue"/>
        </w:rPr>
        <w:fldChar w:fldCharType="separate"/>
      </w:r>
      <w:r w:rsidR="00CC13FE" w:rsidRPr="00CC13FE">
        <w:rPr>
          <w:rFonts w:ascii="Helvetica Neue" w:hAnsi="Helvetica Neue"/>
          <w:noProof/>
          <w:vertAlign w:val="superscript"/>
        </w:rPr>
        <w:t>132,133</w:t>
      </w:r>
      <w:r>
        <w:rPr>
          <w:rFonts w:ascii="Helvetica Neue" w:hAnsi="Helvetica Neue"/>
        </w:rPr>
        <w:fldChar w:fldCharType="end"/>
      </w:r>
      <w:r>
        <w:rPr>
          <w:rFonts w:ascii="Helvetica Neue" w:hAnsi="Helvetica Neue"/>
        </w:rPr>
        <w:t xml:space="preserve"> NG incidence rates were complemented by an estimate of incidence among MSM attending STD clinics that were part of the STD Surveillance Network (</w:t>
      </w:r>
      <w:proofErr w:type="spellStart"/>
      <w:r>
        <w:rPr>
          <w:rFonts w:ascii="Helvetica Neue" w:hAnsi="Helvetica Neue"/>
        </w:rPr>
        <w:t>SSuN</w:t>
      </w:r>
      <w:proofErr w:type="spellEnd"/>
      <w:r>
        <w:rPr>
          <w:rFonts w:ascii="Helvetica Neue" w:hAnsi="Helvetica Neue"/>
        </w:rPr>
        <w:t>).</w:t>
      </w:r>
      <w:r>
        <w:rPr>
          <w:rFonts w:ascii="Helvetica Neue" w:hAnsi="Helvetica Neue"/>
        </w:rPr>
        <w:fldChar w:fldCharType="begin" w:fldLock="1"/>
      </w:r>
      <w:r w:rsidR="00665BF2">
        <w:rPr>
          <w:rFonts w:ascii="Helvetica Neue" w:hAnsi="Helvetica Neue"/>
        </w:rPr>
        <w:instrText>ADDIN CSL_CITATION {"citationItems":[{"id":"ITEM-1","itemData":{"author":[{"dropping-particle":"","family":"Stenger","given":"Mark R.","non-dropping-particle":"","parse-names":false,"suffix":""},{"dropping-particle":"","family":"Pathela","given":"Preeti","non-dropping-particle":"","parse-names":false,"suffix":""},{"dropping-particle":"","family":"Anschuetz","given":"Greta","non-dropping-particle":"","parse-names":false,"suffix":""},{"dropping-particle":"","family":"Bauer","given":"Heidi","non-dropping-particle":"","parse-names":false,"suffix":""},{"dropping-particle":"","family":"Simon","given":"Julieann","non-dropping-particle":"","parse-names":false,"suffix":""},{"dropping-particle":"","family":"Kohn","given":"Robert","non-dropping-particle":"","parse-names":false,"suffix":""},{"dropping-particle":"","family":"Schumacher","given":"Christina","non-dropping-particle":"","parse-names":false,"suffix":""},{"dropping-particle":"","family":"Torrone","given":"Elizabeth","non-dropping-particle":"","parse-names":false,"suffix":""}],"container-title":"Sexually Transmitted Diseases","id":"ITEM-1","issue":"7","issued":{"date-parts":[["2017","7"]]},"page":"393-397","title":"Increases in the Rate of Neisseria gonorrhoeae Among Gay, Bisexual and Other Men Who Have Sex With Men: Findings From the Sexually Transmitted Disease Surveillance Network 2010-2015","type":"article-journal","volume":"44"},"uris":["http://www.mendeley.com/documents/?uuid=d7ae6d18-a865-3360-be34-61916fc0e824"]}],"mendeley":{"formattedCitation":"&lt;sup&gt;160&lt;/sup&gt;","plainTextFormattedCitation":"160","previouslyFormattedCitation":"&lt;sup&gt;160&lt;/sup&gt;"},"properties":{"noteIndex":0},"schema":"https://github.com/citation-style-language/schema/raw/master/csl-citation.json"}</w:instrText>
      </w:r>
      <w:r>
        <w:rPr>
          <w:rFonts w:ascii="Helvetica Neue" w:hAnsi="Helvetica Neue"/>
        </w:rPr>
        <w:fldChar w:fldCharType="separate"/>
      </w:r>
      <w:r w:rsidRPr="00EA16D9">
        <w:rPr>
          <w:rFonts w:ascii="Helvetica Neue" w:hAnsi="Helvetica Neue"/>
          <w:noProof/>
          <w:vertAlign w:val="superscript"/>
        </w:rPr>
        <w:t>160</w:t>
      </w:r>
      <w:r>
        <w:rPr>
          <w:rFonts w:ascii="Helvetica Neue" w:hAnsi="Helvetica Neue"/>
        </w:rPr>
        <w:fldChar w:fldCharType="end"/>
      </w:r>
      <w:r>
        <w:rPr>
          <w:rFonts w:ascii="Helvetica Neue" w:hAnsi="Helvetica Neue"/>
        </w:rPr>
        <w:t xml:space="preserve"> An HIV prevalence target of 15% was extracted from a published analysis of rates of prevalent infection which combined MSM population size estimates with public HIV surveillance data.</w:t>
      </w:r>
      <w:r>
        <w:rPr>
          <w:rFonts w:ascii="Helvetica Neue" w:hAnsi="Helvetica Neue"/>
        </w:rPr>
        <w:fldChar w:fldCharType="begin" w:fldLock="1"/>
      </w:r>
      <w:r w:rsidR="00665BF2">
        <w:rPr>
          <w:rFonts w:ascii="Helvetica Neue" w:hAnsi="Helvetica Neue"/>
        </w:rPr>
        <w:instrText>ADDIN CSL_CITATION {"citationItems":[{"id":"ITEM-1","itemData":{"DOI":"10.2196/publichealth.5684","ISSN":"2369-2960","PMID":"27244769","abstract":"BACKGROUND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≥15%, all in the South. Five highly populated states had ≥15,000 cases and rates between 10% and 15%. Georgia was the only state with ≥15,000 cases and ≥15% diagnosed prevalence rate. Of the 25 MSAs with the highest diagnosed prevalence rates in the United States, 21 were in the South and 6 had diagnosed prevalence of ≥25%. County-level data showed high diagnosed prevalence rates in both urban and rural counties of the South. CONCLUSIONS HIV infection is hyperendemic among MSM in many areas of the Uni…","author":[{"dropping-particle":"","family":"Rosenberg","given":"Eli Samuel","non-dropping-particle":"","parse-names":false,"suffix":""},{"dropping-particle":"","family":"Grey","given":"Jeremy Alexander","non-dropping-particle":"","parse-names":false,"suffix":""},{"dropping-particle":"","family":"Sanchez","given":"Travis Howard","non-dropping-particle":"","parse-names":false,"suffix":""},{"dropping-particle":"","family":"Sullivan","given":"Patrick Sean","non-dropping-particle":"","parse-names":false,"suffix":""}],"container-title":"JMIR public health and surveillance","id":"ITEM-1","issue":"1","issued":{"date-parts":[["2016","5","17"]]},"page":"e22","publisher":"JMIR Publications Inc.","title":"Rates of Prevalent HIV Infection, Prevalent Diagnoses, and New Diagnoses Among Men Who Have Sex With Men in US States, Metropolitan Statistical Areas, and Counties, 2012-2013.","type":"article-journal","volume":"2"},"uris":["http://www.mendeley.com/documents/?uuid=a7682f51-17cb-399a-952c-2a3b32233767"]}],"mendeley":{"formattedCitation":"&lt;sup&gt;131&lt;/sup&gt;","plainTextFormattedCitation":"131","previouslyFormattedCitation":"&lt;sup&gt;131&lt;/sup&gt;"},"properties":{"noteIndex":0},"schema":"https://github.com/citation-style-language/schema/raw/master/csl-citation.json"}</w:instrText>
      </w:r>
      <w:r>
        <w:rPr>
          <w:rFonts w:ascii="Helvetica Neue" w:hAnsi="Helvetica Neue"/>
        </w:rPr>
        <w:fldChar w:fldCharType="separate"/>
      </w:r>
      <w:r w:rsidR="00CC13FE" w:rsidRPr="00CC13FE">
        <w:rPr>
          <w:rFonts w:ascii="Helvetica Neue" w:hAnsi="Helvetica Neue"/>
          <w:noProof/>
          <w:vertAlign w:val="superscript"/>
        </w:rPr>
        <w:t>131</w:t>
      </w:r>
      <w:r>
        <w:rPr>
          <w:rFonts w:ascii="Helvetica Neue" w:hAnsi="Helvetica Neue"/>
        </w:rPr>
        <w:fldChar w:fldCharType="end"/>
      </w:r>
    </w:p>
    <w:tbl>
      <w:tblPr>
        <w:tblStyle w:val="TableGrid"/>
        <w:tblW w:w="0" w:type="auto"/>
        <w:tblLook w:val="04A0" w:firstRow="1" w:lastRow="0" w:firstColumn="1" w:lastColumn="0" w:noHBand="0" w:noVBand="1"/>
      </w:tblPr>
      <w:tblGrid>
        <w:gridCol w:w="1563"/>
        <w:gridCol w:w="1596"/>
        <w:gridCol w:w="1595"/>
        <w:gridCol w:w="1401"/>
      </w:tblGrid>
      <w:tr w:rsidR="00EA16D9" w14:paraId="623B8003" w14:textId="77777777" w:rsidTr="00676040">
        <w:tc>
          <w:tcPr>
            <w:tcW w:w="6155" w:type="dxa"/>
            <w:gridSpan w:val="4"/>
            <w:shd w:val="clear" w:color="auto" w:fill="F2F2F2" w:themeFill="background1" w:themeFillShade="F2"/>
          </w:tcPr>
          <w:p w14:paraId="0F58F1A8"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Table S3: Epi</w:t>
            </w:r>
            <w:bookmarkStart w:id="63" w:name="_GoBack"/>
            <w:bookmarkEnd w:id="63"/>
            <w:r w:rsidRPr="00FF2327">
              <w:rPr>
                <w:rFonts w:ascii="Helvetica Neue" w:hAnsi="Helvetica Neue"/>
                <w:sz w:val="18"/>
                <w:szCs w:val="18"/>
              </w:rPr>
              <w:t>demiological targets for calibration</w:t>
            </w:r>
          </w:p>
        </w:tc>
      </w:tr>
      <w:tr w:rsidR="00EA16D9" w14:paraId="3DD53C1E" w14:textId="77777777" w:rsidTr="00676040">
        <w:tc>
          <w:tcPr>
            <w:tcW w:w="1563" w:type="dxa"/>
          </w:tcPr>
          <w:p w14:paraId="1FAAE5F5"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Statistic</w:t>
            </w:r>
          </w:p>
        </w:tc>
        <w:tc>
          <w:tcPr>
            <w:tcW w:w="1596" w:type="dxa"/>
          </w:tcPr>
          <w:p w14:paraId="7A44ACEF"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Gonorrhea incidence</w:t>
            </w:r>
          </w:p>
        </w:tc>
        <w:tc>
          <w:tcPr>
            <w:tcW w:w="1595" w:type="dxa"/>
          </w:tcPr>
          <w:p w14:paraId="37AB5139"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Chlamydia incidence</w:t>
            </w:r>
          </w:p>
        </w:tc>
        <w:tc>
          <w:tcPr>
            <w:tcW w:w="1401" w:type="dxa"/>
          </w:tcPr>
          <w:p w14:paraId="4257D00C"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HIV prevalence</w:t>
            </w:r>
          </w:p>
        </w:tc>
      </w:tr>
      <w:tr w:rsidR="00EA16D9" w14:paraId="50C53BD4" w14:textId="77777777" w:rsidTr="00676040">
        <w:tc>
          <w:tcPr>
            <w:tcW w:w="1563" w:type="dxa"/>
          </w:tcPr>
          <w:p w14:paraId="387029FC"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Target</w:t>
            </w:r>
          </w:p>
        </w:tc>
        <w:tc>
          <w:tcPr>
            <w:tcW w:w="1596" w:type="dxa"/>
          </w:tcPr>
          <w:p w14:paraId="42076F48"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4.2 cases / 100 person-years</w:t>
            </w:r>
          </w:p>
        </w:tc>
        <w:tc>
          <w:tcPr>
            <w:tcW w:w="1595" w:type="dxa"/>
          </w:tcPr>
          <w:p w14:paraId="3244E29E"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6.6 cases/ 100 person-years</w:t>
            </w:r>
          </w:p>
        </w:tc>
        <w:tc>
          <w:tcPr>
            <w:tcW w:w="1401" w:type="dxa"/>
          </w:tcPr>
          <w:p w14:paraId="17B6897D"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15%</w:t>
            </w:r>
          </w:p>
        </w:tc>
      </w:tr>
      <w:tr w:rsidR="00EA16D9" w14:paraId="57A9663D" w14:textId="77777777" w:rsidTr="00676040">
        <w:tc>
          <w:tcPr>
            <w:tcW w:w="1563" w:type="dxa"/>
          </w:tcPr>
          <w:p w14:paraId="39950F6E" w14:textId="77777777" w:rsidR="00EA16D9" w:rsidRPr="00FF2327" w:rsidRDefault="00EA16D9" w:rsidP="00676040">
            <w:pPr>
              <w:tabs>
                <w:tab w:val="left" w:pos="540"/>
              </w:tabs>
              <w:spacing w:line="360" w:lineRule="auto"/>
              <w:rPr>
                <w:rFonts w:ascii="Helvetica Neue" w:hAnsi="Helvetica Neue"/>
                <w:sz w:val="18"/>
                <w:szCs w:val="18"/>
              </w:rPr>
            </w:pPr>
            <w:r w:rsidRPr="00FF2327">
              <w:rPr>
                <w:rFonts w:ascii="Helvetica Neue" w:hAnsi="Helvetica Neue"/>
                <w:sz w:val="18"/>
                <w:szCs w:val="18"/>
              </w:rPr>
              <w:t>Source</w:t>
            </w:r>
          </w:p>
        </w:tc>
        <w:tc>
          <w:tcPr>
            <w:tcW w:w="1596" w:type="dxa"/>
          </w:tcPr>
          <w:p w14:paraId="267DB984" w14:textId="3AA2D796" w:rsidR="00EA16D9" w:rsidRPr="00FF2327" w:rsidRDefault="00EA16D9" w:rsidP="00EA16D9">
            <w:pPr>
              <w:tabs>
                <w:tab w:val="left" w:pos="540"/>
              </w:tabs>
              <w:spacing w:line="360" w:lineRule="auto"/>
              <w:rPr>
                <w:rFonts w:ascii="Helvetica Neue" w:hAnsi="Helvetica Neue"/>
                <w:sz w:val="18"/>
                <w:szCs w:val="18"/>
              </w:rPr>
            </w:pPr>
            <w:r w:rsidRPr="00FF2327">
              <w:rPr>
                <w:rFonts w:ascii="Helvetica Neue" w:hAnsi="Helvetica Neue"/>
                <w:sz w:val="18"/>
                <w:szCs w:val="18"/>
              </w:rPr>
              <w:fldChar w:fldCharType="begin" w:fldLock="1"/>
            </w:r>
            <w:r w:rsidR="00665BF2" w:rsidRPr="00FF2327">
              <w:rPr>
                <w:rFonts w:ascii="Helvetica Neue" w:hAnsi="Helvetica Neue"/>
                <w:sz w:val="18"/>
                <w:szCs w:val="18"/>
              </w:rPr>
              <w:instrText>ADDIN CSL_CITATION {"citationItems":[{"id":"ITEM-1","itemData":{"ISSN":"0269-9370","author":[{"dropping-particle":"","family":"Kojima","given":"Noah","non-dropping-particle":"","parse-names":false,"suffix":""},{"dropping-particle":"","family":"Davey","given":"Dvora Joseph","non-dropping-particle":"","parse-names":false,"suffix":""},{"dropping-particle":"","family":"Klausner","given":"Jeffrey D.","non-dropping-particle":"","parse-names":false,"suffix":""}],"container-title":"AIDS","id":"ITEM-1","issue":"14","issued":{"date-parts":[["2016","9"]]},"page":"2251-2252","title":"Pre-exposure prophylaxis for HIV infection and new sexually transmitted infections among men who have sex with men","type":"article-journal","volume":"30"},"uris":["http://www.mendeley.com/documents/?uuid=b89de331-cbf8-402a-a370-ab9f1b9da30f"]}],"mendeley":{"formattedCitation":"&lt;sup&gt;159&lt;/sup&gt;","plainTextFormattedCitation":"159","previouslyFormattedCitation":"&lt;sup&gt;159&lt;/sup&gt;"},"properties":{"noteIndex":0},"schema":"https://github.com/citation-style-language/schema/raw/master/csl-citation.json"}</w:instrText>
            </w:r>
            <w:r w:rsidRPr="00FF2327">
              <w:rPr>
                <w:rFonts w:ascii="Helvetica Neue" w:hAnsi="Helvetica Neue"/>
                <w:sz w:val="18"/>
                <w:szCs w:val="18"/>
              </w:rPr>
              <w:fldChar w:fldCharType="separate"/>
            </w:r>
            <w:r w:rsidRPr="00FF2327">
              <w:rPr>
                <w:rFonts w:ascii="Helvetica Neue" w:hAnsi="Helvetica Neue"/>
                <w:noProof/>
                <w:sz w:val="18"/>
                <w:szCs w:val="18"/>
                <w:vertAlign w:val="superscript"/>
              </w:rPr>
              <w:t>159</w:t>
            </w:r>
            <w:r w:rsidRPr="00FF2327">
              <w:rPr>
                <w:rFonts w:ascii="Helvetica Neue" w:hAnsi="Helvetica Neue"/>
                <w:sz w:val="18"/>
                <w:szCs w:val="18"/>
              </w:rPr>
              <w:fldChar w:fldCharType="end"/>
            </w:r>
          </w:p>
        </w:tc>
        <w:tc>
          <w:tcPr>
            <w:tcW w:w="1595" w:type="dxa"/>
          </w:tcPr>
          <w:p w14:paraId="4042CC87" w14:textId="2DEDB09B" w:rsidR="00EA16D9" w:rsidRPr="00FF2327" w:rsidRDefault="00EA16D9" w:rsidP="00EA16D9">
            <w:pPr>
              <w:tabs>
                <w:tab w:val="left" w:pos="540"/>
              </w:tabs>
              <w:spacing w:line="360" w:lineRule="auto"/>
              <w:rPr>
                <w:rFonts w:ascii="Helvetica Neue" w:hAnsi="Helvetica Neue"/>
                <w:sz w:val="18"/>
                <w:szCs w:val="18"/>
              </w:rPr>
            </w:pPr>
            <w:r w:rsidRPr="00FF2327">
              <w:rPr>
                <w:rFonts w:ascii="Helvetica Neue" w:hAnsi="Helvetica Neue"/>
                <w:sz w:val="18"/>
                <w:szCs w:val="18"/>
              </w:rPr>
              <w:fldChar w:fldCharType="begin" w:fldLock="1"/>
            </w:r>
            <w:r w:rsidR="00665BF2" w:rsidRPr="00FF2327">
              <w:rPr>
                <w:rFonts w:ascii="Helvetica Neue" w:hAnsi="Helvetica Neue"/>
                <w:sz w:val="18"/>
                <w:szCs w:val="18"/>
              </w:rPr>
              <w:instrText>ADDIN CSL_CITATION {"citationItems":[{"id":"ITEM-1","itemData":{"ISSN":"0269-9370","author":[{"dropping-particle":"","family":"Kojima","given":"Noah","non-dropping-particle":"","parse-names":false,"suffix":""},{"dropping-particle":"","family":"Davey","given":"Dvora Joseph","non-dropping-particle":"","parse-names":false,"suffix":""},{"dropping-particle":"","family":"Klausner","given":"Jeffrey D.","non-dropping-particle":"","parse-names":false,"suffix":""}],"container-title":"AIDS","id":"ITEM-1","issue":"14","issued":{"date-parts":[["2016","9"]]},"page":"2251-2252","title":"Pre-exposure prophylaxis for HIV infection and new sexually transmitted infections among men who have sex with men","type":"article-journal","volume":"30"},"uris":["http://www.mendeley.com/documents/?uuid=b89de331-cbf8-402a-a370-ab9f1b9da30f"]}],"mendeley":{"formattedCitation":"&lt;sup&gt;159&lt;/sup&gt;","plainTextFormattedCitation":"159","previouslyFormattedCitation":"&lt;sup&gt;159&lt;/sup&gt;"},"properties":{"noteIndex":0},"schema":"https://github.com/citation-style-language/schema/raw/master/csl-citation.json"}</w:instrText>
            </w:r>
            <w:r w:rsidRPr="00FF2327">
              <w:rPr>
                <w:rFonts w:ascii="Helvetica Neue" w:hAnsi="Helvetica Neue"/>
                <w:sz w:val="18"/>
                <w:szCs w:val="18"/>
              </w:rPr>
              <w:fldChar w:fldCharType="separate"/>
            </w:r>
            <w:r w:rsidRPr="00FF2327">
              <w:rPr>
                <w:rFonts w:ascii="Helvetica Neue" w:hAnsi="Helvetica Neue"/>
                <w:noProof/>
                <w:sz w:val="18"/>
                <w:szCs w:val="18"/>
                <w:vertAlign w:val="superscript"/>
              </w:rPr>
              <w:t>159</w:t>
            </w:r>
            <w:r w:rsidRPr="00FF2327">
              <w:rPr>
                <w:rFonts w:ascii="Helvetica Neue" w:hAnsi="Helvetica Neue"/>
                <w:sz w:val="18"/>
                <w:szCs w:val="18"/>
              </w:rPr>
              <w:fldChar w:fldCharType="end"/>
            </w:r>
          </w:p>
        </w:tc>
        <w:tc>
          <w:tcPr>
            <w:tcW w:w="1401" w:type="dxa"/>
          </w:tcPr>
          <w:p w14:paraId="5DAD2D22" w14:textId="57EA4DF3" w:rsidR="00EA16D9" w:rsidRPr="00FF2327" w:rsidRDefault="00EA16D9" w:rsidP="00CC13FE">
            <w:pPr>
              <w:tabs>
                <w:tab w:val="left" w:pos="540"/>
              </w:tabs>
              <w:spacing w:line="360" w:lineRule="auto"/>
              <w:rPr>
                <w:rFonts w:ascii="Helvetica Neue" w:hAnsi="Helvetica Neue"/>
                <w:sz w:val="18"/>
                <w:szCs w:val="18"/>
              </w:rPr>
            </w:pPr>
            <w:r w:rsidRPr="00FF2327">
              <w:rPr>
                <w:rFonts w:ascii="Helvetica Neue" w:hAnsi="Helvetica Neue"/>
                <w:sz w:val="18"/>
                <w:szCs w:val="18"/>
              </w:rPr>
              <w:fldChar w:fldCharType="begin" w:fldLock="1"/>
            </w:r>
            <w:r w:rsidR="00665BF2" w:rsidRPr="00FF2327">
              <w:rPr>
                <w:rFonts w:ascii="Helvetica Neue" w:hAnsi="Helvetica Neue"/>
                <w:sz w:val="18"/>
                <w:szCs w:val="18"/>
              </w:rPr>
              <w:instrText>ADDIN CSL_CITATION {"citationItems":[{"id":"ITEM-1","itemData":{"DOI":"10.2196/publichealth.5684","ISSN":"2369-2960","PMID":"27244769","abstract":"BACKGROUND In the United States, men who have sex with men (MSM) increasingly represent the majority of people living with and acquiring human immunodeficiency virus (HIV) infection. Local and federal surveillance programs estimate the number of persons living with an HIV diagnosis, persons living with HIV infection, and new diagnoses. Given the absence of population-based estimates of the number of MSM for US states, metropolitan statistical areas (MSAs), or counties, it is not possible to accurately estimate rates using these indicators at these levels, inhibiting the ability to understand HIV burden and to direct prevention efforts. OBJECTIVE To synthesize recently published estimates of MSM population size with publicly available HIV surveillance data, in order to estimate the prevalence of HIV diagnosis and infection and the rate of new diagnoses, at the national, state, MSA, and county levels. METHODS The number of MSM living with HIV infection in 2012 (prevalence), living with an HIV diagnosis in 2012 (diagnosed prevalence), and newly diagnosed with HIV infection in 2013 (new diagnosis), at state, MSA, and county levels, were obtained from publicly available data from AIDSVu.org and the US Centers for Disease Control and Prevention. The estimated number of MSM living in every US county was calculated using recently published methodology that utilized data from the National Health and Nutrition Examination Survey and American Community Survey. Estimated county-level MSM counts were aggregated to form MSA- and state-level totals. From this, we estimated HIV prevalence, diagnosed prevalence, and new diagnosis rates. RESULTS The estimated HIV prevalence among MSM in the United States in 2012 was 15.0% (666,900/4,452,772), the diagnosed HIV prevalence in 2012 was 11.1% (493,453/4,452,772), and the new diagnosis rate for 2013 was 0.7 per 100 MSM. For diagnosed prevalence at the state level, 6 states had both &lt;15,000 cases and diagnosed prevalence rates of ≥15%, all in the South. Five highly populated states had ≥15,000 cases and rates between 10% and 15%. Georgia was the only state with ≥15,000 cases and ≥15% diagnosed prevalence rate. Of the 25 MSAs with the highest diagnosed prevalence rates in the United States, 21 were in the South and 6 had diagnosed prevalence of ≥25%. County-level data showed high diagnosed prevalence rates in both urban and rural counties of the South. CONCLUSIONS HIV infection is hyperendemic among MSM in many areas of the Uni…","author":[{"dropping-particle":"","family":"Rosenberg","given":"Eli Samuel","non-dropping-particle":"","parse-names":false,"suffix":""},{"dropping-particle":"","family":"Grey","given":"Jeremy Alexander","non-dropping-particle":"","parse-names":false,"suffix":""},{"dropping-particle":"","family":"Sanchez","given":"Travis Howard","non-dropping-particle":"","parse-names":false,"suffix":""},{"dropping-particle":"","family":"Sullivan","given":"Patrick Sean","non-dropping-particle":"","parse-names":false,"suffix":""}],"container-title":"JMIR public health and surveillance","id":"ITEM-1","issue":"1","issued":{"date-parts":[["2016","5","17"]]},"page":"e22","publisher":"JMIR Publications Inc.","title":"Rates of Prevalent HIV Infection, Prevalent Diagnoses, and New Diagnoses Among Men Who Have Sex With Men in US States, Metropolitan Statistical Areas, and Counties, 2012-2013.","type":"article-journal","volume":"2"},"uris":["http://www.mendeley.com/documents/?uuid=a7682f51-17cb-399a-952c-2a3b32233767"]}],"mendeley":{"formattedCitation":"&lt;sup&gt;131&lt;/sup&gt;","plainTextFormattedCitation":"131","previouslyFormattedCitation":"&lt;sup&gt;131&lt;/sup&gt;"},"properties":{"noteIndex":0},"schema":"https://github.com/citation-style-language/schema/raw/master/csl-citation.json"}</w:instrText>
            </w:r>
            <w:r w:rsidRPr="00FF2327">
              <w:rPr>
                <w:rFonts w:ascii="Helvetica Neue" w:hAnsi="Helvetica Neue"/>
                <w:sz w:val="18"/>
                <w:szCs w:val="18"/>
              </w:rPr>
              <w:fldChar w:fldCharType="separate"/>
            </w:r>
            <w:r w:rsidR="00CC13FE" w:rsidRPr="00FF2327">
              <w:rPr>
                <w:rFonts w:ascii="Helvetica Neue" w:hAnsi="Helvetica Neue"/>
                <w:noProof/>
                <w:sz w:val="18"/>
                <w:szCs w:val="18"/>
                <w:vertAlign w:val="superscript"/>
              </w:rPr>
              <w:t>131</w:t>
            </w:r>
            <w:r w:rsidRPr="00FF2327">
              <w:rPr>
                <w:rFonts w:ascii="Helvetica Neue" w:hAnsi="Helvetica Neue"/>
                <w:sz w:val="18"/>
                <w:szCs w:val="18"/>
              </w:rPr>
              <w:fldChar w:fldCharType="end"/>
            </w:r>
          </w:p>
        </w:tc>
      </w:tr>
    </w:tbl>
    <w:p w14:paraId="7E1274C0" w14:textId="3D12732B" w:rsidR="007751E4" w:rsidRPr="0024409C" w:rsidRDefault="007751E4" w:rsidP="007751E4">
      <w:pPr>
        <w:tabs>
          <w:tab w:val="left" w:pos="540"/>
        </w:tabs>
        <w:spacing w:before="120" w:line="360" w:lineRule="auto"/>
        <w:rPr>
          <w:rFonts w:ascii="Helvetica Neue" w:hAnsi="Helvetica Neue"/>
        </w:rPr>
      </w:pPr>
      <w:r w:rsidRPr="0024409C">
        <w:rPr>
          <w:rFonts w:ascii="Helvetica Neue" w:hAnsi="Helvetica Neue"/>
        </w:rPr>
        <w:t>We used approximate Bayesian computation with sequential Monte Carlo sampling (ABC-SMC) methods</w:t>
      </w:r>
      <w:r w:rsidRPr="0024409C">
        <w:rPr>
          <w:rFonts w:ascii="Helvetica Neue" w:hAnsi="Helvetica Neue"/>
          <w:noProof/>
          <w:vertAlign w:val="superscript"/>
        </w:rPr>
        <w:fldChar w:fldCharType="begin" w:fldLock="1"/>
      </w:r>
      <w:r w:rsidR="00665BF2">
        <w:rPr>
          <w:rFonts w:ascii="Helvetica Neue" w:hAnsi="Helvetica Neue"/>
          <w:noProof/>
          <w:vertAlign w:val="superscript"/>
        </w:rPr>
        <w:instrText>ADDIN CSL_CITATION {"citationItems":[{"id":"ITEM-1","itemData":{"ISSN":"1742-5689","PMID":"19205079","abstract":"Approximate Bayesian computation (ABC) methods can be used to evaluate posterior distributions without having to calculate likelihoods. In this paper, we discuss and apply an ABC method based on sequential Monte Carlo (SMC) to estimate parameters of dynamical models. We show that ABC SMC provides information about the inferability of parameters and model sensitivity to changes in parameters, and tends to perform better than other ABC approaches. The algorithm is applied to several well-known biological systems, for which parameters and their credible intervals are inferred. Moreover, we develop ABC SMC as a tool for model selection; given a range of different mathematical descriptions, ABC SMC is able to choose the best model using the standard Bayesian model selection apparatus.","author":[{"dropping-particle":"","family":"Toni","given":"Tina","non-dropping-particle":"","parse-names":false,"suffix":""},{"dropping-particle":"","family":"Welch","given":"David","non-dropping-particle":"","parse-names":false,"suffix":""},{"dropping-particle":"","family":"Strelkowa","given":"Natalja","non-dropping-particle":"","parse-names":false,"suffix":""},{"dropping-particle":"","family":"Ipsen","given":"Andreas","non-dropping-particle":"","parse-names":false,"suffix":""},{"dropping-particle":"","family":"Stumpf","given":"Michael P H","non-dropping-particle":"","parse-names":false,"suffix":""},{"dropping-particle":"","family":"Anderson","given":"R.M.","non-dropping-particle":"","parse-names":false,"suffix":""},{"dropping-particle":"","family":"May","given":"R.M.","non-dropping-particle":"","parse-names":false,"suffix":""},{"dropping-particle":"","family":"Baker","given":"C.","non-dropping-particle":"","parse-names":false,"suffix":""},{"dropping-particle":"","family":"Bocharov","given":"G.","non-dropping-particle":"","parse-names":false,"suffix":""},{"dropping-particle":"","family":"Ford","given":"J.","non-dropping-particle":"","parse-names":false,"suffix":""},{"dropping-particle":"","family":"Lumb","given":"P.S.J.","non-dropping-particle":"","parse-names":false,"suffix":""},{"dropping-particle":"","family":"Norton","given":"C.A.H.","non-dropping-particle":"","parse-names":false,"suffix":""},{"dropping-particle":"","family":"Paul","given":"T.","non-dropping-particle":"","parse-names":false,"suffix":""},{"dropping-particle":"","family":"Junt","given":"P.","non-dropping-particle":"","parse-names":false,"suffix":""},{"dropping-particle":"","family":"Krebs","given":"B.","non-dropping-particle":"","parse-names":false,"suffix":""},{"dropping-particle":"","family":"Banks","given":"H.","non-dropping-particle":"","parse-names":false,"suffix":""},{"dropping-particle":"","family":"Grove","given":"S.","non-dropping-particle":"","parse-names":false,"suffix":""},{"dropping-particle":"","family":"Hu","given":"S.","non-dropping-particle":"","parse-names":false,"suffix":""},{"dropping-particle":"","family":"Ma","given":"Y.","non-dropping-particle":"","parse-names":false,"suffix":""},{"dropping-particle":"","family":"Battogtokh","given":"D.","non-dropping-particle":"","parse-names":false,"suffix":""},{"dropping-particle":"","family":"Asch","given":"D.K.","non-dropping-particle":"","parse-names":false,"suffix":""},{"dropping-particle":"","family":"Case","given":"M.E.","non-dropping-particle":"","parse-names":false,"suffix":""},{"dropping-particle":"","family":"Arnold","given":"J.","non-dropping-particle":"","parse-names":false,"suffix":""},{"dropping-particle":"","family":"Schuttler","given":"H.-B.","non-dropping-particle":"","parse-names":false,"suffix":""},{"dropping-particle":"","family":"Beaumont","given":"M.A.","non-dropping-particle":"","parse-names":false,"suffix":""},{"dropping-particle":"","family":"Zhang","given":"W.","non-dropping-particle":"","parse-names":false,"suffix":""},{"dropping-particle":"","family":"Balding","given":"D.J.","non-dropping-particle":"","parse-names":false,"suffix":""},{"dropping-particle":"","family":"Bortz","given":"D.M.","non-dropping-particle":"","parse-names":false,"suffix":""},{"dropping-particle":"","family":"Nelson","given":"P.W.","non-dropping-particle":"","parse-names":false,"suffix":""},{"dropping-particle":"","family":"Brown","given":"K.S.","non-dropping-particle":"","parse-names":false,"suffix":""},{"dropping-particle":"","family":"Sethna","given":"J.P.","non-dropping-particle":"","parse-names":false,"suffix":""},{"dropping-particle":"","family":"Cox","given":"R.D.","non-dropping-particle":"","parse-names":false,"suffix":""},{"dropping-particle":"","family":"Hinkley","given":"D.V.","non-dropping-particle":"","parse-names":false,"suffix":""},{"dropping-particle":"Del","family":"Moral","given":"P.","non-dropping-particle":"","parse-names":false,"suffix":""},{"dropping-particle":"","family":"Doucet","given":"A.","non-dropping-particle":"","parse-names":false,"suffix":""},{"dropping-particle":"","family":"Jasra","given":"A.","non-dropping-particle":"","parse-names":false,"suffix":""},{"dropping-particle":"","family":"Elowitz","given":"M.B.","non-dropping-particle":"","parse-names":false,"suffix":""},{"dropping-particle":"","family":"Leibler","given":"S.","non-dropping-particle":"","parse-names":false,"suffix":""},{"dropping-particle":"","family":"Enright","given":"W.","non-dropping-particle":"","parse-names":false,"suffix":""},{"dropping-particle":"","family":"Hu","given":"M.","non-dropping-particle":"","parse-names":false,"suffix":""},{"dropping-particle":"","family":"Fagundes","given":"N.","non-dropping-particle":"","parse-names":false,"suffix":""},{"dropping-particle":"","family":"Ray","given":"N.","non-dropping-particle":"","parse-names":false,"suffix":""},{"dropping-particle":"","family":"Beaumont","given":"M.","non-dropping-particle":"","parse-names":false,"suffix":""},{"dropping-particle":"","family":"Neuenschwander","given":"S.","non-dropping-particle":"","parse-names":false,"suffix":""},{"dropping-particle":"","family":"Salzano","given":"F.M.","non-dropping-particle":"","parse-names":false,"suffix":""},{"dropping-particle":"","family":"Bonatto","given":"S.L.","non-dropping-particle":"","parse-names":false,"suffix":""},{"dropping-particle":"","family":"Excoffier","given":"L.","non-dropping-particle":"","parse-names":false,"suffix":""},{"dropping-particle":"","family":"Fields","given":"B.N.","non-dropping-particle":"","parse-names":false,"suffix":""},{"dropping-particle":"","family":"Knipe","given":"D.M.","non-dropping-particle":"","parse-names":false,"suffix":""},{"dropping-particle":"","family":"Howley","given":"P.M.","non-dropping-particle":"","parse-names":false,"suffix":""},{"dropping-particle":"","family":"Galassi","given":"M.","non-dropping-particle":"","parse-names":false,"suffix":""},{"dropping-particle":"","family":"Gillespie","given":"D.","non-dropping-particle":"","parse-names":false,"suffix":""},{"dropping-particle":"","family":"Golightly","given":"A.","non-dropping-particle":"","parse-names":false,"suffix":""},{"dropping-particle":"","family":"Wilkinson","given":"D.","non-dropping-particle":"","parse-names":false,"suffix":""},{"dropping-particle":"","family":"Golightly","given":"A.","non-dropping-particle":"","parse-names":false,"suffix":""},{"dropping-particle":"","family":"Wilkinson","given":"D.","non-dropping-particle":"","parse-names":false,"suffix":""},{"dropping-particle":"","family":"Gutenkunst","given":"R.","non-dropping-particle":"","parse-names":false,"suffix":""},{"dropping-particle":"","family":"Waterfall","given":"J.","non-dropping-particle":"","parse-names":false,"suffix":""},{"dropping-particle":"","family":"Casey","given":"F.","non-dropping-particle":"","parse-names":false,"suffix":""},{"dropping-particle":"","family":"Brown","given":"K.","non-dropping-particle":"","parse-names":false,"suffix":""},{"dropping-particle":"","family":"Myers","given":"C.","non-dropping-particle":"","parse-names":false,"suffix":""},{"dropping-particle":"","family":"Sethna","given":"J.","non-dropping-particle":"","parse-names":false,"suffix":""},{"dropping-particle":"","family":"Hammond","given":"B.J.","non-dropping-particle":"","parse-names":false,"suffix":""},{"dropping-particle":"","family":"Tyrrell","given":"D.A.","non-dropping-particle":"","parse-names":false,"suffix":""},{"dropping-particle":"","family":"Hoeting","given":"J.","non-dropping-particle":"","parse-names":false,"suffix":""},{"dropping-particle":"","family":"Madigan","given":"D.","non-dropping-particle":"","parse-names":false,"suffix":""},{"dropping-particle":"","family":"Raftery","given":"A.","non-dropping-particle":"","parse-names":false,"suffix":""},{"dropping-particle":"","family":"Volinsky","given":"C.","non-dropping-particle":"","parse-names":false,"suffix":""},{"dropping-particle":"","family":"Horbelt","given":"W.","non-dropping-particle":"","parse-names":false,"suffix":""},{"dropping-particle":"","family":"Timmer","given":"J.","non-dropping-particle":"","parse-names":false,"suffix":""},{"dropping-particle":"","family":"Voss","given":"H.","non-dropping-particle":"","parse-names":false,"suffix":""},{"dropping-particle":"","family":"Huang","given":"Y.","non-dropping-particle":"","parse-names":false,"suffix":""},{"dropping-particle":"","family":"Liu","given":"D.","non-dropping-particle":"","parse-names":false,"suffix":""},{"dropping-particle":"","family":"Wu","given":"H.","non-dropping-particle":"","parse-names":false,"suffix":""},{"dropping-particle":"","family":"Johannes","given":"M.","non-dropping-particle":"","parse-names":false,"suffix":""},{"dropping-particle":"","family":"Polson","given":"N.","non-dropping-particle":"","parse-names":false,"suffix":""},{"dropping-particle":"","family":"Kass","given":"R.","non-dropping-particle":"","parse-names":false,"suffix":""},{"dropping-particle":"","family":"Raftery","given":"A.","non-dropping-particle":"","parse-names":false,"suffix":""},{"dropping-particle":"","family":"Kirkpatrick","given":"S.","non-dropping-particle":"","parse-names":false,"suffix":""},{"dropping-particle":"","family":"Gelatt","given":"C.","non-dropping-particle":"","parse-names":false,"suffix":""},{"dropping-particle":"","family":"Vecchi","given":"M.","non-dropping-particle":"","parse-names":false,"suffix":""},{"dropping-particle":"","family":"Liu","given":"J.S.","non-dropping-particle":"","parse-names":false,"suffix":""},{"dropping-particle":"","family":"Liu","given":"J.S.","non-dropping-particle":"","parse-names":false,"suffix":""},{"dropping-particle":"","family":"Chen","given":"R.","non-dropping-particle":"","parse-names":false,"suffix":""},{"dropping-particle":"","family":"Lotka","given":"A.J.","non-dropping-particle":"","parse-names":false,"suffix":""},{"dropping-particle":"","family":"Marjoram","given":"P.","non-dropping-particle":"","parse-names":false,"suffix":""},{"dropping-particle":"","family":"Molitor","given":"J.","non-dropping-particle":"","parse-names":false,"suffix":""},{"dropping-particle":"","family":"Plagnol","given":"V.","non-dropping-particle":"","parse-names":false,"suffix":""},{"dropping-particle":"","family":"Tavare","given":"S.","non-dropping-particle":"","parse-names":false,"suffix":""},{"dropping-particle":"","family":"Mendes","given":"P.","non-dropping-particle":"","parse-names":false,"suffix":""},{"dropping-particle":"","family":"Kell","given":"D.","non-dropping-particle":"","parse-names":false,"suffix":""},{"dropping-particle":"","family":"Moles","given":"C.","non-dropping-particle":"","parse-names":false,"suffix":""},{"dropping-particle":"","family":"Mendes","given":"P.","non-dropping-particle":"","parse-names":false,"suffix":""},{"dropping-particle":"","family":"Banga","given":"J.","non-dropping-particle":"","parse-names":false,"suffix":""},{"dropping-particle":"","family":"Muller","given":"T.G.","non-dropping-particle":"","parse-names":false,"suffix":""},{"dropping-particle":"","family":"Faller","given":"D.","non-dropping-particle":"","parse-names":false,"suffix":""},{"dropping-particle":"","family":"Timmer","given":"J.","non-dropping-particle":"","parse-names":false,"suffix":""},{"dropping-particle":"","family":"Swameye","given":"I.","non-dropping-particle":"","parse-names":false,"suffix":""},{"dropping-particle":"","family":"Sandra","given":"O.","non-dropping-particle":"","parse-names":false,"suffix":""},{"dropping-particle":"","family":"Klingmüller","given":"U.","non-dropping-particle":"","parse-names":false,"suffix":""},{"dropping-particle":"","family":"Paul","given":"C.","non-dropping-particle":"","parse-names":false,"suffix":""},{"dropping-particle":"","family":"Press","given":"W.H.","non-dropping-particle":"","parse-names":false,"suffix":""},{"dropping-particle":"","family":"Teukolsky","given":"S.A.","non-dropping-particle":"","parse-names":false,"suffix":""},{"dropping-particle":"","family":"Vetterling","given":"W.T.","non-dropping-particle":"","parse-names":false,"suffix":""},{"dropping-particle":"","family":"Flannery","given":"B.P.","non-dropping-particle":"","parse-names":false,"suffix":""},{"dropping-particle":"","family":"Pritchard","given":"J.","non-dropping-particle":"","parse-names":false,"suffix":""},{"dropping-particle":"","family":"Seielstad","given":"M.T.","non-dropping-particle":"","parse-names":false,"suffix":""},{"dropping-particle":"","family":"Perez-Lezaun","given":"A.","non-dropping-particle":"","parse-names":false,"suffix":""},{"dropping-particle":"","family":"Feldman","given":"M.W.","non-dropping-particle":"","parse-names":false,"suffix":""},{"dropping-particle":"","family":"Putter","given":"H.","non-dropping-particle":"","parse-names":false,"suffix":""},{"dropping-particle":"","family":"Heisterkamp","given":"S.H.","non-dropping-particle":"","parse-names":false,"suffix":""},{"dropping-particle":"","family":"Lange","given":"J.M.A.","non-dropping-particle":"","parse-names":false,"suffix":""},{"dropping-particle":"de","family":"Wolf","given":"F.","non-dropping-particle":"","parse-names":false,"suffix":""},{"dropping-particle":"","family":"Reinker","given":"S.","non-dropping-particle":"","parse-names":false,"suffix":""},{"dropping-particle":"","family":"Altman","given":"R.","non-dropping-particle":"","parse-names":false,"suffix":""},{"dropping-particle":"","family":"Timmer","given":"J.","non-dropping-particle":"","parse-names":false,"suffix":""},{"dropping-particle":"","family":"Robert","given":"C.P.","non-dropping-particle":"","parse-names":false,"suffix":""},{"dropping-particle":"","family":"Casella","given":"G.","non-dropping-particle":"","parse-names":false,"suffix":""},{"dropping-particle":"","family":"Saltelli","given":"A.","non-dropping-particle":"","parse-names":false,"suffix":""},{"dropping-particle":"","family":"Ratto","given":"M.","non-dropping-particle":"","parse-names":false,"suffix":""},{"dropping-particle":"","family":"Andres","given":"T.","non-dropping-particle":"","parse-names":false,"suffix":""},{"dropping-particle":"","family":"Campolongo","given":"F.","non-dropping-particle":"","parse-names":false,"suffix":""},{"dropping-particle":"","family":"Cariboni","given":"J.","non-dropping-particle":"","parse-names":false,"suffix":""},{"dropping-particle":"","family":"Gatelli","given":"D.","non-dropping-particle":"","parse-names":false,"suffix":""},{"dropping-particle":"","family":"Saisana","given":"M.","non-dropping-particle":"","parse-names":false,"suffix":""},{"dropping-particle":"","family":"Tarantola","given":"S.","non-dropping-particle":"","parse-names":false,"suffix":""},{"dropping-particle":"","family":"Sanchez","given":"M.","non-dropping-particle":"","parse-names":false,"suffix":""},{"dropping-particle":"","family":"Blower","given":"S.","non-dropping-particle":"","parse-names":false,"suffix":""},{"dropping-particle":"","family":"Shibli","given":"M.","non-dropping-particle":"","parse-names":false,"suffix":""},{"dropping-particle":"","family":"Gooch","given":"S.","non-dropping-particle":"","parse-names":false,"suffix":""},{"dropping-particle":"","family":"Lewis","given":"H.E.","non-dropping-particle":"","parse-names":false,"suffix":""},{"dropping-particle":"","family":"Tyrrell","given":"D.A.","non-dropping-particle":"","parse-names":false,"suffix":""},{"dropping-particle":"","family":"Sisson","given":"S.A.","non-dropping-particle":"","parse-names":false,"suffix":""},{"dropping-particle":"","family":"Fan","given":"Y.","non-dropping-particle":"","parse-names":false,"suffix":""},{"dropping-particle":"","family":"Tanaka","given":"M.M.","non-dropping-particle":"","parse-names":false,"suffix":""},{"dropping-particle":"","family":"Stumpf","given":"M.","non-dropping-particle":"","parse-names":false,"suffix":""},{"dropping-particle":"","family":"Thorne","given":"T.","non-dropping-particle":"","parse-names":false,"suffix":""},{"dropping-particle":"","family":"Timmer","given":"J.","non-dropping-particle":"","parse-names":false,"suffix":""},{"dropping-particle":"","family":"Muller","given":"T.","non-dropping-particle":"","parse-names":false,"suffix":""},{"dropping-particle":"van","family":"Kampen","given":"N.G.","non-dropping-particle":"","parse-names":false,"suffix":""},{"dropping-particle":"","family":"Volterra","given":"V.","non-dropping-particle":"","parse-names":false,"suffix":""},{"dropping-particle":"","family":"Vyshemirsky","given":"V.","non-dropping-particle":"","parse-names":false,"suffix":""},{"dropping-particle":"","family":"Girolami","given":"M.A.","non-dropping-particle":"","parse-names":false,"suffix":""},{"dropping-particle":"","family":"Wilkinson","given":"D.J.","non-dropping-particle":"","parse-names":false,"suffix":""}],"container-title":"J R Soc Interface","id":"ITEM-1","issue":"31","issued":{"date-parts":[["2009","2","6"]]},"page":"187-202","publisher":"The Royal Society","title":"Approximate Bayesian computation scheme for parameter inference and model selection in dynamical systems.","type":"article-journal","volume":"6"},"uris":["http://www.mendeley.com/documents/?uuid=3a1b00d9-c57c-4a17-8f2b-1e3f0f446b16"]},{"id":"ITEM-2","itemData":{"ISSN":"1549-1676","PMID":"25781323","abstract":"BACKGROUND The infectivity of the HIV-1 acute phase has been directly measured only once, from a retrospectively identified cohort of serodiscordant heterosexual couples in Rakai, Uganda. Analyses of this cohort underlie the widespread view that the acute phase is highly infectious, even more so than would be predicted from its elevated viral load, and that transmission occurring shortly after infection may therefore compromise interventions that rely on diagnosis and treatment, such as antiretroviral treatment as prevention (TasP). Here, we re-estimate the duration and relative infectivity of the acute phase, while accounting for several possible sources of bias in published estimates, including the retrospective cohort exclusion criteria and unmeasured heterogeneity in risk. METHODS AND FINDINGS We estimated acute phase infectivity using two approaches. First, we combined viral load trajectories and viral load-infectivity relationships to estimate infectivity trajectories over the course of infection, under the assumption that elevated acute phase infectivity is caused by elevated viral load alone. Second, we estimated the relative hazard of transmission during the acute phase versus the chronic phase (RHacute) and the acute phase duration (dacute) by fitting a couples transmission model to the Rakai retrospective cohort using approximate Bayesian computation. Our model fit the data well and accounted for characteristics overlooked by previous analyses, including individual heterogeneity in infectiousness and susceptibility and the retrospective cohort's exclusion of couples that were recorded as serodiscordant only once before being censored by loss to follow-up, couple dissolution, or study termination. Finally, we replicated two highly cited analyses of the Rakai data on simulated data to identify biases underlying the discrepancies between previous estimates and our own. From the Rakai data, we estimated RHacute = 5.3 (95% credibility interval [95% CrI]: 0.79-57) and dacute = 1.7 mo (95% CrI: 0.55-6.8). The wide credibility intervals reflect an inability to distinguish a long, mildly infectious acute phase from a short, highly infectious acute phase, given the 10-mo Rakai observation intervals. The total additional risk, measured as excess hazard-months attributable to the acute phase (EHMacute) can be estimated more precisely: EHMacute = (RHacute - 1) × dacute, and should be interpreted with respect to the 120 hazard-months generated by a constan…","author":[{"dropping-particle":"","family":"Bellan","given":"Steve E","non-dropping-particle":"","parse-names":false,"suffix":""},{"dropping-particle":"","family":"Dushoff","given":"Jonathan","non-dropping-particle":"","parse-names":false,"suffix":""},{"dropping-particle":"","family":"Galvani","given":"Alison P","non-dropping-particle":"","parse-names":false,"suffix":""},{"dropping-particle":"","family":"Meyers","given":"Lauren Ancel","non-dropping-particle":"","parse-names":false,"suffix":""}],"container-title":"PLoS Med","id":"ITEM-2","issue":"3","issued":{"date-parts":[["2015","3"]]},"page":"e1001801","publisher":"Public Library of Science","title":"Reassessment of HIV-1 acute phase infectivity: accounting for heterogeneity and study design with simulated cohorts.","type":"article-journal","volume":"12"},"uris":["http://www.mendeley.com/documents/?uuid=07d7ba7b-f707-4b10-b472-dca85b2c13b1","http://www.mendeley.com/documents/?uuid=49a16f54-7fd0-319d-b2f8-7fa27c3a65f4"]}],"mendeley":{"formattedCitation":"&lt;sup&gt;32,161&lt;/sup&gt;","plainTextFormattedCitation":"32,161","previouslyFormattedCitation":"&lt;sup&gt;32,161&lt;/sup&gt;"},"properties":{"noteIndex":0},"schema":"https://github.com/citation-style-language/schema/raw/master/csl-citation.json"}</w:instrText>
      </w:r>
      <w:r w:rsidRPr="0024409C">
        <w:rPr>
          <w:rFonts w:ascii="Helvetica Neue" w:hAnsi="Helvetica Neue"/>
          <w:noProof/>
          <w:vertAlign w:val="superscript"/>
        </w:rPr>
        <w:fldChar w:fldCharType="separate"/>
      </w:r>
      <w:r w:rsidR="00EA16D9" w:rsidRPr="00EA16D9">
        <w:rPr>
          <w:rFonts w:ascii="Helvetica Neue" w:hAnsi="Helvetica Neue"/>
          <w:noProof/>
          <w:vertAlign w:val="superscript"/>
        </w:rPr>
        <w:t>32,161</w:t>
      </w:r>
      <w:r w:rsidRPr="0024409C">
        <w:rPr>
          <w:rFonts w:ascii="Helvetica Neue" w:hAnsi="Helvetica Neue"/>
          <w:noProof/>
          <w:vertAlign w:val="superscript"/>
        </w:rPr>
        <w:fldChar w:fldCharType="end"/>
      </w:r>
      <w:r w:rsidRPr="0024409C">
        <w:rPr>
          <w:rFonts w:ascii="Helvetica Neue" w:hAnsi="Helvetica Neue"/>
        </w:rPr>
        <w:t xml:space="preserve"> to calibrate behavioral parameters in which there was measurement uncertainty in order to match the simulated HIV </w:t>
      </w:r>
      <w:r w:rsidR="002232EA" w:rsidRPr="0024409C">
        <w:rPr>
          <w:rFonts w:ascii="Helvetica Neue" w:hAnsi="Helvetica Neue"/>
        </w:rPr>
        <w:t xml:space="preserve">prevalence </w:t>
      </w:r>
      <w:r w:rsidRPr="0024409C">
        <w:rPr>
          <w:rFonts w:ascii="Helvetica Neue" w:hAnsi="Helvetica Neue"/>
        </w:rPr>
        <w:t xml:space="preserve">and STI incidence at the end of the burn-in simulations to the targeted HIV </w:t>
      </w:r>
      <w:r w:rsidR="002232EA" w:rsidRPr="0024409C">
        <w:rPr>
          <w:rFonts w:ascii="Helvetica Neue" w:hAnsi="Helvetica Neue"/>
        </w:rPr>
        <w:t xml:space="preserve">prevalence </w:t>
      </w:r>
      <w:r w:rsidRPr="0024409C">
        <w:rPr>
          <w:rFonts w:ascii="Helvetica Neue" w:hAnsi="Helvetica Neue"/>
        </w:rPr>
        <w:t>and STI incidence. The details of ABC depend on the specific algorithm used, but in this case, ABC-SMC proceeded as follows.</w:t>
      </w:r>
    </w:p>
    <w:p w14:paraId="2515E276" w14:textId="77777777" w:rsidR="007751E4" w:rsidRPr="0024409C" w:rsidRDefault="007751E4" w:rsidP="007751E4">
      <w:pPr>
        <w:tabs>
          <w:tab w:val="left" w:pos="540"/>
        </w:tabs>
        <w:spacing w:before="120" w:line="360" w:lineRule="auto"/>
        <w:rPr>
          <w:rFonts w:ascii="Helvetica Neue" w:hAnsi="Helvetica Neue"/>
          <w:i/>
        </w:rPr>
      </w:pPr>
      <w:r w:rsidRPr="0024409C">
        <w:rPr>
          <w:rFonts w:ascii="Helvetica Neue" w:hAnsi="Helvetica Neue"/>
        </w:rPr>
        <w:t>For each candidate parameter</w:t>
      </w:r>
      <w:proofErr w:type="gramStart"/>
      <w:r w:rsidRPr="0024409C">
        <w:rPr>
          <w:rFonts w:ascii="Helvetica Neue" w:hAnsi="Helvetica Neue"/>
        </w:rPr>
        <w:t xml:space="preserve">, </w:t>
      </w:r>
      <w:proofErr w:type="gramEnd"/>
      <m:oMath>
        <m:r>
          <w:rPr>
            <w:rFonts w:ascii="Cambria Math" w:hAnsi="Cambria Math"/>
          </w:rPr>
          <m:t>θ</m:t>
        </m:r>
      </m:oMath>
      <w:r w:rsidRPr="0024409C">
        <w:rPr>
          <w:rFonts w:ascii="Helvetica Neue" w:hAnsi="Helvetica Neue"/>
        </w:rPr>
        <w:t>, to be estimated, we:</w:t>
      </w:r>
    </w:p>
    <w:p w14:paraId="539D9452"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Sampled a candidate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from a prior distribution </w:t>
      </w:r>
      <m:oMath>
        <m:r>
          <w:rPr>
            <w:rFonts w:ascii="Cambria Math" w:hAnsi="Cambria Math"/>
          </w:rPr>
          <m:t>π(θ)</m:t>
        </m:r>
      </m:oMath>
    </w:p>
    <w:p w14:paraId="5F4FE441"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Simulated the epidemic model with candidate value</w:t>
      </w:r>
      <w:proofErr w:type="gramStart"/>
      <w:r w:rsidRPr="0024409C">
        <w:rPr>
          <w:rFonts w:ascii="Helvetica Neue" w:hAnsi="Helvetica Neue"/>
        </w:rPr>
        <w:t xml:space="preserve">, </w:t>
      </w:r>
      <w:proofErr w:type="gramEnd"/>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w:t>
      </w:r>
    </w:p>
    <w:p w14:paraId="16F482FC"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 xml:space="preserve">Tested if a distance statistic, </w:t>
      </w:r>
      <m:oMath>
        <m:r>
          <w:rPr>
            <w:rFonts w:ascii="Cambria Math" w:hAnsi="Cambria Math"/>
          </w:rPr>
          <m:t>d</m:t>
        </m:r>
      </m:oMath>
      <w:r w:rsidRPr="0024409C">
        <w:rPr>
          <w:rFonts w:ascii="Helvetica Neue" w:hAnsi="Helvetica Neue"/>
        </w:rPr>
        <w:t xml:space="preserve"> (e.g., the difference between observed HIV prevalence and model simulated pr</w:t>
      </w:r>
      <w:proofErr w:type="spellStart"/>
      <w:r w:rsidRPr="0024409C">
        <w:rPr>
          <w:rFonts w:ascii="Helvetica Neue" w:hAnsi="Helvetica Neue"/>
        </w:rPr>
        <w:t>evalence</w:t>
      </w:r>
      <w:proofErr w:type="spellEnd"/>
      <w:r w:rsidRPr="0024409C">
        <w:rPr>
          <w:rFonts w:ascii="Helvetica Neue" w:hAnsi="Helvetica Neue"/>
        </w:rPr>
        <w:t>) was greater than a tolerance threshold</w:t>
      </w:r>
      <w:proofErr w:type="gramStart"/>
      <w:r w:rsidRPr="0024409C">
        <w:rPr>
          <w:rFonts w:ascii="Helvetica Neue" w:hAnsi="Helvetica Neue"/>
        </w:rPr>
        <w:t xml:space="preserve">, </w:t>
      </w:r>
      <w:proofErr w:type="gramEnd"/>
      <m:oMath>
        <m:r>
          <w:rPr>
            <w:rFonts w:ascii="Cambria Math" w:hAnsi="Cambria Math"/>
          </w:rPr>
          <m:t>ϵ</m:t>
        </m:r>
      </m:oMath>
      <w:r w:rsidRPr="0024409C">
        <w:rPr>
          <w:rFonts w:ascii="Helvetica Neue" w:hAnsi="Helvetica Neue"/>
        </w:rPr>
        <w:t>.</w:t>
      </w:r>
    </w:p>
    <w:p w14:paraId="3D51AA34" w14:textId="77777777" w:rsidR="007751E4" w:rsidRPr="0024409C" w:rsidRDefault="007751E4" w:rsidP="007751E4">
      <w:pPr>
        <w:numPr>
          <w:ilvl w:val="1"/>
          <w:numId w:val="6"/>
        </w:numPr>
        <w:tabs>
          <w:tab w:val="left" w:pos="540"/>
        </w:tabs>
        <w:spacing w:line="360" w:lineRule="auto"/>
        <w:rPr>
          <w:rFonts w:ascii="Helvetica Neue" w:hAnsi="Helvetica Neue"/>
        </w:rPr>
      </w:pPr>
      <w:r w:rsidRPr="0024409C">
        <w:rPr>
          <w:rFonts w:ascii="Helvetica Neue" w:hAnsi="Helvetica Neue"/>
        </w:rPr>
        <w:t xml:space="preserve">If </w:t>
      </w:r>
      <m:oMath>
        <m:r>
          <w:rPr>
            <w:rFonts w:ascii="Cambria Math" w:hAnsi="Cambria Math"/>
          </w:rPr>
          <m:t>d&gt; ϵ</m:t>
        </m:r>
      </m:oMath>
      <w:r w:rsidRPr="0024409C">
        <w:rPr>
          <w:rFonts w:ascii="Helvetica Neue" w:hAnsi="Helvetica Neue"/>
        </w:rPr>
        <w:t xml:space="preserve"> then discard</w:t>
      </w:r>
    </w:p>
    <w:p w14:paraId="00FB70A0" w14:textId="77777777" w:rsidR="007751E4" w:rsidRPr="0024409C" w:rsidRDefault="007751E4" w:rsidP="007751E4">
      <w:pPr>
        <w:numPr>
          <w:ilvl w:val="1"/>
          <w:numId w:val="6"/>
        </w:numPr>
        <w:tabs>
          <w:tab w:val="left" w:pos="540"/>
        </w:tabs>
        <w:spacing w:line="360" w:lineRule="auto"/>
        <w:rPr>
          <w:rFonts w:ascii="Helvetica Neue" w:hAnsi="Helvetica Neue"/>
        </w:rPr>
      </w:pPr>
      <w:r w:rsidRPr="0024409C">
        <w:rPr>
          <w:rFonts w:ascii="Helvetica Neue" w:hAnsi="Helvetica Neue"/>
        </w:rPr>
        <w:t xml:space="preserve">If </w:t>
      </w:r>
      <m:oMath>
        <m:r>
          <w:rPr>
            <w:rFonts w:ascii="Cambria Math" w:hAnsi="Cambria Math"/>
          </w:rPr>
          <m:t>d&lt; ϵ</m:t>
        </m:r>
      </m:oMath>
      <w:r w:rsidRPr="0024409C">
        <w:rPr>
          <w:rFonts w:ascii="Helvetica Neue" w:hAnsi="Helvetica Neue"/>
        </w:rPr>
        <w:t xml:space="preserve"> then add the candidate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to the posterior distribution </w:t>
      </w:r>
      <w:proofErr w:type="gramStart"/>
      <w:r w:rsidRPr="0024409C">
        <w:rPr>
          <w:rFonts w:ascii="Helvetica Neue" w:hAnsi="Helvetica Neue"/>
        </w:rPr>
        <w:t xml:space="preserve">of </w:t>
      </w:r>
      <w:proofErr w:type="gramEnd"/>
      <m:oMath>
        <m:r>
          <w:rPr>
            <w:rFonts w:ascii="Cambria Math" w:hAnsi="Cambria Math"/>
          </w:rPr>
          <m:t>θ</m:t>
        </m:r>
      </m:oMath>
      <w:r w:rsidRPr="0024409C">
        <w:rPr>
          <w:rFonts w:ascii="Helvetica Neue" w:hAnsi="Helvetica Neue"/>
        </w:rPr>
        <w:t xml:space="preserve">. </w:t>
      </w:r>
    </w:p>
    <w:p w14:paraId="491C5489" w14:textId="77777777" w:rsidR="007751E4" w:rsidRPr="0024409C" w:rsidRDefault="007751E4" w:rsidP="007751E4">
      <w:pPr>
        <w:numPr>
          <w:ilvl w:val="0"/>
          <w:numId w:val="6"/>
        </w:numPr>
        <w:tabs>
          <w:tab w:val="left" w:pos="540"/>
        </w:tabs>
        <w:spacing w:line="360" w:lineRule="auto"/>
        <w:rPr>
          <w:rFonts w:ascii="Helvetica Neue" w:hAnsi="Helvetica Neue"/>
        </w:rPr>
      </w:pPr>
      <w:r w:rsidRPr="0024409C">
        <w:rPr>
          <w:rFonts w:ascii="Helvetica Neue" w:hAnsi="Helvetica Neue"/>
        </w:rPr>
        <w:t>Sample the next sequential candidate</w:t>
      </w:r>
      <w:proofErr w:type="gramStart"/>
      <w:r w:rsidRPr="0024409C">
        <w:rPr>
          <w:rFonts w:ascii="Helvetica Neue" w:hAnsi="Helvetica Neue"/>
        </w:rPr>
        <w:t xml:space="preserve">, </w:t>
      </w:r>
      <w:proofErr w:type="gramEnd"/>
      <m:oMath>
        <m:sSup>
          <m:sSupPr>
            <m:ctrlPr>
              <w:rPr>
                <w:rFonts w:ascii="Cambria Math" w:hAnsi="Cambria Math"/>
                <w:i/>
              </w:rPr>
            </m:ctrlPr>
          </m:sSupPr>
          <m:e>
            <m:r>
              <w:rPr>
                <w:rFonts w:ascii="Cambria Math" w:hAnsi="Cambria Math"/>
              </w:rPr>
              <m:t>θ</m:t>
            </m:r>
          </m:e>
          <m:sup>
            <m:r>
              <w:rPr>
                <w:rFonts w:ascii="Cambria Math" w:hAnsi="Cambria Math"/>
              </w:rPr>
              <m:t>i+1</m:t>
            </m:r>
          </m:sup>
        </m:sSup>
      </m:oMath>
      <w:r w:rsidRPr="0024409C">
        <w:rPr>
          <w:rFonts w:ascii="Helvetica Neue" w:hAnsi="Helvetica Neue"/>
        </w:rPr>
        <w:t xml:space="preserve">, either independently from </w:t>
      </w:r>
      <m:oMath>
        <m:r>
          <w:rPr>
            <w:rFonts w:ascii="Cambria Math" w:hAnsi="Cambria Math"/>
          </w:rPr>
          <m:t>π(θ)</m:t>
        </m:r>
      </m:oMath>
      <w:r w:rsidRPr="0024409C">
        <w:rPr>
          <w:rFonts w:ascii="Helvetica Neue" w:hAnsi="Helvetica Neue"/>
        </w:rPr>
        <w:t xml:space="preserve"> (if 3a) or from </w:t>
      </w:r>
      <m:oMath>
        <m:sSup>
          <m:sSupPr>
            <m:ctrlPr>
              <w:rPr>
                <w:rFonts w:ascii="Cambria Math" w:hAnsi="Cambria Math"/>
                <w:i/>
              </w:rPr>
            </m:ctrlPr>
          </m:sSupPr>
          <m:e>
            <m:r>
              <w:rPr>
                <w:rFonts w:ascii="Cambria Math" w:hAnsi="Cambria Math"/>
              </w:rPr>
              <m:t>θ</m:t>
            </m:r>
          </m:e>
          <m:sup>
            <m:r>
              <w:rPr>
                <w:rFonts w:ascii="Cambria Math" w:hAnsi="Cambria Math"/>
              </w:rPr>
              <m:t>i</m:t>
            </m:r>
          </m:sup>
        </m:sSup>
      </m:oMath>
      <w:r w:rsidRPr="0024409C">
        <w:rPr>
          <w:rFonts w:ascii="Helvetica Neue" w:hAnsi="Helvetica Neue"/>
        </w:rPr>
        <w:t xml:space="preserve"> plu</w:t>
      </w:r>
      <w:proofErr w:type="spellStart"/>
      <w:r w:rsidRPr="0024409C">
        <w:rPr>
          <w:rFonts w:ascii="Helvetica Neue" w:hAnsi="Helvetica Neue"/>
        </w:rPr>
        <w:t>s</w:t>
      </w:r>
      <w:proofErr w:type="spellEnd"/>
      <w:r w:rsidRPr="0024409C">
        <w:rPr>
          <w:rFonts w:ascii="Helvetica Neue" w:hAnsi="Helvetica Neue"/>
        </w:rPr>
        <w:t xml:space="preserve"> a perturbation kernel with a weight based on the current posterior distribution (if 3b).</w:t>
      </w:r>
    </w:p>
    <w:p w14:paraId="6982D74F" w14:textId="11EDE0F9" w:rsidR="00C96BB7" w:rsidRPr="0024409C" w:rsidRDefault="007751E4" w:rsidP="00C96BB7">
      <w:pPr>
        <w:tabs>
          <w:tab w:val="left" w:pos="540"/>
        </w:tabs>
        <w:spacing w:before="120" w:line="360" w:lineRule="auto"/>
        <w:rPr>
          <w:rFonts w:ascii="Helvetica Neue" w:hAnsi="Helvetica Neue"/>
        </w:rPr>
      </w:pPr>
      <w:r w:rsidRPr="0024409C">
        <w:rPr>
          <w:rFonts w:ascii="Helvetica Neue" w:hAnsi="Helvetica Neue"/>
        </w:rPr>
        <w:lastRenderedPageBreak/>
        <w:t xml:space="preserve">For the ABC algorithms to calibrate to the observed HIV prevalence and STI incidence, a total of 500 simulations were required for </w:t>
      </w:r>
      <w:r w:rsidR="009325BC" w:rsidRPr="0024409C">
        <w:rPr>
          <w:rFonts w:ascii="Helvetica Neue" w:hAnsi="Helvetica Neue"/>
        </w:rPr>
        <w:t>100</w:t>
      </w:r>
      <w:r w:rsidRPr="0024409C">
        <w:rPr>
          <w:rFonts w:ascii="Helvetica Neue" w:hAnsi="Helvetica Neue"/>
        </w:rPr>
        <w:t xml:space="preserve"> years of calendar time each. The posterior distributions for the calibrated parameters are listed in Table S</w:t>
      </w:r>
      <w:r w:rsidR="009636C5">
        <w:rPr>
          <w:rFonts w:ascii="Helvetica Neue" w:hAnsi="Helvetica Neue"/>
        </w:rPr>
        <w:t>2</w:t>
      </w:r>
      <w:r w:rsidRPr="0024409C">
        <w:rPr>
          <w:rFonts w:ascii="Helvetica Neue" w:hAnsi="Helvetica Neue"/>
        </w:rPr>
        <w:t xml:space="preserve">. The target statistics were matched during this burn-in model and also during the </w:t>
      </w:r>
      <w:r w:rsidR="00C96BB7" w:rsidRPr="0024409C">
        <w:rPr>
          <w:rFonts w:ascii="Helvetica Neue" w:hAnsi="Helvetica Neue"/>
        </w:rPr>
        <w:t>baseline</w:t>
      </w:r>
      <w:r w:rsidR="007E090F" w:rsidRPr="0024409C">
        <w:rPr>
          <w:rFonts w:ascii="Helvetica Neue" w:hAnsi="Helvetica Neue"/>
        </w:rPr>
        <w:t xml:space="preserve"> background screening</w:t>
      </w:r>
      <w:r w:rsidRPr="0024409C">
        <w:rPr>
          <w:rFonts w:ascii="Helvetica Neue" w:hAnsi="Helvetica Neue"/>
        </w:rPr>
        <w:t xml:space="preserve"> base featured in the main manuscript</w:t>
      </w:r>
      <w:r w:rsidR="00C96BB7" w:rsidRPr="0024409C">
        <w:rPr>
          <w:rFonts w:ascii="Helvetica Neue" w:hAnsi="Helvetica Neue"/>
        </w:rPr>
        <w:t>, which featured 44</w:t>
      </w:r>
      <w:r w:rsidR="00116CF8" w:rsidRPr="0024409C">
        <w:rPr>
          <w:rFonts w:ascii="Helvetica Neue" w:hAnsi="Helvetica Neue"/>
        </w:rPr>
        <w:t>%</w:t>
      </w:r>
      <w:r w:rsidR="00116CF8">
        <w:rPr>
          <w:rFonts w:ascii="Helvetica Neue" w:hAnsi="Helvetica Neue"/>
        </w:rPr>
        <w:t xml:space="preserve"> </w:t>
      </w:r>
      <w:r w:rsidR="00C96BB7" w:rsidRPr="0024409C">
        <w:rPr>
          <w:rFonts w:ascii="Helvetica Neue" w:hAnsi="Helvetica Neue"/>
        </w:rPr>
        <w:t>of sexually active HIV-negative MSM testing regularly on an annual basis for gonorrhea</w:t>
      </w:r>
      <w:r w:rsidR="00116CF8">
        <w:rPr>
          <w:rFonts w:ascii="Helvetica Neue" w:hAnsi="Helvetica Neue"/>
        </w:rPr>
        <w:t xml:space="preserve"> and</w:t>
      </w:r>
      <w:r w:rsidR="00116CF8" w:rsidRPr="0024409C">
        <w:rPr>
          <w:rFonts w:ascii="Helvetica Neue" w:hAnsi="Helvetica Neue"/>
        </w:rPr>
        <w:t xml:space="preserve"> </w:t>
      </w:r>
      <w:r w:rsidR="00C96BB7" w:rsidRPr="0024409C">
        <w:rPr>
          <w:rFonts w:ascii="Helvetica Neue" w:hAnsi="Helvetica Neue"/>
        </w:rPr>
        <w:t>chlamydia, respectively, and 61% of sexually active HIV-positive MSM testing regularly on an annual basis for gonorrhea</w:t>
      </w:r>
      <w:r w:rsidR="00635794">
        <w:rPr>
          <w:rFonts w:ascii="Helvetica Neue" w:hAnsi="Helvetica Neue"/>
        </w:rPr>
        <w:t xml:space="preserve"> and</w:t>
      </w:r>
      <w:r w:rsidR="00635794" w:rsidRPr="0024409C">
        <w:rPr>
          <w:rFonts w:ascii="Helvetica Neue" w:hAnsi="Helvetica Neue"/>
        </w:rPr>
        <w:t xml:space="preserve"> </w:t>
      </w:r>
      <w:r w:rsidR="00C96BB7" w:rsidRPr="0024409C">
        <w:rPr>
          <w:rFonts w:ascii="Helvetica Neue" w:hAnsi="Helvetica Neue"/>
        </w:rPr>
        <w:t>chlamydia, respectively.</w:t>
      </w:r>
      <w:r w:rsidR="00DB1A5C">
        <w:rPr>
          <w:rFonts w:ascii="Helvetica Neue" w:hAnsi="Helvetica Neue"/>
        </w:rPr>
        <w:fldChar w:fldCharType="begin" w:fldLock="1"/>
      </w:r>
      <w:r w:rsidR="00665BF2">
        <w:rPr>
          <w:rFonts w:ascii="Helvetica Neue" w:hAnsi="Helvetica Neue"/>
        </w:rPr>
        <w:instrText>ADDIN CSL_CITATION {"citationItems":[{"id":"ITEM-1","itemData":{"ISSN":"1537-4521","PMID":"29465659","abstract":"BACKGROUND Annual screening for chlamydia and gonorrhea is recommended for sexually active men who have sex with men (MSM) at anatomical sites of contact, regardless of condom use. METHODS We assessed differences in self-reported chlamydia and gonorrhea testing and diagnosis in the past 12 months among MSM using National HIV Behavioral Surveillance data from 2011 and 2014. MSM who had ≥ 1 partner in the past 12 months were included in analyses. Analyses of chlamydia and gonorrhea diagnosis data were limited to participants who reported past 12 months chlamydia and gonorrhea testing, respectively. Differences in testing and diagnosis over time were assessed using Poisson regression models with robust standard errors separately for chlamydia and gonorrhea. RESULTS Analyses included data from 18,896 MSM (2011: n=9,256; 2014: n=9,640). Testing for chlamydia was 37% in 2011 and 47% in 2014 (PR: 1.25, 95% CI: 1.20-1.30) and 38% and 47% for gonorrhea (PR: 1.24, 95% CI: 1.19-1.29). Testing was higher in 2014 among most demographic subgroups. Prevalence of chlamydia diagnoses was 8% in 2011 and 11% in 2014 (PR: 1.37, 95% CI: 1.18-1.59) and of gonorrhea diagnoses was 10% in 2011 and 14% in 2014 (adjusted PR: 1.40, 95% CI: 1.23-1.60). Larger changes in diagnoses were observed among MSM in the white and 'other' racial categories and those who disclosed same-sex behavior to their healthcare provider. CONCLUSIONS Self-reported testing and diagnoses among MSM increased from 2011 to 2014. Increased efforts are needed to meet annual STD screening recommendations among MSM at high HIV risk.","author":[{"dropping-particle":"","family":"Hoots","given":"Brooke E","non-dropping-particle":"","parse-names":false,"suffix":""},{"dropping-particle":"","family":"Torrone","given":"Elizabeth A","non-dropping-particle":"","parse-names":false,"suffix":""},{"dropping-particle":"","family":"Bernstein","given":"Kyle T","non-dropping-particle":"","parse-names":false,"suffix":""},{"dropping-particle":"","family":"Paz-Bailey","given":"Gabriela","non-dropping-particle":"","parse-names":false,"suffix":""},{"dropping-particle":"","family":"NHBS Study Group","given":"","non-dropping-particle":"","parse-names":false,"suffix":""}],"container-title":"Sexually transmitted diseases","id":"ITEM-1","issued":{"date-parts":[["2018","1","10"]]},"page":"1","title":"Self-reported chlamydia and gonorrhea testing and diagnosis among men who have sex with men 20 U.S. cities, 2011 and 2014.","type":"article-journal"},"uris":["http://www.mendeley.com/documents/?uuid=40c47ca6-6196-3070-b2ff-d5da49693c47"]}],"mendeley":{"formattedCitation":"&lt;sup&gt;105&lt;/sup&gt;","plainTextFormattedCitation":"105","previouslyFormattedCitation":"&lt;sup&gt;105&lt;/sup&gt;"},"properties":{"noteIndex":0},"schema":"https://github.com/citation-style-language/schema/raw/master/csl-citation.json"}</w:instrText>
      </w:r>
      <w:r w:rsidR="00DB1A5C">
        <w:rPr>
          <w:rFonts w:ascii="Helvetica Neue" w:hAnsi="Helvetica Neue"/>
        </w:rPr>
        <w:fldChar w:fldCharType="separate"/>
      </w:r>
      <w:r w:rsidR="00C9047D" w:rsidRPr="00C9047D">
        <w:rPr>
          <w:rFonts w:ascii="Helvetica Neue" w:hAnsi="Helvetica Neue"/>
          <w:noProof/>
          <w:vertAlign w:val="superscript"/>
        </w:rPr>
        <w:t>105</w:t>
      </w:r>
      <w:r w:rsidR="00DB1A5C">
        <w:rPr>
          <w:rFonts w:ascii="Helvetica Neue" w:hAnsi="Helvetica Neue"/>
        </w:rPr>
        <w:fldChar w:fldCharType="end"/>
      </w:r>
    </w:p>
    <w:p w14:paraId="60FC9D64" w14:textId="5DB4DBA6" w:rsidR="000A4B30" w:rsidRPr="0024409C" w:rsidRDefault="000A4B30" w:rsidP="000A4B30">
      <w:pPr>
        <w:pStyle w:val="Heading2"/>
        <w:rPr>
          <w:rFonts w:ascii="Helvetica Neue" w:hAnsi="Helvetica Neue"/>
          <w:szCs w:val="22"/>
        </w:rPr>
      </w:pPr>
      <w:bookmarkStart w:id="64" w:name="_Toc2361411"/>
      <w:r w:rsidRPr="0024409C">
        <w:rPr>
          <w:rFonts w:ascii="Helvetica Neue" w:hAnsi="Helvetica Neue"/>
          <w:szCs w:val="22"/>
        </w:rPr>
        <w:t>1</w:t>
      </w:r>
      <w:r w:rsidR="008032E5">
        <w:rPr>
          <w:rFonts w:ascii="Helvetica Neue" w:hAnsi="Helvetica Neue"/>
          <w:szCs w:val="22"/>
        </w:rPr>
        <w:t>3</w:t>
      </w:r>
      <w:r w:rsidRPr="0024409C">
        <w:rPr>
          <w:rFonts w:ascii="Helvetica Neue" w:hAnsi="Helvetica Neue"/>
          <w:szCs w:val="22"/>
        </w:rPr>
        <w:t>.</w:t>
      </w:r>
      <w:r>
        <w:rPr>
          <w:rFonts w:ascii="Helvetica Neue" w:hAnsi="Helvetica Neue"/>
          <w:szCs w:val="22"/>
        </w:rPr>
        <w:t>2</w:t>
      </w:r>
      <w:r w:rsidRPr="0024409C">
        <w:rPr>
          <w:rFonts w:ascii="Helvetica Neue" w:hAnsi="Helvetica Neue"/>
          <w:szCs w:val="22"/>
        </w:rPr>
        <w:tab/>
      </w:r>
      <w:r w:rsidRPr="0024409C">
        <w:rPr>
          <w:rFonts w:ascii="Helvetica Neue" w:hAnsi="Helvetica Neue"/>
          <w:szCs w:val="22"/>
        </w:rPr>
        <w:tab/>
      </w:r>
      <w:r w:rsidR="00AC79E2">
        <w:rPr>
          <w:rFonts w:ascii="Helvetica Neue" w:hAnsi="Helvetica Neue"/>
          <w:szCs w:val="22"/>
        </w:rPr>
        <w:t>Model</w:t>
      </w:r>
      <w:r>
        <w:rPr>
          <w:rFonts w:ascii="Helvetica Neue" w:hAnsi="Helvetica Neue"/>
          <w:szCs w:val="22"/>
        </w:rPr>
        <w:t xml:space="preserve"> Simulations</w:t>
      </w:r>
      <w:bookmarkEnd w:id="64"/>
    </w:p>
    <w:p w14:paraId="3D6F4349" w14:textId="4BC8EBD5" w:rsidR="007751E4" w:rsidRPr="0013409D" w:rsidRDefault="007751E4" w:rsidP="007751E4">
      <w:pPr>
        <w:spacing w:line="360" w:lineRule="auto"/>
        <w:rPr>
          <w:rFonts w:ascii="Helvetica Neue" w:hAnsi="Helvetica Neue"/>
        </w:rPr>
      </w:pPr>
      <w:r w:rsidRPr="0013409D">
        <w:rPr>
          <w:rFonts w:ascii="Helvetica Neue" w:hAnsi="Helvetica Neue"/>
        </w:rPr>
        <w:t>The intervention scenarios are described fully within the main paper</w:t>
      </w:r>
      <w:r w:rsidR="00905CC2" w:rsidRPr="0013409D">
        <w:rPr>
          <w:rFonts w:ascii="Helvetica Neue" w:hAnsi="Helvetica Neue"/>
        </w:rPr>
        <w:t xml:space="preserve"> and in the table below (Table S</w:t>
      </w:r>
      <w:r w:rsidR="009C47F3" w:rsidRPr="0013409D">
        <w:rPr>
          <w:rFonts w:ascii="Helvetica Neue" w:hAnsi="Helvetica Neue"/>
        </w:rPr>
        <w:t>4</w:t>
      </w:r>
      <w:r w:rsidR="00905CC2" w:rsidRPr="0013409D">
        <w:rPr>
          <w:rFonts w:ascii="Helvetica Neue" w:hAnsi="Helvetica Neue"/>
        </w:rPr>
        <w:t>)</w:t>
      </w:r>
      <w:r w:rsidRPr="0013409D">
        <w:rPr>
          <w:rFonts w:ascii="Helvetica Neue" w:hAnsi="Helvetica Neue"/>
        </w:rPr>
        <w:t xml:space="preserve">. </w:t>
      </w:r>
      <w:r w:rsidR="0013409D" w:rsidRPr="0013409D">
        <w:rPr>
          <w:rFonts w:ascii="Helvetica Neue" w:hAnsi="Helvetica Neue"/>
        </w:rPr>
        <w:t xml:space="preserve">Model scenarios and results are compared to the reference (no EPT) model in which only CDC-recommended annual STI screening occurred. </w:t>
      </w:r>
      <w:r w:rsidRPr="0013409D">
        <w:rPr>
          <w:rFonts w:ascii="Helvetica Neue" w:hAnsi="Helvetica Neue"/>
        </w:rPr>
        <w:t xml:space="preserve">For each scenario, we simulated the model scenario </w:t>
      </w:r>
      <w:r w:rsidR="000A4B30" w:rsidRPr="0013409D">
        <w:rPr>
          <w:rFonts w:ascii="Helvetica Neue" w:hAnsi="Helvetica Neue"/>
        </w:rPr>
        <w:t xml:space="preserve">256 </w:t>
      </w:r>
      <w:r w:rsidRPr="0013409D">
        <w:rPr>
          <w:rFonts w:ascii="Helvetica Neue" w:hAnsi="Helvetica Neue"/>
        </w:rPr>
        <w:t xml:space="preserve">times for 10 calendar years each. Data from each simulation were merged, and a complete </w:t>
      </w:r>
      <w:r w:rsidR="000A4B30" w:rsidRPr="0013409D">
        <w:rPr>
          <w:rFonts w:ascii="Helvetica Neue" w:hAnsi="Helvetica Neue"/>
        </w:rPr>
        <w:t xml:space="preserve">256 </w:t>
      </w:r>
      <w:r w:rsidRPr="0013409D">
        <w:rPr>
          <w:rFonts w:ascii="Helvetica Neue" w:hAnsi="Helvetica Neue"/>
        </w:rPr>
        <w:t xml:space="preserve">-simulation data file was retained for each scenario. All burn-in and intervention simulations were conducted on the </w:t>
      </w:r>
      <w:proofErr w:type="spellStart"/>
      <w:r w:rsidRPr="0013409D">
        <w:rPr>
          <w:rFonts w:ascii="Helvetica Neue" w:hAnsi="Helvetica Neue"/>
        </w:rPr>
        <w:t>Hyak</w:t>
      </w:r>
      <w:proofErr w:type="spellEnd"/>
      <w:r w:rsidRPr="0013409D">
        <w:rPr>
          <w:rFonts w:ascii="Helvetica Neue" w:hAnsi="Helvetica Neue"/>
        </w:rPr>
        <w:t xml:space="preserve"> high-performance computing platform at the University of Washington.</w:t>
      </w:r>
    </w:p>
    <w:p w14:paraId="1C1C0A55" w14:textId="25CFC78B" w:rsidR="0098174C" w:rsidRDefault="0098174C" w:rsidP="007751E4">
      <w:pPr>
        <w:spacing w:line="360" w:lineRule="auto"/>
        <w:rPr>
          <w:rFonts w:ascii="Helvetica Neue" w:hAnsi="Helvetica Neue"/>
        </w:rPr>
      </w:pPr>
    </w:p>
    <w:p w14:paraId="2F26EE9F" w14:textId="3C468429" w:rsidR="00DD56ED" w:rsidRDefault="00DD56ED" w:rsidP="007751E4">
      <w:pPr>
        <w:spacing w:line="360" w:lineRule="auto"/>
        <w:rPr>
          <w:rFonts w:ascii="Helvetica Neue" w:hAnsi="Helvetica Neue"/>
        </w:rPr>
      </w:pPr>
    </w:p>
    <w:p w14:paraId="7848E398" w14:textId="232282CB" w:rsidR="00DD56ED" w:rsidRDefault="00DD56ED" w:rsidP="007751E4">
      <w:pPr>
        <w:spacing w:line="360" w:lineRule="auto"/>
        <w:rPr>
          <w:rFonts w:ascii="Helvetica Neue" w:hAnsi="Helvetica Neue"/>
        </w:rPr>
      </w:pPr>
    </w:p>
    <w:p w14:paraId="7E0071CB" w14:textId="15E65CEF" w:rsidR="00DD56ED" w:rsidRDefault="00DD56ED" w:rsidP="007751E4">
      <w:pPr>
        <w:spacing w:line="360" w:lineRule="auto"/>
        <w:rPr>
          <w:rFonts w:ascii="Helvetica Neue" w:hAnsi="Helvetica Neue"/>
        </w:rPr>
      </w:pPr>
    </w:p>
    <w:p w14:paraId="4187F76B" w14:textId="15969405" w:rsidR="00DD56ED" w:rsidRDefault="00DD56ED" w:rsidP="007751E4">
      <w:pPr>
        <w:spacing w:line="360" w:lineRule="auto"/>
        <w:rPr>
          <w:rFonts w:ascii="Helvetica Neue" w:hAnsi="Helvetica Neue"/>
        </w:rPr>
      </w:pPr>
    </w:p>
    <w:p w14:paraId="4CB951BE" w14:textId="3AF84F32" w:rsidR="00DD56ED" w:rsidRDefault="00DD56ED" w:rsidP="007751E4">
      <w:pPr>
        <w:spacing w:line="360" w:lineRule="auto"/>
        <w:rPr>
          <w:rFonts w:ascii="Helvetica Neue" w:hAnsi="Helvetica Neue"/>
        </w:rPr>
      </w:pPr>
    </w:p>
    <w:p w14:paraId="6302F57F" w14:textId="30543BF5" w:rsidR="00DD56ED" w:rsidRDefault="00DD56ED" w:rsidP="007751E4">
      <w:pPr>
        <w:spacing w:line="360" w:lineRule="auto"/>
        <w:rPr>
          <w:rFonts w:ascii="Helvetica Neue" w:hAnsi="Helvetica Neue"/>
        </w:rPr>
      </w:pPr>
    </w:p>
    <w:p w14:paraId="2A8CFA60" w14:textId="40C4F85B" w:rsidR="00DD56ED" w:rsidRDefault="00DD56ED" w:rsidP="007751E4">
      <w:pPr>
        <w:spacing w:line="360" w:lineRule="auto"/>
        <w:rPr>
          <w:rFonts w:ascii="Helvetica Neue" w:hAnsi="Helvetica Neue"/>
        </w:rPr>
      </w:pPr>
    </w:p>
    <w:p w14:paraId="5F7892A6" w14:textId="39856F73" w:rsidR="00DD56ED" w:rsidRDefault="00DD56ED" w:rsidP="007751E4">
      <w:pPr>
        <w:spacing w:line="360" w:lineRule="auto"/>
        <w:rPr>
          <w:rFonts w:ascii="Helvetica Neue" w:hAnsi="Helvetica Neue"/>
        </w:rPr>
      </w:pPr>
    </w:p>
    <w:p w14:paraId="4F117102" w14:textId="1FB176D9" w:rsidR="00DD56ED" w:rsidRDefault="00DD56ED" w:rsidP="007751E4">
      <w:pPr>
        <w:spacing w:line="360" w:lineRule="auto"/>
        <w:rPr>
          <w:rFonts w:ascii="Helvetica Neue" w:hAnsi="Helvetica Neue"/>
        </w:rPr>
      </w:pPr>
    </w:p>
    <w:p w14:paraId="76293789" w14:textId="6DA98A1A" w:rsidR="00DD56ED" w:rsidRDefault="00DD56ED" w:rsidP="007751E4">
      <w:pPr>
        <w:spacing w:line="360" w:lineRule="auto"/>
        <w:rPr>
          <w:rFonts w:ascii="Helvetica Neue" w:hAnsi="Helvetica Neue"/>
        </w:rPr>
      </w:pPr>
    </w:p>
    <w:p w14:paraId="4AC11041" w14:textId="77777777" w:rsidR="00DD56ED" w:rsidRDefault="00DD56ED" w:rsidP="007751E4">
      <w:pPr>
        <w:spacing w:line="360" w:lineRule="auto"/>
        <w:rPr>
          <w:rFonts w:ascii="Helvetica Neue" w:hAnsi="Helvetica Neue"/>
        </w:rPr>
      </w:pPr>
    </w:p>
    <w:tbl>
      <w:tblPr>
        <w:tblStyle w:val="TableGrid"/>
        <w:tblW w:w="0" w:type="auto"/>
        <w:tblLook w:val="04A0" w:firstRow="1" w:lastRow="0" w:firstColumn="1" w:lastColumn="0" w:noHBand="0" w:noVBand="1"/>
      </w:tblPr>
      <w:tblGrid>
        <w:gridCol w:w="3082"/>
        <w:gridCol w:w="6268"/>
      </w:tblGrid>
      <w:tr w:rsidR="0098174C" w14:paraId="7258083D" w14:textId="77777777" w:rsidTr="009C263F">
        <w:tc>
          <w:tcPr>
            <w:tcW w:w="9350" w:type="dxa"/>
            <w:gridSpan w:val="2"/>
            <w:shd w:val="clear" w:color="auto" w:fill="E7E6E6" w:themeFill="background2"/>
          </w:tcPr>
          <w:p w14:paraId="1042EBAD" w14:textId="1BB7742B" w:rsidR="0098174C" w:rsidRPr="00DD56ED" w:rsidRDefault="0098174C" w:rsidP="00B0424C">
            <w:pPr>
              <w:tabs>
                <w:tab w:val="left" w:pos="540"/>
              </w:tabs>
              <w:spacing w:line="360" w:lineRule="auto"/>
              <w:rPr>
                <w:rFonts w:ascii="Helvetica Neue" w:hAnsi="Helvetica Neue"/>
                <w:sz w:val="18"/>
                <w:szCs w:val="18"/>
              </w:rPr>
            </w:pPr>
            <w:r w:rsidRPr="00DD56ED">
              <w:rPr>
                <w:rFonts w:ascii="Helvetica Neue" w:hAnsi="Helvetica Neue"/>
                <w:sz w:val="18"/>
                <w:szCs w:val="18"/>
              </w:rPr>
              <w:t>Table S</w:t>
            </w:r>
            <w:r w:rsidR="00B0424C" w:rsidRPr="00DD56ED">
              <w:rPr>
                <w:rFonts w:ascii="Helvetica Neue" w:hAnsi="Helvetica Neue"/>
                <w:sz w:val="18"/>
                <w:szCs w:val="18"/>
              </w:rPr>
              <w:t>4</w:t>
            </w:r>
            <w:r w:rsidRPr="00DD56ED">
              <w:rPr>
                <w:rFonts w:ascii="Helvetica Neue" w:hAnsi="Helvetica Neue"/>
                <w:sz w:val="18"/>
                <w:szCs w:val="18"/>
              </w:rPr>
              <w:t xml:space="preserve">: </w:t>
            </w:r>
            <w:r w:rsidR="00AC79E2" w:rsidRPr="00DD56ED">
              <w:rPr>
                <w:rFonts w:ascii="Helvetica Neue" w:hAnsi="Helvetica Neue"/>
                <w:sz w:val="18"/>
                <w:szCs w:val="18"/>
              </w:rPr>
              <w:t>Modeled</w:t>
            </w:r>
            <w:r w:rsidRPr="00DD56ED">
              <w:rPr>
                <w:rFonts w:ascii="Helvetica Neue" w:hAnsi="Helvetica Neue"/>
                <w:sz w:val="18"/>
                <w:szCs w:val="18"/>
              </w:rPr>
              <w:t xml:space="preserve"> Scenarios</w:t>
            </w:r>
          </w:p>
        </w:tc>
      </w:tr>
      <w:tr w:rsidR="009C263F" w14:paraId="16CEA855" w14:textId="77777777" w:rsidTr="00770B45">
        <w:tc>
          <w:tcPr>
            <w:tcW w:w="3082" w:type="dxa"/>
          </w:tcPr>
          <w:p w14:paraId="4B3F08E6" w14:textId="0A81CB0B" w:rsidR="009C263F" w:rsidRPr="00DD56ED" w:rsidRDefault="00AB4C86" w:rsidP="00770B45">
            <w:pPr>
              <w:tabs>
                <w:tab w:val="left" w:pos="540"/>
              </w:tabs>
              <w:spacing w:line="360" w:lineRule="auto"/>
              <w:rPr>
                <w:rFonts w:ascii="Helvetica Neue" w:hAnsi="Helvetica Neue"/>
                <w:b/>
                <w:sz w:val="18"/>
                <w:szCs w:val="18"/>
              </w:rPr>
            </w:pPr>
            <w:r w:rsidRPr="00DD56ED">
              <w:rPr>
                <w:rFonts w:ascii="Helvetica Neue" w:hAnsi="Helvetica Neue"/>
                <w:b/>
                <w:sz w:val="18"/>
                <w:szCs w:val="18"/>
              </w:rPr>
              <w:t>Analysis</w:t>
            </w:r>
          </w:p>
        </w:tc>
        <w:tc>
          <w:tcPr>
            <w:tcW w:w="6268" w:type="dxa"/>
          </w:tcPr>
          <w:p w14:paraId="4C4539FE" w14:textId="61597D66" w:rsidR="009C263F" w:rsidRPr="00DD56ED" w:rsidRDefault="009C263F" w:rsidP="00770B45">
            <w:pPr>
              <w:tabs>
                <w:tab w:val="left" w:pos="540"/>
              </w:tabs>
              <w:spacing w:line="360" w:lineRule="auto"/>
              <w:rPr>
                <w:rFonts w:ascii="Helvetica Neue" w:hAnsi="Helvetica Neue"/>
                <w:b/>
                <w:sz w:val="18"/>
                <w:szCs w:val="18"/>
              </w:rPr>
            </w:pPr>
            <w:r w:rsidRPr="00DD56ED">
              <w:rPr>
                <w:rFonts w:ascii="Helvetica Neue" w:hAnsi="Helvetica Neue"/>
                <w:b/>
                <w:sz w:val="18"/>
                <w:szCs w:val="18"/>
              </w:rPr>
              <w:t>Details</w:t>
            </w:r>
          </w:p>
        </w:tc>
      </w:tr>
      <w:tr w:rsidR="009C263F" w14:paraId="042260F9" w14:textId="77777777" w:rsidTr="00770B45">
        <w:tc>
          <w:tcPr>
            <w:tcW w:w="3082" w:type="dxa"/>
          </w:tcPr>
          <w:p w14:paraId="7514851A" w14:textId="0FE02C38" w:rsidR="009C263F" w:rsidRPr="00DD56ED" w:rsidRDefault="00A01CE1" w:rsidP="009C263F">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Reference </w:t>
            </w:r>
            <w:r w:rsidR="009C263F" w:rsidRPr="00DD56ED">
              <w:rPr>
                <w:rFonts w:ascii="Helvetica Neue" w:hAnsi="Helvetica Neue"/>
                <w:sz w:val="18"/>
                <w:szCs w:val="18"/>
              </w:rPr>
              <w:t>case</w:t>
            </w:r>
          </w:p>
        </w:tc>
        <w:tc>
          <w:tcPr>
            <w:tcW w:w="6268" w:type="dxa"/>
          </w:tcPr>
          <w:p w14:paraId="49B480B6" w14:textId="4FBD0F2B" w:rsidR="005C7632" w:rsidRPr="00DD56ED" w:rsidRDefault="002A02BE" w:rsidP="005C7632">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STI </w:t>
            </w:r>
            <w:r w:rsidR="00FF767F" w:rsidRPr="00DD56ED">
              <w:rPr>
                <w:rFonts w:ascii="Helvetica Neue" w:hAnsi="Helvetica Neue"/>
                <w:sz w:val="18"/>
                <w:szCs w:val="18"/>
              </w:rPr>
              <w:t>Screening Coverage:</w:t>
            </w:r>
          </w:p>
          <w:p w14:paraId="1A952263" w14:textId="24AB9EA1" w:rsidR="005C7632" w:rsidRPr="00DD56ED" w:rsidRDefault="005C7632"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w:t>
            </w:r>
            <w:r w:rsidR="003B3753" w:rsidRPr="00DD56ED">
              <w:rPr>
                <w:rFonts w:ascii="Helvetica Neue" w:hAnsi="Helvetica Neue"/>
                <w:sz w:val="18"/>
                <w:szCs w:val="18"/>
              </w:rPr>
              <w:t xml:space="preserve"> </w:t>
            </w:r>
            <w:r w:rsidRPr="00DD56ED">
              <w:rPr>
                <w:rFonts w:ascii="Helvetica Neue" w:hAnsi="Helvetica Neue"/>
                <w:sz w:val="18"/>
                <w:szCs w:val="18"/>
              </w:rPr>
              <w:t>61% of sexually active MSM screened for NG and CT</w:t>
            </w:r>
          </w:p>
          <w:p w14:paraId="532F8B77" w14:textId="38265A5E" w:rsidR="006F25E8" w:rsidRPr="00DD56ED" w:rsidRDefault="005C7632"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Coverage of HIV-: </w:t>
            </w:r>
            <w:r w:rsidR="00781389" w:rsidRPr="00DD56ED">
              <w:rPr>
                <w:rFonts w:ascii="Helvetica Neue" w:hAnsi="Helvetica Neue"/>
                <w:sz w:val="18"/>
                <w:szCs w:val="18"/>
              </w:rPr>
              <w:t xml:space="preserve">44% of </w:t>
            </w:r>
            <w:r w:rsidR="007A7B47" w:rsidRPr="00DD56ED">
              <w:rPr>
                <w:rFonts w:ascii="Helvetica Neue" w:hAnsi="Helvetica Neue"/>
                <w:sz w:val="18"/>
                <w:szCs w:val="18"/>
              </w:rPr>
              <w:t xml:space="preserve">sexually active </w:t>
            </w:r>
            <w:r w:rsidR="00781389" w:rsidRPr="00DD56ED">
              <w:rPr>
                <w:rFonts w:ascii="Helvetica Neue" w:hAnsi="Helvetica Neue"/>
                <w:sz w:val="18"/>
                <w:szCs w:val="18"/>
              </w:rPr>
              <w:t>MSM screened for NG and CT</w:t>
            </w:r>
          </w:p>
          <w:p w14:paraId="33E36F26" w14:textId="77777777" w:rsidR="0084655D" w:rsidRPr="00DD56ED" w:rsidRDefault="006F25E8"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Frequency of screening: Annual</w:t>
            </w:r>
          </w:p>
          <w:p w14:paraId="3355EC1D" w14:textId="77777777" w:rsidR="00A13831" w:rsidRPr="00DD56ED" w:rsidRDefault="00A13831" w:rsidP="00A13831">
            <w:pPr>
              <w:tabs>
                <w:tab w:val="left" w:pos="540"/>
              </w:tabs>
              <w:spacing w:line="360" w:lineRule="auto"/>
              <w:rPr>
                <w:rFonts w:ascii="Helvetica Neue" w:hAnsi="Helvetica Neue"/>
                <w:sz w:val="18"/>
                <w:szCs w:val="18"/>
              </w:rPr>
            </w:pPr>
            <w:r w:rsidRPr="00DD56ED">
              <w:rPr>
                <w:rFonts w:ascii="Helvetica Neue" w:hAnsi="Helvetica Neue"/>
                <w:sz w:val="18"/>
                <w:szCs w:val="18"/>
              </w:rPr>
              <w:t>Expedited Partner Therapy</w:t>
            </w:r>
          </w:p>
          <w:p w14:paraId="024FD281" w14:textId="1D2ACAAA" w:rsidR="00A13831" w:rsidRPr="00DD56ED" w:rsidRDefault="00A13831"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0%</w:t>
            </w:r>
          </w:p>
          <w:p w14:paraId="4B4B5AA8" w14:textId="77777777" w:rsidR="00A13831" w:rsidRPr="00DD56ED" w:rsidRDefault="00A13831"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Partnership Window: 2 months</w:t>
            </w:r>
          </w:p>
          <w:p w14:paraId="24E1B6ED" w14:textId="77777777" w:rsidR="00A13831" w:rsidRPr="00DD56ED" w:rsidRDefault="00A13831"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Provision to Partners:</w:t>
            </w:r>
          </w:p>
          <w:p w14:paraId="02336F0E"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ongoing: 50%</w:t>
            </w:r>
          </w:p>
          <w:p w14:paraId="0A380E1B"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ended: 40%</w:t>
            </w:r>
          </w:p>
          <w:p w14:paraId="2381E71F"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ongoing: 40%</w:t>
            </w:r>
          </w:p>
          <w:p w14:paraId="498C5B68"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ended: 30%</w:t>
            </w:r>
          </w:p>
          <w:p w14:paraId="289B767E"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One-Time: 20%</w:t>
            </w:r>
          </w:p>
          <w:p w14:paraId="6F1D8980" w14:textId="77777777" w:rsidR="00A13831" w:rsidRPr="00DD56ED" w:rsidRDefault="00A13831"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Uptake by Partners:</w:t>
            </w:r>
          </w:p>
          <w:p w14:paraId="5B30E983"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80%</w:t>
            </w:r>
          </w:p>
          <w:p w14:paraId="7E7B23B9"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80%</w:t>
            </w:r>
          </w:p>
          <w:p w14:paraId="551667F1" w14:textId="77777777" w:rsidR="00A13831" w:rsidRPr="00DD56ED" w:rsidRDefault="00A13831" w:rsidP="00A13831">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One-Time: 80%</w:t>
            </w:r>
          </w:p>
          <w:p w14:paraId="5D439119" w14:textId="579E6C94" w:rsidR="002D565A" w:rsidRPr="00DD56ED" w:rsidRDefault="00A13831" w:rsidP="00A13831">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Successful EPT Treatment: 100%</w:t>
            </w:r>
          </w:p>
        </w:tc>
      </w:tr>
      <w:tr w:rsidR="009C263F" w14:paraId="1EEA54C1" w14:textId="77777777" w:rsidTr="00770B45">
        <w:tc>
          <w:tcPr>
            <w:tcW w:w="3082" w:type="dxa"/>
          </w:tcPr>
          <w:p w14:paraId="2ABC01B4" w14:textId="3F0B3026" w:rsidR="009C263F" w:rsidRPr="00DD56ED" w:rsidRDefault="00381F0C" w:rsidP="009C263F">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EPT Coverage for Index Patients (Provider </w:t>
            </w:r>
            <w:r w:rsidRPr="00DD56ED">
              <w:rPr>
                <w:rFonts w:ascii="Helvetica Neue" w:hAnsi="Helvetica Neue"/>
                <w:sz w:val="18"/>
                <w:szCs w:val="18"/>
              </w:rPr>
              <w:sym w:font="Wingdings" w:char="F0E0"/>
            </w:r>
            <w:r w:rsidRPr="00DD56ED">
              <w:rPr>
                <w:rFonts w:ascii="Helvetica Neue" w:hAnsi="Helvetica Neue"/>
                <w:sz w:val="18"/>
                <w:szCs w:val="18"/>
              </w:rPr>
              <w:t xml:space="preserve"> Patient)</w:t>
            </w:r>
          </w:p>
        </w:tc>
        <w:tc>
          <w:tcPr>
            <w:tcW w:w="6268" w:type="dxa"/>
          </w:tcPr>
          <w:p w14:paraId="19733EDF" w14:textId="4BB005A6" w:rsidR="00FF767F" w:rsidRPr="00DD56ED" w:rsidRDefault="002A02BE" w:rsidP="00FF767F">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STI </w:t>
            </w:r>
            <w:r w:rsidR="00FF767F" w:rsidRPr="00DD56ED">
              <w:rPr>
                <w:rFonts w:ascii="Helvetica Neue" w:hAnsi="Helvetica Neue"/>
                <w:sz w:val="18"/>
                <w:szCs w:val="18"/>
              </w:rPr>
              <w:t>Screening Coverage:</w:t>
            </w:r>
          </w:p>
          <w:p w14:paraId="753FC108"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61% of sexually active MSM screened for NG and CT</w:t>
            </w:r>
          </w:p>
          <w:p w14:paraId="29DD4FCF"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44% of sexually active MSM screened for NG and CT</w:t>
            </w:r>
          </w:p>
          <w:p w14:paraId="2A4B9470"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Frequency of screening: Annual</w:t>
            </w:r>
          </w:p>
          <w:p w14:paraId="308A572B" w14:textId="77777777" w:rsidR="00FF767F" w:rsidRPr="00DD56ED" w:rsidRDefault="00FF767F" w:rsidP="00FF767F">
            <w:pPr>
              <w:tabs>
                <w:tab w:val="left" w:pos="540"/>
              </w:tabs>
              <w:spacing w:line="360" w:lineRule="auto"/>
              <w:rPr>
                <w:rFonts w:ascii="Helvetica Neue" w:hAnsi="Helvetica Neue"/>
                <w:sz w:val="18"/>
                <w:szCs w:val="18"/>
              </w:rPr>
            </w:pPr>
            <w:r w:rsidRPr="00DD56ED">
              <w:rPr>
                <w:rFonts w:ascii="Helvetica Neue" w:hAnsi="Helvetica Neue"/>
                <w:sz w:val="18"/>
                <w:szCs w:val="18"/>
              </w:rPr>
              <w:t>Expedited Partner Therapy</w:t>
            </w:r>
          </w:p>
          <w:p w14:paraId="463ED53A" w14:textId="64040A8C" w:rsidR="00FF767F" w:rsidRPr="00DD56ED" w:rsidRDefault="00FF767F" w:rsidP="00FF767F">
            <w:pPr>
              <w:pStyle w:val="ListParagraph"/>
              <w:numPr>
                <w:ilvl w:val="0"/>
                <w:numId w:val="44"/>
              </w:numPr>
              <w:tabs>
                <w:tab w:val="left" w:pos="540"/>
              </w:tabs>
              <w:spacing w:line="360" w:lineRule="auto"/>
              <w:rPr>
                <w:rFonts w:ascii="Helvetica Neue" w:hAnsi="Helvetica Neue"/>
                <w:i/>
                <w:sz w:val="18"/>
                <w:szCs w:val="18"/>
              </w:rPr>
            </w:pPr>
            <w:r w:rsidRPr="00DD56ED">
              <w:rPr>
                <w:rFonts w:ascii="Helvetica Neue" w:hAnsi="Helvetica Neue"/>
                <w:i/>
                <w:sz w:val="18"/>
                <w:szCs w:val="18"/>
              </w:rPr>
              <w:t>Coverage: 10% - 100% (varying</w:t>
            </w:r>
            <w:r w:rsidR="00F96529" w:rsidRPr="00DD56ED">
              <w:rPr>
                <w:rFonts w:ascii="Helvetica Neue" w:hAnsi="Helvetica Neue"/>
                <w:i/>
                <w:sz w:val="18"/>
                <w:szCs w:val="18"/>
              </w:rPr>
              <w:t>)</w:t>
            </w:r>
          </w:p>
          <w:p w14:paraId="7386EC48"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Partnership Window: 2 months</w:t>
            </w:r>
          </w:p>
          <w:p w14:paraId="1A237AAC"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Provision to Partners:</w:t>
            </w:r>
          </w:p>
          <w:p w14:paraId="5E25DD58"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Main, ongoing: 50%</w:t>
            </w:r>
          </w:p>
          <w:p w14:paraId="6DA95008"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Main, ended: 40%</w:t>
            </w:r>
          </w:p>
          <w:p w14:paraId="137045A9"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Casual, ongoing: 40%</w:t>
            </w:r>
          </w:p>
          <w:p w14:paraId="552D1685"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Casual, ended: 30%</w:t>
            </w:r>
          </w:p>
          <w:p w14:paraId="3DC5DA03"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One-Time: 20%</w:t>
            </w:r>
          </w:p>
          <w:p w14:paraId="6A497BEE" w14:textId="77777777" w:rsidR="00FF767F"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Uptake by Partners:</w:t>
            </w:r>
          </w:p>
          <w:p w14:paraId="2024474F"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lastRenderedPageBreak/>
              <w:t>Main: 80%</w:t>
            </w:r>
          </w:p>
          <w:p w14:paraId="2AD0601E"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Casual: 80%</w:t>
            </w:r>
          </w:p>
          <w:p w14:paraId="17041E24" w14:textId="77777777" w:rsidR="00FF767F" w:rsidRPr="00DD56ED" w:rsidRDefault="00FF767F" w:rsidP="00FF767F">
            <w:pPr>
              <w:pStyle w:val="ListParagraph"/>
              <w:numPr>
                <w:ilvl w:val="1"/>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One-Time: 80%</w:t>
            </w:r>
          </w:p>
          <w:p w14:paraId="5F7176E0" w14:textId="14050A3F" w:rsidR="00A13831" w:rsidRPr="00DD56ED" w:rsidRDefault="00FF767F" w:rsidP="00FF767F">
            <w:pPr>
              <w:pStyle w:val="ListParagraph"/>
              <w:numPr>
                <w:ilvl w:val="0"/>
                <w:numId w:val="44"/>
              </w:numPr>
              <w:tabs>
                <w:tab w:val="left" w:pos="540"/>
              </w:tabs>
              <w:spacing w:line="360" w:lineRule="auto"/>
              <w:rPr>
                <w:rFonts w:ascii="Helvetica Neue" w:hAnsi="Helvetica Neue"/>
                <w:sz w:val="18"/>
                <w:szCs w:val="18"/>
              </w:rPr>
            </w:pPr>
            <w:r w:rsidRPr="00DD56ED">
              <w:rPr>
                <w:rFonts w:ascii="Helvetica Neue" w:hAnsi="Helvetica Neue"/>
                <w:sz w:val="18"/>
                <w:szCs w:val="18"/>
              </w:rPr>
              <w:t>Successful EPT Treatment: 100%</w:t>
            </w:r>
          </w:p>
        </w:tc>
      </w:tr>
      <w:tr w:rsidR="009C263F" w14:paraId="41AE2E13" w14:textId="77777777" w:rsidTr="00770B45">
        <w:tc>
          <w:tcPr>
            <w:tcW w:w="3082" w:type="dxa"/>
          </w:tcPr>
          <w:p w14:paraId="1D3A5739" w14:textId="0C03ADBC" w:rsidR="009C263F" w:rsidRPr="00DD56ED" w:rsidRDefault="00FF767F" w:rsidP="009C263F">
            <w:pPr>
              <w:tabs>
                <w:tab w:val="left" w:pos="540"/>
              </w:tabs>
              <w:spacing w:line="360" w:lineRule="auto"/>
              <w:jc w:val="both"/>
              <w:rPr>
                <w:rFonts w:ascii="Helvetica Neue" w:hAnsi="Helvetica Neue"/>
                <w:sz w:val="18"/>
                <w:szCs w:val="18"/>
              </w:rPr>
            </w:pPr>
            <w:r w:rsidRPr="00DD56ED">
              <w:rPr>
                <w:rFonts w:ascii="Helvetica Neue" w:hAnsi="Helvetica Neue"/>
                <w:sz w:val="18"/>
                <w:szCs w:val="18"/>
              </w:rPr>
              <w:lastRenderedPageBreak/>
              <w:t>Varying EPT Partnership Windows</w:t>
            </w:r>
          </w:p>
        </w:tc>
        <w:tc>
          <w:tcPr>
            <w:tcW w:w="6268" w:type="dxa"/>
          </w:tcPr>
          <w:p w14:paraId="42CE1545" w14:textId="334C0FD7" w:rsidR="00F96529" w:rsidRPr="00DD56ED" w:rsidRDefault="002A02BE" w:rsidP="00F96529">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STI </w:t>
            </w:r>
            <w:r w:rsidR="00F96529" w:rsidRPr="00DD56ED">
              <w:rPr>
                <w:rFonts w:ascii="Helvetica Neue" w:hAnsi="Helvetica Neue"/>
                <w:sz w:val="18"/>
                <w:szCs w:val="18"/>
              </w:rPr>
              <w:t>Screening Coverage:</w:t>
            </w:r>
          </w:p>
          <w:p w14:paraId="7712E263" w14:textId="77777777"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61% of sexually active MSM screened for NG and CT</w:t>
            </w:r>
          </w:p>
          <w:p w14:paraId="2A83E681" w14:textId="77777777"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44% of sexually active MSM screened for NG and CT</w:t>
            </w:r>
          </w:p>
          <w:p w14:paraId="212EA421" w14:textId="77777777"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Frequency of screening: Annual</w:t>
            </w:r>
          </w:p>
          <w:p w14:paraId="155B417C" w14:textId="77777777" w:rsidR="00F96529" w:rsidRPr="00DD56ED" w:rsidRDefault="00F96529" w:rsidP="00F96529">
            <w:pPr>
              <w:tabs>
                <w:tab w:val="left" w:pos="540"/>
              </w:tabs>
              <w:spacing w:line="360" w:lineRule="auto"/>
              <w:rPr>
                <w:rFonts w:ascii="Helvetica Neue" w:hAnsi="Helvetica Neue"/>
                <w:sz w:val="18"/>
                <w:szCs w:val="18"/>
              </w:rPr>
            </w:pPr>
            <w:r w:rsidRPr="00DD56ED">
              <w:rPr>
                <w:rFonts w:ascii="Helvetica Neue" w:hAnsi="Helvetica Neue"/>
                <w:sz w:val="18"/>
                <w:szCs w:val="18"/>
              </w:rPr>
              <w:t>Expedited Partner Therapy</w:t>
            </w:r>
          </w:p>
          <w:p w14:paraId="68EBEE10" w14:textId="78AC001E"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20%</w:t>
            </w:r>
          </w:p>
          <w:p w14:paraId="3E18C89C" w14:textId="0804B096" w:rsidR="00F96529" w:rsidRPr="00DD56ED" w:rsidRDefault="00F96529" w:rsidP="00F96529">
            <w:pPr>
              <w:pStyle w:val="ListParagraph"/>
              <w:numPr>
                <w:ilvl w:val="0"/>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Partnership Window: 1-6 months</w:t>
            </w:r>
          </w:p>
          <w:p w14:paraId="57D4D89F" w14:textId="77777777"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Provision to Partners:</w:t>
            </w:r>
          </w:p>
          <w:p w14:paraId="1B871E56"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ongoing: 50%</w:t>
            </w:r>
          </w:p>
          <w:p w14:paraId="29A3832A"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ended: 40%</w:t>
            </w:r>
          </w:p>
          <w:p w14:paraId="00EBA566"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ongoing: 40%</w:t>
            </w:r>
          </w:p>
          <w:p w14:paraId="6B34E3F0"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ended: 30%</w:t>
            </w:r>
          </w:p>
          <w:p w14:paraId="67195CA2"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One-Time: 20%</w:t>
            </w:r>
          </w:p>
          <w:p w14:paraId="53038E30" w14:textId="77777777" w:rsidR="00F96529"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Uptake by Partners:</w:t>
            </w:r>
          </w:p>
          <w:p w14:paraId="4A72B163"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Main: 80%</w:t>
            </w:r>
          </w:p>
          <w:p w14:paraId="2D0BF6A9"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80%</w:t>
            </w:r>
          </w:p>
          <w:p w14:paraId="3F02871D" w14:textId="77777777" w:rsidR="00F96529" w:rsidRPr="00DD56ED" w:rsidRDefault="00F96529" w:rsidP="00F96529">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One-Time: 80%</w:t>
            </w:r>
          </w:p>
          <w:p w14:paraId="743F7666" w14:textId="5F063594" w:rsidR="00FF767F" w:rsidRPr="00DD56ED" w:rsidRDefault="00F96529" w:rsidP="00F96529">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Successful EPT Treatment: 100%</w:t>
            </w:r>
          </w:p>
        </w:tc>
      </w:tr>
      <w:tr w:rsidR="009C263F" w14:paraId="6A0018D2" w14:textId="77777777" w:rsidTr="00770B45">
        <w:tc>
          <w:tcPr>
            <w:tcW w:w="3082" w:type="dxa"/>
          </w:tcPr>
          <w:p w14:paraId="0754F90F" w14:textId="49938347" w:rsidR="009C263F" w:rsidRPr="00DD56ED" w:rsidRDefault="00ED0C8B" w:rsidP="009C263F">
            <w:pPr>
              <w:tabs>
                <w:tab w:val="left" w:pos="540"/>
              </w:tabs>
              <w:spacing w:line="360" w:lineRule="auto"/>
              <w:jc w:val="both"/>
              <w:rPr>
                <w:rFonts w:ascii="Helvetica Neue" w:hAnsi="Helvetica Neue"/>
                <w:sz w:val="18"/>
                <w:szCs w:val="18"/>
              </w:rPr>
            </w:pPr>
            <w:r w:rsidRPr="00DD56ED">
              <w:rPr>
                <w:rFonts w:ascii="Helvetica Neue" w:hAnsi="Helvetica Neue"/>
                <w:sz w:val="18"/>
                <w:szCs w:val="18"/>
              </w:rPr>
              <w:t>Varying Provision of EPT to Partners</w:t>
            </w:r>
          </w:p>
        </w:tc>
        <w:tc>
          <w:tcPr>
            <w:tcW w:w="6268" w:type="dxa"/>
          </w:tcPr>
          <w:p w14:paraId="56B9B71B" w14:textId="0242C4B5" w:rsidR="00ED0C8B" w:rsidRPr="00DD56ED" w:rsidRDefault="00834441" w:rsidP="00ED0C8B">
            <w:p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STI </w:t>
            </w:r>
            <w:r w:rsidR="00ED0C8B" w:rsidRPr="00DD56ED">
              <w:rPr>
                <w:rFonts w:ascii="Helvetica Neue" w:hAnsi="Helvetica Neue"/>
                <w:sz w:val="18"/>
                <w:szCs w:val="18"/>
              </w:rPr>
              <w:t>Screening Coverage:</w:t>
            </w:r>
          </w:p>
          <w:p w14:paraId="2DB26B70"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61% of sexually active MSM screened for NG and CT</w:t>
            </w:r>
          </w:p>
          <w:p w14:paraId="30D07F5B"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44% of sexually active MSM screened for NG and CT</w:t>
            </w:r>
          </w:p>
          <w:p w14:paraId="49B28D77"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Frequency of screening: Annual</w:t>
            </w:r>
          </w:p>
          <w:p w14:paraId="61E9EC0A" w14:textId="77777777" w:rsidR="00ED0C8B" w:rsidRPr="00DD56ED" w:rsidRDefault="00ED0C8B" w:rsidP="00ED0C8B">
            <w:pPr>
              <w:tabs>
                <w:tab w:val="left" w:pos="540"/>
              </w:tabs>
              <w:spacing w:line="360" w:lineRule="auto"/>
              <w:rPr>
                <w:rFonts w:ascii="Helvetica Neue" w:hAnsi="Helvetica Neue"/>
                <w:sz w:val="18"/>
                <w:szCs w:val="18"/>
              </w:rPr>
            </w:pPr>
            <w:r w:rsidRPr="00DD56ED">
              <w:rPr>
                <w:rFonts w:ascii="Helvetica Neue" w:hAnsi="Helvetica Neue"/>
                <w:sz w:val="18"/>
                <w:szCs w:val="18"/>
              </w:rPr>
              <w:t>Expedited Partner Therapy</w:t>
            </w:r>
          </w:p>
          <w:p w14:paraId="6611255B" w14:textId="091644C4"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 xml:space="preserve">Coverage: </w:t>
            </w:r>
            <w:r w:rsidR="0095390A" w:rsidRPr="00DD56ED">
              <w:rPr>
                <w:rFonts w:ascii="Helvetica Neue" w:hAnsi="Helvetica Neue"/>
                <w:sz w:val="18"/>
                <w:szCs w:val="18"/>
              </w:rPr>
              <w:t>2</w:t>
            </w:r>
            <w:r w:rsidRPr="00DD56ED">
              <w:rPr>
                <w:rFonts w:ascii="Helvetica Neue" w:hAnsi="Helvetica Neue"/>
                <w:sz w:val="18"/>
                <w:szCs w:val="18"/>
              </w:rPr>
              <w:t>0%</w:t>
            </w:r>
          </w:p>
          <w:p w14:paraId="3AD2F936"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Partnership Window: 2 months</w:t>
            </w:r>
          </w:p>
          <w:p w14:paraId="4AAF6EB3"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Provision to Partners:</w:t>
            </w:r>
          </w:p>
          <w:p w14:paraId="473699F3" w14:textId="668241EC" w:rsidR="00ED0C8B" w:rsidRPr="00DD56ED" w:rsidRDefault="00ED0C8B" w:rsidP="00ED0C8B">
            <w:pPr>
              <w:pStyle w:val="ListParagraph"/>
              <w:numPr>
                <w:ilvl w:val="1"/>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Main, ongoing: Increase of 10-50%</w:t>
            </w:r>
          </w:p>
          <w:p w14:paraId="14BCDFB7" w14:textId="30A10AED" w:rsidR="00ED0C8B" w:rsidRPr="00DD56ED" w:rsidRDefault="00ED0C8B" w:rsidP="00ED0C8B">
            <w:pPr>
              <w:pStyle w:val="ListParagraph"/>
              <w:numPr>
                <w:ilvl w:val="1"/>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Main, Increase of 10-50%</w:t>
            </w:r>
          </w:p>
          <w:p w14:paraId="2CDF1A31" w14:textId="1228E72E" w:rsidR="00ED0C8B" w:rsidRPr="00DD56ED" w:rsidRDefault="00ED0C8B" w:rsidP="00ED0C8B">
            <w:pPr>
              <w:pStyle w:val="ListParagraph"/>
              <w:numPr>
                <w:ilvl w:val="1"/>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Casual, ongoing: Increase of 10-50%</w:t>
            </w:r>
          </w:p>
          <w:p w14:paraId="05FC91D0" w14:textId="54EB4D5F" w:rsidR="00ED0C8B" w:rsidRPr="00DD56ED" w:rsidRDefault="00ED0C8B" w:rsidP="00ED0C8B">
            <w:pPr>
              <w:pStyle w:val="ListParagraph"/>
              <w:numPr>
                <w:ilvl w:val="1"/>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Casual, ended: Increase of 10-50%</w:t>
            </w:r>
          </w:p>
          <w:p w14:paraId="45727B08" w14:textId="04548F92" w:rsidR="00ED0C8B" w:rsidRPr="00DD56ED" w:rsidRDefault="00ED0C8B" w:rsidP="00ED0C8B">
            <w:pPr>
              <w:pStyle w:val="ListParagraph"/>
              <w:numPr>
                <w:ilvl w:val="1"/>
                <w:numId w:val="40"/>
              </w:numPr>
              <w:tabs>
                <w:tab w:val="left" w:pos="540"/>
              </w:tabs>
              <w:spacing w:line="360" w:lineRule="auto"/>
              <w:rPr>
                <w:rFonts w:ascii="Helvetica Neue" w:hAnsi="Helvetica Neue"/>
                <w:i/>
                <w:sz w:val="18"/>
                <w:szCs w:val="18"/>
              </w:rPr>
            </w:pPr>
            <w:r w:rsidRPr="00DD56ED">
              <w:rPr>
                <w:rFonts w:ascii="Helvetica Neue" w:hAnsi="Helvetica Neue"/>
                <w:i/>
                <w:sz w:val="18"/>
                <w:szCs w:val="18"/>
              </w:rPr>
              <w:t>One-Time: Increase of 10-50%</w:t>
            </w:r>
          </w:p>
          <w:p w14:paraId="53E6AAA9" w14:textId="77777777" w:rsidR="00ED0C8B"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Uptake by Partners:</w:t>
            </w:r>
          </w:p>
          <w:p w14:paraId="532DFD8B" w14:textId="77777777" w:rsidR="00ED0C8B" w:rsidRPr="00DD56ED" w:rsidRDefault="00ED0C8B" w:rsidP="00ED0C8B">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lastRenderedPageBreak/>
              <w:t>Main: 80%</w:t>
            </w:r>
          </w:p>
          <w:p w14:paraId="2664A9C5" w14:textId="77777777" w:rsidR="00ED0C8B" w:rsidRPr="00DD56ED" w:rsidRDefault="00ED0C8B" w:rsidP="00ED0C8B">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Casual: 80%</w:t>
            </w:r>
          </w:p>
          <w:p w14:paraId="7ED1B019" w14:textId="77777777" w:rsidR="00ED0C8B" w:rsidRPr="00DD56ED" w:rsidRDefault="00ED0C8B" w:rsidP="00ED0C8B">
            <w:pPr>
              <w:pStyle w:val="ListParagraph"/>
              <w:numPr>
                <w:ilvl w:val="1"/>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One-Time: 80%</w:t>
            </w:r>
          </w:p>
          <w:p w14:paraId="61E359FD" w14:textId="4D5D9E80" w:rsidR="006745BC" w:rsidRPr="00DD56ED" w:rsidRDefault="00ED0C8B" w:rsidP="00ED0C8B">
            <w:pPr>
              <w:pStyle w:val="ListParagraph"/>
              <w:numPr>
                <w:ilvl w:val="0"/>
                <w:numId w:val="40"/>
              </w:numPr>
              <w:tabs>
                <w:tab w:val="left" w:pos="540"/>
              </w:tabs>
              <w:spacing w:line="360" w:lineRule="auto"/>
              <w:rPr>
                <w:rFonts w:ascii="Helvetica Neue" w:hAnsi="Helvetica Neue"/>
                <w:sz w:val="18"/>
                <w:szCs w:val="18"/>
              </w:rPr>
            </w:pPr>
            <w:r w:rsidRPr="00DD56ED">
              <w:rPr>
                <w:rFonts w:ascii="Helvetica Neue" w:hAnsi="Helvetica Neue"/>
                <w:sz w:val="18"/>
                <w:szCs w:val="18"/>
              </w:rPr>
              <w:t>Successful EPT Treatment: 100%</w:t>
            </w:r>
          </w:p>
        </w:tc>
      </w:tr>
      <w:tr w:rsidR="009C263F" w14:paraId="3AFD49B6" w14:textId="77777777" w:rsidTr="00DD56ED">
        <w:trPr>
          <w:trHeight w:val="4985"/>
        </w:trPr>
        <w:tc>
          <w:tcPr>
            <w:tcW w:w="3082" w:type="dxa"/>
          </w:tcPr>
          <w:p w14:paraId="58F66F92" w14:textId="17304A23" w:rsidR="009C263F" w:rsidRPr="00DD56ED" w:rsidRDefault="00B23F81" w:rsidP="009C263F">
            <w:pPr>
              <w:tabs>
                <w:tab w:val="left" w:pos="540"/>
              </w:tabs>
              <w:spacing w:line="360" w:lineRule="auto"/>
              <w:jc w:val="both"/>
              <w:rPr>
                <w:rFonts w:ascii="Helvetica Neue" w:hAnsi="Helvetica Neue"/>
                <w:sz w:val="18"/>
                <w:szCs w:val="18"/>
              </w:rPr>
            </w:pPr>
            <w:r w:rsidRPr="00DD56ED">
              <w:rPr>
                <w:rFonts w:ascii="Helvetica Neue" w:hAnsi="Helvetica Neue"/>
                <w:sz w:val="18"/>
                <w:szCs w:val="18"/>
              </w:rPr>
              <w:lastRenderedPageBreak/>
              <w:t>Varying Uptake of EPT by Partners</w:t>
            </w:r>
          </w:p>
        </w:tc>
        <w:tc>
          <w:tcPr>
            <w:tcW w:w="6268" w:type="dxa"/>
          </w:tcPr>
          <w:p w14:paraId="7B9E37DE" w14:textId="77777777" w:rsidR="00B23F81" w:rsidRPr="00DD56ED" w:rsidRDefault="00B23F81" w:rsidP="00B23F81">
            <w:pPr>
              <w:tabs>
                <w:tab w:val="left" w:pos="540"/>
              </w:tabs>
              <w:spacing w:line="360" w:lineRule="auto"/>
              <w:rPr>
                <w:rFonts w:ascii="Helvetica Neue" w:hAnsi="Helvetica Neue"/>
                <w:sz w:val="18"/>
                <w:szCs w:val="18"/>
              </w:rPr>
            </w:pPr>
            <w:r w:rsidRPr="00DD56ED">
              <w:rPr>
                <w:rFonts w:ascii="Helvetica Neue" w:hAnsi="Helvetica Neue"/>
                <w:sz w:val="18"/>
                <w:szCs w:val="18"/>
              </w:rPr>
              <w:t>STI Screening Coverage:</w:t>
            </w:r>
          </w:p>
          <w:p w14:paraId="7FD24072"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61% of sexually active MSM screened for NG and CT</w:t>
            </w:r>
          </w:p>
          <w:p w14:paraId="3FFF5EE8"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Coverage of HIV-: 44% of sexually active MSM screened for NG and CT</w:t>
            </w:r>
          </w:p>
          <w:p w14:paraId="42E8D01C"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Frequency of screening: Annual</w:t>
            </w:r>
          </w:p>
          <w:p w14:paraId="7884963D" w14:textId="77777777" w:rsidR="00B23F81" w:rsidRPr="00DD56ED" w:rsidRDefault="00B23F81" w:rsidP="00B23F81">
            <w:pPr>
              <w:tabs>
                <w:tab w:val="left" w:pos="540"/>
              </w:tabs>
              <w:spacing w:line="360" w:lineRule="auto"/>
              <w:rPr>
                <w:rFonts w:ascii="Helvetica Neue" w:hAnsi="Helvetica Neue"/>
                <w:sz w:val="18"/>
                <w:szCs w:val="18"/>
              </w:rPr>
            </w:pPr>
            <w:r w:rsidRPr="00DD56ED">
              <w:rPr>
                <w:rFonts w:ascii="Helvetica Neue" w:hAnsi="Helvetica Neue"/>
                <w:sz w:val="18"/>
                <w:szCs w:val="18"/>
              </w:rPr>
              <w:t>Expedited Partner Therapy</w:t>
            </w:r>
          </w:p>
          <w:p w14:paraId="11849AB9" w14:textId="5F2187FB"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Coverage: 20%</w:t>
            </w:r>
          </w:p>
          <w:p w14:paraId="273068BA"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Partnership Window: 2 months</w:t>
            </w:r>
          </w:p>
          <w:p w14:paraId="072E5FEC"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Provision to Partners:</w:t>
            </w:r>
          </w:p>
          <w:p w14:paraId="192284A1"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Main, ongoing: 50%</w:t>
            </w:r>
          </w:p>
          <w:p w14:paraId="5C46C830"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Main, ended: 40%</w:t>
            </w:r>
          </w:p>
          <w:p w14:paraId="227AC004"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Casual, ongoing: 40%</w:t>
            </w:r>
          </w:p>
          <w:p w14:paraId="5A25267A"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Casual, ended: 30%</w:t>
            </w:r>
          </w:p>
          <w:p w14:paraId="5E420C08"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One-Time: 20%</w:t>
            </w:r>
          </w:p>
          <w:p w14:paraId="26D47676" w14:textId="77777777" w:rsidR="00B23F81"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Uptake by Partners:</w:t>
            </w:r>
          </w:p>
          <w:p w14:paraId="3FD14164" w14:textId="39ACF8E1" w:rsidR="00B23F81" w:rsidRPr="00DD56ED" w:rsidRDefault="00B23F81" w:rsidP="00B23F81">
            <w:pPr>
              <w:pStyle w:val="ListParagraph"/>
              <w:numPr>
                <w:ilvl w:val="1"/>
                <w:numId w:val="42"/>
              </w:numPr>
              <w:tabs>
                <w:tab w:val="left" w:pos="540"/>
              </w:tabs>
              <w:spacing w:line="360" w:lineRule="auto"/>
              <w:rPr>
                <w:rFonts w:ascii="Helvetica Neue" w:hAnsi="Helvetica Neue"/>
                <w:i/>
                <w:sz w:val="18"/>
                <w:szCs w:val="18"/>
              </w:rPr>
            </w:pPr>
            <w:r w:rsidRPr="00DD56ED">
              <w:rPr>
                <w:rFonts w:ascii="Helvetica Neue" w:hAnsi="Helvetica Neue"/>
                <w:i/>
                <w:sz w:val="18"/>
                <w:szCs w:val="18"/>
              </w:rPr>
              <w:t xml:space="preserve">Main: </w:t>
            </w:r>
            <w:r w:rsidR="00C6242E" w:rsidRPr="00DD56ED">
              <w:rPr>
                <w:rFonts w:ascii="Helvetica Neue" w:hAnsi="Helvetica Neue"/>
                <w:i/>
                <w:sz w:val="18"/>
                <w:szCs w:val="18"/>
              </w:rPr>
              <w:t>Increase of 10-20%</w:t>
            </w:r>
          </w:p>
          <w:p w14:paraId="59C67FD4" w14:textId="7379F81A" w:rsidR="00B23F81" w:rsidRPr="00DD56ED" w:rsidRDefault="00B23F81" w:rsidP="00B23F81">
            <w:pPr>
              <w:pStyle w:val="ListParagraph"/>
              <w:numPr>
                <w:ilvl w:val="1"/>
                <w:numId w:val="42"/>
              </w:numPr>
              <w:tabs>
                <w:tab w:val="left" w:pos="540"/>
              </w:tabs>
              <w:spacing w:line="360" w:lineRule="auto"/>
              <w:rPr>
                <w:rFonts w:ascii="Helvetica Neue" w:hAnsi="Helvetica Neue"/>
                <w:i/>
                <w:sz w:val="18"/>
                <w:szCs w:val="18"/>
              </w:rPr>
            </w:pPr>
            <w:r w:rsidRPr="00DD56ED">
              <w:rPr>
                <w:rFonts w:ascii="Helvetica Neue" w:hAnsi="Helvetica Neue"/>
                <w:i/>
                <w:sz w:val="18"/>
                <w:szCs w:val="18"/>
              </w:rPr>
              <w:t xml:space="preserve">Casual: </w:t>
            </w:r>
            <w:r w:rsidR="00C6242E" w:rsidRPr="00DD56ED">
              <w:rPr>
                <w:rFonts w:ascii="Helvetica Neue" w:hAnsi="Helvetica Neue"/>
                <w:i/>
                <w:sz w:val="18"/>
                <w:szCs w:val="18"/>
              </w:rPr>
              <w:t>Increase of 10-20%</w:t>
            </w:r>
          </w:p>
          <w:p w14:paraId="2F22D470" w14:textId="77777777" w:rsidR="00B23F81" w:rsidRPr="00DD56ED" w:rsidRDefault="00B23F81" w:rsidP="00B23F81">
            <w:pPr>
              <w:pStyle w:val="ListParagraph"/>
              <w:numPr>
                <w:ilvl w:val="1"/>
                <w:numId w:val="42"/>
              </w:numPr>
              <w:tabs>
                <w:tab w:val="left" w:pos="540"/>
              </w:tabs>
              <w:spacing w:line="360" w:lineRule="auto"/>
              <w:rPr>
                <w:rFonts w:ascii="Helvetica Neue" w:hAnsi="Helvetica Neue"/>
                <w:i/>
                <w:sz w:val="18"/>
                <w:szCs w:val="18"/>
              </w:rPr>
            </w:pPr>
            <w:r w:rsidRPr="00DD56ED">
              <w:rPr>
                <w:rFonts w:ascii="Helvetica Neue" w:hAnsi="Helvetica Neue"/>
                <w:i/>
                <w:sz w:val="18"/>
                <w:szCs w:val="18"/>
              </w:rPr>
              <w:t>One-Time: 80%</w:t>
            </w:r>
          </w:p>
          <w:p w14:paraId="01231C32" w14:textId="663CA028" w:rsidR="009C263F" w:rsidRPr="00DD56ED" w:rsidRDefault="00B23F81" w:rsidP="00B23F81">
            <w:pPr>
              <w:pStyle w:val="ListParagraph"/>
              <w:numPr>
                <w:ilvl w:val="0"/>
                <w:numId w:val="42"/>
              </w:numPr>
              <w:tabs>
                <w:tab w:val="left" w:pos="540"/>
              </w:tabs>
              <w:spacing w:line="360" w:lineRule="auto"/>
              <w:rPr>
                <w:rFonts w:ascii="Helvetica Neue" w:hAnsi="Helvetica Neue"/>
                <w:sz w:val="18"/>
                <w:szCs w:val="18"/>
              </w:rPr>
            </w:pPr>
            <w:r w:rsidRPr="00DD56ED">
              <w:rPr>
                <w:rFonts w:ascii="Helvetica Neue" w:hAnsi="Helvetica Neue"/>
                <w:sz w:val="18"/>
                <w:szCs w:val="18"/>
              </w:rPr>
              <w:t>Successful EPT Treatment: 100%</w:t>
            </w:r>
          </w:p>
        </w:tc>
      </w:tr>
    </w:tbl>
    <w:p w14:paraId="30BEF3CC" w14:textId="1DA5B4D5" w:rsidR="00B050C9" w:rsidRDefault="00B050C9" w:rsidP="00B050C9">
      <w:pPr>
        <w:rPr>
          <w:rFonts w:ascii="Helvetica Neue" w:hAnsi="Helvetica Neue"/>
        </w:rPr>
      </w:pPr>
      <w:bookmarkStart w:id="65" w:name="_Toc2361412"/>
    </w:p>
    <w:p w14:paraId="1BA01851" w14:textId="137BA493" w:rsidR="00B050C9" w:rsidRDefault="00B050C9" w:rsidP="00B050C9">
      <w:pPr>
        <w:rPr>
          <w:rFonts w:ascii="Helvetica Neue" w:hAnsi="Helvetica Neue"/>
        </w:rPr>
      </w:pPr>
    </w:p>
    <w:p w14:paraId="0965467D" w14:textId="453B2834" w:rsidR="00B050C9" w:rsidRDefault="00B050C9" w:rsidP="00B050C9">
      <w:pPr>
        <w:rPr>
          <w:rFonts w:ascii="Helvetica Neue" w:hAnsi="Helvetica Neue"/>
        </w:rPr>
      </w:pPr>
    </w:p>
    <w:p w14:paraId="098226E4" w14:textId="0EFB91FC" w:rsidR="00B050C9" w:rsidRDefault="00B050C9" w:rsidP="00B050C9">
      <w:pPr>
        <w:rPr>
          <w:rFonts w:ascii="Helvetica Neue" w:hAnsi="Helvetica Neue"/>
        </w:rPr>
      </w:pPr>
    </w:p>
    <w:p w14:paraId="641C2AB0" w14:textId="0267049B" w:rsidR="00B050C9" w:rsidRDefault="00B050C9" w:rsidP="00B050C9">
      <w:pPr>
        <w:rPr>
          <w:rFonts w:ascii="Helvetica Neue" w:hAnsi="Helvetica Neue"/>
        </w:rPr>
      </w:pPr>
    </w:p>
    <w:p w14:paraId="45287305" w14:textId="57897752" w:rsidR="00B050C9" w:rsidRDefault="00B050C9" w:rsidP="00B050C9">
      <w:pPr>
        <w:rPr>
          <w:rFonts w:ascii="Helvetica Neue" w:hAnsi="Helvetica Neue"/>
        </w:rPr>
      </w:pPr>
    </w:p>
    <w:p w14:paraId="4FB36200" w14:textId="22EB097C" w:rsidR="00B050C9" w:rsidRDefault="00B050C9" w:rsidP="00B050C9">
      <w:pPr>
        <w:rPr>
          <w:rFonts w:ascii="Helvetica Neue" w:hAnsi="Helvetica Neue"/>
        </w:rPr>
      </w:pPr>
    </w:p>
    <w:p w14:paraId="2DD7A1FB" w14:textId="590D0CE4" w:rsidR="00B050C9" w:rsidRDefault="00B050C9" w:rsidP="00B050C9">
      <w:pPr>
        <w:rPr>
          <w:rFonts w:ascii="Helvetica Neue" w:hAnsi="Helvetica Neue"/>
        </w:rPr>
      </w:pPr>
    </w:p>
    <w:p w14:paraId="64B47379" w14:textId="5CE092AA" w:rsidR="00B050C9" w:rsidRDefault="00B050C9" w:rsidP="00B050C9">
      <w:pPr>
        <w:rPr>
          <w:rFonts w:ascii="Helvetica Neue" w:hAnsi="Helvetica Neue"/>
        </w:rPr>
      </w:pPr>
    </w:p>
    <w:p w14:paraId="2E676DDC" w14:textId="663BF1A1" w:rsidR="00B050C9" w:rsidRDefault="00B050C9" w:rsidP="00B050C9">
      <w:pPr>
        <w:rPr>
          <w:rFonts w:ascii="Helvetica Neue" w:hAnsi="Helvetica Neue"/>
        </w:rPr>
      </w:pPr>
    </w:p>
    <w:p w14:paraId="24B1903F" w14:textId="564C3060" w:rsidR="00B050C9" w:rsidRDefault="00B050C9" w:rsidP="00B050C9">
      <w:pPr>
        <w:rPr>
          <w:rFonts w:ascii="Helvetica Neue" w:hAnsi="Helvetica Neue"/>
        </w:rPr>
      </w:pPr>
    </w:p>
    <w:p w14:paraId="43E8BA47" w14:textId="319F1A8E" w:rsidR="00B050C9" w:rsidRDefault="00B050C9" w:rsidP="00B050C9">
      <w:pPr>
        <w:rPr>
          <w:rFonts w:ascii="Helvetica Neue" w:hAnsi="Helvetica Neue"/>
        </w:rPr>
      </w:pPr>
    </w:p>
    <w:p w14:paraId="3FCA87E3" w14:textId="6F447311" w:rsidR="00B050C9" w:rsidRDefault="00B050C9" w:rsidP="00B050C9">
      <w:pPr>
        <w:rPr>
          <w:rFonts w:ascii="Helvetica Neue" w:hAnsi="Helvetica Neue"/>
        </w:rPr>
      </w:pPr>
    </w:p>
    <w:p w14:paraId="2FFF569A" w14:textId="2DE12174" w:rsidR="00B050C9" w:rsidRDefault="00B050C9" w:rsidP="00B050C9">
      <w:pPr>
        <w:rPr>
          <w:rFonts w:ascii="Helvetica Neue" w:hAnsi="Helvetica Neue"/>
        </w:rPr>
      </w:pPr>
    </w:p>
    <w:p w14:paraId="30CD2952" w14:textId="77777777" w:rsidR="00B050C9" w:rsidRDefault="00B050C9" w:rsidP="00B050C9">
      <w:pPr>
        <w:rPr>
          <w:rFonts w:ascii="Helvetica Neue" w:hAnsi="Helvetica Neue"/>
        </w:rPr>
      </w:pPr>
    </w:p>
    <w:p w14:paraId="5C8DB2B8" w14:textId="53D2C4B3" w:rsidR="00097902" w:rsidRDefault="00FD5873" w:rsidP="005F60F0">
      <w:pPr>
        <w:pStyle w:val="Heading1"/>
        <w:numPr>
          <w:ilvl w:val="0"/>
          <w:numId w:val="51"/>
        </w:numPr>
        <w:spacing w:before="300"/>
        <w:rPr>
          <w:rFonts w:ascii="Helvetica Neue" w:hAnsi="Helvetica Neue"/>
        </w:rPr>
      </w:pPr>
      <w:r w:rsidRPr="0024409C">
        <w:rPr>
          <w:rFonts w:ascii="Helvetica Neue" w:hAnsi="Helvetica Neue"/>
        </w:rPr>
        <w:lastRenderedPageBreak/>
        <w:t>SUPPLEMENTAL RESULTS</w:t>
      </w:r>
      <w:bookmarkEnd w:id="65"/>
    </w:p>
    <w:p w14:paraId="5F597030" w14:textId="09FC47FB" w:rsidR="00097902" w:rsidRDefault="00097902" w:rsidP="00097902"/>
    <w:tbl>
      <w:tblPr>
        <w:tblW w:w="11438" w:type="dxa"/>
        <w:tblInd w:w="-1268" w:type="dxa"/>
        <w:tblLook w:val="04A0" w:firstRow="1" w:lastRow="0" w:firstColumn="1" w:lastColumn="0" w:noHBand="0" w:noVBand="1"/>
      </w:tblPr>
      <w:tblGrid>
        <w:gridCol w:w="4229"/>
        <w:gridCol w:w="1600"/>
        <w:gridCol w:w="1720"/>
        <w:gridCol w:w="2060"/>
        <w:gridCol w:w="1829"/>
      </w:tblGrid>
      <w:tr w:rsidR="00284B57" w:rsidRPr="00995E68" w14:paraId="5283EC04" w14:textId="77777777" w:rsidTr="00487796">
        <w:trPr>
          <w:trHeight w:val="1215"/>
        </w:trPr>
        <w:tc>
          <w:tcPr>
            <w:tcW w:w="11438" w:type="dxa"/>
            <w:gridSpan w:val="5"/>
            <w:tcBorders>
              <w:top w:val="nil"/>
              <w:left w:val="nil"/>
              <w:bottom w:val="nil"/>
              <w:right w:val="nil"/>
            </w:tcBorders>
            <w:shd w:val="clear" w:color="000000" w:fill="FFFFFF"/>
            <w:vAlign w:val="center"/>
            <w:hideMark/>
          </w:tcPr>
          <w:p w14:paraId="022EA531" w14:textId="28ED4C83" w:rsidR="00284B57" w:rsidRPr="00B34636" w:rsidRDefault="00284B57" w:rsidP="00284B57">
            <w:pPr>
              <w:rPr>
                <w:rFonts w:ascii="Helvetica Neue" w:hAnsi="Helvetica Neue"/>
                <w:sz w:val="18"/>
                <w:szCs w:val="18"/>
                <w:highlight w:val="yellow"/>
              </w:rPr>
            </w:pPr>
            <w:r w:rsidRPr="00B34636">
              <w:rPr>
                <w:rFonts w:ascii="Helvetica Neue" w:hAnsi="Helvetica Neue"/>
                <w:b/>
                <w:bCs/>
                <w:sz w:val="18"/>
                <w:szCs w:val="18"/>
                <w:highlight w:val="yellow"/>
              </w:rPr>
              <w:t xml:space="preserve">Supplementary Table 5. </w:t>
            </w:r>
            <w:r w:rsidR="00B050C9" w:rsidRPr="00B34636">
              <w:rPr>
                <w:rFonts w:ascii="Helvetica Neue" w:hAnsi="Helvetica Neue"/>
                <w:sz w:val="18"/>
                <w:szCs w:val="18"/>
                <w:highlight w:val="yellow"/>
              </w:rPr>
              <w:t>Expedited Partner Therapy (EPT) Doses Given to Index Patients, Received by Partners, and Taken by Partners, and the Percent of Partners Provided with EPT Medication Who Have a Prevalent HIV Infection Across EPT Continuum Steps among Men Who Have Sex with Men</w:t>
            </w:r>
          </w:p>
        </w:tc>
      </w:tr>
      <w:tr w:rsidR="003332B5" w:rsidRPr="00995E68" w14:paraId="3ADEBFF2" w14:textId="77777777" w:rsidTr="00487796">
        <w:trPr>
          <w:trHeight w:val="720"/>
        </w:trPr>
        <w:tc>
          <w:tcPr>
            <w:tcW w:w="4229" w:type="dxa"/>
            <w:tcBorders>
              <w:top w:val="single" w:sz="4" w:space="0" w:color="auto"/>
              <w:left w:val="nil"/>
              <w:bottom w:val="single" w:sz="4" w:space="0" w:color="auto"/>
              <w:right w:val="nil"/>
            </w:tcBorders>
            <w:shd w:val="clear" w:color="000000" w:fill="FFFFFF"/>
            <w:noWrap/>
            <w:vAlign w:val="center"/>
            <w:hideMark/>
          </w:tcPr>
          <w:p w14:paraId="2A023D88"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 </w:t>
            </w:r>
          </w:p>
        </w:tc>
        <w:tc>
          <w:tcPr>
            <w:tcW w:w="1600" w:type="dxa"/>
            <w:tcBorders>
              <w:top w:val="single" w:sz="4" w:space="0" w:color="auto"/>
              <w:left w:val="nil"/>
              <w:bottom w:val="single" w:sz="4" w:space="0" w:color="auto"/>
              <w:right w:val="nil"/>
            </w:tcBorders>
            <w:shd w:val="clear" w:color="auto" w:fill="auto"/>
            <w:vAlign w:val="center"/>
            <w:hideMark/>
          </w:tcPr>
          <w:p w14:paraId="32FF605A" w14:textId="126CD9FE" w:rsidR="003332B5" w:rsidRPr="00B34636" w:rsidRDefault="003332B5" w:rsidP="003332B5">
            <w:pPr>
              <w:rPr>
                <w:rFonts w:ascii="Helvetica Neue" w:hAnsi="Helvetica Neue"/>
                <w:i/>
                <w:iCs/>
                <w:sz w:val="18"/>
                <w:szCs w:val="18"/>
                <w:highlight w:val="yellow"/>
              </w:rPr>
            </w:pPr>
            <w:r w:rsidRPr="00B34636">
              <w:rPr>
                <w:rFonts w:ascii="Helvetica Neue" w:hAnsi="Helvetica Neue" w:cs="Arial"/>
                <w:b/>
                <w:bCs/>
                <w:sz w:val="18"/>
                <w:szCs w:val="18"/>
                <w:highlight w:val="yellow"/>
              </w:rPr>
              <w:t>EPT Doses Given to Index</w:t>
            </w:r>
            <w:r w:rsidRPr="00B34636">
              <w:rPr>
                <w:rFonts w:ascii="Helvetica Neue" w:hAnsi="Helvetica Neue" w:cs="Arial"/>
                <w:i/>
                <w:iCs/>
                <w:sz w:val="18"/>
                <w:szCs w:val="18"/>
                <w:highlight w:val="yellow"/>
              </w:rPr>
              <w:br/>
              <w:t>(Median, IQR)</w:t>
            </w:r>
          </w:p>
        </w:tc>
        <w:tc>
          <w:tcPr>
            <w:tcW w:w="1720" w:type="dxa"/>
            <w:tcBorders>
              <w:top w:val="single" w:sz="4" w:space="0" w:color="auto"/>
              <w:left w:val="nil"/>
              <w:bottom w:val="single" w:sz="4" w:space="0" w:color="auto"/>
              <w:right w:val="nil"/>
            </w:tcBorders>
            <w:shd w:val="clear" w:color="auto" w:fill="auto"/>
            <w:vAlign w:val="center"/>
            <w:hideMark/>
          </w:tcPr>
          <w:p w14:paraId="0A201D4A" w14:textId="433FEC81" w:rsidR="003332B5" w:rsidRPr="00B34636" w:rsidRDefault="003332B5" w:rsidP="003332B5">
            <w:pPr>
              <w:rPr>
                <w:rFonts w:ascii="Helvetica Neue" w:hAnsi="Helvetica Neue"/>
                <w:i/>
                <w:iCs/>
                <w:sz w:val="18"/>
                <w:szCs w:val="18"/>
                <w:highlight w:val="yellow"/>
              </w:rPr>
            </w:pPr>
            <w:r w:rsidRPr="00B34636">
              <w:rPr>
                <w:rFonts w:ascii="Helvetica Neue" w:hAnsi="Helvetica Neue" w:cs="Arial"/>
                <w:b/>
                <w:bCs/>
                <w:sz w:val="18"/>
                <w:szCs w:val="18"/>
                <w:highlight w:val="yellow"/>
              </w:rPr>
              <w:t xml:space="preserve">EPT Doses Received by Partners            </w:t>
            </w:r>
            <w:r w:rsidRPr="00B34636">
              <w:rPr>
                <w:rFonts w:ascii="Helvetica Neue" w:hAnsi="Helvetica Neue" w:cs="Arial"/>
                <w:i/>
                <w:iCs/>
                <w:sz w:val="18"/>
                <w:szCs w:val="18"/>
                <w:highlight w:val="yellow"/>
              </w:rPr>
              <w:t>(Median, IQR)</w:t>
            </w:r>
          </w:p>
        </w:tc>
        <w:tc>
          <w:tcPr>
            <w:tcW w:w="2060" w:type="dxa"/>
            <w:tcBorders>
              <w:top w:val="single" w:sz="4" w:space="0" w:color="auto"/>
              <w:left w:val="nil"/>
              <w:bottom w:val="single" w:sz="4" w:space="0" w:color="auto"/>
              <w:right w:val="nil"/>
            </w:tcBorders>
            <w:shd w:val="clear" w:color="auto" w:fill="auto"/>
            <w:vAlign w:val="center"/>
            <w:hideMark/>
          </w:tcPr>
          <w:p w14:paraId="0D104307" w14:textId="4F01CE19" w:rsidR="003332B5" w:rsidRPr="00B34636" w:rsidRDefault="003332B5" w:rsidP="003332B5">
            <w:pPr>
              <w:rPr>
                <w:rFonts w:ascii="Helvetica Neue" w:hAnsi="Helvetica Neue"/>
                <w:i/>
                <w:iCs/>
                <w:sz w:val="18"/>
                <w:szCs w:val="18"/>
                <w:highlight w:val="yellow"/>
              </w:rPr>
            </w:pPr>
            <w:r w:rsidRPr="00B34636">
              <w:rPr>
                <w:rFonts w:ascii="Helvetica Neue" w:hAnsi="Helvetica Neue" w:cs="Arial"/>
                <w:b/>
                <w:bCs/>
                <w:sz w:val="18"/>
                <w:szCs w:val="18"/>
                <w:highlight w:val="yellow"/>
              </w:rPr>
              <w:t xml:space="preserve">EPT Doses Taken by Partners                </w:t>
            </w:r>
            <w:r w:rsidRPr="00B34636">
              <w:rPr>
                <w:rFonts w:ascii="Helvetica Neue" w:hAnsi="Helvetica Neue" w:cs="Arial"/>
                <w:i/>
                <w:iCs/>
                <w:sz w:val="18"/>
                <w:szCs w:val="18"/>
                <w:highlight w:val="yellow"/>
              </w:rPr>
              <w:t>(Median, IQR)</w:t>
            </w:r>
          </w:p>
        </w:tc>
        <w:tc>
          <w:tcPr>
            <w:tcW w:w="1829" w:type="dxa"/>
            <w:tcBorders>
              <w:top w:val="single" w:sz="4" w:space="0" w:color="auto"/>
              <w:left w:val="nil"/>
              <w:bottom w:val="single" w:sz="4" w:space="0" w:color="auto"/>
              <w:right w:val="nil"/>
            </w:tcBorders>
            <w:shd w:val="clear" w:color="auto" w:fill="auto"/>
            <w:vAlign w:val="center"/>
            <w:hideMark/>
          </w:tcPr>
          <w:p w14:paraId="43E81E49" w14:textId="7567EF7E" w:rsidR="003332B5" w:rsidRPr="00B34636" w:rsidRDefault="003332B5" w:rsidP="003332B5">
            <w:pPr>
              <w:rPr>
                <w:rFonts w:ascii="Helvetica Neue" w:hAnsi="Helvetica Neue"/>
                <w:i/>
                <w:iCs/>
                <w:sz w:val="18"/>
                <w:szCs w:val="18"/>
                <w:highlight w:val="yellow"/>
              </w:rPr>
            </w:pPr>
            <w:r w:rsidRPr="00B34636">
              <w:rPr>
                <w:rFonts w:ascii="Helvetica Neue" w:hAnsi="Helvetica Neue" w:cs="Arial"/>
                <w:b/>
                <w:bCs/>
                <w:sz w:val="18"/>
                <w:szCs w:val="18"/>
                <w:highlight w:val="yellow"/>
              </w:rPr>
              <w:t xml:space="preserve">Percent of Partners Provided With HIV </w:t>
            </w:r>
            <w:r w:rsidRPr="00B34636">
              <w:rPr>
                <w:rFonts w:ascii="Helvetica Neue" w:hAnsi="Helvetica Neue" w:cs="Arial"/>
                <w:i/>
                <w:iCs/>
                <w:sz w:val="18"/>
                <w:szCs w:val="18"/>
                <w:highlight w:val="yellow"/>
              </w:rPr>
              <w:t>(Median, IQR)</w:t>
            </w:r>
          </w:p>
        </w:tc>
      </w:tr>
      <w:tr w:rsidR="003332B5" w:rsidRPr="00995E68" w14:paraId="4B85215B" w14:textId="77777777" w:rsidTr="00487796">
        <w:trPr>
          <w:trHeight w:val="300"/>
        </w:trPr>
        <w:tc>
          <w:tcPr>
            <w:tcW w:w="4229" w:type="dxa"/>
            <w:tcBorders>
              <w:top w:val="nil"/>
              <w:left w:val="nil"/>
              <w:bottom w:val="nil"/>
              <w:right w:val="nil"/>
            </w:tcBorders>
            <w:shd w:val="clear" w:color="000000" w:fill="FFFFFF"/>
            <w:vAlign w:val="center"/>
            <w:hideMark/>
          </w:tcPr>
          <w:p w14:paraId="0E767033"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Reference Model</w:t>
            </w:r>
          </w:p>
        </w:tc>
        <w:tc>
          <w:tcPr>
            <w:tcW w:w="1600" w:type="dxa"/>
            <w:tcBorders>
              <w:top w:val="nil"/>
              <w:left w:val="nil"/>
              <w:bottom w:val="nil"/>
              <w:right w:val="nil"/>
            </w:tcBorders>
            <w:shd w:val="clear" w:color="000000" w:fill="FFFFFF"/>
            <w:noWrap/>
            <w:vAlign w:val="center"/>
            <w:hideMark/>
          </w:tcPr>
          <w:p w14:paraId="70BAFA5D" w14:textId="0F3D7D4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w:t>
            </w:r>
          </w:p>
        </w:tc>
        <w:tc>
          <w:tcPr>
            <w:tcW w:w="1720" w:type="dxa"/>
            <w:tcBorders>
              <w:top w:val="nil"/>
              <w:left w:val="nil"/>
              <w:bottom w:val="nil"/>
              <w:right w:val="nil"/>
            </w:tcBorders>
            <w:shd w:val="clear" w:color="000000" w:fill="FFFFFF"/>
            <w:noWrap/>
            <w:vAlign w:val="center"/>
            <w:hideMark/>
          </w:tcPr>
          <w:p w14:paraId="5023B792" w14:textId="7DC8CA7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w:t>
            </w:r>
          </w:p>
        </w:tc>
        <w:tc>
          <w:tcPr>
            <w:tcW w:w="2060" w:type="dxa"/>
            <w:tcBorders>
              <w:top w:val="nil"/>
              <w:left w:val="nil"/>
              <w:bottom w:val="nil"/>
              <w:right w:val="nil"/>
            </w:tcBorders>
            <w:shd w:val="clear" w:color="000000" w:fill="FFFFFF"/>
            <w:noWrap/>
            <w:vAlign w:val="center"/>
            <w:hideMark/>
          </w:tcPr>
          <w:p w14:paraId="05464A90" w14:textId="262EA9B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w:t>
            </w:r>
          </w:p>
        </w:tc>
        <w:tc>
          <w:tcPr>
            <w:tcW w:w="1829" w:type="dxa"/>
            <w:tcBorders>
              <w:top w:val="nil"/>
              <w:left w:val="nil"/>
              <w:bottom w:val="nil"/>
              <w:right w:val="nil"/>
            </w:tcBorders>
            <w:shd w:val="clear" w:color="000000" w:fill="FFFFFF"/>
            <w:noWrap/>
            <w:vAlign w:val="center"/>
            <w:hideMark/>
          </w:tcPr>
          <w:p w14:paraId="74A726B7" w14:textId="036A518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w:t>
            </w:r>
          </w:p>
        </w:tc>
      </w:tr>
      <w:tr w:rsidR="003332B5" w:rsidRPr="00995E68" w14:paraId="036F820A" w14:textId="77777777" w:rsidTr="00487796">
        <w:trPr>
          <w:trHeight w:val="300"/>
        </w:trPr>
        <w:tc>
          <w:tcPr>
            <w:tcW w:w="4229" w:type="dxa"/>
            <w:tcBorders>
              <w:top w:val="nil"/>
              <w:left w:val="nil"/>
              <w:bottom w:val="nil"/>
              <w:right w:val="nil"/>
            </w:tcBorders>
            <w:shd w:val="clear" w:color="000000" w:fill="FFFFFF"/>
            <w:vAlign w:val="center"/>
            <w:hideMark/>
          </w:tcPr>
          <w:p w14:paraId="4D5D8908"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EPT Coverage (Provision to Index)</w:t>
            </w:r>
          </w:p>
        </w:tc>
        <w:tc>
          <w:tcPr>
            <w:tcW w:w="1600" w:type="dxa"/>
            <w:tcBorders>
              <w:top w:val="nil"/>
              <w:left w:val="nil"/>
              <w:bottom w:val="nil"/>
              <w:right w:val="nil"/>
            </w:tcBorders>
            <w:shd w:val="clear" w:color="000000" w:fill="FFFFFF"/>
            <w:noWrap/>
            <w:vAlign w:val="center"/>
            <w:hideMark/>
          </w:tcPr>
          <w:p w14:paraId="185EE41B" w14:textId="59436AE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720" w:type="dxa"/>
            <w:tcBorders>
              <w:top w:val="nil"/>
              <w:left w:val="nil"/>
              <w:bottom w:val="nil"/>
              <w:right w:val="nil"/>
            </w:tcBorders>
            <w:shd w:val="clear" w:color="000000" w:fill="FFFFFF"/>
            <w:noWrap/>
            <w:vAlign w:val="center"/>
            <w:hideMark/>
          </w:tcPr>
          <w:p w14:paraId="0B619E61" w14:textId="22EA8DD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2060" w:type="dxa"/>
            <w:tcBorders>
              <w:top w:val="nil"/>
              <w:left w:val="nil"/>
              <w:bottom w:val="nil"/>
              <w:right w:val="nil"/>
            </w:tcBorders>
            <w:shd w:val="clear" w:color="000000" w:fill="FFFFFF"/>
            <w:noWrap/>
            <w:vAlign w:val="center"/>
            <w:hideMark/>
          </w:tcPr>
          <w:p w14:paraId="3B05960D" w14:textId="71B9DEB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829" w:type="dxa"/>
            <w:tcBorders>
              <w:top w:val="nil"/>
              <w:left w:val="nil"/>
              <w:bottom w:val="nil"/>
              <w:right w:val="nil"/>
            </w:tcBorders>
            <w:shd w:val="clear" w:color="000000" w:fill="FFFFFF"/>
            <w:noWrap/>
            <w:vAlign w:val="center"/>
            <w:hideMark/>
          </w:tcPr>
          <w:p w14:paraId="605A4E02" w14:textId="015C8754"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r>
      <w:tr w:rsidR="003332B5" w:rsidRPr="00995E68" w14:paraId="732BCDAE" w14:textId="77777777" w:rsidTr="00487796">
        <w:trPr>
          <w:trHeight w:val="300"/>
        </w:trPr>
        <w:tc>
          <w:tcPr>
            <w:tcW w:w="4229" w:type="dxa"/>
            <w:tcBorders>
              <w:top w:val="nil"/>
              <w:left w:val="nil"/>
              <w:bottom w:val="nil"/>
              <w:right w:val="nil"/>
            </w:tcBorders>
            <w:shd w:val="clear" w:color="000000" w:fill="FFFFFF"/>
            <w:noWrap/>
            <w:vAlign w:val="center"/>
            <w:hideMark/>
          </w:tcPr>
          <w:p w14:paraId="67DC6EE8"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10%</w:t>
            </w:r>
          </w:p>
        </w:tc>
        <w:tc>
          <w:tcPr>
            <w:tcW w:w="1600" w:type="dxa"/>
            <w:tcBorders>
              <w:top w:val="nil"/>
              <w:left w:val="nil"/>
              <w:bottom w:val="nil"/>
              <w:right w:val="nil"/>
            </w:tcBorders>
            <w:shd w:val="clear" w:color="000000" w:fill="FFFFFF"/>
            <w:noWrap/>
            <w:vAlign w:val="center"/>
            <w:hideMark/>
          </w:tcPr>
          <w:p w14:paraId="0E9799BE" w14:textId="4ECB99F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843 (744, 951)</w:t>
            </w:r>
          </w:p>
        </w:tc>
        <w:tc>
          <w:tcPr>
            <w:tcW w:w="1720" w:type="dxa"/>
            <w:tcBorders>
              <w:top w:val="nil"/>
              <w:left w:val="nil"/>
              <w:bottom w:val="nil"/>
              <w:right w:val="nil"/>
            </w:tcBorders>
            <w:shd w:val="clear" w:color="000000" w:fill="FFFFFF"/>
            <w:noWrap/>
            <w:vAlign w:val="center"/>
            <w:hideMark/>
          </w:tcPr>
          <w:p w14:paraId="68F1D13B" w14:textId="3C5EC8D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600 (530, 694)</w:t>
            </w:r>
          </w:p>
        </w:tc>
        <w:tc>
          <w:tcPr>
            <w:tcW w:w="2060" w:type="dxa"/>
            <w:tcBorders>
              <w:top w:val="nil"/>
              <w:left w:val="nil"/>
              <w:bottom w:val="nil"/>
              <w:right w:val="nil"/>
            </w:tcBorders>
            <w:shd w:val="clear" w:color="000000" w:fill="FFFFFF"/>
            <w:noWrap/>
            <w:vAlign w:val="center"/>
            <w:hideMark/>
          </w:tcPr>
          <w:p w14:paraId="1FF4C204" w14:textId="53EA09A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479 (427, 556)</w:t>
            </w:r>
          </w:p>
        </w:tc>
        <w:tc>
          <w:tcPr>
            <w:tcW w:w="1829" w:type="dxa"/>
            <w:tcBorders>
              <w:top w:val="nil"/>
              <w:left w:val="nil"/>
              <w:bottom w:val="nil"/>
              <w:right w:val="nil"/>
            </w:tcBorders>
            <w:shd w:val="clear" w:color="000000" w:fill="FFFFFF"/>
            <w:noWrap/>
            <w:vAlign w:val="center"/>
            <w:hideMark/>
          </w:tcPr>
          <w:p w14:paraId="0BC3D76B" w14:textId="5B265BD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17.90 (16.70, 19.13)</w:t>
            </w:r>
          </w:p>
        </w:tc>
      </w:tr>
      <w:tr w:rsidR="003332B5" w:rsidRPr="00995E68" w14:paraId="4A0F1D79" w14:textId="77777777" w:rsidTr="00487796">
        <w:trPr>
          <w:trHeight w:val="300"/>
        </w:trPr>
        <w:tc>
          <w:tcPr>
            <w:tcW w:w="4229" w:type="dxa"/>
            <w:tcBorders>
              <w:top w:val="nil"/>
              <w:left w:val="nil"/>
              <w:bottom w:val="nil"/>
              <w:right w:val="nil"/>
            </w:tcBorders>
            <w:shd w:val="clear" w:color="000000" w:fill="FFFFFF"/>
            <w:noWrap/>
            <w:vAlign w:val="center"/>
            <w:hideMark/>
          </w:tcPr>
          <w:p w14:paraId="727E73AF"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20%</w:t>
            </w:r>
          </w:p>
        </w:tc>
        <w:tc>
          <w:tcPr>
            <w:tcW w:w="1600" w:type="dxa"/>
            <w:tcBorders>
              <w:top w:val="nil"/>
              <w:left w:val="nil"/>
              <w:bottom w:val="nil"/>
              <w:right w:val="nil"/>
            </w:tcBorders>
            <w:shd w:val="clear" w:color="000000" w:fill="FFFFFF"/>
            <w:noWrap/>
            <w:vAlign w:val="center"/>
            <w:hideMark/>
          </w:tcPr>
          <w:p w14:paraId="7828FAEE" w14:textId="077EC27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1482 (1316, 1685)</w:t>
            </w:r>
          </w:p>
        </w:tc>
        <w:tc>
          <w:tcPr>
            <w:tcW w:w="1720" w:type="dxa"/>
            <w:tcBorders>
              <w:top w:val="nil"/>
              <w:left w:val="nil"/>
              <w:bottom w:val="nil"/>
              <w:right w:val="nil"/>
            </w:tcBorders>
            <w:shd w:val="clear" w:color="000000" w:fill="FFFFFF"/>
            <w:noWrap/>
            <w:vAlign w:val="center"/>
            <w:hideMark/>
          </w:tcPr>
          <w:p w14:paraId="572F6E20" w14:textId="27E3ED8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1016 (892, 1162)</w:t>
            </w:r>
          </w:p>
        </w:tc>
        <w:tc>
          <w:tcPr>
            <w:tcW w:w="2060" w:type="dxa"/>
            <w:tcBorders>
              <w:top w:val="nil"/>
              <w:left w:val="nil"/>
              <w:bottom w:val="nil"/>
              <w:right w:val="nil"/>
            </w:tcBorders>
            <w:shd w:val="clear" w:color="000000" w:fill="FFFFFF"/>
            <w:noWrap/>
            <w:vAlign w:val="center"/>
            <w:hideMark/>
          </w:tcPr>
          <w:p w14:paraId="51A0B098" w14:textId="4A69852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820 (716, 927)</w:t>
            </w:r>
          </w:p>
        </w:tc>
        <w:tc>
          <w:tcPr>
            <w:tcW w:w="1829" w:type="dxa"/>
            <w:tcBorders>
              <w:top w:val="nil"/>
              <w:left w:val="nil"/>
              <w:bottom w:val="nil"/>
              <w:right w:val="nil"/>
            </w:tcBorders>
            <w:shd w:val="clear" w:color="000000" w:fill="FFFFFF"/>
            <w:noWrap/>
            <w:vAlign w:val="center"/>
            <w:hideMark/>
          </w:tcPr>
          <w:p w14:paraId="1CA3916F" w14:textId="4637366F"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17.56 (16.43, 18.61)</w:t>
            </w:r>
          </w:p>
        </w:tc>
      </w:tr>
      <w:tr w:rsidR="003332B5" w:rsidRPr="00995E68" w14:paraId="165F318A" w14:textId="77777777" w:rsidTr="00487796">
        <w:trPr>
          <w:trHeight w:val="300"/>
        </w:trPr>
        <w:tc>
          <w:tcPr>
            <w:tcW w:w="4229" w:type="dxa"/>
            <w:tcBorders>
              <w:top w:val="nil"/>
              <w:left w:val="nil"/>
              <w:bottom w:val="nil"/>
              <w:right w:val="nil"/>
            </w:tcBorders>
            <w:shd w:val="clear" w:color="000000" w:fill="FFFFFF"/>
            <w:noWrap/>
            <w:vAlign w:val="center"/>
            <w:hideMark/>
          </w:tcPr>
          <w:p w14:paraId="40EA961B"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30%</w:t>
            </w:r>
          </w:p>
        </w:tc>
        <w:tc>
          <w:tcPr>
            <w:tcW w:w="1600" w:type="dxa"/>
            <w:tcBorders>
              <w:top w:val="nil"/>
              <w:left w:val="nil"/>
              <w:bottom w:val="nil"/>
              <w:right w:val="nil"/>
            </w:tcBorders>
            <w:shd w:val="clear" w:color="000000" w:fill="FFFFFF"/>
            <w:noWrap/>
            <w:vAlign w:val="center"/>
            <w:hideMark/>
          </w:tcPr>
          <w:p w14:paraId="028D59E9" w14:textId="0288590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1976 (1733, 2229)</w:t>
            </w:r>
          </w:p>
        </w:tc>
        <w:tc>
          <w:tcPr>
            <w:tcW w:w="1720" w:type="dxa"/>
            <w:tcBorders>
              <w:top w:val="nil"/>
              <w:left w:val="nil"/>
              <w:bottom w:val="nil"/>
              <w:right w:val="nil"/>
            </w:tcBorders>
            <w:shd w:val="clear" w:color="000000" w:fill="FFFFFF"/>
            <w:noWrap/>
            <w:vAlign w:val="center"/>
            <w:hideMark/>
          </w:tcPr>
          <w:p w14:paraId="03BEF9CB" w14:textId="7DEC1E9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1294 (1152, 1458)</w:t>
            </w:r>
          </w:p>
        </w:tc>
        <w:tc>
          <w:tcPr>
            <w:tcW w:w="2060" w:type="dxa"/>
            <w:tcBorders>
              <w:top w:val="nil"/>
              <w:left w:val="nil"/>
              <w:bottom w:val="nil"/>
              <w:right w:val="nil"/>
            </w:tcBorders>
            <w:shd w:val="clear" w:color="000000" w:fill="FFFFFF"/>
            <w:noWrap/>
            <w:vAlign w:val="center"/>
            <w:hideMark/>
          </w:tcPr>
          <w:p w14:paraId="5081926D" w14:textId="66F11B7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1039 (919, 1174)</w:t>
            </w:r>
          </w:p>
        </w:tc>
        <w:tc>
          <w:tcPr>
            <w:tcW w:w="1829" w:type="dxa"/>
            <w:tcBorders>
              <w:top w:val="nil"/>
              <w:left w:val="nil"/>
              <w:bottom w:val="nil"/>
              <w:right w:val="nil"/>
            </w:tcBorders>
            <w:shd w:val="clear" w:color="000000" w:fill="FFFFFF"/>
            <w:noWrap/>
            <w:vAlign w:val="center"/>
            <w:hideMark/>
          </w:tcPr>
          <w:p w14:paraId="15DB3A7B" w14:textId="15B2C71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17.79 (16.82, 18.64)</w:t>
            </w:r>
          </w:p>
        </w:tc>
      </w:tr>
      <w:tr w:rsidR="003332B5" w:rsidRPr="00995E68" w14:paraId="26F72AD8" w14:textId="77777777" w:rsidTr="00487796">
        <w:trPr>
          <w:trHeight w:val="300"/>
        </w:trPr>
        <w:tc>
          <w:tcPr>
            <w:tcW w:w="4229" w:type="dxa"/>
            <w:tcBorders>
              <w:top w:val="nil"/>
              <w:left w:val="nil"/>
              <w:bottom w:val="nil"/>
              <w:right w:val="nil"/>
            </w:tcBorders>
            <w:shd w:val="clear" w:color="000000" w:fill="FFFFFF"/>
            <w:noWrap/>
            <w:vAlign w:val="center"/>
            <w:hideMark/>
          </w:tcPr>
          <w:p w14:paraId="5CFC3F17"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40%</w:t>
            </w:r>
          </w:p>
        </w:tc>
        <w:tc>
          <w:tcPr>
            <w:tcW w:w="1600" w:type="dxa"/>
            <w:tcBorders>
              <w:top w:val="nil"/>
              <w:left w:val="nil"/>
              <w:bottom w:val="nil"/>
              <w:right w:val="nil"/>
            </w:tcBorders>
            <w:shd w:val="clear" w:color="000000" w:fill="FFFFFF"/>
            <w:noWrap/>
            <w:vAlign w:val="center"/>
            <w:hideMark/>
          </w:tcPr>
          <w:p w14:paraId="540D4BE4" w14:textId="671BFA60"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2350 (2094, 2645)</w:t>
            </w:r>
          </w:p>
        </w:tc>
        <w:tc>
          <w:tcPr>
            <w:tcW w:w="1720" w:type="dxa"/>
            <w:tcBorders>
              <w:top w:val="nil"/>
              <w:left w:val="nil"/>
              <w:bottom w:val="nil"/>
              <w:right w:val="nil"/>
            </w:tcBorders>
            <w:shd w:val="clear" w:color="000000" w:fill="FFFFFF"/>
            <w:noWrap/>
            <w:vAlign w:val="center"/>
            <w:hideMark/>
          </w:tcPr>
          <w:p w14:paraId="1D25514E" w14:textId="273B321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1494 (1330, 1664)</w:t>
            </w:r>
          </w:p>
        </w:tc>
        <w:tc>
          <w:tcPr>
            <w:tcW w:w="2060" w:type="dxa"/>
            <w:tcBorders>
              <w:top w:val="nil"/>
              <w:left w:val="nil"/>
              <w:bottom w:val="nil"/>
              <w:right w:val="nil"/>
            </w:tcBorders>
            <w:shd w:val="clear" w:color="000000" w:fill="FFFFFF"/>
            <w:noWrap/>
            <w:vAlign w:val="center"/>
            <w:hideMark/>
          </w:tcPr>
          <w:p w14:paraId="3BACF142" w14:textId="08BA94C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1192 (1067, 1335)</w:t>
            </w:r>
          </w:p>
        </w:tc>
        <w:tc>
          <w:tcPr>
            <w:tcW w:w="1829" w:type="dxa"/>
            <w:tcBorders>
              <w:top w:val="nil"/>
              <w:left w:val="nil"/>
              <w:bottom w:val="nil"/>
              <w:right w:val="nil"/>
            </w:tcBorders>
            <w:shd w:val="clear" w:color="000000" w:fill="FFFFFF"/>
            <w:noWrap/>
            <w:vAlign w:val="center"/>
            <w:hideMark/>
          </w:tcPr>
          <w:p w14:paraId="74B0353C" w14:textId="6486859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17.74 (16.76, 18.64)</w:t>
            </w:r>
          </w:p>
        </w:tc>
      </w:tr>
      <w:tr w:rsidR="003332B5" w:rsidRPr="00995E68" w14:paraId="5ABF6BEA" w14:textId="77777777" w:rsidTr="00487796">
        <w:trPr>
          <w:trHeight w:val="300"/>
        </w:trPr>
        <w:tc>
          <w:tcPr>
            <w:tcW w:w="4229" w:type="dxa"/>
            <w:tcBorders>
              <w:top w:val="nil"/>
              <w:left w:val="nil"/>
              <w:bottom w:val="nil"/>
              <w:right w:val="nil"/>
            </w:tcBorders>
            <w:shd w:val="clear" w:color="000000" w:fill="FFFFFF"/>
            <w:noWrap/>
            <w:vAlign w:val="center"/>
            <w:hideMark/>
          </w:tcPr>
          <w:p w14:paraId="7333779C"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50%</w:t>
            </w:r>
          </w:p>
        </w:tc>
        <w:tc>
          <w:tcPr>
            <w:tcW w:w="1600" w:type="dxa"/>
            <w:tcBorders>
              <w:top w:val="nil"/>
              <w:left w:val="nil"/>
              <w:bottom w:val="nil"/>
              <w:right w:val="nil"/>
            </w:tcBorders>
            <w:shd w:val="clear" w:color="000000" w:fill="FFFFFF"/>
            <w:noWrap/>
            <w:vAlign w:val="center"/>
            <w:hideMark/>
          </w:tcPr>
          <w:p w14:paraId="18807F08" w14:textId="573DE6F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2822 (2483, 3134)</w:t>
            </w:r>
          </w:p>
        </w:tc>
        <w:tc>
          <w:tcPr>
            <w:tcW w:w="1720" w:type="dxa"/>
            <w:tcBorders>
              <w:top w:val="nil"/>
              <w:left w:val="nil"/>
              <w:bottom w:val="nil"/>
              <w:right w:val="nil"/>
            </w:tcBorders>
            <w:shd w:val="clear" w:color="000000" w:fill="FFFFFF"/>
            <w:noWrap/>
            <w:vAlign w:val="center"/>
            <w:hideMark/>
          </w:tcPr>
          <w:p w14:paraId="149603FD" w14:textId="5A65A32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1724 (1527, 1914)</w:t>
            </w:r>
          </w:p>
        </w:tc>
        <w:tc>
          <w:tcPr>
            <w:tcW w:w="2060" w:type="dxa"/>
            <w:tcBorders>
              <w:top w:val="nil"/>
              <w:left w:val="nil"/>
              <w:bottom w:val="nil"/>
              <w:right w:val="nil"/>
            </w:tcBorders>
            <w:shd w:val="clear" w:color="000000" w:fill="FFFFFF"/>
            <w:noWrap/>
            <w:vAlign w:val="center"/>
            <w:hideMark/>
          </w:tcPr>
          <w:p w14:paraId="5A23CF95" w14:textId="6F9D2C9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1382 (1226, 1526)</w:t>
            </w:r>
          </w:p>
        </w:tc>
        <w:tc>
          <w:tcPr>
            <w:tcW w:w="1829" w:type="dxa"/>
            <w:tcBorders>
              <w:top w:val="nil"/>
              <w:left w:val="nil"/>
              <w:bottom w:val="nil"/>
              <w:right w:val="nil"/>
            </w:tcBorders>
            <w:shd w:val="clear" w:color="000000" w:fill="FFFFFF"/>
            <w:noWrap/>
            <w:vAlign w:val="center"/>
            <w:hideMark/>
          </w:tcPr>
          <w:p w14:paraId="2ADF7CB1" w14:textId="2084CDE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17.71 (16.74, 18.58)</w:t>
            </w:r>
          </w:p>
        </w:tc>
      </w:tr>
      <w:tr w:rsidR="003332B5" w:rsidRPr="00995E68" w14:paraId="062AE3CB" w14:textId="77777777" w:rsidTr="00487796">
        <w:trPr>
          <w:trHeight w:val="300"/>
        </w:trPr>
        <w:tc>
          <w:tcPr>
            <w:tcW w:w="4229" w:type="dxa"/>
            <w:tcBorders>
              <w:top w:val="nil"/>
              <w:left w:val="nil"/>
              <w:bottom w:val="nil"/>
              <w:right w:val="nil"/>
            </w:tcBorders>
            <w:shd w:val="clear" w:color="000000" w:fill="FFFFFF"/>
            <w:noWrap/>
            <w:vAlign w:val="center"/>
            <w:hideMark/>
          </w:tcPr>
          <w:p w14:paraId="7C9BD322"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60%</w:t>
            </w:r>
          </w:p>
        </w:tc>
        <w:tc>
          <w:tcPr>
            <w:tcW w:w="1600" w:type="dxa"/>
            <w:tcBorders>
              <w:top w:val="nil"/>
              <w:left w:val="nil"/>
              <w:bottom w:val="nil"/>
              <w:right w:val="nil"/>
            </w:tcBorders>
            <w:shd w:val="clear" w:color="000000" w:fill="FFFFFF"/>
            <w:noWrap/>
            <w:vAlign w:val="center"/>
            <w:hideMark/>
          </w:tcPr>
          <w:p w14:paraId="00FFCB79" w14:textId="6AA1E7E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3153 (2816, 3505)</w:t>
            </w:r>
          </w:p>
        </w:tc>
        <w:tc>
          <w:tcPr>
            <w:tcW w:w="1720" w:type="dxa"/>
            <w:tcBorders>
              <w:top w:val="nil"/>
              <w:left w:val="nil"/>
              <w:bottom w:val="nil"/>
              <w:right w:val="nil"/>
            </w:tcBorders>
            <w:shd w:val="clear" w:color="000000" w:fill="FFFFFF"/>
            <w:noWrap/>
            <w:vAlign w:val="center"/>
            <w:hideMark/>
          </w:tcPr>
          <w:p w14:paraId="702D87D8" w14:textId="22CC665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1872 (1670, 2058)</w:t>
            </w:r>
          </w:p>
        </w:tc>
        <w:tc>
          <w:tcPr>
            <w:tcW w:w="2060" w:type="dxa"/>
            <w:tcBorders>
              <w:top w:val="nil"/>
              <w:left w:val="nil"/>
              <w:bottom w:val="nil"/>
              <w:right w:val="nil"/>
            </w:tcBorders>
            <w:shd w:val="clear" w:color="000000" w:fill="FFFFFF"/>
            <w:noWrap/>
            <w:vAlign w:val="center"/>
            <w:hideMark/>
          </w:tcPr>
          <w:p w14:paraId="1DC14DBA" w14:textId="31885EB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1500 (1337, 1640)</w:t>
            </w:r>
          </w:p>
        </w:tc>
        <w:tc>
          <w:tcPr>
            <w:tcW w:w="1829" w:type="dxa"/>
            <w:tcBorders>
              <w:top w:val="nil"/>
              <w:left w:val="nil"/>
              <w:bottom w:val="nil"/>
              <w:right w:val="nil"/>
            </w:tcBorders>
            <w:shd w:val="clear" w:color="000000" w:fill="FFFFFF"/>
            <w:noWrap/>
            <w:vAlign w:val="center"/>
            <w:hideMark/>
          </w:tcPr>
          <w:p w14:paraId="1BCF98F0" w14:textId="0E1BF16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17.75 (16.72, 18.56)</w:t>
            </w:r>
          </w:p>
        </w:tc>
      </w:tr>
      <w:tr w:rsidR="003332B5" w:rsidRPr="00995E68" w14:paraId="0EBC4CE9" w14:textId="77777777" w:rsidTr="00487796">
        <w:trPr>
          <w:trHeight w:val="300"/>
        </w:trPr>
        <w:tc>
          <w:tcPr>
            <w:tcW w:w="4229" w:type="dxa"/>
            <w:tcBorders>
              <w:top w:val="nil"/>
              <w:left w:val="nil"/>
              <w:bottom w:val="nil"/>
              <w:right w:val="nil"/>
            </w:tcBorders>
            <w:shd w:val="clear" w:color="000000" w:fill="FFFFFF"/>
            <w:noWrap/>
            <w:vAlign w:val="center"/>
            <w:hideMark/>
          </w:tcPr>
          <w:p w14:paraId="3671837E"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70%</w:t>
            </w:r>
          </w:p>
        </w:tc>
        <w:tc>
          <w:tcPr>
            <w:tcW w:w="1600" w:type="dxa"/>
            <w:tcBorders>
              <w:top w:val="nil"/>
              <w:left w:val="nil"/>
              <w:bottom w:val="nil"/>
              <w:right w:val="nil"/>
            </w:tcBorders>
            <w:shd w:val="clear" w:color="000000" w:fill="FFFFFF"/>
            <w:noWrap/>
            <w:vAlign w:val="center"/>
            <w:hideMark/>
          </w:tcPr>
          <w:p w14:paraId="3BCE3AB6" w14:textId="1AC86F2C"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3403 (2983, 3888)</w:t>
            </w:r>
          </w:p>
        </w:tc>
        <w:tc>
          <w:tcPr>
            <w:tcW w:w="1720" w:type="dxa"/>
            <w:tcBorders>
              <w:top w:val="nil"/>
              <w:left w:val="nil"/>
              <w:bottom w:val="nil"/>
              <w:right w:val="nil"/>
            </w:tcBorders>
            <w:shd w:val="clear" w:color="000000" w:fill="FFFFFF"/>
            <w:noWrap/>
            <w:vAlign w:val="center"/>
            <w:hideMark/>
          </w:tcPr>
          <w:p w14:paraId="71AF2BF6" w14:textId="24E4B4E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1972 (1747, 2235)</w:t>
            </w:r>
          </w:p>
        </w:tc>
        <w:tc>
          <w:tcPr>
            <w:tcW w:w="2060" w:type="dxa"/>
            <w:tcBorders>
              <w:top w:val="nil"/>
              <w:left w:val="nil"/>
              <w:bottom w:val="nil"/>
              <w:right w:val="nil"/>
            </w:tcBorders>
            <w:shd w:val="clear" w:color="000000" w:fill="FFFFFF"/>
            <w:noWrap/>
            <w:vAlign w:val="center"/>
            <w:hideMark/>
          </w:tcPr>
          <w:p w14:paraId="68366005" w14:textId="7F87D1C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1579 (1398, 1789)</w:t>
            </w:r>
          </w:p>
        </w:tc>
        <w:tc>
          <w:tcPr>
            <w:tcW w:w="1829" w:type="dxa"/>
            <w:tcBorders>
              <w:top w:val="nil"/>
              <w:left w:val="nil"/>
              <w:bottom w:val="nil"/>
              <w:right w:val="nil"/>
            </w:tcBorders>
            <w:shd w:val="clear" w:color="000000" w:fill="FFFFFF"/>
            <w:noWrap/>
            <w:vAlign w:val="center"/>
            <w:hideMark/>
          </w:tcPr>
          <w:p w14:paraId="090E9023" w14:textId="15FEAC66"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17.75 (16.89, 18.57)</w:t>
            </w:r>
          </w:p>
        </w:tc>
      </w:tr>
      <w:tr w:rsidR="003332B5" w:rsidRPr="00995E68" w14:paraId="4209A51E" w14:textId="77777777" w:rsidTr="00487796">
        <w:trPr>
          <w:trHeight w:val="300"/>
        </w:trPr>
        <w:tc>
          <w:tcPr>
            <w:tcW w:w="4229" w:type="dxa"/>
            <w:tcBorders>
              <w:top w:val="nil"/>
              <w:left w:val="nil"/>
              <w:bottom w:val="nil"/>
              <w:right w:val="nil"/>
            </w:tcBorders>
            <w:shd w:val="clear" w:color="000000" w:fill="FFFFFF"/>
            <w:noWrap/>
            <w:vAlign w:val="center"/>
            <w:hideMark/>
          </w:tcPr>
          <w:p w14:paraId="68DF30FA"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80%</w:t>
            </w:r>
          </w:p>
        </w:tc>
        <w:tc>
          <w:tcPr>
            <w:tcW w:w="1600" w:type="dxa"/>
            <w:tcBorders>
              <w:top w:val="nil"/>
              <w:left w:val="nil"/>
              <w:bottom w:val="nil"/>
              <w:right w:val="nil"/>
            </w:tcBorders>
            <w:shd w:val="clear" w:color="000000" w:fill="FFFFFF"/>
            <w:noWrap/>
            <w:vAlign w:val="center"/>
            <w:hideMark/>
          </w:tcPr>
          <w:p w14:paraId="5566D8B6" w14:textId="3A4E637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3750 (3267, 4337)</w:t>
            </w:r>
          </w:p>
        </w:tc>
        <w:tc>
          <w:tcPr>
            <w:tcW w:w="1720" w:type="dxa"/>
            <w:tcBorders>
              <w:top w:val="nil"/>
              <w:left w:val="nil"/>
              <w:bottom w:val="nil"/>
              <w:right w:val="nil"/>
            </w:tcBorders>
            <w:shd w:val="clear" w:color="000000" w:fill="FFFFFF"/>
            <w:noWrap/>
            <w:vAlign w:val="center"/>
            <w:hideMark/>
          </w:tcPr>
          <w:p w14:paraId="65949B8D" w14:textId="6DD0523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2116 (1827, 2394)</w:t>
            </w:r>
          </w:p>
        </w:tc>
        <w:tc>
          <w:tcPr>
            <w:tcW w:w="2060" w:type="dxa"/>
            <w:tcBorders>
              <w:top w:val="nil"/>
              <w:left w:val="nil"/>
              <w:bottom w:val="nil"/>
              <w:right w:val="nil"/>
            </w:tcBorders>
            <w:shd w:val="clear" w:color="000000" w:fill="FFFFFF"/>
            <w:noWrap/>
            <w:vAlign w:val="center"/>
            <w:hideMark/>
          </w:tcPr>
          <w:p w14:paraId="11205D79" w14:textId="4D5BB656"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1674 (1457, 1912)</w:t>
            </w:r>
          </w:p>
        </w:tc>
        <w:tc>
          <w:tcPr>
            <w:tcW w:w="1829" w:type="dxa"/>
            <w:tcBorders>
              <w:top w:val="nil"/>
              <w:left w:val="nil"/>
              <w:bottom w:val="nil"/>
              <w:right w:val="nil"/>
            </w:tcBorders>
            <w:shd w:val="clear" w:color="000000" w:fill="FFFFFF"/>
            <w:noWrap/>
            <w:vAlign w:val="center"/>
            <w:hideMark/>
          </w:tcPr>
          <w:p w14:paraId="21AE97FE" w14:textId="02A67CF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17.75 (16.74, 18.62)</w:t>
            </w:r>
          </w:p>
        </w:tc>
      </w:tr>
      <w:tr w:rsidR="003332B5" w:rsidRPr="00995E68" w14:paraId="47635620" w14:textId="77777777" w:rsidTr="00487796">
        <w:trPr>
          <w:trHeight w:val="300"/>
        </w:trPr>
        <w:tc>
          <w:tcPr>
            <w:tcW w:w="4229" w:type="dxa"/>
            <w:tcBorders>
              <w:top w:val="nil"/>
              <w:left w:val="nil"/>
              <w:bottom w:val="nil"/>
              <w:right w:val="nil"/>
            </w:tcBorders>
            <w:shd w:val="clear" w:color="000000" w:fill="FFFFFF"/>
            <w:noWrap/>
            <w:vAlign w:val="center"/>
            <w:hideMark/>
          </w:tcPr>
          <w:p w14:paraId="0710526F"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90%</w:t>
            </w:r>
          </w:p>
        </w:tc>
        <w:tc>
          <w:tcPr>
            <w:tcW w:w="1600" w:type="dxa"/>
            <w:tcBorders>
              <w:top w:val="nil"/>
              <w:left w:val="nil"/>
              <w:bottom w:val="nil"/>
              <w:right w:val="nil"/>
            </w:tcBorders>
            <w:shd w:val="clear" w:color="000000" w:fill="FFFFFF"/>
            <w:noWrap/>
            <w:vAlign w:val="center"/>
            <w:hideMark/>
          </w:tcPr>
          <w:p w14:paraId="18371A55" w14:textId="0945799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4004 (3561, 4496)</w:t>
            </w:r>
          </w:p>
        </w:tc>
        <w:tc>
          <w:tcPr>
            <w:tcW w:w="1720" w:type="dxa"/>
            <w:tcBorders>
              <w:top w:val="nil"/>
              <w:left w:val="nil"/>
              <w:bottom w:val="nil"/>
              <w:right w:val="nil"/>
            </w:tcBorders>
            <w:shd w:val="clear" w:color="000000" w:fill="FFFFFF"/>
            <w:noWrap/>
            <w:vAlign w:val="center"/>
            <w:hideMark/>
          </w:tcPr>
          <w:p w14:paraId="14F9F697" w14:textId="345B7D0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2180 (1975, 2430)</w:t>
            </w:r>
          </w:p>
        </w:tc>
        <w:tc>
          <w:tcPr>
            <w:tcW w:w="2060" w:type="dxa"/>
            <w:tcBorders>
              <w:top w:val="nil"/>
              <w:left w:val="nil"/>
              <w:bottom w:val="nil"/>
              <w:right w:val="nil"/>
            </w:tcBorders>
            <w:shd w:val="clear" w:color="000000" w:fill="FFFFFF"/>
            <w:noWrap/>
            <w:vAlign w:val="center"/>
            <w:hideMark/>
          </w:tcPr>
          <w:p w14:paraId="5475ABD0" w14:textId="4B1071D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1755 (1582, 1934)</w:t>
            </w:r>
          </w:p>
        </w:tc>
        <w:tc>
          <w:tcPr>
            <w:tcW w:w="1829" w:type="dxa"/>
            <w:tcBorders>
              <w:top w:val="nil"/>
              <w:left w:val="nil"/>
              <w:bottom w:val="nil"/>
              <w:right w:val="nil"/>
            </w:tcBorders>
            <w:shd w:val="clear" w:color="000000" w:fill="FFFFFF"/>
            <w:noWrap/>
            <w:vAlign w:val="center"/>
            <w:hideMark/>
          </w:tcPr>
          <w:p w14:paraId="414D23CD" w14:textId="0F6E847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17.76 (16.77, 18.50)</w:t>
            </w:r>
          </w:p>
        </w:tc>
      </w:tr>
      <w:tr w:rsidR="003332B5" w:rsidRPr="00995E68" w14:paraId="5D828B78" w14:textId="77777777" w:rsidTr="00487796">
        <w:trPr>
          <w:trHeight w:val="300"/>
        </w:trPr>
        <w:tc>
          <w:tcPr>
            <w:tcW w:w="4229" w:type="dxa"/>
            <w:tcBorders>
              <w:top w:val="nil"/>
              <w:left w:val="nil"/>
              <w:bottom w:val="nil"/>
              <w:right w:val="nil"/>
            </w:tcBorders>
            <w:shd w:val="clear" w:color="000000" w:fill="FFFFFF"/>
            <w:noWrap/>
            <w:vAlign w:val="center"/>
            <w:hideMark/>
          </w:tcPr>
          <w:p w14:paraId="48EBDD9F"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100%</w:t>
            </w:r>
          </w:p>
        </w:tc>
        <w:tc>
          <w:tcPr>
            <w:tcW w:w="1600" w:type="dxa"/>
            <w:tcBorders>
              <w:top w:val="nil"/>
              <w:left w:val="nil"/>
              <w:bottom w:val="nil"/>
              <w:right w:val="nil"/>
            </w:tcBorders>
            <w:shd w:val="clear" w:color="000000" w:fill="FFFFFF"/>
            <w:noWrap/>
            <w:vAlign w:val="center"/>
            <w:hideMark/>
          </w:tcPr>
          <w:p w14:paraId="1BA1E7FE" w14:textId="0AC8FAA0"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4305 (3918, 4959)</w:t>
            </w:r>
          </w:p>
        </w:tc>
        <w:tc>
          <w:tcPr>
            <w:tcW w:w="1720" w:type="dxa"/>
            <w:tcBorders>
              <w:top w:val="nil"/>
              <w:left w:val="nil"/>
              <w:bottom w:val="nil"/>
              <w:right w:val="nil"/>
            </w:tcBorders>
            <w:shd w:val="clear" w:color="000000" w:fill="FFFFFF"/>
            <w:noWrap/>
            <w:vAlign w:val="center"/>
            <w:hideMark/>
          </w:tcPr>
          <w:p w14:paraId="2D4DBCD6" w14:textId="48AB1B4C"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2304 (2108, 2609)</w:t>
            </w:r>
          </w:p>
        </w:tc>
        <w:tc>
          <w:tcPr>
            <w:tcW w:w="2060" w:type="dxa"/>
            <w:tcBorders>
              <w:top w:val="nil"/>
              <w:left w:val="nil"/>
              <w:bottom w:val="nil"/>
              <w:right w:val="nil"/>
            </w:tcBorders>
            <w:shd w:val="clear" w:color="000000" w:fill="FFFFFF"/>
            <w:noWrap/>
            <w:vAlign w:val="center"/>
            <w:hideMark/>
          </w:tcPr>
          <w:p w14:paraId="1A52351C" w14:textId="11D14E7F"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1836 (1678, 2087)</w:t>
            </w:r>
          </w:p>
        </w:tc>
        <w:tc>
          <w:tcPr>
            <w:tcW w:w="1829" w:type="dxa"/>
            <w:tcBorders>
              <w:top w:val="nil"/>
              <w:left w:val="nil"/>
              <w:bottom w:val="nil"/>
              <w:right w:val="nil"/>
            </w:tcBorders>
            <w:shd w:val="clear" w:color="000000" w:fill="FFFFFF"/>
            <w:noWrap/>
            <w:vAlign w:val="center"/>
            <w:hideMark/>
          </w:tcPr>
          <w:p w14:paraId="5ECC4511" w14:textId="625F19F0"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17.61 (16.68, 18.38)</w:t>
            </w:r>
          </w:p>
        </w:tc>
      </w:tr>
      <w:tr w:rsidR="003332B5" w:rsidRPr="00995E68" w14:paraId="1B117236" w14:textId="77777777" w:rsidTr="00487796">
        <w:trPr>
          <w:trHeight w:val="300"/>
        </w:trPr>
        <w:tc>
          <w:tcPr>
            <w:tcW w:w="4229" w:type="dxa"/>
            <w:tcBorders>
              <w:top w:val="nil"/>
              <w:left w:val="nil"/>
              <w:bottom w:val="nil"/>
              <w:right w:val="nil"/>
            </w:tcBorders>
            <w:shd w:val="clear" w:color="000000" w:fill="FFFFFF"/>
            <w:vAlign w:val="center"/>
            <w:hideMark/>
          </w:tcPr>
          <w:p w14:paraId="742D62D1"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EPT Partnership Window (20% Coverage)</w:t>
            </w:r>
          </w:p>
        </w:tc>
        <w:tc>
          <w:tcPr>
            <w:tcW w:w="1600" w:type="dxa"/>
            <w:tcBorders>
              <w:top w:val="nil"/>
              <w:left w:val="nil"/>
              <w:bottom w:val="nil"/>
              <w:right w:val="nil"/>
            </w:tcBorders>
            <w:shd w:val="clear" w:color="000000" w:fill="FFFFFF"/>
            <w:noWrap/>
            <w:vAlign w:val="center"/>
            <w:hideMark/>
          </w:tcPr>
          <w:p w14:paraId="0C34DF2B" w14:textId="5528BE1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720" w:type="dxa"/>
            <w:tcBorders>
              <w:top w:val="nil"/>
              <w:left w:val="nil"/>
              <w:bottom w:val="nil"/>
              <w:right w:val="nil"/>
            </w:tcBorders>
            <w:shd w:val="clear" w:color="000000" w:fill="FFFFFF"/>
            <w:noWrap/>
            <w:vAlign w:val="center"/>
            <w:hideMark/>
          </w:tcPr>
          <w:p w14:paraId="6362362E" w14:textId="386737B6"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2060" w:type="dxa"/>
            <w:tcBorders>
              <w:top w:val="nil"/>
              <w:left w:val="nil"/>
              <w:bottom w:val="nil"/>
              <w:right w:val="nil"/>
            </w:tcBorders>
            <w:shd w:val="clear" w:color="000000" w:fill="FFFFFF"/>
            <w:noWrap/>
            <w:vAlign w:val="center"/>
            <w:hideMark/>
          </w:tcPr>
          <w:p w14:paraId="49C58071" w14:textId="7040DA7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829" w:type="dxa"/>
            <w:tcBorders>
              <w:top w:val="nil"/>
              <w:left w:val="nil"/>
              <w:bottom w:val="nil"/>
              <w:right w:val="nil"/>
            </w:tcBorders>
            <w:shd w:val="clear" w:color="000000" w:fill="FFFFFF"/>
            <w:noWrap/>
            <w:vAlign w:val="center"/>
            <w:hideMark/>
          </w:tcPr>
          <w:p w14:paraId="38DD40F3" w14:textId="51EC1894"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r>
      <w:tr w:rsidR="003332B5" w:rsidRPr="00995E68" w14:paraId="2F17EA56" w14:textId="77777777" w:rsidTr="00487796">
        <w:trPr>
          <w:trHeight w:val="300"/>
        </w:trPr>
        <w:tc>
          <w:tcPr>
            <w:tcW w:w="4229" w:type="dxa"/>
            <w:tcBorders>
              <w:top w:val="nil"/>
              <w:left w:val="nil"/>
              <w:bottom w:val="nil"/>
              <w:right w:val="nil"/>
            </w:tcBorders>
            <w:shd w:val="clear" w:color="000000" w:fill="FFFFFF"/>
            <w:noWrap/>
            <w:vAlign w:val="center"/>
            <w:hideMark/>
          </w:tcPr>
          <w:p w14:paraId="0757437C"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1 month (28 days)</w:t>
            </w:r>
          </w:p>
        </w:tc>
        <w:tc>
          <w:tcPr>
            <w:tcW w:w="1600" w:type="dxa"/>
            <w:tcBorders>
              <w:top w:val="nil"/>
              <w:left w:val="nil"/>
              <w:bottom w:val="nil"/>
              <w:right w:val="nil"/>
            </w:tcBorders>
            <w:shd w:val="clear" w:color="000000" w:fill="FFFFFF"/>
            <w:noWrap/>
            <w:vAlign w:val="center"/>
            <w:hideMark/>
          </w:tcPr>
          <w:p w14:paraId="39C49290" w14:textId="34460BB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1488 (1312, 1692)</w:t>
            </w:r>
          </w:p>
        </w:tc>
        <w:tc>
          <w:tcPr>
            <w:tcW w:w="1720" w:type="dxa"/>
            <w:tcBorders>
              <w:top w:val="nil"/>
              <w:left w:val="nil"/>
              <w:bottom w:val="nil"/>
              <w:right w:val="nil"/>
            </w:tcBorders>
            <w:shd w:val="clear" w:color="000000" w:fill="FFFFFF"/>
            <w:noWrap/>
            <w:vAlign w:val="center"/>
            <w:hideMark/>
          </w:tcPr>
          <w:p w14:paraId="45375FBA" w14:textId="7FEAA73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878 (774, 1009)</w:t>
            </w:r>
          </w:p>
        </w:tc>
        <w:tc>
          <w:tcPr>
            <w:tcW w:w="2060" w:type="dxa"/>
            <w:tcBorders>
              <w:top w:val="nil"/>
              <w:left w:val="nil"/>
              <w:bottom w:val="nil"/>
              <w:right w:val="nil"/>
            </w:tcBorders>
            <w:shd w:val="clear" w:color="000000" w:fill="FFFFFF"/>
            <w:noWrap/>
            <w:vAlign w:val="center"/>
            <w:hideMark/>
          </w:tcPr>
          <w:p w14:paraId="78602BFF" w14:textId="64473F9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702 (620, 810)</w:t>
            </w:r>
          </w:p>
        </w:tc>
        <w:tc>
          <w:tcPr>
            <w:tcW w:w="1829" w:type="dxa"/>
            <w:tcBorders>
              <w:top w:val="nil"/>
              <w:left w:val="nil"/>
              <w:bottom w:val="nil"/>
              <w:right w:val="nil"/>
            </w:tcBorders>
            <w:shd w:val="clear" w:color="000000" w:fill="FFFFFF"/>
            <w:noWrap/>
            <w:vAlign w:val="center"/>
            <w:hideMark/>
          </w:tcPr>
          <w:p w14:paraId="1C84D624" w14:textId="2993533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17.52 (16.59, 18.61)</w:t>
            </w:r>
          </w:p>
        </w:tc>
      </w:tr>
      <w:tr w:rsidR="003332B5" w:rsidRPr="00995E68" w14:paraId="30A684E4" w14:textId="77777777" w:rsidTr="00487796">
        <w:trPr>
          <w:trHeight w:val="300"/>
        </w:trPr>
        <w:tc>
          <w:tcPr>
            <w:tcW w:w="4229" w:type="dxa"/>
            <w:tcBorders>
              <w:top w:val="nil"/>
              <w:left w:val="nil"/>
              <w:bottom w:val="nil"/>
              <w:right w:val="nil"/>
            </w:tcBorders>
            <w:shd w:val="clear" w:color="000000" w:fill="FFFFFF"/>
            <w:noWrap/>
            <w:vAlign w:val="center"/>
            <w:hideMark/>
          </w:tcPr>
          <w:p w14:paraId="4385B51E"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3 months (91 days)</w:t>
            </w:r>
          </w:p>
        </w:tc>
        <w:tc>
          <w:tcPr>
            <w:tcW w:w="1600" w:type="dxa"/>
            <w:tcBorders>
              <w:top w:val="nil"/>
              <w:left w:val="nil"/>
              <w:bottom w:val="nil"/>
              <w:right w:val="nil"/>
            </w:tcBorders>
            <w:shd w:val="clear" w:color="000000" w:fill="FFFFFF"/>
            <w:noWrap/>
            <w:vAlign w:val="center"/>
            <w:hideMark/>
          </w:tcPr>
          <w:p w14:paraId="7B820B7F" w14:textId="786400F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1438 (1265, 1636)</w:t>
            </w:r>
          </w:p>
        </w:tc>
        <w:tc>
          <w:tcPr>
            <w:tcW w:w="1720" w:type="dxa"/>
            <w:tcBorders>
              <w:top w:val="nil"/>
              <w:left w:val="nil"/>
              <w:bottom w:val="nil"/>
              <w:right w:val="nil"/>
            </w:tcBorders>
            <w:shd w:val="clear" w:color="000000" w:fill="FFFFFF"/>
            <w:noWrap/>
            <w:vAlign w:val="center"/>
            <w:hideMark/>
          </w:tcPr>
          <w:p w14:paraId="470011E7" w14:textId="5848683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1090 (944, 1235)</w:t>
            </w:r>
          </w:p>
        </w:tc>
        <w:tc>
          <w:tcPr>
            <w:tcW w:w="2060" w:type="dxa"/>
            <w:tcBorders>
              <w:top w:val="nil"/>
              <w:left w:val="nil"/>
              <w:bottom w:val="nil"/>
              <w:right w:val="nil"/>
            </w:tcBorders>
            <w:shd w:val="clear" w:color="000000" w:fill="FFFFFF"/>
            <w:noWrap/>
            <w:vAlign w:val="center"/>
            <w:hideMark/>
          </w:tcPr>
          <w:p w14:paraId="68BBB40A" w14:textId="52F4C59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872 (762, 985)</w:t>
            </w:r>
          </w:p>
        </w:tc>
        <w:tc>
          <w:tcPr>
            <w:tcW w:w="1829" w:type="dxa"/>
            <w:tcBorders>
              <w:top w:val="nil"/>
              <w:left w:val="nil"/>
              <w:bottom w:val="nil"/>
              <w:right w:val="nil"/>
            </w:tcBorders>
            <w:shd w:val="clear" w:color="000000" w:fill="FFFFFF"/>
            <w:noWrap/>
            <w:vAlign w:val="center"/>
            <w:hideMark/>
          </w:tcPr>
          <w:p w14:paraId="03F6DDC5" w14:textId="31D19E3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17.94 (16.89, 19.03)</w:t>
            </w:r>
          </w:p>
        </w:tc>
      </w:tr>
      <w:tr w:rsidR="003332B5" w:rsidRPr="00995E68" w14:paraId="51D68164" w14:textId="77777777" w:rsidTr="00487796">
        <w:trPr>
          <w:trHeight w:val="300"/>
        </w:trPr>
        <w:tc>
          <w:tcPr>
            <w:tcW w:w="4229" w:type="dxa"/>
            <w:tcBorders>
              <w:top w:val="nil"/>
              <w:left w:val="nil"/>
              <w:bottom w:val="nil"/>
              <w:right w:val="nil"/>
            </w:tcBorders>
            <w:shd w:val="clear" w:color="000000" w:fill="FFFFFF"/>
            <w:noWrap/>
            <w:vAlign w:val="center"/>
            <w:hideMark/>
          </w:tcPr>
          <w:p w14:paraId="7F44ECC0"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4 months (119 days)</w:t>
            </w:r>
          </w:p>
        </w:tc>
        <w:tc>
          <w:tcPr>
            <w:tcW w:w="1600" w:type="dxa"/>
            <w:tcBorders>
              <w:top w:val="nil"/>
              <w:left w:val="nil"/>
              <w:bottom w:val="nil"/>
              <w:right w:val="nil"/>
            </w:tcBorders>
            <w:shd w:val="clear" w:color="000000" w:fill="FFFFFF"/>
            <w:noWrap/>
            <w:vAlign w:val="center"/>
            <w:hideMark/>
          </w:tcPr>
          <w:p w14:paraId="123B7E5C" w14:textId="3E6D30F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1467 (1293, 1650)</w:t>
            </w:r>
          </w:p>
        </w:tc>
        <w:tc>
          <w:tcPr>
            <w:tcW w:w="1720" w:type="dxa"/>
            <w:tcBorders>
              <w:top w:val="nil"/>
              <w:left w:val="nil"/>
              <w:bottom w:val="nil"/>
              <w:right w:val="nil"/>
            </w:tcBorders>
            <w:shd w:val="clear" w:color="000000" w:fill="FFFFFF"/>
            <w:noWrap/>
            <w:vAlign w:val="center"/>
            <w:hideMark/>
          </w:tcPr>
          <w:p w14:paraId="0F6B4599" w14:textId="4785727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1202 (1050, 1352)</w:t>
            </w:r>
          </w:p>
        </w:tc>
        <w:tc>
          <w:tcPr>
            <w:tcW w:w="2060" w:type="dxa"/>
            <w:tcBorders>
              <w:top w:val="nil"/>
              <w:left w:val="nil"/>
              <w:bottom w:val="nil"/>
              <w:right w:val="nil"/>
            </w:tcBorders>
            <w:shd w:val="clear" w:color="000000" w:fill="FFFFFF"/>
            <w:noWrap/>
            <w:vAlign w:val="center"/>
            <w:hideMark/>
          </w:tcPr>
          <w:p w14:paraId="2159BE93" w14:textId="436C5C2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956 (851, 1086)</w:t>
            </w:r>
          </w:p>
        </w:tc>
        <w:tc>
          <w:tcPr>
            <w:tcW w:w="1829" w:type="dxa"/>
            <w:tcBorders>
              <w:top w:val="nil"/>
              <w:left w:val="nil"/>
              <w:bottom w:val="nil"/>
              <w:right w:val="nil"/>
            </w:tcBorders>
            <w:shd w:val="clear" w:color="000000" w:fill="FFFFFF"/>
            <w:noWrap/>
            <w:vAlign w:val="center"/>
            <w:hideMark/>
          </w:tcPr>
          <w:p w14:paraId="0AF0C587" w14:textId="63E6A8A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17.65 (16.74, 18.72)</w:t>
            </w:r>
          </w:p>
        </w:tc>
      </w:tr>
      <w:tr w:rsidR="003332B5" w:rsidRPr="00995E68" w14:paraId="20C7B9FD" w14:textId="77777777" w:rsidTr="00487796">
        <w:trPr>
          <w:trHeight w:val="300"/>
        </w:trPr>
        <w:tc>
          <w:tcPr>
            <w:tcW w:w="4229" w:type="dxa"/>
            <w:tcBorders>
              <w:top w:val="nil"/>
              <w:left w:val="nil"/>
              <w:bottom w:val="nil"/>
              <w:right w:val="nil"/>
            </w:tcBorders>
            <w:shd w:val="clear" w:color="000000" w:fill="FFFFFF"/>
            <w:noWrap/>
            <w:vAlign w:val="center"/>
            <w:hideMark/>
          </w:tcPr>
          <w:p w14:paraId="2D2EBFC2"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5 months (154 days)</w:t>
            </w:r>
          </w:p>
        </w:tc>
        <w:tc>
          <w:tcPr>
            <w:tcW w:w="1600" w:type="dxa"/>
            <w:tcBorders>
              <w:top w:val="nil"/>
              <w:left w:val="nil"/>
              <w:bottom w:val="nil"/>
              <w:right w:val="nil"/>
            </w:tcBorders>
            <w:shd w:val="clear" w:color="000000" w:fill="FFFFFF"/>
            <w:noWrap/>
            <w:vAlign w:val="center"/>
            <w:hideMark/>
          </w:tcPr>
          <w:p w14:paraId="757F3490" w14:textId="30C4BE8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1464 (1301, 1644)</w:t>
            </w:r>
          </w:p>
        </w:tc>
        <w:tc>
          <w:tcPr>
            <w:tcW w:w="1720" w:type="dxa"/>
            <w:tcBorders>
              <w:top w:val="nil"/>
              <w:left w:val="nil"/>
              <w:bottom w:val="nil"/>
              <w:right w:val="nil"/>
            </w:tcBorders>
            <w:shd w:val="clear" w:color="000000" w:fill="FFFFFF"/>
            <w:noWrap/>
            <w:vAlign w:val="center"/>
            <w:hideMark/>
          </w:tcPr>
          <w:p w14:paraId="2C107645" w14:textId="107E9D9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1316 (1171, 1453)</w:t>
            </w:r>
          </w:p>
        </w:tc>
        <w:tc>
          <w:tcPr>
            <w:tcW w:w="2060" w:type="dxa"/>
            <w:tcBorders>
              <w:top w:val="nil"/>
              <w:left w:val="nil"/>
              <w:bottom w:val="nil"/>
              <w:right w:val="nil"/>
            </w:tcBorders>
            <w:shd w:val="clear" w:color="000000" w:fill="FFFFFF"/>
            <w:noWrap/>
            <w:vAlign w:val="center"/>
            <w:hideMark/>
          </w:tcPr>
          <w:p w14:paraId="0E95F595" w14:textId="478542DC"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1045 (930, 1166)</w:t>
            </w:r>
          </w:p>
        </w:tc>
        <w:tc>
          <w:tcPr>
            <w:tcW w:w="1829" w:type="dxa"/>
            <w:tcBorders>
              <w:top w:val="nil"/>
              <w:left w:val="nil"/>
              <w:bottom w:val="nil"/>
              <w:right w:val="nil"/>
            </w:tcBorders>
            <w:shd w:val="clear" w:color="000000" w:fill="FFFFFF"/>
            <w:noWrap/>
            <w:vAlign w:val="center"/>
            <w:hideMark/>
          </w:tcPr>
          <w:p w14:paraId="29FB17AB" w14:textId="0E0A96B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18.02 (17.03, 18.83)</w:t>
            </w:r>
          </w:p>
        </w:tc>
      </w:tr>
      <w:tr w:rsidR="003332B5" w:rsidRPr="00995E68" w14:paraId="52FE7CAA" w14:textId="77777777" w:rsidTr="00487796">
        <w:trPr>
          <w:trHeight w:val="300"/>
        </w:trPr>
        <w:tc>
          <w:tcPr>
            <w:tcW w:w="4229" w:type="dxa"/>
            <w:tcBorders>
              <w:top w:val="nil"/>
              <w:left w:val="nil"/>
              <w:bottom w:val="nil"/>
              <w:right w:val="nil"/>
            </w:tcBorders>
            <w:shd w:val="clear" w:color="000000" w:fill="FFFFFF"/>
            <w:noWrap/>
            <w:vAlign w:val="center"/>
            <w:hideMark/>
          </w:tcPr>
          <w:p w14:paraId="2936E199"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6 months (182 days)</w:t>
            </w:r>
          </w:p>
        </w:tc>
        <w:tc>
          <w:tcPr>
            <w:tcW w:w="1600" w:type="dxa"/>
            <w:tcBorders>
              <w:top w:val="nil"/>
              <w:left w:val="nil"/>
              <w:bottom w:val="nil"/>
              <w:right w:val="nil"/>
            </w:tcBorders>
            <w:shd w:val="clear" w:color="000000" w:fill="FFFFFF"/>
            <w:noWrap/>
            <w:vAlign w:val="center"/>
            <w:hideMark/>
          </w:tcPr>
          <w:p w14:paraId="39797762" w14:textId="229C99B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1492 (1316, 1637)</w:t>
            </w:r>
          </w:p>
        </w:tc>
        <w:tc>
          <w:tcPr>
            <w:tcW w:w="1720" w:type="dxa"/>
            <w:tcBorders>
              <w:top w:val="nil"/>
              <w:left w:val="nil"/>
              <w:bottom w:val="nil"/>
              <w:right w:val="nil"/>
            </w:tcBorders>
            <w:shd w:val="clear" w:color="000000" w:fill="FFFFFF"/>
            <w:noWrap/>
            <w:vAlign w:val="center"/>
            <w:hideMark/>
          </w:tcPr>
          <w:p w14:paraId="03E5CB6A" w14:textId="7541241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1428 (1272, 1561)</w:t>
            </w:r>
          </w:p>
        </w:tc>
        <w:tc>
          <w:tcPr>
            <w:tcW w:w="2060" w:type="dxa"/>
            <w:tcBorders>
              <w:top w:val="nil"/>
              <w:left w:val="nil"/>
              <w:bottom w:val="nil"/>
              <w:right w:val="nil"/>
            </w:tcBorders>
            <w:shd w:val="clear" w:color="000000" w:fill="FFFFFF"/>
            <w:noWrap/>
            <w:vAlign w:val="center"/>
            <w:hideMark/>
          </w:tcPr>
          <w:p w14:paraId="21B948B3" w14:textId="492D2B52"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1146 (1016, 1249)</w:t>
            </w:r>
          </w:p>
        </w:tc>
        <w:tc>
          <w:tcPr>
            <w:tcW w:w="1829" w:type="dxa"/>
            <w:tcBorders>
              <w:top w:val="nil"/>
              <w:left w:val="nil"/>
              <w:bottom w:val="nil"/>
              <w:right w:val="nil"/>
            </w:tcBorders>
            <w:shd w:val="clear" w:color="000000" w:fill="FFFFFF"/>
            <w:noWrap/>
            <w:vAlign w:val="center"/>
            <w:hideMark/>
          </w:tcPr>
          <w:p w14:paraId="5C26AE6D" w14:textId="10AB8C4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17.95 (17.11, 18.64)</w:t>
            </w:r>
          </w:p>
        </w:tc>
      </w:tr>
      <w:tr w:rsidR="003332B5" w:rsidRPr="00995E68" w14:paraId="7766A010" w14:textId="77777777" w:rsidTr="00487796">
        <w:trPr>
          <w:trHeight w:val="390"/>
        </w:trPr>
        <w:tc>
          <w:tcPr>
            <w:tcW w:w="4229" w:type="dxa"/>
            <w:tcBorders>
              <w:top w:val="nil"/>
              <w:left w:val="nil"/>
              <w:bottom w:val="nil"/>
              <w:right w:val="nil"/>
            </w:tcBorders>
            <w:shd w:val="clear" w:color="000000" w:fill="FFFFFF"/>
            <w:noWrap/>
            <w:vAlign w:val="center"/>
            <w:hideMark/>
          </w:tcPr>
          <w:p w14:paraId="08016346"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EPT Provision to Non-Index Partner (20% Coverage)</w:t>
            </w:r>
          </w:p>
        </w:tc>
        <w:tc>
          <w:tcPr>
            <w:tcW w:w="1600" w:type="dxa"/>
            <w:tcBorders>
              <w:top w:val="nil"/>
              <w:left w:val="nil"/>
              <w:bottom w:val="nil"/>
              <w:right w:val="nil"/>
            </w:tcBorders>
            <w:shd w:val="clear" w:color="000000" w:fill="FFFFFF"/>
            <w:noWrap/>
            <w:vAlign w:val="center"/>
            <w:hideMark/>
          </w:tcPr>
          <w:p w14:paraId="384A1BEB" w14:textId="3214808B"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720" w:type="dxa"/>
            <w:tcBorders>
              <w:top w:val="nil"/>
              <w:left w:val="nil"/>
              <w:bottom w:val="nil"/>
              <w:right w:val="nil"/>
            </w:tcBorders>
            <w:shd w:val="clear" w:color="000000" w:fill="FFFFFF"/>
            <w:noWrap/>
            <w:vAlign w:val="center"/>
            <w:hideMark/>
          </w:tcPr>
          <w:p w14:paraId="0E1DD5A6" w14:textId="692D1D26"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2060" w:type="dxa"/>
            <w:tcBorders>
              <w:top w:val="nil"/>
              <w:left w:val="nil"/>
              <w:bottom w:val="nil"/>
              <w:right w:val="nil"/>
            </w:tcBorders>
            <w:shd w:val="clear" w:color="000000" w:fill="FFFFFF"/>
            <w:noWrap/>
            <w:vAlign w:val="center"/>
            <w:hideMark/>
          </w:tcPr>
          <w:p w14:paraId="2999FB87" w14:textId="381F26B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829" w:type="dxa"/>
            <w:tcBorders>
              <w:top w:val="nil"/>
              <w:left w:val="nil"/>
              <w:bottom w:val="nil"/>
              <w:right w:val="nil"/>
            </w:tcBorders>
            <w:shd w:val="clear" w:color="000000" w:fill="FFFFFF"/>
            <w:noWrap/>
            <w:vAlign w:val="center"/>
            <w:hideMark/>
          </w:tcPr>
          <w:p w14:paraId="135322B1" w14:textId="37B33FD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r>
      <w:tr w:rsidR="003332B5" w:rsidRPr="00995E68" w14:paraId="6DD8EEBF" w14:textId="77777777" w:rsidTr="00487796">
        <w:trPr>
          <w:trHeight w:val="300"/>
        </w:trPr>
        <w:tc>
          <w:tcPr>
            <w:tcW w:w="4229" w:type="dxa"/>
            <w:tcBorders>
              <w:top w:val="nil"/>
              <w:left w:val="nil"/>
              <w:bottom w:val="nil"/>
              <w:right w:val="nil"/>
            </w:tcBorders>
            <w:shd w:val="clear" w:color="000000" w:fill="FFFFFF"/>
            <w:noWrap/>
            <w:vAlign w:val="center"/>
            <w:hideMark/>
          </w:tcPr>
          <w:p w14:paraId="371775C2"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+ 10%</w:t>
            </w:r>
          </w:p>
        </w:tc>
        <w:tc>
          <w:tcPr>
            <w:tcW w:w="1600" w:type="dxa"/>
            <w:tcBorders>
              <w:top w:val="nil"/>
              <w:left w:val="nil"/>
              <w:bottom w:val="nil"/>
              <w:right w:val="nil"/>
            </w:tcBorders>
            <w:shd w:val="clear" w:color="000000" w:fill="FFFFFF"/>
            <w:noWrap/>
            <w:vAlign w:val="center"/>
            <w:hideMark/>
          </w:tcPr>
          <w:p w14:paraId="1A0D5557" w14:textId="1B3342B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1433 (1263, 1642)</w:t>
            </w:r>
          </w:p>
        </w:tc>
        <w:tc>
          <w:tcPr>
            <w:tcW w:w="1720" w:type="dxa"/>
            <w:tcBorders>
              <w:top w:val="nil"/>
              <w:left w:val="nil"/>
              <w:bottom w:val="nil"/>
              <w:right w:val="nil"/>
            </w:tcBorders>
            <w:shd w:val="clear" w:color="000000" w:fill="FFFFFF"/>
            <w:noWrap/>
            <w:vAlign w:val="center"/>
            <w:hideMark/>
          </w:tcPr>
          <w:p w14:paraId="0C8FB77C" w14:textId="04066BA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1090 (951, 1238)</w:t>
            </w:r>
          </w:p>
        </w:tc>
        <w:tc>
          <w:tcPr>
            <w:tcW w:w="2060" w:type="dxa"/>
            <w:tcBorders>
              <w:top w:val="nil"/>
              <w:left w:val="nil"/>
              <w:bottom w:val="nil"/>
              <w:right w:val="nil"/>
            </w:tcBorders>
            <w:shd w:val="clear" w:color="000000" w:fill="FFFFFF"/>
            <w:noWrap/>
            <w:vAlign w:val="center"/>
            <w:hideMark/>
          </w:tcPr>
          <w:p w14:paraId="007ED177" w14:textId="5AAE8DD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872 (762, 1000)</w:t>
            </w:r>
          </w:p>
        </w:tc>
        <w:tc>
          <w:tcPr>
            <w:tcW w:w="1829" w:type="dxa"/>
            <w:tcBorders>
              <w:top w:val="nil"/>
              <w:left w:val="nil"/>
              <w:bottom w:val="nil"/>
              <w:right w:val="nil"/>
            </w:tcBorders>
            <w:shd w:val="clear" w:color="000000" w:fill="FFFFFF"/>
            <w:noWrap/>
            <w:vAlign w:val="center"/>
            <w:hideMark/>
          </w:tcPr>
          <w:p w14:paraId="1C36654D" w14:textId="1AB602D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17.64 (16.70, 18.67)</w:t>
            </w:r>
          </w:p>
        </w:tc>
      </w:tr>
      <w:tr w:rsidR="003332B5" w:rsidRPr="00995E68" w14:paraId="06734C12" w14:textId="77777777" w:rsidTr="00487796">
        <w:trPr>
          <w:trHeight w:val="300"/>
        </w:trPr>
        <w:tc>
          <w:tcPr>
            <w:tcW w:w="4229" w:type="dxa"/>
            <w:tcBorders>
              <w:top w:val="nil"/>
              <w:left w:val="nil"/>
              <w:bottom w:val="nil"/>
              <w:right w:val="nil"/>
            </w:tcBorders>
            <w:shd w:val="clear" w:color="000000" w:fill="FFFFFF"/>
            <w:noWrap/>
            <w:vAlign w:val="center"/>
            <w:hideMark/>
          </w:tcPr>
          <w:p w14:paraId="364C0E6F"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+ 20%</w:t>
            </w:r>
          </w:p>
        </w:tc>
        <w:tc>
          <w:tcPr>
            <w:tcW w:w="1600" w:type="dxa"/>
            <w:tcBorders>
              <w:top w:val="nil"/>
              <w:left w:val="nil"/>
              <w:bottom w:val="nil"/>
              <w:right w:val="nil"/>
            </w:tcBorders>
            <w:shd w:val="clear" w:color="000000" w:fill="FFFFFF"/>
            <w:noWrap/>
            <w:vAlign w:val="center"/>
            <w:hideMark/>
          </w:tcPr>
          <w:p w14:paraId="1ED28FEB" w14:textId="7C08932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1396 (1222, 1544)</w:t>
            </w:r>
          </w:p>
        </w:tc>
        <w:tc>
          <w:tcPr>
            <w:tcW w:w="1720" w:type="dxa"/>
            <w:tcBorders>
              <w:top w:val="nil"/>
              <w:left w:val="nil"/>
              <w:bottom w:val="nil"/>
              <w:right w:val="nil"/>
            </w:tcBorders>
            <w:shd w:val="clear" w:color="000000" w:fill="FFFFFF"/>
            <w:noWrap/>
            <w:vAlign w:val="center"/>
            <w:hideMark/>
          </w:tcPr>
          <w:p w14:paraId="0EE7EAD0" w14:textId="43A7A54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1146 (1004, 1265)</w:t>
            </w:r>
          </w:p>
        </w:tc>
        <w:tc>
          <w:tcPr>
            <w:tcW w:w="2060" w:type="dxa"/>
            <w:tcBorders>
              <w:top w:val="nil"/>
              <w:left w:val="nil"/>
              <w:bottom w:val="nil"/>
              <w:right w:val="nil"/>
            </w:tcBorders>
            <w:shd w:val="clear" w:color="000000" w:fill="FFFFFF"/>
            <w:noWrap/>
            <w:vAlign w:val="center"/>
            <w:hideMark/>
          </w:tcPr>
          <w:p w14:paraId="7227E921" w14:textId="58184716"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915 (802, 1026)</w:t>
            </w:r>
          </w:p>
        </w:tc>
        <w:tc>
          <w:tcPr>
            <w:tcW w:w="1829" w:type="dxa"/>
            <w:tcBorders>
              <w:top w:val="nil"/>
              <w:left w:val="nil"/>
              <w:bottom w:val="nil"/>
              <w:right w:val="nil"/>
            </w:tcBorders>
            <w:shd w:val="clear" w:color="000000" w:fill="FFFFFF"/>
            <w:noWrap/>
            <w:vAlign w:val="center"/>
            <w:hideMark/>
          </w:tcPr>
          <w:p w14:paraId="00278057" w14:textId="689DCF0C"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17.67 (16.61, 18.74)</w:t>
            </w:r>
          </w:p>
        </w:tc>
      </w:tr>
      <w:tr w:rsidR="003332B5" w:rsidRPr="00995E68" w14:paraId="0E0157B5" w14:textId="77777777" w:rsidTr="00487796">
        <w:trPr>
          <w:trHeight w:val="300"/>
        </w:trPr>
        <w:tc>
          <w:tcPr>
            <w:tcW w:w="4229" w:type="dxa"/>
            <w:tcBorders>
              <w:top w:val="nil"/>
              <w:left w:val="nil"/>
              <w:bottom w:val="nil"/>
              <w:right w:val="nil"/>
            </w:tcBorders>
            <w:shd w:val="clear" w:color="000000" w:fill="FFFFFF"/>
            <w:noWrap/>
            <w:vAlign w:val="center"/>
            <w:hideMark/>
          </w:tcPr>
          <w:p w14:paraId="103A0671"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+ 30%</w:t>
            </w:r>
          </w:p>
        </w:tc>
        <w:tc>
          <w:tcPr>
            <w:tcW w:w="1600" w:type="dxa"/>
            <w:tcBorders>
              <w:top w:val="nil"/>
              <w:left w:val="nil"/>
              <w:bottom w:val="nil"/>
              <w:right w:val="nil"/>
            </w:tcBorders>
            <w:shd w:val="clear" w:color="000000" w:fill="FFFFFF"/>
            <w:noWrap/>
            <w:vAlign w:val="center"/>
            <w:hideMark/>
          </w:tcPr>
          <w:p w14:paraId="1D15CBDF" w14:textId="332706C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1354 (1199, 1512)</w:t>
            </w:r>
          </w:p>
        </w:tc>
        <w:tc>
          <w:tcPr>
            <w:tcW w:w="1720" w:type="dxa"/>
            <w:tcBorders>
              <w:top w:val="nil"/>
              <w:left w:val="nil"/>
              <w:bottom w:val="nil"/>
              <w:right w:val="nil"/>
            </w:tcBorders>
            <w:shd w:val="clear" w:color="000000" w:fill="FFFFFF"/>
            <w:noWrap/>
            <w:vAlign w:val="center"/>
            <w:hideMark/>
          </w:tcPr>
          <w:p w14:paraId="683ADAC0" w14:textId="6698F87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1215 (1077, 1381)</w:t>
            </w:r>
          </w:p>
        </w:tc>
        <w:tc>
          <w:tcPr>
            <w:tcW w:w="2060" w:type="dxa"/>
            <w:tcBorders>
              <w:top w:val="nil"/>
              <w:left w:val="nil"/>
              <w:bottom w:val="nil"/>
              <w:right w:val="nil"/>
            </w:tcBorders>
            <w:shd w:val="clear" w:color="000000" w:fill="FFFFFF"/>
            <w:noWrap/>
            <w:vAlign w:val="center"/>
            <w:hideMark/>
          </w:tcPr>
          <w:p w14:paraId="34E6EACE" w14:textId="2DD71FC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972 (863, 1102)</w:t>
            </w:r>
          </w:p>
        </w:tc>
        <w:tc>
          <w:tcPr>
            <w:tcW w:w="1829" w:type="dxa"/>
            <w:tcBorders>
              <w:top w:val="nil"/>
              <w:left w:val="nil"/>
              <w:bottom w:val="nil"/>
              <w:right w:val="nil"/>
            </w:tcBorders>
            <w:shd w:val="clear" w:color="000000" w:fill="FFFFFF"/>
            <w:noWrap/>
            <w:vAlign w:val="center"/>
            <w:hideMark/>
          </w:tcPr>
          <w:p w14:paraId="19CAA3F9" w14:textId="4382536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17.84 (16.75, 18.93)</w:t>
            </w:r>
          </w:p>
        </w:tc>
      </w:tr>
      <w:tr w:rsidR="003332B5" w:rsidRPr="00995E68" w14:paraId="3B1F34E6" w14:textId="77777777" w:rsidTr="00487796">
        <w:trPr>
          <w:trHeight w:val="300"/>
        </w:trPr>
        <w:tc>
          <w:tcPr>
            <w:tcW w:w="4229" w:type="dxa"/>
            <w:tcBorders>
              <w:top w:val="nil"/>
              <w:left w:val="nil"/>
              <w:bottom w:val="nil"/>
              <w:right w:val="nil"/>
            </w:tcBorders>
            <w:shd w:val="clear" w:color="000000" w:fill="FFFFFF"/>
            <w:noWrap/>
            <w:vAlign w:val="center"/>
            <w:hideMark/>
          </w:tcPr>
          <w:p w14:paraId="648E82D5"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+ 40%</w:t>
            </w:r>
          </w:p>
        </w:tc>
        <w:tc>
          <w:tcPr>
            <w:tcW w:w="1600" w:type="dxa"/>
            <w:tcBorders>
              <w:top w:val="nil"/>
              <w:left w:val="nil"/>
              <w:bottom w:val="nil"/>
              <w:right w:val="nil"/>
            </w:tcBorders>
            <w:shd w:val="clear" w:color="000000" w:fill="FFFFFF"/>
            <w:noWrap/>
            <w:vAlign w:val="center"/>
            <w:hideMark/>
          </w:tcPr>
          <w:p w14:paraId="4A3E1B8A" w14:textId="2C99588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1304 (1173, 1454)</w:t>
            </w:r>
          </w:p>
        </w:tc>
        <w:tc>
          <w:tcPr>
            <w:tcW w:w="1720" w:type="dxa"/>
            <w:tcBorders>
              <w:top w:val="nil"/>
              <w:left w:val="nil"/>
              <w:bottom w:val="nil"/>
              <w:right w:val="nil"/>
            </w:tcBorders>
            <w:shd w:val="clear" w:color="000000" w:fill="FFFFFF"/>
            <w:noWrap/>
            <w:vAlign w:val="center"/>
            <w:hideMark/>
          </w:tcPr>
          <w:p w14:paraId="4BB36821" w14:textId="6A3A3718"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1256 (1121, 1411)</w:t>
            </w:r>
          </w:p>
        </w:tc>
        <w:tc>
          <w:tcPr>
            <w:tcW w:w="2060" w:type="dxa"/>
            <w:tcBorders>
              <w:top w:val="nil"/>
              <w:left w:val="nil"/>
              <w:bottom w:val="nil"/>
              <w:right w:val="nil"/>
            </w:tcBorders>
            <w:shd w:val="clear" w:color="000000" w:fill="FFFFFF"/>
            <w:noWrap/>
            <w:vAlign w:val="center"/>
            <w:hideMark/>
          </w:tcPr>
          <w:p w14:paraId="3CAEA284" w14:textId="50516AD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1008 (895, 1132)</w:t>
            </w:r>
          </w:p>
        </w:tc>
        <w:tc>
          <w:tcPr>
            <w:tcW w:w="1829" w:type="dxa"/>
            <w:tcBorders>
              <w:top w:val="nil"/>
              <w:left w:val="nil"/>
              <w:bottom w:val="nil"/>
              <w:right w:val="nil"/>
            </w:tcBorders>
            <w:shd w:val="clear" w:color="000000" w:fill="FFFFFF"/>
            <w:noWrap/>
            <w:vAlign w:val="center"/>
            <w:hideMark/>
          </w:tcPr>
          <w:p w14:paraId="129D6458" w14:textId="6C0AFF2C"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17.69 (16.77, 18.62)</w:t>
            </w:r>
          </w:p>
        </w:tc>
      </w:tr>
      <w:tr w:rsidR="003332B5" w:rsidRPr="00995E68" w14:paraId="1C676D00" w14:textId="77777777" w:rsidTr="00487796">
        <w:trPr>
          <w:trHeight w:val="300"/>
        </w:trPr>
        <w:tc>
          <w:tcPr>
            <w:tcW w:w="4229" w:type="dxa"/>
            <w:tcBorders>
              <w:top w:val="nil"/>
              <w:left w:val="nil"/>
              <w:bottom w:val="nil"/>
              <w:right w:val="nil"/>
            </w:tcBorders>
            <w:shd w:val="clear" w:color="000000" w:fill="FFFFFF"/>
            <w:noWrap/>
            <w:vAlign w:val="center"/>
            <w:hideMark/>
          </w:tcPr>
          <w:p w14:paraId="373D267C"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+ 50%</w:t>
            </w:r>
          </w:p>
        </w:tc>
        <w:tc>
          <w:tcPr>
            <w:tcW w:w="1600" w:type="dxa"/>
            <w:tcBorders>
              <w:top w:val="nil"/>
              <w:left w:val="nil"/>
              <w:bottom w:val="nil"/>
              <w:right w:val="nil"/>
            </w:tcBorders>
            <w:shd w:val="clear" w:color="000000" w:fill="FFFFFF"/>
            <w:noWrap/>
            <w:vAlign w:val="center"/>
            <w:hideMark/>
          </w:tcPr>
          <w:p w14:paraId="3FFA2F19" w14:textId="08B0EB5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1252 (1116, 1402)</w:t>
            </w:r>
          </w:p>
        </w:tc>
        <w:tc>
          <w:tcPr>
            <w:tcW w:w="1720" w:type="dxa"/>
            <w:tcBorders>
              <w:top w:val="nil"/>
              <w:left w:val="nil"/>
              <w:bottom w:val="nil"/>
              <w:right w:val="nil"/>
            </w:tcBorders>
            <w:shd w:val="clear" w:color="000000" w:fill="FFFFFF"/>
            <w:noWrap/>
            <w:vAlign w:val="center"/>
            <w:hideMark/>
          </w:tcPr>
          <w:p w14:paraId="7BEDB9EE" w14:textId="1A1EB3A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1308 (1154, 1465)</w:t>
            </w:r>
          </w:p>
        </w:tc>
        <w:tc>
          <w:tcPr>
            <w:tcW w:w="2060" w:type="dxa"/>
            <w:tcBorders>
              <w:top w:val="nil"/>
              <w:left w:val="nil"/>
              <w:bottom w:val="nil"/>
              <w:right w:val="nil"/>
            </w:tcBorders>
            <w:shd w:val="clear" w:color="000000" w:fill="FFFFFF"/>
            <w:noWrap/>
            <w:vAlign w:val="center"/>
            <w:hideMark/>
          </w:tcPr>
          <w:p w14:paraId="6A02D638" w14:textId="7383A35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1044 (929, 1172)</w:t>
            </w:r>
          </w:p>
        </w:tc>
        <w:tc>
          <w:tcPr>
            <w:tcW w:w="1829" w:type="dxa"/>
            <w:tcBorders>
              <w:top w:val="nil"/>
              <w:left w:val="nil"/>
              <w:bottom w:val="nil"/>
              <w:right w:val="nil"/>
            </w:tcBorders>
            <w:shd w:val="clear" w:color="000000" w:fill="FFFFFF"/>
            <w:noWrap/>
            <w:vAlign w:val="center"/>
            <w:hideMark/>
          </w:tcPr>
          <w:p w14:paraId="09E11ECE" w14:textId="71FF4B7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17.57 (16.67, 18.70)</w:t>
            </w:r>
          </w:p>
        </w:tc>
      </w:tr>
      <w:tr w:rsidR="003332B5" w:rsidRPr="00995E68" w14:paraId="2C0170BD" w14:textId="77777777" w:rsidTr="00487796">
        <w:trPr>
          <w:trHeight w:val="300"/>
        </w:trPr>
        <w:tc>
          <w:tcPr>
            <w:tcW w:w="4229" w:type="dxa"/>
            <w:tcBorders>
              <w:top w:val="nil"/>
              <w:left w:val="nil"/>
              <w:bottom w:val="nil"/>
              <w:right w:val="nil"/>
            </w:tcBorders>
            <w:shd w:val="clear" w:color="000000" w:fill="FFFFFF"/>
            <w:vAlign w:val="center"/>
            <w:hideMark/>
          </w:tcPr>
          <w:p w14:paraId="46CD5A43" w14:textId="77777777" w:rsidR="003332B5" w:rsidRPr="00B34636" w:rsidRDefault="003332B5" w:rsidP="003332B5">
            <w:pPr>
              <w:rPr>
                <w:rFonts w:ascii="Helvetica Neue" w:hAnsi="Helvetica Neue"/>
                <w:b/>
                <w:bCs/>
                <w:sz w:val="18"/>
                <w:szCs w:val="18"/>
                <w:highlight w:val="yellow"/>
              </w:rPr>
            </w:pPr>
            <w:r w:rsidRPr="00B34636">
              <w:rPr>
                <w:rFonts w:ascii="Helvetica Neue" w:hAnsi="Helvetica Neue"/>
                <w:b/>
                <w:bCs/>
                <w:sz w:val="18"/>
                <w:szCs w:val="18"/>
                <w:highlight w:val="yellow"/>
              </w:rPr>
              <w:t>EPT Uptake by Non-Index Partner (20% Coverage)</w:t>
            </w:r>
          </w:p>
        </w:tc>
        <w:tc>
          <w:tcPr>
            <w:tcW w:w="1600" w:type="dxa"/>
            <w:tcBorders>
              <w:top w:val="nil"/>
              <w:left w:val="nil"/>
              <w:bottom w:val="nil"/>
              <w:right w:val="nil"/>
            </w:tcBorders>
            <w:shd w:val="clear" w:color="000000" w:fill="FFFFFF"/>
            <w:noWrap/>
            <w:vAlign w:val="center"/>
            <w:hideMark/>
          </w:tcPr>
          <w:p w14:paraId="4F0C9E32" w14:textId="77DFAD9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720" w:type="dxa"/>
            <w:tcBorders>
              <w:top w:val="nil"/>
              <w:left w:val="nil"/>
              <w:bottom w:val="nil"/>
              <w:right w:val="nil"/>
            </w:tcBorders>
            <w:shd w:val="clear" w:color="000000" w:fill="FFFFFF"/>
            <w:noWrap/>
            <w:vAlign w:val="center"/>
            <w:hideMark/>
          </w:tcPr>
          <w:p w14:paraId="321DC68C" w14:textId="14D4080F"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2060" w:type="dxa"/>
            <w:tcBorders>
              <w:top w:val="nil"/>
              <w:left w:val="nil"/>
              <w:bottom w:val="nil"/>
              <w:right w:val="nil"/>
            </w:tcBorders>
            <w:shd w:val="clear" w:color="000000" w:fill="FFFFFF"/>
            <w:noWrap/>
            <w:vAlign w:val="center"/>
            <w:hideMark/>
          </w:tcPr>
          <w:p w14:paraId="3B56AF4B" w14:textId="05CC922D"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c>
          <w:tcPr>
            <w:tcW w:w="1829" w:type="dxa"/>
            <w:tcBorders>
              <w:top w:val="nil"/>
              <w:left w:val="nil"/>
              <w:bottom w:val="nil"/>
              <w:right w:val="nil"/>
            </w:tcBorders>
            <w:shd w:val="clear" w:color="000000" w:fill="FFFFFF"/>
            <w:noWrap/>
            <w:vAlign w:val="center"/>
            <w:hideMark/>
          </w:tcPr>
          <w:p w14:paraId="078FA033" w14:textId="57B2FC17"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 </w:t>
            </w:r>
          </w:p>
        </w:tc>
      </w:tr>
      <w:tr w:rsidR="003332B5" w:rsidRPr="00995E68" w14:paraId="2B20C15D" w14:textId="77777777" w:rsidTr="00487796">
        <w:trPr>
          <w:trHeight w:val="300"/>
        </w:trPr>
        <w:tc>
          <w:tcPr>
            <w:tcW w:w="4229" w:type="dxa"/>
            <w:tcBorders>
              <w:top w:val="nil"/>
              <w:left w:val="nil"/>
              <w:bottom w:val="nil"/>
              <w:right w:val="nil"/>
            </w:tcBorders>
            <w:shd w:val="clear" w:color="000000" w:fill="FFFFFF"/>
            <w:noWrap/>
            <w:vAlign w:val="center"/>
            <w:hideMark/>
          </w:tcPr>
          <w:p w14:paraId="4E4EBC94"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+ 10%</w:t>
            </w:r>
          </w:p>
        </w:tc>
        <w:tc>
          <w:tcPr>
            <w:tcW w:w="1600" w:type="dxa"/>
            <w:tcBorders>
              <w:top w:val="nil"/>
              <w:left w:val="nil"/>
              <w:bottom w:val="nil"/>
              <w:right w:val="nil"/>
            </w:tcBorders>
            <w:shd w:val="clear" w:color="000000" w:fill="FFFFFF"/>
            <w:noWrap/>
            <w:vAlign w:val="center"/>
            <w:hideMark/>
          </w:tcPr>
          <w:p w14:paraId="3DA56344" w14:textId="609953C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1445 (1263, 1628)</w:t>
            </w:r>
          </w:p>
        </w:tc>
        <w:tc>
          <w:tcPr>
            <w:tcW w:w="1720" w:type="dxa"/>
            <w:tcBorders>
              <w:top w:val="nil"/>
              <w:left w:val="nil"/>
              <w:bottom w:val="nil"/>
              <w:right w:val="nil"/>
            </w:tcBorders>
            <w:shd w:val="clear" w:color="000000" w:fill="FFFFFF"/>
            <w:noWrap/>
            <w:vAlign w:val="center"/>
            <w:hideMark/>
          </w:tcPr>
          <w:p w14:paraId="0CDDF7F4" w14:textId="59F41401"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978 (868, 1123)</w:t>
            </w:r>
          </w:p>
        </w:tc>
        <w:tc>
          <w:tcPr>
            <w:tcW w:w="2060" w:type="dxa"/>
            <w:tcBorders>
              <w:top w:val="nil"/>
              <w:left w:val="nil"/>
              <w:bottom w:val="nil"/>
              <w:right w:val="nil"/>
            </w:tcBorders>
            <w:shd w:val="clear" w:color="000000" w:fill="FFFFFF"/>
            <w:noWrap/>
            <w:vAlign w:val="center"/>
            <w:hideMark/>
          </w:tcPr>
          <w:p w14:paraId="3A7E13B9" w14:textId="1E8B35A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860 (768, 983)</w:t>
            </w:r>
          </w:p>
        </w:tc>
        <w:tc>
          <w:tcPr>
            <w:tcW w:w="1829" w:type="dxa"/>
            <w:tcBorders>
              <w:top w:val="nil"/>
              <w:left w:val="nil"/>
              <w:bottom w:val="nil"/>
              <w:right w:val="nil"/>
            </w:tcBorders>
            <w:shd w:val="clear" w:color="000000" w:fill="FFFFFF"/>
            <w:noWrap/>
            <w:vAlign w:val="center"/>
            <w:hideMark/>
          </w:tcPr>
          <w:p w14:paraId="11C77002" w14:textId="72C45ACA"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17.69 (16.76, 18.80)</w:t>
            </w:r>
          </w:p>
        </w:tc>
      </w:tr>
      <w:tr w:rsidR="003332B5" w:rsidRPr="00995E68" w14:paraId="7408CA95" w14:textId="77777777" w:rsidTr="00487796">
        <w:trPr>
          <w:trHeight w:val="315"/>
        </w:trPr>
        <w:tc>
          <w:tcPr>
            <w:tcW w:w="4229" w:type="dxa"/>
            <w:tcBorders>
              <w:top w:val="nil"/>
              <w:left w:val="nil"/>
              <w:bottom w:val="double" w:sz="6" w:space="0" w:color="auto"/>
              <w:right w:val="nil"/>
            </w:tcBorders>
            <w:shd w:val="clear" w:color="000000" w:fill="FFFFFF"/>
            <w:noWrap/>
            <w:vAlign w:val="center"/>
            <w:hideMark/>
          </w:tcPr>
          <w:p w14:paraId="22A6CEF3" w14:textId="77777777" w:rsidR="003332B5" w:rsidRPr="00B34636" w:rsidRDefault="003332B5" w:rsidP="003332B5">
            <w:pPr>
              <w:ind w:firstLineChars="100" w:firstLine="180"/>
              <w:rPr>
                <w:rFonts w:ascii="Helvetica Neue" w:hAnsi="Helvetica Neue"/>
                <w:sz w:val="18"/>
                <w:szCs w:val="18"/>
                <w:highlight w:val="yellow"/>
              </w:rPr>
            </w:pPr>
            <w:r w:rsidRPr="00B34636">
              <w:rPr>
                <w:rFonts w:ascii="Helvetica Neue" w:hAnsi="Helvetica Neue"/>
                <w:sz w:val="18"/>
                <w:szCs w:val="18"/>
                <w:highlight w:val="yellow"/>
              </w:rPr>
              <w:t>Base + 20%</w:t>
            </w:r>
          </w:p>
        </w:tc>
        <w:tc>
          <w:tcPr>
            <w:tcW w:w="1600" w:type="dxa"/>
            <w:tcBorders>
              <w:top w:val="nil"/>
              <w:left w:val="nil"/>
              <w:bottom w:val="double" w:sz="6" w:space="0" w:color="auto"/>
              <w:right w:val="nil"/>
            </w:tcBorders>
            <w:shd w:val="clear" w:color="000000" w:fill="FFFFFF"/>
            <w:noWrap/>
            <w:vAlign w:val="center"/>
            <w:hideMark/>
          </w:tcPr>
          <w:p w14:paraId="745E02A9" w14:textId="1C0FA5C3"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1382 (1232, 1536)</w:t>
            </w:r>
          </w:p>
        </w:tc>
        <w:tc>
          <w:tcPr>
            <w:tcW w:w="1720" w:type="dxa"/>
            <w:tcBorders>
              <w:top w:val="nil"/>
              <w:left w:val="nil"/>
              <w:bottom w:val="double" w:sz="6" w:space="0" w:color="auto"/>
              <w:right w:val="nil"/>
            </w:tcBorders>
            <w:shd w:val="clear" w:color="000000" w:fill="FFFFFF"/>
            <w:noWrap/>
            <w:vAlign w:val="center"/>
            <w:hideMark/>
          </w:tcPr>
          <w:p w14:paraId="55990B0C" w14:textId="65779B70"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951 (839, 1054)</w:t>
            </w:r>
          </w:p>
        </w:tc>
        <w:tc>
          <w:tcPr>
            <w:tcW w:w="2060" w:type="dxa"/>
            <w:tcBorders>
              <w:top w:val="nil"/>
              <w:left w:val="nil"/>
              <w:bottom w:val="double" w:sz="6" w:space="0" w:color="auto"/>
              <w:right w:val="nil"/>
            </w:tcBorders>
            <w:shd w:val="clear" w:color="000000" w:fill="FFFFFF"/>
            <w:noWrap/>
            <w:vAlign w:val="center"/>
            <w:hideMark/>
          </w:tcPr>
          <w:p w14:paraId="6B49BCB9" w14:textId="796DCC85"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912 (808, 1015)</w:t>
            </w:r>
          </w:p>
        </w:tc>
        <w:tc>
          <w:tcPr>
            <w:tcW w:w="1829" w:type="dxa"/>
            <w:tcBorders>
              <w:top w:val="nil"/>
              <w:left w:val="nil"/>
              <w:bottom w:val="double" w:sz="6" w:space="0" w:color="auto"/>
              <w:right w:val="nil"/>
            </w:tcBorders>
            <w:shd w:val="clear" w:color="000000" w:fill="FFFFFF"/>
            <w:noWrap/>
            <w:vAlign w:val="center"/>
            <w:hideMark/>
          </w:tcPr>
          <w:p w14:paraId="06D9FE98" w14:textId="746A5FFE" w:rsidR="003332B5" w:rsidRPr="00B34636" w:rsidRDefault="003332B5" w:rsidP="003332B5">
            <w:pPr>
              <w:rPr>
                <w:rFonts w:ascii="Helvetica Neue" w:hAnsi="Helvetica Neue"/>
                <w:sz w:val="18"/>
                <w:szCs w:val="18"/>
                <w:highlight w:val="yellow"/>
              </w:rPr>
            </w:pPr>
            <w:r w:rsidRPr="00B34636">
              <w:rPr>
                <w:rFonts w:ascii="Helvetica Neue" w:hAnsi="Helvetica Neue" w:cs="Arial"/>
                <w:sz w:val="18"/>
                <w:szCs w:val="18"/>
                <w:highlight w:val="yellow"/>
              </w:rPr>
              <w:t>17.69 (16.54, 18.88)</w:t>
            </w:r>
          </w:p>
        </w:tc>
      </w:tr>
      <w:tr w:rsidR="00284B57" w:rsidRPr="00995E68" w14:paraId="0213DC5A" w14:textId="77777777" w:rsidTr="00487796">
        <w:trPr>
          <w:trHeight w:val="885"/>
        </w:trPr>
        <w:tc>
          <w:tcPr>
            <w:tcW w:w="11438" w:type="dxa"/>
            <w:gridSpan w:val="5"/>
            <w:tcBorders>
              <w:top w:val="nil"/>
              <w:left w:val="nil"/>
              <w:bottom w:val="nil"/>
              <w:right w:val="nil"/>
            </w:tcBorders>
            <w:shd w:val="clear" w:color="000000" w:fill="FFFFFF"/>
            <w:vAlign w:val="center"/>
            <w:hideMark/>
          </w:tcPr>
          <w:p w14:paraId="1050AD45" w14:textId="77777777" w:rsidR="00284B57" w:rsidRPr="00B34636" w:rsidRDefault="00284B57" w:rsidP="0039283D">
            <w:pPr>
              <w:rPr>
                <w:rFonts w:ascii="Helvetica Neue" w:hAnsi="Helvetica Neue"/>
                <w:sz w:val="18"/>
                <w:szCs w:val="18"/>
                <w:highlight w:val="yellow"/>
              </w:rPr>
            </w:pPr>
            <w:r w:rsidRPr="00B34636">
              <w:rPr>
                <w:rFonts w:ascii="Helvetica Neue" w:hAnsi="Helvetica Neue"/>
                <w:sz w:val="18"/>
                <w:szCs w:val="18"/>
                <w:highlight w:val="yellow"/>
              </w:rPr>
              <w:t>IQR: interquartile range (25% and 75% percentiles) of the simulation outcomes; Incidence expressed per 100 person-years at risk at final year of simulation; All outcomes are compared to the reference model.</w:t>
            </w:r>
          </w:p>
        </w:tc>
      </w:tr>
    </w:tbl>
    <w:p w14:paraId="4E2E3136" w14:textId="37E89704" w:rsidR="00284B57" w:rsidRDefault="00284B57" w:rsidP="00097902"/>
    <w:p w14:paraId="70F646DF" w14:textId="45D37C2B" w:rsidR="00284B57" w:rsidRDefault="00284B57" w:rsidP="00097902"/>
    <w:p w14:paraId="3F5F166D" w14:textId="45462DE9" w:rsidR="00284B57" w:rsidRDefault="00284B57" w:rsidP="00097902"/>
    <w:p w14:paraId="7E416EC9" w14:textId="77777777" w:rsidR="00284B57" w:rsidRPr="00097902" w:rsidRDefault="00284B57" w:rsidP="00097902"/>
    <w:tbl>
      <w:tblPr>
        <w:tblW w:w="11914" w:type="dxa"/>
        <w:tblInd w:w="-1268" w:type="dxa"/>
        <w:tblLook w:val="04A0" w:firstRow="1" w:lastRow="0" w:firstColumn="1" w:lastColumn="0" w:noHBand="0" w:noVBand="1"/>
      </w:tblPr>
      <w:tblGrid>
        <w:gridCol w:w="4229"/>
        <w:gridCol w:w="1600"/>
        <w:gridCol w:w="1720"/>
        <w:gridCol w:w="2060"/>
        <w:gridCol w:w="2305"/>
      </w:tblGrid>
      <w:tr w:rsidR="00995E68" w:rsidRPr="00995E68" w14:paraId="11A787BB" w14:textId="77777777" w:rsidTr="00995E68">
        <w:trPr>
          <w:trHeight w:val="1215"/>
        </w:trPr>
        <w:tc>
          <w:tcPr>
            <w:tcW w:w="11914" w:type="dxa"/>
            <w:gridSpan w:val="5"/>
            <w:tcBorders>
              <w:top w:val="nil"/>
              <w:left w:val="nil"/>
              <w:bottom w:val="nil"/>
              <w:right w:val="nil"/>
            </w:tcBorders>
            <w:shd w:val="clear" w:color="000000" w:fill="FFFFFF"/>
            <w:vAlign w:val="center"/>
            <w:hideMark/>
          </w:tcPr>
          <w:p w14:paraId="77A8613E" w14:textId="07600782" w:rsidR="00995E68" w:rsidRPr="00995E68" w:rsidRDefault="00995E68" w:rsidP="00FE6CB3">
            <w:pPr>
              <w:rPr>
                <w:rFonts w:ascii="Helvetica Neue" w:hAnsi="Helvetica Neue"/>
                <w:sz w:val="18"/>
                <w:szCs w:val="18"/>
              </w:rPr>
            </w:pPr>
            <w:r w:rsidRPr="00C64231">
              <w:rPr>
                <w:rFonts w:ascii="Helvetica Neue" w:hAnsi="Helvetica Neue"/>
                <w:b/>
                <w:bCs/>
                <w:sz w:val="18"/>
                <w:szCs w:val="18"/>
                <w:highlight w:val="yellow"/>
              </w:rPr>
              <w:lastRenderedPageBreak/>
              <w:t xml:space="preserve">Supplementary Table </w:t>
            </w:r>
            <w:r w:rsidR="00FE6CB3" w:rsidRPr="00C64231">
              <w:rPr>
                <w:rFonts w:ascii="Helvetica Neue" w:hAnsi="Helvetica Neue"/>
                <w:b/>
                <w:bCs/>
                <w:sz w:val="18"/>
                <w:szCs w:val="18"/>
                <w:highlight w:val="yellow"/>
              </w:rPr>
              <w:t>6</w:t>
            </w:r>
            <w:r w:rsidRPr="00995E68">
              <w:rPr>
                <w:rFonts w:ascii="Helvetica Neue" w:hAnsi="Helvetica Neue"/>
                <w:b/>
                <w:bCs/>
                <w:sz w:val="18"/>
                <w:szCs w:val="18"/>
              </w:rPr>
              <w:t xml:space="preserve">. </w:t>
            </w:r>
            <w:r w:rsidRPr="00995E68">
              <w:rPr>
                <w:rFonts w:ascii="Helvetica Neue" w:hAnsi="Helvetica Neue"/>
                <w:sz w:val="18"/>
                <w:szCs w:val="18"/>
              </w:rPr>
              <w:t>Gonorrhea (NG) Incidence, Percent of Infections Averted (PIA), Expedited Partner Therapy (EPT) Doses Taken by Partners, and Per-Capita Number of Times Infected Across EPT Pr</w:t>
            </w:r>
            <w:r w:rsidR="00284B57">
              <w:rPr>
                <w:rFonts w:ascii="Helvetica Neue" w:hAnsi="Helvetica Neue"/>
                <w:sz w:val="18"/>
                <w:szCs w:val="18"/>
              </w:rPr>
              <w:t>o</w:t>
            </w:r>
            <w:r w:rsidRPr="00995E68">
              <w:rPr>
                <w:rFonts w:ascii="Helvetica Neue" w:hAnsi="Helvetica Neue"/>
                <w:sz w:val="18"/>
                <w:szCs w:val="18"/>
              </w:rPr>
              <w:t>vision (Distribution to Partner) Levels, Limited by Partnership Type, among Men Who Have Sex with Men</w:t>
            </w:r>
          </w:p>
        </w:tc>
      </w:tr>
      <w:tr w:rsidR="00995E68" w:rsidRPr="00995E68" w14:paraId="077EAC52" w14:textId="77777777" w:rsidTr="00995E68">
        <w:trPr>
          <w:trHeight w:val="720"/>
        </w:trPr>
        <w:tc>
          <w:tcPr>
            <w:tcW w:w="4229" w:type="dxa"/>
            <w:tcBorders>
              <w:top w:val="single" w:sz="4" w:space="0" w:color="auto"/>
              <w:left w:val="nil"/>
              <w:bottom w:val="single" w:sz="4" w:space="0" w:color="auto"/>
              <w:right w:val="nil"/>
            </w:tcBorders>
            <w:shd w:val="clear" w:color="000000" w:fill="FFFFFF"/>
            <w:noWrap/>
            <w:vAlign w:val="center"/>
            <w:hideMark/>
          </w:tcPr>
          <w:p w14:paraId="630EBC51"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 </w:t>
            </w:r>
          </w:p>
        </w:tc>
        <w:tc>
          <w:tcPr>
            <w:tcW w:w="1600" w:type="dxa"/>
            <w:tcBorders>
              <w:top w:val="single" w:sz="4" w:space="0" w:color="auto"/>
              <w:left w:val="nil"/>
              <w:bottom w:val="single" w:sz="4" w:space="0" w:color="auto"/>
              <w:right w:val="nil"/>
            </w:tcBorders>
            <w:shd w:val="clear" w:color="auto" w:fill="auto"/>
            <w:vAlign w:val="center"/>
            <w:hideMark/>
          </w:tcPr>
          <w:p w14:paraId="475B4FC9" w14:textId="77777777" w:rsidR="00995E68" w:rsidRPr="00995E68" w:rsidRDefault="00995E68" w:rsidP="00995E68">
            <w:pPr>
              <w:rPr>
                <w:rFonts w:ascii="Helvetica Neue" w:hAnsi="Helvetica Neue"/>
                <w:i/>
                <w:iCs/>
                <w:sz w:val="18"/>
                <w:szCs w:val="18"/>
              </w:rPr>
            </w:pPr>
            <w:r w:rsidRPr="00995E68">
              <w:rPr>
                <w:rFonts w:ascii="Helvetica Neue" w:hAnsi="Helvetica Neue"/>
                <w:b/>
                <w:bCs/>
                <w:sz w:val="18"/>
                <w:szCs w:val="18"/>
              </w:rPr>
              <w:t xml:space="preserve">Incidence </w:t>
            </w:r>
            <w:r w:rsidRPr="00995E68">
              <w:rPr>
                <w:rFonts w:ascii="Helvetica Neue" w:hAnsi="Helvetica Neue"/>
                <w:i/>
                <w:iCs/>
                <w:sz w:val="18"/>
                <w:szCs w:val="18"/>
              </w:rPr>
              <w:br/>
              <w:t>(Median, IQR)</w:t>
            </w:r>
          </w:p>
        </w:tc>
        <w:tc>
          <w:tcPr>
            <w:tcW w:w="1720" w:type="dxa"/>
            <w:tcBorders>
              <w:top w:val="single" w:sz="4" w:space="0" w:color="auto"/>
              <w:left w:val="nil"/>
              <w:bottom w:val="single" w:sz="4" w:space="0" w:color="auto"/>
              <w:right w:val="nil"/>
            </w:tcBorders>
            <w:shd w:val="clear" w:color="auto" w:fill="auto"/>
            <w:vAlign w:val="center"/>
            <w:hideMark/>
          </w:tcPr>
          <w:p w14:paraId="15109C20" w14:textId="77777777" w:rsidR="00995E68" w:rsidRPr="00995E68" w:rsidRDefault="00995E68" w:rsidP="00995E68">
            <w:pPr>
              <w:rPr>
                <w:rFonts w:ascii="Helvetica Neue" w:hAnsi="Helvetica Neue"/>
                <w:i/>
                <w:iCs/>
                <w:sz w:val="18"/>
                <w:szCs w:val="18"/>
              </w:rPr>
            </w:pPr>
            <w:r w:rsidRPr="00995E68">
              <w:rPr>
                <w:rFonts w:ascii="Helvetica Neue" w:hAnsi="Helvetica Neue"/>
                <w:b/>
                <w:bCs/>
                <w:sz w:val="18"/>
                <w:szCs w:val="18"/>
              </w:rPr>
              <w:t>Cumulative PIA</w:t>
            </w:r>
            <w:r w:rsidRPr="00995E68">
              <w:rPr>
                <w:rFonts w:ascii="Helvetica Neue" w:hAnsi="Helvetica Neue"/>
                <w:i/>
                <w:iCs/>
                <w:sz w:val="18"/>
                <w:szCs w:val="18"/>
              </w:rPr>
              <w:t xml:space="preserve"> (Median, IQR)</w:t>
            </w:r>
          </w:p>
        </w:tc>
        <w:tc>
          <w:tcPr>
            <w:tcW w:w="2060" w:type="dxa"/>
            <w:tcBorders>
              <w:top w:val="single" w:sz="4" w:space="0" w:color="auto"/>
              <w:left w:val="nil"/>
              <w:bottom w:val="single" w:sz="4" w:space="0" w:color="auto"/>
              <w:right w:val="nil"/>
            </w:tcBorders>
            <w:shd w:val="clear" w:color="auto" w:fill="auto"/>
            <w:vAlign w:val="center"/>
            <w:hideMark/>
          </w:tcPr>
          <w:p w14:paraId="394243C1" w14:textId="77777777" w:rsidR="00995E68" w:rsidRPr="00995E68" w:rsidRDefault="00995E68" w:rsidP="00995E68">
            <w:pPr>
              <w:rPr>
                <w:rFonts w:ascii="Helvetica Neue" w:hAnsi="Helvetica Neue"/>
                <w:i/>
                <w:iCs/>
                <w:sz w:val="18"/>
                <w:szCs w:val="18"/>
              </w:rPr>
            </w:pPr>
            <w:r w:rsidRPr="00995E68">
              <w:rPr>
                <w:rFonts w:ascii="Helvetica Neue" w:hAnsi="Helvetica Neue"/>
                <w:b/>
                <w:bCs/>
                <w:sz w:val="18"/>
                <w:szCs w:val="18"/>
              </w:rPr>
              <w:t>Total EPT Doses</w:t>
            </w:r>
            <w:r w:rsidRPr="00995E68">
              <w:rPr>
                <w:rFonts w:ascii="Helvetica Neue" w:hAnsi="Helvetica Neue"/>
                <w:i/>
                <w:iCs/>
                <w:sz w:val="18"/>
                <w:szCs w:val="18"/>
              </w:rPr>
              <w:t xml:space="preserve"> </w:t>
            </w:r>
            <w:r w:rsidRPr="00995E68">
              <w:rPr>
                <w:rFonts w:ascii="Helvetica Neue" w:hAnsi="Helvetica Neue"/>
                <w:b/>
                <w:bCs/>
                <w:sz w:val="18"/>
                <w:szCs w:val="18"/>
              </w:rPr>
              <w:t>Taken</w:t>
            </w:r>
            <w:r w:rsidRPr="00995E68">
              <w:rPr>
                <w:rFonts w:ascii="Helvetica Neue" w:hAnsi="Helvetica Neue"/>
                <w:i/>
                <w:iCs/>
                <w:sz w:val="18"/>
                <w:szCs w:val="18"/>
              </w:rPr>
              <w:t xml:space="preserve"> (Median, IQR)</w:t>
            </w:r>
          </w:p>
        </w:tc>
        <w:tc>
          <w:tcPr>
            <w:tcW w:w="2305" w:type="dxa"/>
            <w:tcBorders>
              <w:top w:val="single" w:sz="4" w:space="0" w:color="auto"/>
              <w:left w:val="nil"/>
              <w:bottom w:val="single" w:sz="4" w:space="0" w:color="auto"/>
              <w:right w:val="nil"/>
            </w:tcBorders>
            <w:shd w:val="clear" w:color="auto" w:fill="auto"/>
            <w:vAlign w:val="center"/>
            <w:hideMark/>
          </w:tcPr>
          <w:p w14:paraId="3E2E0B92" w14:textId="77777777" w:rsidR="00995E68" w:rsidRPr="00995E68" w:rsidRDefault="00995E68" w:rsidP="00995E68">
            <w:pPr>
              <w:rPr>
                <w:rFonts w:ascii="Helvetica Neue" w:hAnsi="Helvetica Neue"/>
                <w:i/>
                <w:iCs/>
                <w:sz w:val="18"/>
                <w:szCs w:val="18"/>
              </w:rPr>
            </w:pPr>
            <w:r w:rsidRPr="00995E68">
              <w:rPr>
                <w:rFonts w:ascii="Helvetica Neue" w:hAnsi="Helvetica Neue"/>
                <w:b/>
                <w:bCs/>
                <w:sz w:val="18"/>
                <w:szCs w:val="18"/>
              </w:rPr>
              <w:t xml:space="preserve">Per-Capita Times Infected </w:t>
            </w:r>
            <w:r w:rsidRPr="00995E68">
              <w:rPr>
                <w:rFonts w:ascii="Helvetica Neue" w:hAnsi="Helvetica Neue"/>
                <w:i/>
                <w:iCs/>
                <w:sz w:val="18"/>
                <w:szCs w:val="18"/>
              </w:rPr>
              <w:br/>
              <w:t>(Median, IQR)</w:t>
            </w:r>
          </w:p>
        </w:tc>
      </w:tr>
      <w:tr w:rsidR="00995E68" w:rsidRPr="00995E68" w14:paraId="36732343" w14:textId="77777777" w:rsidTr="00995E68">
        <w:trPr>
          <w:trHeight w:val="300"/>
        </w:trPr>
        <w:tc>
          <w:tcPr>
            <w:tcW w:w="4229" w:type="dxa"/>
            <w:tcBorders>
              <w:top w:val="nil"/>
              <w:left w:val="nil"/>
              <w:bottom w:val="nil"/>
              <w:right w:val="nil"/>
            </w:tcBorders>
            <w:shd w:val="clear" w:color="000000" w:fill="FFFFFF"/>
            <w:vAlign w:val="center"/>
            <w:hideMark/>
          </w:tcPr>
          <w:p w14:paraId="21A575D2"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Reference Model</w:t>
            </w:r>
          </w:p>
        </w:tc>
        <w:tc>
          <w:tcPr>
            <w:tcW w:w="1600" w:type="dxa"/>
            <w:tcBorders>
              <w:top w:val="nil"/>
              <w:left w:val="nil"/>
              <w:bottom w:val="nil"/>
              <w:right w:val="nil"/>
            </w:tcBorders>
            <w:shd w:val="clear" w:color="000000" w:fill="FFFFFF"/>
            <w:noWrap/>
            <w:vAlign w:val="center"/>
            <w:hideMark/>
          </w:tcPr>
          <w:p w14:paraId="63A5BD5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4.64 (2.66, 6.95)</w:t>
            </w:r>
          </w:p>
        </w:tc>
        <w:tc>
          <w:tcPr>
            <w:tcW w:w="1720" w:type="dxa"/>
            <w:tcBorders>
              <w:top w:val="nil"/>
              <w:left w:val="nil"/>
              <w:bottom w:val="nil"/>
              <w:right w:val="nil"/>
            </w:tcBorders>
            <w:shd w:val="clear" w:color="000000" w:fill="FFFFFF"/>
            <w:noWrap/>
            <w:vAlign w:val="center"/>
            <w:hideMark/>
          </w:tcPr>
          <w:p w14:paraId="685CF04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w:t>
            </w:r>
          </w:p>
        </w:tc>
        <w:tc>
          <w:tcPr>
            <w:tcW w:w="2060" w:type="dxa"/>
            <w:tcBorders>
              <w:top w:val="nil"/>
              <w:left w:val="nil"/>
              <w:bottom w:val="nil"/>
              <w:right w:val="nil"/>
            </w:tcBorders>
            <w:shd w:val="clear" w:color="000000" w:fill="FFFFFF"/>
            <w:noWrap/>
            <w:vAlign w:val="center"/>
            <w:hideMark/>
          </w:tcPr>
          <w:p w14:paraId="507B509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w:t>
            </w:r>
          </w:p>
        </w:tc>
        <w:tc>
          <w:tcPr>
            <w:tcW w:w="2305" w:type="dxa"/>
            <w:tcBorders>
              <w:top w:val="nil"/>
              <w:left w:val="nil"/>
              <w:bottom w:val="nil"/>
              <w:right w:val="nil"/>
            </w:tcBorders>
            <w:shd w:val="clear" w:color="000000" w:fill="FFFFFF"/>
            <w:noWrap/>
            <w:vAlign w:val="center"/>
            <w:hideMark/>
          </w:tcPr>
          <w:p w14:paraId="25CFF83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0.47 (0.34, 0.59)</w:t>
            </w:r>
          </w:p>
        </w:tc>
      </w:tr>
      <w:tr w:rsidR="00995E68" w:rsidRPr="00995E68" w14:paraId="0CE1A9FE" w14:textId="77777777" w:rsidTr="00995E68">
        <w:trPr>
          <w:trHeight w:val="300"/>
        </w:trPr>
        <w:tc>
          <w:tcPr>
            <w:tcW w:w="4229" w:type="dxa"/>
            <w:tcBorders>
              <w:top w:val="nil"/>
              <w:left w:val="nil"/>
              <w:bottom w:val="nil"/>
              <w:right w:val="nil"/>
            </w:tcBorders>
            <w:shd w:val="clear" w:color="000000" w:fill="FFFFFF"/>
            <w:vAlign w:val="center"/>
            <w:hideMark/>
          </w:tcPr>
          <w:p w14:paraId="7A1C98C7"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EPT Coverage (Provision to Index)</w:t>
            </w:r>
          </w:p>
        </w:tc>
        <w:tc>
          <w:tcPr>
            <w:tcW w:w="1600" w:type="dxa"/>
            <w:tcBorders>
              <w:top w:val="nil"/>
              <w:left w:val="nil"/>
              <w:bottom w:val="nil"/>
              <w:right w:val="nil"/>
            </w:tcBorders>
            <w:shd w:val="clear" w:color="000000" w:fill="FFFFFF"/>
            <w:noWrap/>
            <w:vAlign w:val="center"/>
            <w:hideMark/>
          </w:tcPr>
          <w:p w14:paraId="361E0986"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39601DA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060" w:type="dxa"/>
            <w:tcBorders>
              <w:top w:val="nil"/>
              <w:left w:val="nil"/>
              <w:bottom w:val="nil"/>
              <w:right w:val="nil"/>
            </w:tcBorders>
            <w:shd w:val="clear" w:color="000000" w:fill="FFFFFF"/>
            <w:noWrap/>
            <w:vAlign w:val="center"/>
            <w:hideMark/>
          </w:tcPr>
          <w:p w14:paraId="375DECC1"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305" w:type="dxa"/>
            <w:tcBorders>
              <w:top w:val="nil"/>
              <w:left w:val="nil"/>
              <w:bottom w:val="nil"/>
              <w:right w:val="nil"/>
            </w:tcBorders>
            <w:shd w:val="clear" w:color="000000" w:fill="FFFFFF"/>
            <w:noWrap/>
            <w:vAlign w:val="center"/>
            <w:hideMark/>
          </w:tcPr>
          <w:p w14:paraId="2950693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r>
      <w:tr w:rsidR="00995E68" w:rsidRPr="00995E68" w14:paraId="617039CC" w14:textId="77777777" w:rsidTr="00995E68">
        <w:trPr>
          <w:trHeight w:val="300"/>
        </w:trPr>
        <w:tc>
          <w:tcPr>
            <w:tcW w:w="4229" w:type="dxa"/>
            <w:tcBorders>
              <w:top w:val="nil"/>
              <w:left w:val="nil"/>
              <w:bottom w:val="nil"/>
              <w:right w:val="nil"/>
            </w:tcBorders>
            <w:shd w:val="clear" w:color="000000" w:fill="FFFFFF"/>
            <w:noWrap/>
            <w:vAlign w:val="center"/>
            <w:hideMark/>
          </w:tcPr>
          <w:p w14:paraId="48433988"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10%</w:t>
            </w:r>
          </w:p>
        </w:tc>
        <w:tc>
          <w:tcPr>
            <w:tcW w:w="1600" w:type="dxa"/>
            <w:tcBorders>
              <w:top w:val="nil"/>
              <w:left w:val="nil"/>
              <w:bottom w:val="nil"/>
              <w:right w:val="nil"/>
            </w:tcBorders>
            <w:shd w:val="clear" w:color="000000" w:fill="FFFFFF"/>
            <w:noWrap/>
            <w:vAlign w:val="center"/>
            <w:hideMark/>
          </w:tcPr>
          <w:p w14:paraId="5603027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2.45 (1.08, 3.87)</w:t>
            </w:r>
          </w:p>
        </w:tc>
        <w:tc>
          <w:tcPr>
            <w:tcW w:w="1720" w:type="dxa"/>
            <w:tcBorders>
              <w:top w:val="nil"/>
              <w:left w:val="nil"/>
              <w:bottom w:val="nil"/>
              <w:right w:val="nil"/>
            </w:tcBorders>
            <w:shd w:val="clear" w:color="000000" w:fill="FFFFFF"/>
            <w:noWrap/>
            <w:vAlign w:val="center"/>
            <w:hideMark/>
          </w:tcPr>
          <w:p w14:paraId="4C81F32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0.25 (-0.09, 0.49)</w:t>
            </w:r>
          </w:p>
        </w:tc>
        <w:tc>
          <w:tcPr>
            <w:tcW w:w="2060" w:type="dxa"/>
            <w:tcBorders>
              <w:top w:val="nil"/>
              <w:left w:val="nil"/>
              <w:bottom w:val="nil"/>
              <w:right w:val="nil"/>
            </w:tcBorders>
            <w:shd w:val="clear" w:color="000000" w:fill="FFFFFF"/>
            <w:noWrap/>
            <w:vAlign w:val="center"/>
            <w:hideMark/>
          </w:tcPr>
          <w:p w14:paraId="305934C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201 (156, 270)</w:t>
            </w:r>
          </w:p>
        </w:tc>
        <w:tc>
          <w:tcPr>
            <w:tcW w:w="2305" w:type="dxa"/>
            <w:tcBorders>
              <w:top w:val="nil"/>
              <w:left w:val="nil"/>
              <w:bottom w:val="nil"/>
              <w:right w:val="nil"/>
            </w:tcBorders>
            <w:shd w:val="clear" w:color="000000" w:fill="FFFFFF"/>
            <w:noWrap/>
            <w:vAlign w:val="center"/>
            <w:hideMark/>
          </w:tcPr>
          <w:p w14:paraId="694A461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0.34 (0.26, 0.46)</w:t>
            </w:r>
          </w:p>
        </w:tc>
      </w:tr>
      <w:tr w:rsidR="00995E68" w:rsidRPr="00995E68" w14:paraId="52091E2B" w14:textId="77777777" w:rsidTr="00995E68">
        <w:trPr>
          <w:trHeight w:val="300"/>
        </w:trPr>
        <w:tc>
          <w:tcPr>
            <w:tcW w:w="4229" w:type="dxa"/>
            <w:tcBorders>
              <w:top w:val="nil"/>
              <w:left w:val="nil"/>
              <w:bottom w:val="nil"/>
              <w:right w:val="nil"/>
            </w:tcBorders>
            <w:shd w:val="clear" w:color="000000" w:fill="FFFFFF"/>
            <w:noWrap/>
            <w:vAlign w:val="center"/>
            <w:hideMark/>
          </w:tcPr>
          <w:p w14:paraId="29662598"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20%</w:t>
            </w:r>
          </w:p>
        </w:tc>
        <w:tc>
          <w:tcPr>
            <w:tcW w:w="1600" w:type="dxa"/>
            <w:tcBorders>
              <w:top w:val="nil"/>
              <w:left w:val="nil"/>
              <w:bottom w:val="nil"/>
              <w:right w:val="nil"/>
            </w:tcBorders>
            <w:shd w:val="clear" w:color="000000" w:fill="FFFFFF"/>
            <w:noWrap/>
            <w:vAlign w:val="center"/>
            <w:hideMark/>
          </w:tcPr>
          <w:p w14:paraId="4EBD13E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1.56 (0.64, 3.01)</w:t>
            </w:r>
          </w:p>
        </w:tc>
        <w:tc>
          <w:tcPr>
            <w:tcW w:w="1720" w:type="dxa"/>
            <w:tcBorders>
              <w:top w:val="nil"/>
              <w:left w:val="nil"/>
              <w:bottom w:val="nil"/>
              <w:right w:val="nil"/>
            </w:tcBorders>
            <w:shd w:val="clear" w:color="000000" w:fill="FFFFFF"/>
            <w:noWrap/>
            <w:vAlign w:val="center"/>
            <w:hideMark/>
          </w:tcPr>
          <w:p w14:paraId="46B277E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0.41 (0.03, 0.59)</w:t>
            </w:r>
          </w:p>
        </w:tc>
        <w:tc>
          <w:tcPr>
            <w:tcW w:w="2060" w:type="dxa"/>
            <w:tcBorders>
              <w:top w:val="nil"/>
              <w:left w:val="nil"/>
              <w:bottom w:val="nil"/>
              <w:right w:val="nil"/>
            </w:tcBorders>
            <w:shd w:val="clear" w:color="000000" w:fill="FFFFFF"/>
            <w:noWrap/>
            <w:vAlign w:val="center"/>
            <w:hideMark/>
          </w:tcPr>
          <w:p w14:paraId="47AE24E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324 (236, 411)</w:t>
            </w:r>
          </w:p>
        </w:tc>
        <w:tc>
          <w:tcPr>
            <w:tcW w:w="2305" w:type="dxa"/>
            <w:tcBorders>
              <w:top w:val="nil"/>
              <w:left w:val="nil"/>
              <w:bottom w:val="nil"/>
              <w:right w:val="nil"/>
            </w:tcBorders>
            <w:shd w:val="clear" w:color="000000" w:fill="FFFFFF"/>
            <w:noWrap/>
            <w:vAlign w:val="center"/>
            <w:hideMark/>
          </w:tcPr>
          <w:p w14:paraId="7ECB22F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0.29 (0.21, 0.38)</w:t>
            </w:r>
          </w:p>
        </w:tc>
      </w:tr>
      <w:tr w:rsidR="00995E68" w:rsidRPr="00995E68" w14:paraId="663FA137" w14:textId="77777777" w:rsidTr="00995E68">
        <w:trPr>
          <w:trHeight w:val="300"/>
        </w:trPr>
        <w:tc>
          <w:tcPr>
            <w:tcW w:w="4229" w:type="dxa"/>
            <w:tcBorders>
              <w:top w:val="nil"/>
              <w:left w:val="nil"/>
              <w:bottom w:val="nil"/>
              <w:right w:val="nil"/>
            </w:tcBorders>
            <w:shd w:val="clear" w:color="000000" w:fill="FFFFFF"/>
            <w:noWrap/>
            <w:vAlign w:val="center"/>
            <w:hideMark/>
          </w:tcPr>
          <w:p w14:paraId="42D7398D"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30%</w:t>
            </w:r>
          </w:p>
        </w:tc>
        <w:tc>
          <w:tcPr>
            <w:tcW w:w="1600" w:type="dxa"/>
            <w:tcBorders>
              <w:top w:val="nil"/>
              <w:left w:val="nil"/>
              <w:bottom w:val="nil"/>
              <w:right w:val="nil"/>
            </w:tcBorders>
            <w:shd w:val="clear" w:color="000000" w:fill="FFFFFF"/>
            <w:noWrap/>
            <w:vAlign w:val="center"/>
            <w:hideMark/>
          </w:tcPr>
          <w:p w14:paraId="55C7BF9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1.08 (0.33, 2.07)</w:t>
            </w:r>
          </w:p>
        </w:tc>
        <w:tc>
          <w:tcPr>
            <w:tcW w:w="1720" w:type="dxa"/>
            <w:tcBorders>
              <w:top w:val="nil"/>
              <w:left w:val="nil"/>
              <w:bottom w:val="nil"/>
              <w:right w:val="nil"/>
            </w:tcBorders>
            <w:shd w:val="clear" w:color="000000" w:fill="FFFFFF"/>
            <w:noWrap/>
            <w:vAlign w:val="center"/>
            <w:hideMark/>
          </w:tcPr>
          <w:p w14:paraId="6B0D2CB6"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0.46 (0.22, 0.63)</w:t>
            </w:r>
          </w:p>
        </w:tc>
        <w:tc>
          <w:tcPr>
            <w:tcW w:w="2060" w:type="dxa"/>
            <w:tcBorders>
              <w:top w:val="nil"/>
              <w:left w:val="nil"/>
              <w:bottom w:val="nil"/>
              <w:right w:val="nil"/>
            </w:tcBorders>
            <w:shd w:val="clear" w:color="000000" w:fill="FFFFFF"/>
            <w:noWrap/>
            <w:vAlign w:val="center"/>
            <w:hideMark/>
          </w:tcPr>
          <w:p w14:paraId="737938C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386 (284, 507)</w:t>
            </w:r>
          </w:p>
        </w:tc>
        <w:tc>
          <w:tcPr>
            <w:tcW w:w="2305" w:type="dxa"/>
            <w:tcBorders>
              <w:top w:val="nil"/>
              <w:left w:val="nil"/>
              <w:bottom w:val="nil"/>
              <w:right w:val="nil"/>
            </w:tcBorders>
            <w:shd w:val="clear" w:color="000000" w:fill="FFFFFF"/>
            <w:noWrap/>
            <w:vAlign w:val="center"/>
            <w:hideMark/>
          </w:tcPr>
          <w:p w14:paraId="0C8505E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0.25 (0.18, 0.33)</w:t>
            </w:r>
          </w:p>
        </w:tc>
      </w:tr>
      <w:tr w:rsidR="00995E68" w:rsidRPr="00995E68" w14:paraId="3EC369D3" w14:textId="77777777" w:rsidTr="00995E68">
        <w:trPr>
          <w:trHeight w:val="300"/>
        </w:trPr>
        <w:tc>
          <w:tcPr>
            <w:tcW w:w="4229" w:type="dxa"/>
            <w:tcBorders>
              <w:top w:val="nil"/>
              <w:left w:val="nil"/>
              <w:bottom w:val="nil"/>
              <w:right w:val="nil"/>
            </w:tcBorders>
            <w:shd w:val="clear" w:color="000000" w:fill="FFFFFF"/>
            <w:noWrap/>
            <w:vAlign w:val="center"/>
            <w:hideMark/>
          </w:tcPr>
          <w:p w14:paraId="3218AD52"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40%</w:t>
            </w:r>
          </w:p>
        </w:tc>
        <w:tc>
          <w:tcPr>
            <w:tcW w:w="1600" w:type="dxa"/>
            <w:tcBorders>
              <w:top w:val="nil"/>
              <w:left w:val="nil"/>
              <w:bottom w:val="nil"/>
              <w:right w:val="nil"/>
            </w:tcBorders>
            <w:shd w:val="clear" w:color="000000" w:fill="FFFFFF"/>
            <w:noWrap/>
            <w:vAlign w:val="center"/>
            <w:hideMark/>
          </w:tcPr>
          <w:p w14:paraId="77BE03A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0.70 (0.21, 1.47)</w:t>
            </w:r>
          </w:p>
        </w:tc>
        <w:tc>
          <w:tcPr>
            <w:tcW w:w="1720" w:type="dxa"/>
            <w:tcBorders>
              <w:top w:val="nil"/>
              <w:left w:val="nil"/>
              <w:bottom w:val="nil"/>
              <w:right w:val="nil"/>
            </w:tcBorders>
            <w:shd w:val="clear" w:color="000000" w:fill="FFFFFF"/>
            <w:noWrap/>
            <w:vAlign w:val="center"/>
            <w:hideMark/>
          </w:tcPr>
          <w:p w14:paraId="4F9FB201"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0.54 (0.37, 0.67)</w:t>
            </w:r>
          </w:p>
        </w:tc>
        <w:tc>
          <w:tcPr>
            <w:tcW w:w="2060" w:type="dxa"/>
            <w:tcBorders>
              <w:top w:val="nil"/>
              <w:left w:val="nil"/>
              <w:bottom w:val="nil"/>
              <w:right w:val="nil"/>
            </w:tcBorders>
            <w:shd w:val="clear" w:color="000000" w:fill="FFFFFF"/>
            <w:noWrap/>
            <w:vAlign w:val="center"/>
            <w:hideMark/>
          </w:tcPr>
          <w:p w14:paraId="3C7CA60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430 (319, 548)</w:t>
            </w:r>
          </w:p>
        </w:tc>
        <w:tc>
          <w:tcPr>
            <w:tcW w:w="2305" w:type="dxa"/>
            <w:tcBorders>
              <w:top w:val="nil"/>
              <w:left w:val="nil"/>
              <w:bottom w:val="nil"/>
              <w:right w:val="nil"/>
            </w:tcBorders>
            <w:shd w:val="clear" w:color="000000" w:fill="FFFFFF"/>
            <w:noWrap/>
            <w:vAlign w:val="center"/>
            <w:hideMark/>
          </w:tcPr>
          <w:p w14:paraId="14F965CF"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0.21 (0.16, 0.28)</w:t>
            </w:r>
          </w:p>
        </w:tc>
      </w:tr>
      <w:tr w:rsidR="00995E68" w:rsidRPr="00995E68" w14:paraId="285F1E1A" w14:textId="77777777" w:rsidTr="00995E68">
        <w:trPr>
          <w:trHeight w:val="300"/>
        </w:trPr>
        <w:tc>
          <w:tcPr>
            <w:tcW w:w="4229" w:type="dxa"/>
            <w:tcBorders>
              <w:top w:val="nil"/>
              <w:left w:val="nil"/>
              <w:bottom w:val="nil"/>
              <w:right w:val="nil"/>
            </w:tcBorders>
            <w:shd w:val="clear" w:color="000000" w:fill="FFFFFF"/>
            <w:noWrap/>
            <w:vAlign w:val="center"/>
            <w:hideMark/>
          </w:tcPr>
          <w:p w14:paraId="69BFA342"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50%</w:t>
            </w:r>
          </w:p>
        </w:tc>
        <w:tc>
          <w:tcPr>
            <w:tcW w:w="1600" w:type="dxa"/>
            <w:tcBorders>
              <w:top w:val="nil"/>
              <w:left w:val="nil"/>
              <w:bottom w:val="nil"/>
              <w:right w:val="nil"/>
            </w:tcBorders>
            <w:shd w:val="clear" w:color="000000" w:fill="FFFFFF"/>
            <w:noWrap/>
            <w:vAlign w:val="center"/>
            <w:hideMark/>
          </w:tcPr>
          <w:p w14:paraId="77E7127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0.60 (0.17, 1.30)</w:t>
            </w:r>
          </w:p>
        </w:tc>
        <w:tc>
          <w:tcPr>
            <w:tcW w:w="1720" w:type="dxa"/>
            <w:tcBorders>
              <w:top w:val="nil"/>
              <w:left w:val="nil"/>
              <w:bottom w:val="nil"/>
              <w:right w:val="nil"/>
            </w:tcBorders>
            <w:shd w:val="clear" w:color="000000" w:fill="FFFFFF"/>
            <w:noWrap/>
            <w:vAlign w:val="center"/>
            <w:hideMark/>
          </w:tcPr>
          <w:p w14:paraId="76BD146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0.58 (0.37, 0.71)</w:t>
            </w:r>
          </w:p>
        </w:tc>
        <w:tc>
          <w:tcPr>
            <w:tcW w:w="2060" w:type="dxa"/>
            <w:tcBorders>
              <w:top w:val="nil"/>
              <w:left w:val="nil"/>
              <w:bottom w:val="nil"/>
              <w:right w:val="nil"/>
            </w:tcBorders>
            <w:shd w:val="clear" w:color="000000" w:fill="FFFFFF"/>
            <w:noWrap/>
            <w:vAlign w:val="center"/>
            <w:hideMark/>
          </w:tcPr>
          <w:p w14:paraId="4EC3DED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482 (346, 613)</w:t>
            </w:r>
          </w:p>
        </w:tc>
        <w:tc>
          <w:tcPr>
            <w:tcW w:w="2305" w:type="dxa"/>
            <w:tcBorders>
              <w:top w:val="nil"/>
              <w:left w:val="nil"/>
              <w:bottom w:val="nil"/>
              <w:right w:val="nil"/>
            </w:tcBorders>
            <w:shd w:val="clear" w:color="000000" w:fill="FFFFFF"/>
            <w:noWrap/>
            <w:vAlign w:val="center"/>
            <w:hideMark/>
          </w:tcPr>
          <w:p w14:paraId="4B481BC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0.20 (0.14, 0.26)</w:t>
            </w:r>
          </w:p>
        </w:tc>
      </w:tr>
      <w:tr w:rsidR="00995E68" w:rsidRPr="00995E68" w14:paraId="270F3E83" w14:textId="77777777" w:rsidTr="00995E68">
        <w:trPr>
          <w:trHeight w:val="300"/>
        </w:trPr>
        <w:tc>
          <w:tcPr>
            <w:tcW w:w="4229" w:type="dxa"/>
            <w:tcBorders>
              <w:top w:val="nil"/>
              <w:left w:val="nil"/>
              <w:bottom w:val="nil"/>
              <w:right w:val="nil"/>
            </w:tcBorders>
            <w:shd w:val="clear" w:color="000000" w:fill="FFFFFF"/>
            <w:noWrap/>
            <w:vAlign w:val="center"/>
            <w:hideMark/>
          </w:tcPr>
          <w:p w14:paraId="64129FBD"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60%</w:t>
            </w:r>
          </w:p>
        </w:tc>
        <w:tc>
          <w:tcPr>
            <w:tcW w:w="1600" w:type="dxa"/>
            <w:tcBorders>
              <w:top w:val="nil"/>
              <w:left w:val="nil"/>
              <w:bottom w:val="nil"/>
              <w:right w:val="nil"/>
            </w:tcBorders>
            <w:shd w:val="clear" w:color="000000" w:fill="FFFFFF"/>
            <w:noWrap/>
            <w:vAlign w:val="center"/>
            <w:hideMark/>
          </w:tcPr>
          <w:p w14:paraId="3986FCC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0.52 (0.13, 1.10)</w:t>
            </w:r>
          </w:p>
        </w:tc>
        <w:tc>
          <w:tcPr>
            <w:tcW w:w="1720" w:type="dxa"/>
            <w:tcBorders>
              <w:top w:val="nil"/>
              <w:left w:val="nil"/>
              <w:bottom w:val="nil"/>
              <w:right w:val="nil"/>
            </w:tcBorders>
            <w:shd w:val="clear" w:color="000000" w:fill="FFFFFF"/>
            <w:noWrap/>
            <w:vAlign w:val="center"/>
            <w:hideMark/>
          </w:tcPr>
          <w:p w14:paraId="0A9B9C4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0.60 (0.37, 0.71)</w:t>
            </w:r>
          </w:p>
        </w:tc>
        <w:tc>
          <w:tcPr>
            <w:tcW w:w="2060" w:type="dxa"/>
            <w:tcBorders>
              <w:top w:val="nil"/>
              <w:left w:val="nil"/>
              <w:bottom w:val="nil"/>
              <w:right w:val="nil"/>
            </w:tcBorders>
            <w:shd w:val="clear" w:color="000000" w:fill="FFFFFF"/>
            <w:noWrap/>
            <w:vAlign w:val="center"/>
            <w:hideMark/>
          </w:tcPr>
          <w:p w14:paraId="0EC74F06"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521 (421, 642)</w:t>
            </w:r>
          </w:p>
        </w:tc>
        <w:tc>
          <w:tcPr>
            <w:tcW w:w="2305" w:type="dxa"/>
            <w:tcBorders>
              <w:top w:val="nil"/>
              <w:left w:val="nil"/>
              <w:bottom w:val="nil"/>
              <w:right w:val="nil"/>
            </w:tcBorders>
            <w:shd w:val="clear" w:color="000000" w:fill="FFFFFF"/>
            <w:noWrap/>
            <w:vAlign w:val="center"/>
            <w:hideMark/>
          </w:tcPr>
          <w:p w14:paraId="0F2F5CF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0.19 (0.15, 0.24)</w:t>
            </w:r>
          </w:p>
        </w:tc>
      </w:tr>
      <w:tr w:rsidR="00995E68" w:rsidRPr="00995E68" w14:paraId="4718FA50" w14:textId="77777777" w:rsidTr="00995E68">
        <w:trPr>
          <w:trHeight w:val="300"/>
        </w:trPr>
        <w:tc>
          <w:tcPr>
            <w:tcW w:w="4229" w:type="dxa"/>
            <w:tcBorders>
              <w:top w:val="nil"/>
              <w:left w:val="nil"/>
              <w:bottom w:val="nil"/>
              <w:right w:val="nil"/>
            </w:tcBorders>
            <w:shd w:val="clear" w:color="000000" w:fill="FFFFFF"/>
            <w:noWrap/>
            <w:vAlign w:val="center"/>
            <w:hideMark/>
          </w:tcPr>
          <w:p w14:paraId="0EDDF0F3"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70%</w:t>
            </w:r>
          </w:p>
        </w:tc>
        <w:tc>
          <w:tcPr>
            <w:tcW w:w="1600" w:type="dxa"/>
            <w:tcBorders>
              <w:top w:val="nil"/>
              <w:left w:val="nil"/>
              <w:bottom w:val="nil"/>
              <w:right w:val="nil"/>
            </w:tcBorders>
            <w:shd w:val="clear" w:color="000000" w:fill="FFFFFF"/>
            <w:noWrap/>
            <w:vAlign w:val="center"/>
            <w:hideMark/>
          </w:tcPr>
          <w:p w14:paraId="7371471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0.37 (0.01, 1.02)</w:t>
            </w:r>
          </w:p>
        </w:tc>
        <w:tc>
          <w:tcPr>
            <w:tcW w:w="1720" w:type="dxa"/>
            <w:tcBorders>
              <w:top w:val="nil"/>
              <w:left w:val="nil"/>
              <w:bottom w:val="nil"/>
              <w:right w:val="nil"/>
            </w:tcBorders>
            <w:shd w:val="clear" w:color="000000" w:fill="FFFFFF"/>
            <w:noWrap/>
            <w:vAlign w:val="center"/>
            <w:hideMark/>
          </w:tcPr>
          <w:p w14:paraId="5BC0E24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0.62 (0.42, 0.76)</w:t>
            </w:r>
          </w:p>
        </w:tc>
        <w:tc>
          <w:tcPr>
            <w:tcW w:w="2060" w:type="dxa"/>
            <w:tcBorders>
              <w:top w:val="nil"/>
              <w:left w:val="nil"/>
              <w:bottom w:val="nil"/>
              <w:right w:val="nil"/>
            </w:tcBorders>
            <w:shd w:val="clear" w:color="000000" w:fill="FFFFFF"/>
            <w:noWrap/>
            <w:vAlign w:val="center"/>
            <w:hideMark/>
          </w:tcPr>
          <w:p w14:paraId="11B64638"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532 (402, 710)</w:t>
            </w:r>
          </w:p>
        </w:tc>
        <w:tc>
          <w:tcPr>
            <w:tcW w:w="2305" w:type="dxa"/>
            <w:tcBorders>
              <w:top w:val="nil"/>
              <w:left w:val="nil"/>
              <w:bottom w:val="nil"/>
              <w:right w:val="nil"/>
            </w:tcBorders>
            <w:shd w:val="clear" w:color="000000" w:fill="FFFFFF"/>
            <w:noWrap/>
            <w:vAlign w:val="center"/>
            <w:hideMark/>
          </w:tcPr>
          <w:p w14:paraId="18B0863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0.17 (0.13, 0.23)</w:t>
            </w:r>
          </w:p>
        </w:tc>
      </w:tr>
      <w:tr w:rsidR="00995E68" w:rsidRPr="00995E68" w14:paraId="5C05563F" w14:textId="77777777" w:rsidTr="00995E68">
        <w:trPr>
          <w:trHeight w:val="300"/>
        </w:trPr>
        <w:tc>
          <w:tcPr>
            <w:tcW w:w="4229" w:type="dxa"/>
            <w:tcBorders>
              <w:top w:val="nil"/>
              <w:left w:val="nil"/>
              <w:bottom w:val="nil"/>
              <w:right w:val="nil"/>
            </w:tcBorders>
            <w:shd w:val="clear" w:color="000000" w:fill="FFFFFF"/>
            <w:noWrap/>
            <w:vAlign w:val="center"/>
            <w:hideMark/>
          </w:tcPr>
          <w:p w14:paraId="2447BA36"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80%</w:t>
            </w:r>
          </w:p>
        </w:tc>
        <w:tc>
          <w:tcPr>
            <w:tcW w:w="1600" w:type="dxa"/>
            <w:tcBorders>
              <w:top w:val="nil"/>
              <w:left w:val="nil"/>
              <w:bottom w:val="nil"/>
              <w:right w:val="nil"/>
            </w:tcBorders>
            <w:shd w:val="clear" w:color="000000" w:fill="FFFFFF"/>
            <w:noWrap/>
            <w:vAlign w:val="center"/>
            <w:hideMark/>
          </w:tcPr>
          <w:p w14:paraId="6EBF79B7"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0.37 (0.00, 0.94)</w:t>
            </w:r>
          </w:p>
        </w:tc>
        <w:tc>
          <w:tcPr>
            <w:tcW w:w="1720" w:type="dxa"/>
            <w:tcBorders>
              <w:top w:val="nil"/>
              <w:left w:val="nil"/>
              <w:bottom w:val="nil"/>
              <w:right w:val="nil"/>
            </w:tcBorders>
            <w:shd w:val="clear" w:color="000000" w:fill="FFFFFF"/>
            <w:noWrap/>
            <w:vAlign w:val="center"/>
            <w:hideMark/>
          </w:tcPr>
          <w:p w14:paraId="42AD41F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0.64 (0.45, 0.75)</w:t>
            </w:r>
          </w:p>
        </w:tc>
        <w:tc>
          <w:tcPr>
            <w:tcW w:w="2060" w:type="dxa"/>
            <w:tcBorders>
              <w:top w:val="nil"/>
              <w:left w:val="nil"/>
              <w:bottom w:val="nil"/>
              <w:right w:val="nil"/>
            </w:tcBorders>
            <w:shd w:val="clear" w:color="000000" w:fill="FFFFFF"/>
            <w:noWrap/>
            <w:vAlign w:val="center"/>
            <w:hideMark/>
          </w:tcPr>
          <w:p w14:paraId="0BC95EF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598 (430, 742)</w:t>
            </w:r>
          </w:p>
        </w:tc>
        <w:tc>
          <w:tcPr>
            <w:tcW w:w="2305" w:type="dxa"/>
            <w:tcBorders>
              <w:top w:val="nil"/>
              <w:left w:val="nil"/>
              <w:bottom w:val="nil"/>
              <w:right w:val="nil"/>
            </w:tcBorders>
            <w:shd w:val="clear" w:color="000000" w:fill="FFFFFF"/>
            <w:noWrap/>
            <w:vAlign w:val="center"/>
            <w:hideMark/>
          </w:tcPr>
          <w:p w14:paraId="474C7A87"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0.18 (0.13, 0.23)</w:t>
            </w:r>
          </w:p>
        </w:tc>
      </w:tr>
      <w:tr w:rsidR="00995E68" w:rsidRPr="00995E68" w14:paraId="5B5D1206" w14:textId="77777777" w:rsidTr="00995E68">
        <w:trPr>
          <w:trHeight w:val="300"/>
        </w:trPr>
        <w:tc>
          <w:tcPr>
            <w:tcW w:w="4229" w:type="dxa"/>
            <w:tcBorders>
              <w:top w:val="nil"/>
              <w:left w:val="nil"/>
              <w:bottom w:val="nil"/>
              <w:right w:val="nil"/>
            </w:tcBorders>
            <w:shd w:val="clear" w:color="000000" w:fill="FFFFFF"/>
            <w:noWrap/>
            <w:vAlign w:val="center"/>
            <w:hideMark/>
          </w:tcPr>
          <w:p w14:paraId="53CA9A7C"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90%</w:t>
            </w:r>
          </w:p>
        </w:tc>
        <w:tc>
          <w:tcPr>
            <w:tcW w:w="1600" w:type="dxa"/>
            <w:tcBorders>
              <w:top w:val="nil"/>
              <w:left w:val="nil"/>
              <w:bottom w:val="nil"/>
              <w:right w:val="nil"/>
            </w:tcBorders>
            <w:shd w:val="clear" w:color="000000" w:fill="FFFFFF"/>
            <w:noWrap/>
            <w:vAlign w:val="center"/>
            <w:hideMark/>
          </w:tcPr>
          <w:p w14:paraId="1E955A98"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0.22 (0.00, 0.76)</w:t>
            </w:r>
          </w:p>
        </w:tc>
        <w:tc>
          <w:tcPr>
            <w:tcW w:w="1720" w:type="dxa"/>
            <w:tcBorders>
              <w:top w:val="nil"/>
              <w:left w:val="nil"/>
              <w:bottom w:val="nil"/>
              <w:right w:val="nil"/>
            </w:tcBorders>
            <w:shd w:val="clear" w:color="000000" w:fill="FFFFFF"/>
            <w:noWrap/>
            <w:vAlign w:val="center"/>
            <w:hideMark/>
          </w:tcPr>
          <w:p w14:paraId="62C1410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0.68 (0.48, 0.76)</w:t>
            </w:r>
          </w:p>
        </w:tc>
        <w:tc>
          <w:tcPr>
            <w:tcW w:w="2060" w:type="dxa"/>
            <w:tcBorders>
              <w:top w:val="nil"/>
              <w:left w:val="nil"/>
              <w:bottom w:val="nil"/>
              <w:right w:val="nil"/>
            </w:tcBorders>
            <w:shd w:val="clear" w:color="000000" w:fill="FFFFFF"/>
            <w:noWrap/>
            <w:vAlign w:val="center"/>
            <w:hideMark/>
          </w:tcPr>
          <w:p w14:paraId="2AE7774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564 (434, 751)</w:t>
            </w:r>
          </w:p>
        </w:tc>
        <w:tc>
          <w:tcPr>
            <w:tcW w:w="2305" w:type="dxa"/>
            <w:tcBorders>
              <w:top w:val="nil"/>
              <w:left w:val="nil"/>
              <w:bottom w:val="nil"/>
              <w:right w:val="nil"/>
            </w:tcBorders>
            <w:shd w:val="clear" w:color="000000" w:fill="FFFFFF"/>
            <w:noWrap/>
            <w:vAlign w:val="center"/>
            <w:hideMark/>
          </w:tcPr>
          <w:p w14:paraId="0CD82701"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0.16 (0.12, 0.21)</w:t>
            </w:r>
          </w:p>
        </w:tc>
      </w:tr>
      <w:tr w:rsidR="00995E68" w:rsidRPr="00995E68" w14:paraId="21CE4C6E" w14:textId="77777777" w:rsidTr="00995E68">
        <w:trPr>
          <w:trHeight w:val="300"/>
        </w:trPr>
        <w:tc>
          <w:tcPr>
            <w:tcW w:w="4229" w:type="dxa"/>
            <w:tcBorders>
              <w:top w:val="nil"/>
              <w:left w:val="nil"/>
              <w:bottom w:val="nil"/>
              <w:right w:val="nil"/>
            </w:tcBorders>
            <w:shd w:val="clear" w:color="000000" w:fill="FFFFFF"/>
            <w:noWrap/>
            <w:vAlign w:val="center"/>
            <w:hideMark/>
          </w:tcPr>
          <w:p w14:paraId="1C896705"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100%</w:t>
            </w:r>
          </w:p>
        </w:tc>
        <w:tc>
          <w:tcPr>
            <w:tcW w:w="1600" w:type="dxa"/>
            <w:tcBorders>
              <w:top w:val="nil"/>
              <w:left w:val="nil"/>
              <w:bottom w:val="nil"/>
              <w:right w:val="nil"/>
            </w:tcBorders>
            <w:shd w:val="clear" w:color="000000" w:fill="FFFFFF"/>
            <w:noWrap/>
            <w:vAlign w:val="center"/>
            <w:hideMark/>
          </w:tcPr>
          <w:p w14:paraId="5E41E17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0.24 (0.00, 0.86)</w:t>
            </w:r>
          </w:p>
        </w:tc>
        <w:tc>
          <w:tcPr>
            <w:tcW w:w="1720" w:type="dxa"/>
            <w:tcBorders>
              <w:top w:val="nil"/>
              <w:left w:val="nil"/>
              <w:bottom w:val="nil"/>
              <w:right w:val="nil"/>
            </w:tcBorders>
            <w:shd w:val="clear" w:color="000000" w:fill="FFFFFF"/>
            <w:noWrap/>
            <w:vAlign w:val="center"/>
            <w:hideMark/>
          </w:tcPr>
          <w:p w14:paraId="20726F7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0.66 (0.47, 0.76)</w:t>
            </w:r>
          </w:p>
        </w:tc>
        <w:tc>
          <w:tcPr>
            <w:tcW w:w="2060" w:type="dxa"/>
            <w:tcBorders>
              <w:top w:val="nil"/>
              <w:left w:val="nil"/>
              <w:bottom w:val="nil"/>
              <w:right w:val="nil"/>
            </w:tcBorders>
            <w:shd w:val="clear" w:color="000000" w:fill="FFFFFF"/>
            <w:noWrap/>
            <w:vAlign w:val="center"/>
            <w:hideMark/>
          </w:tcPr>
          <w:p w14:paraId="612BD42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641 (470, 816)</w:t>
            </w:r>
          </w:p>
        </w:tc>
        <w:tc>
          <w:tcPr>
            <w:tcW w:w="2305" w:type="dxa"/>
            <w:tcBorders>
              <w:top w:val="nil"/>
              <w:left w:val="nil"/>
              <w:bottom w:val="nil"/>
              <w:right w:val="nil"/>
            </w:tcBorders>
            <w:shd w:val="clear" w:color="000000" w:fill="FFFFFF"/>
            <w:noWrap/>
            <w:vAlign w:val="center"/>
            <w:hideMark/>
          </w:tcPr>
          <w:p w14:paraId="6977539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0.16 (0.12, 0.21)</w:t>
            </w:r>
          </w:p>
        </w:tc>
      </w:tr>
      <w:tr w:rsidR="00995E68" w:rsidRPr="00995E68" w14:paraId="520E3F4A" w14:textId="77777777" w:rsidTr="00995E68">
        <w:trPr>
          <w:trHeight w:val="300"/>
        </w:trPr>
        <w:tc>
          <w:tcPr>
            <w:tcW w:w="4229" w:type="dxa"/>
            <w:tcBorders>
              <w:top w:val="nil"/>
              <w:left w:val="nil"/>
              <w:bottom w:val="nil"/>
              <w:right w:val="nil"/>
            </w:tcBorders>
            <w:shd w:val="clear" w:color="000000" w:fill="FFFFFF"/>
            <w:vAlign w:val="center"/>
            <w:hideMark/>
          </w:tcPr>
          <w:p w14:paraId="0256CE83"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EPT Partnership Window (20% Coverage)</w:t>
            </w:r>
          </w:p>
        </w:tc>
        <w:tc>
          <w:tcPr>
            <w:tcW w:w="1600" w:type="dxa"/>
            <w:tcBorders>
              <w:top w:val="nil"/>
              <w:left w:val="nil"/>
              <w:bottom w:val="nil"/>
              <w:right w:val="nil"/>
            </w:tcBorders>
            <w:shd w:val="clear" w:color="000000" w:fill="FFFFFF"/>
            <w:noWrap/>
            <w:vAlign w:val="center"/>
            <w:hideMark/>
          </w:tcPr>
          <w:p w14:paraId="573D340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6202ED5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060" w:type="dxa"/>
            <w:tcBorders>
              <w:top w:val="nil"/>
              <w:left w:val="nil"/>
              <w:bottom w:val="nil"/>
              <w:right w:val="nil"/>
            </w:tcBorders>
            <w:shd w:val="clear" w:color="000000" w:fill="FFFFFF"/>
            <w:noWrap/>
            <w:vAlign w:val="center"/>
            <w:hideMark/>
          </w:tcPr>
          <w:p w14:paraId="2557A41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305" w:type="dxa"/>
            <w:tcBorders>
              <w:top w:val="nil"/>
              <w:left w:val="nil"/>
              <w:bottom w:val="nil"/>
              <w:right w:val="nil"/>
            </w:tcBorders>
            <w:shd w:val="clear" w:color="000000" w:fill="FFFFFF"/>
            <w:noWrap/>
            <w:vAlign w:val="center"/>
            <w:hideMark/>
          </w:tcPr>
          <w:p w14:paraId="2E3F6B9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r>
      <w:tr w:rsidR="00995E68" w:rsidRPr="00995E68" w14:paraId="7372CE84" w14:textId="77777777" w:rsidTr="00995E68">
        <w:trPr>
          <w:trHeight w:val="300"/>
        </w:trPr>
        <w:tc>
          <w:tcPr>
            <w:tcW w:w="4229" w:type="dxa"/>
            <w:tcBorders>
              <w:top w:val="nil"/>
              <w:left w:val="nil"/>
              <w:bottom w:val="nil"/>
              <w:right w:val="nil"/>
            </w:tcBorders>
            <w:shd w:val="clear" w:color="000000" w:fill="FFFFFF"/>
            <w:noWrap/>
            <w:vAlign w:val="center"/>
            <w:hideMark/>
          </w:tcPr>
          <w:p w14:paraId="079EDAC5"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1 month (28 days)</w:t>
            </w:r>
          </w:p>
        </w:tc>
        <w:tc>
          <w:tcPr>
            <w:tcW w:w="1600" w:type="dxa"/>
            <w:tcBorders>
              <w:top w:val="nil"/>
              <w:left w:val="nil"/>
              <w:bottom w:val="nil"/>
              <w:right w:val="nil"/>
            </w:tcBorders>
            <w:shd w:val="clear" w:color="000000" w:fill="FFFFFF"/>
            <w:noWrap/>
            <w:vAlign w:val="center"/>
            <w:hideMark/>
          </w:tcPr>
          <w:p w14:paraId="743B65B8"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1.78 (0.72, 3.02)</w:t>
            </w:r>
          </w:p>
        </w:tc>
        <w:tc>
          <w:tcPr>
            <w:tcW w:w="1720" w:type="dxa"/>
            <w:tcBorders>
              <w:top w:val="nil"/>
              <w:left w:val="nil"/>
              <w:bottom w:val="nil"/>
              <w:right w:val="nil"/>
            </w:tcBorders>
            <w:shd w:val="clear" w:color="000000" w:fill="FFFFFF"/>
            <w:noWrap/>
            <w:vAlign w:val="center"/>
            <w:hideMark/>
          </w:tcPr>
          <w:p w14:paraId="25BA3FD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0.35 (0.10, 0.57)</w:t>
            </w:r>
          </w:p>
        </w:tc>
        <w:tc>
          <w:tcPr>
            <w:tcW w:w="2060" w:type="dxa"/>
            <w:tcBorders>
              <w:top w:val="nil"/>
              <w:left w:val="nil"/>
              <w:bottom w:val="nil"/>
              <w:right w:val="nil"/>
            </w:tcBorders>
            <w:shd w:val="clear" w:color="000000" w:fill="FFFFFF"/>
            <w:noWrap/>
            <w:vAlign w:val="center"/>
            <w:hideMark/>
          </w:tcPr>
          <w:p w14:paraId="75305958"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274 (216, 365)</w:t>
            </w:r>
          </w:p>
        </w:tc>
        <w:tc>
          <w:tcPr>
            <w:tcW w:w="2305" w:type="dxa"/>
            <w:tcBorders>
              <w:top w:val="nil"/>
              <w:left w:val="nil"/>
              <w:bottom w:val="nil"/>
              <w:right w:val="nil"/>
            </w:tcBorders>
            <w:shd w:val="clear" w:color="000000" w:fill="FFFFFF"/>
            <w:noWrap/>
            <w:vAlign w:val="center"/>
            <w:hideMark/>
          </w:tcPr>
          <w:p w14:paraId="5AE08C4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0.29 (0.23, 0.38)</w:t>
            </w:r>
          </w:p>
        </w:tc>
      </w:tr>
      <w:tr w:rsidR="00995E68" w:rsidRPr="00995E68" w14:paraId="743FBC68" w14:textId="77777777" w:rsidTr="00995E68">
        <w:trPr>
          <w:trHeight w:val="300"/>
        </w:trPr>
        <w:tc>
          <w:tcPr>
            <w:tcW w:w="4229" w:type="dxa"/>
            <w:tcBorders>
              <w:top w:val="nil"/>
              <w:left w:val="nil"/>
              <w:bottom w:val="nil"/>
              <w:right w:val="nil"/>
            </w:tcBorders>
            <w:shd w:val="clear" w:color="000000" w:fill="FFFFFF"/>
            <w:noWrap/>
            <w:vAlign w:val="center"/>
            <w:hideMark/>
          </w:tcPr>
          <w:p w14:paraId="1669A3C7"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3 months (91 days)</w:t>
            </w:r>
          </w:p>
        </w:tc>
        <w:tc>
          <w:tcPr>
            <w:tcW w:w="1600" w:type="dxa"/>
            <w:tcBorders>
              <w:top w:val="nil"/>
              <w:left w:val="nil"/>
              <w:bottom w:val="nil"/>
              <w:right w:val="nil"/>
            </w:tcBorders>
            <w:shd w:val="clear" w:color="000000" w:fill="FFFFFF"/>
            <w:noWrap/>
            <w:vAlign w:val="center"/>
            <w:hideMark/>
          </w:tcPr>
          <w:p w14:paraId="6DBCCCA7"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1.55 (0.54, 2.62)</w:t>
            </w:r>
          </w:p>
        </w:tc>
        <w:tc>
          <w:tcPr>
            <w:tcW w:w="1720" w:type="dxa"/>
            <w:tcBorders>
              <w:top w:val="nil"/>
              <w:left w:val="nil"/>
              <w:bottom w:val="nil"/>
              <w:right w:val="nil"/>
            </w:tcBorders>
            <w:shd w:val="clear" w:color="000000" w:fill="FFFFFF"/>
            <w:noWrap/>
            <w:vAlign w:val="center"/>
            <w:hideMark/>
          </w:tcPr>
          <w:p w14:paraId="7F0407D1"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0.42 (0.15, 0.61)</w:t>
            </w:r>
          </w:p>
        </w:tc>
        <w:tc>
          <w:tcPr>
            <w:tcW w:w="2060" w:type="dxa"/>
            <w:tcBorders>
              <w:top w:val="nil"/>
              <w:left w:val="nil"/>
              <w:bottom w:val="nil"/>
              <w:right w:val="nil"/>
            </w:tcBorders>
            <w:shd w:val="clear" w:color="000000" w:fill="FFFFFF"/>
            <w:noWrap/>
            <w:vAlign w:val="center"/>
            <w:hideMark/>
          </w:tcPr>
          <w:p w14:paraId="58ACE58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328 (242, 428)</w:t>
            </w:r>
          </w:p>
        </w:tc>
        <w:tc>
          <w:tcPr>
            <w:tcW w:w="2305" w:type="dxa"/>
            <w:tcBorders>
              <w:top w:val="nil"/>
              <w:left w:val="nil"/>
              <w:bottom w:val="nil"/>
              <w:right w:val="nil"/>
            </w:tcBorders>
            <w:shd w:val="clear" w:color="000000" w:fill="FFFFFF"/>
            <w:noWrap/>
            <w:vAlign w:val="center"/>
            <w:hideMark/>
          </w:tcPr>
          <w:p w14:paraId="7BEDFE3F"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0.27 (0.20, 0.36)</w:t>
            </w:r>
          </w:p>
        </w:tc>
      </w:tr>
      <w:tr w:rsidR="00995E68" w:rsidRPr="00995E68" w14:paraId="77F041A3" w14:textId="77777777" w:rsidTr="00995E68">
        <w:trPr>
          <w:trHeight w:val="300"/>
        </w:trPr>
        <w:tc>
          <w:tcPr>
            <w:tcW w:w="4229" w:type="dxa"/>
            <w:tcBorders>
              <w:top w:val="nil"/>
              <w:left w:val="nil"/>
              <w:bottom w:val="nil"/>
              <w:right w:val="nil"/>
            </w:tcBorders>
            <w:shd w:val="clear" w:color="000000" w:fill="FFFFFF"/>
            <w:noWrap/>
            <w:vAlign w:val="center"/>
            <w:hideMark/>
          </w:tcPr>
          <w:p w14:paraId="4C2BD5FF"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4 months (119 days)</w:t>
            </w:r>
          </w:p>
        </w:tc>
        <w:tc>
          <w:tcPr>
            <w:tcW w:w="1600" w:type="dxa"/>
            <w:tcBorders>
              <w:top w:val="nil"/>
              <w:left w:val="nil"/>
              <w:bottom w:val="nil"/>
              <w:right w:val="nil"/>
            </w:tcBorders>
            <w:shd w:val="clear" w:color="000000" w:fill="FFFFFF"/>
            <w:noWrap/>
            <w:vAlign w:val="center"/>
            <w:hideMark/>
          </w:tcPr>
          <w:p w14:paraId="48BD66F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1.42 (0.62, 2.70)</w:t>
            </w:r>
          </w:p>
        </w:tc>
        <w:tc>
          <w:tcPr>
            <w:tcW w:w="1720" w:type="dxa"/>
            <w:tcBorders>
              <w:top w:val="nil"/>
              <w:left w:val="nil"/>
              <w:bottom w:val="nil"/>
              <w:right w:val="nil"/>
            </w:tcBorders>
            <w:shd w:val="clear" w:color="000000" w:fill="FFFFFF"/>
            <w:noWrap/>
            <w:vAlign w:val="center"/>
            <w:hideMark/>
          </w:tcPr>
          <w:p w14:paraId="2524B91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0.42 (0.12, 0.59)</w:t>
            </w:r>
          </w:p>
        </w:tc>
        <w:tc>
          <w:tcPr>
            <w:tcW w:w="2060" w:type="dxa"/>
            <w:tcBorders>
              <w:top w:val="nil"/>
              <w:left w:val="nil"/>
              <w:bottom w:val="nil"/>
              <w:right w:val="nil"/>
            </w:tcBorders>
            <w:shd w:val="clear" w:color="000000" w:fill="FFFFFF"/>
            <w:noWrap/>
            <w:vAlign w:val="center"/>
            <w:hideMark/>
          </w:tcPr>
          <w:p w14:paraId="0CDDCEF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354 (274, 488)</w:t>
            </w:r>
          </w:p>
        </w:tc>
        <w:tc>
          <w:tcPr>
            <w:tcW w:w="2305" w:type="dxa"/>
            <w:tcBorders>
              <w:top w:val="nil"/>
              <w:left w:val="nil"/>
              <w:bottom w:val="nil"/>
              <w:right w:val="nil"/>
            </w:tcBorders>
            <w:shd w:val="clear" w:color="000000" w:fill="FFFFFF"/>
            <w:noWrap/>
            <w:vAlign w:val="center"/>
            <w:hideMark/>
          </w:tcPr>
          <w:p w14:paraId="3459E69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0.27 (0.21, 0.37)</w:t>
            </w:r>
          </w:p>
        </w:tc>
      </w:tr>
      <w:tr w:rsidR="00995E68" w:rsidRPr="00995E68" w14:paraId="38AABCC2" w14:textId="77777777" w:rsidTr="00995E68">
        <w:trPr>
          <w:trHeight w:val="300"/>
        </w:trPr>
        <w:tc>
          <w:tcPr>
            <w:tcW w:w="4229" w:type="dxa"/>
            <w:tcBorders>
              <w:top w:val="nil"/>
              <w:left w:val="nil"/>
              <w:bottom w:val="nil"/>
              <w:right w:val="nil"/>
            </w:tcBorders>
            <w:shd w:val="clear" w:color="000000" w:fill="FFFFFF"/>
            <w:noWrap/>
            <w:vAlign w:val="center"/>
            <w:hideMark/>
          </w:tcPr>
          <w:p w14:paraId="5713040C"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5 months (154 days)</w:t>
            </w:r>
          </w:p>
        </w:tc>
        <w:tc>
          <w:tcPr>
            <w:tcW w:w="1600" w:type="dxa"/>
            <w:tcBorders>
              <w:top w:val="nil"/>
              <w:left w:val="nil"/>
              <w:bottom w:val="nil"/>
              <w:right w:val="nil"/>
            </w:tcBorders>
            <w:shd w:val="clear" w:color="000000" w:fill="FFFFFF"/>
            <w:noWrap/>
            <w:vAlign w:val="center"/>
            <w:hideMark/>
          </w:tcPr>
          <w:p w14:paraId="0F8F27B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1.58 (0.70, 2.83)</w:t>
            </w:r>
          </w:p>
        </w:tc>
        <w:tc>
          <w:tcPr>
            <w:tcW w:w="1720" w:type="dxa"/>
            <w:tcBorders>
              <w:top w:val="nil"/>
              <w:left w:val="nil"/>
              <w:bottom w:val="nil"/>
              <w:right w:val="nil"/>
            </w:tcBorders>
            <w:shd w:val="clear" w:color="000000" w:fill="FFFFFF"/>
            <w:noWrap/>
            <w:vAlign w:val="center"/>
            <w:hideMark/>
          </w:tcPr>
          <w:p w14:paraId="01F250E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0.40 (0.12, 0.59)</w:t>
            </w:r>
          </w:p>
        </w:tc>
        <w:tc>
          <w:tcPr>
            <w:tcW w:w="2060" w:type="dxa"/>
            <w:tcBorders>
              <w:top w:val="nil"/>
              <w:left w:val="nil"/>
              <w:bottom w:val="nil"/>
              <w:right w:val="nil"/>
            </w:tcBorders>
            <w:shd w:val="clear" w:color="000000" w:fill="FFFFFF"/>
            <w:noWrap/>
            <w:vAlign w:val="center"/>
            <w:hideMark/>
          </w:tcPr>
          <w:p w14:paraId="48173A3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396 (306, 505)</w:t>
            </w:r>
          </w:p>
        </w:tc>
        <w:tc>
          <w:tcPr>
            <w:tcW w:w="2305" w:type="dxa"/>
            <w:tcBorders>
              <w:top w:val="nil"/>
              <w:left w:val="nil"/>
              <w:bottom w:val="nil"/>
              <w:right w:val="nil"/>
            </w:tcBorders>
            <w:shd w:val="clear" w:color="000000" w:fill="FFFFFF"/>
            <w:noWrap/>
            <w:vAlign w:val="center"/>
            <w:hideMark/>
          </w:tcPr>
          <w:p w14:paraId="3E21FB1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0.28 (0.22, 0.35)</w:t>
            </w:r>
          </w:p>
        </w:tc>
      </w:tr>
      <w:tr w:rsidR="00995E68" w:rsidRPr="00995E68" w14:paraId="2FBEE12C" w14:textId="77777777" w:rsidTr="00995E68">
        <w:trPr>
          <w:trHeight w:val="300"/>
        </w:trPr>
        <w:tc>
          <w:tcPr>
            <w:tcW w:w="4229" w:type="dxa"/>
            <w:tcBorders>
              <w:top w:val="nil"/>
              <w:left w:val="nil"/>
              <w:bottom w:val="nil"/>
              <w:right w:val="nil"/>
            </w:tcBorders>
            <w:shd w:val="clear" w:color="000000" w:fill="FFFFFF"/>
            <w:noWrap/>
            <w:vAlign w:val="center"/>
            <w:hideMark/>
          </w:tcPr>
          <w:p w14:paraId="09182DAE"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6 months (182 days)</w:t>
            </w:r>
          </w:p>
        </w:tc>
        <w:tc>
          <w:tcPr>
            <w:tcW w:w="1600" w:type="dxa"/>
            <w:tcBorders>
              <w:top w:val="nil"/>
              <w:left w:val="nil"/>
              <w:bottom w:val="nil"/>
              <w:right w:val="nil"/>
            </w:tcBorders>
            <w:shd w:val="clear" w:color="000000" w:fill="FFFFFF"/>
            <w:noWrap/>
            <w:vAlign w:val="center"/>
            <w:hideMark/>
          </w:tcPr>
          <w:p w14:paraId="7F9D1F7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1.59 (0.64, 2.84)</w:t>
            </w:r>
          </w:p>
        </w:tc>
        <w:tc>
          <w:tcPr>
            <w:tcW w:w="1720" w:type="dxa"/>
            <w:tcBorders>
              <w:top w:val="nil"/>
              <w:left w:val="nil"/>
              <w:bottom w:val="nil"/>
              <w:right w:val="nil"/>
            </w:tcBorders>
            <w:shd w:val="clear" w:color="000000" w:fill="FFFFFF"/>
            <w:noWrap/>
            <w:vAlign w:val="center"/>
            <w:hideMark/>
          </w:tcPr>
          <w:p w14:paraId="49CCD4FF"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0.36 (0.02, 0.58)</w:t>
            </w:r>
          </w:p>
        </w:tc>
        <w:tc>
          <w:tcPr>
            <w:tcW w:w="2060" w:type="dxa"/>
            <w:tcBorders>
              <w:top w:val="nil"/>
              <w:left w:val="nil"/>
              <w:bottom w:val="nil"/>
              <w:right w:val="nil"/>
            </w:tcBorders>
            <w:shd w:val="clear" w:color="000000" w:fill="FFFFFF"/>
            <w:noWrap/>
            <w:vAlign w:val="center"/>
            <w:hideMark/>
          </w:tcPr>
          <w:p w14:paraId="52142077"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445 (334, 570)</w:t>
            </w:r>
          </w:p>
        </w:tc>
        <w:tc>
          <w:tcPr>
            <w:tcW w:w="2305" w:type="dxa"/>
            <w:tcBorders>
              <w:top w:val="nil"/>
              <w:left w:val="nil"/>
              <w:bottom w:val="nil"/>
              <w:right w:val="nil"/>
            </w:tcBorders>
            <w:shd w:val="clear" w:color="000000" w:fill="FFFFFF"/>
            <w:noWrap/>
            <w:vAlign w:val="center"/>
            <w:hideMark/>
          </w:tcPr>
          <w:p w14:paraId="692E494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0.29 (0.22, 0.38)</w:t>
            </w:r>
          </w:p>
        </w:tc>
      </w:tr>
      <w:tr w:rsidR="00995E68" w:rsidRPr="00995E68" w14:paraId="1C6C34CE" w14:textId="77777777" w:rsidTr="00995E68">
        <w:trPr>
          <w:trHeight w:val="390"/>
        </w:trPr>
        <w:tc>
          <w:tcPr>
            <w:tcW w:w="4229" w:type="dxa"/>
            <w:tcBorders>
              <w:top w:val="nil"/>
              <w:left w:val="nil"/>
              <w:bottom w:val="nil"/>
              <w:right w:val="nil"/>
            </w:tcBorders>
            <w:shd w:val="clear" w:color="000000" w:fill="FFFFFF"/>
            <w:noWrap/>
            <w:vAlign w:val="center"/>
            <w:hideMark/>
          </w:tcPr>
          <w:p w14:paraId="48D1126D"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EPT Provision to Non-Index Partner (20% Coverage)</w:t>
            </w:r>
          </w:p>
        </w:tc>
        <w:tc>
          <w:tcPr>
            <w:tcW w:w="1600" w:type="dxa"/>
            <w:tcBorders>
              <w:top w:val="nil"/>
              <w:left w:val="nil"/>
              <w:bottom w:val="nil"/>
              <w:right w:val="nil"/>
            </w:tcBorders>
            <w:shd w:val="clear" w:color="000000" w:fill="FFFFFF"/>
            <w:noWrap/>
            <w:vAlign w:val="center"/>
            <w:hideMark/>
          </w:tcPr>
          <w:p w14:paraId="17BCB757"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3DD252F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060" w:type="dxa"/>
            <w:tcBorders>
              <w:top w:val="nil"/>
              <w:left w:val="nil"/>
              <w:bottom w:val="nil"/>
              <w:right w:val="nil"/>
            </w:tcBorders>
            <w:shd w:val="clear" w:color="000000" w:fill="FFFFFF"/>
            <w:noWrap/>
            <w:vAlign w:val="center"/>
            <w:hideMark/>
          </w:tcPr>
          <w:p w14:paraId="48C640DF"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305" w:type="dxa"/>
            <w:tcBorders>
              <w:top w:val="nil"/>
              <w:left w:val="nil"/>
              <w:bottom w:val="nil"/>
              <w:right w:val="nil"/>
            </w:tcBorders>
            <w:shd w:val="clear" w:color="000000" w:fill="FFFFFF"/>
            <w:noWrap/>
            <w:vAlign w:val="center"/>
            <w:hideMark/>
          </w:tcPr>
          <w:p w14:paraId="78B3951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r>
      <w:tr w:rsidR="00995E68" w:rsidRPr="00995E68" w14:paraId="5B383AF4" w14:textId="77777777" w:rsidTr="00995E68">
        <w:trPr>
          <w:trHeight w:val="300"/>
        </w:trPr>
        <w:tc>
          <w:tcPr>
            <w:tcW w:w="4229" w:type="dxa"/>
            <w:tcBorders>
              <w:top w:val="nil"/>
              <w:left w:val="nil"/>
              <w:bottom w:val="nil"/>
              <w:right w:val="nil"/>
            </w:tcBorders>
            <w:shd w:val="clear" w:color="000000" w:fill="FFFFFF"/>
            <w:noWrap/>
            <w:vAlign w:val="center"/>
            <w:hideMark/>
          </w:tcPr>
          <w:p w14:paraId="7E329062"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+ 10%</w:t>
            </w:r>
          </w:p>
        </w:tc>
        <w:tc>
          <w:tcPr>
            <w:tcW w:w="1600" w:type="dxa"/>
            <w:tcBorders>
              <w:top w:val="nil"/>
              <w:left w:val="nil"/>
              <w:bottom w:val="nil"/>
              <w:right w:val="nil"/>
            </w:tcBorders>
            <w:shd w:val="clear" w:color="000000" w:fill="FFFFFF"/>
            <w:noWrap/>
            <w:vAlign w:val="center"/>
            <w:hideMark/>
          </w:tcPr>
          <w:p w14:paraId="74D9FFB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1.59 (0.62, 2.76)</w:t>
            </w:r>
          </w:p>
        </w:tc>
        <w:tc>
          <w:tcPr>
            <w:tcW w:w="1720" w:type="dxa"/>
            <w:tcBorders>
              <w:top w:val="nil"/>
              <w:left w:val="nil"/>
              <w:bottom w:val="nil"/>
              <w:right w:val="nil"/>
            </w:tcBorders>
            <w:shd w:val="clear" w:color="000000" w:fill="FFFFFF"/>
            <w:noWrap/>
            <w:vAlign w:val="center"/>
            <w:hideMark/>
          </w:tcPr>
          <w:p w14:paraId="6A3473C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0.42 (0.17, 0.60)</w:t>
            </w:r>
          </w:p>
        </w:tc>
        <w:tc>
          <w:tcPr>
            <w:tcW w:w="2060" w:type="dxa"/>
            <w:tcBorders>
              <w:top w:val="nil"/>
              <w:left w:val="nil"/>
              <w:bottom w:val="nil"/>
              <w:right w:val="nil"/>
            </w:tcBorders>
            <w:shd w:val="clear" w:color="000000" w:fill="FFFFFF"/>
            <w:noWrap/>
            <w:vAlign w:val="center"/>
            <w:hideMark/>
          </w:tcPr>
          <w:p w14:paraId="794AD18A"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338 (252, 434)</w:t>
            </w:r>
          </w:p>
        </w:tc>
        <w:tc>
          <w:tcPr>
            <w:tcW w:w="2305" w:type="dxa"/>
            <w:tcBorders>
              <w:top w:val="nil"/>
              <w:left w:val="nil"/>
              <w:bottom w:val="nil"/>
              <w:right w:val="nil"/>
            </w:tcBorders>
            <w:shd w:val="clear" w:color="000000" w:fill="FFFFFF"/>
            <w:noWrap/>
            <w:vAlign w:val="center"/>
            <w:hideMark/>
          </w:tcPr>
          <w:p w14:paraId="46558E1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0.28 (0.20, 0.36)</w:t>
            </w:r>
          </w:p>
        </w:tc>
      </w:tr>
      <w:tr w:rsidR="00995E68" w:rsidRPr="00995E68" w14:paraId="0B386662" w14:textId="77777777" w:rsidTr="00995E68">
        <w:trPr>
          <w:trHeight w:val="300"/>
        </w:trPr>
        <w:tc>
          <w:tcPr>
            <w:tcW w:w="4229" w:type="dxa"/>
            <w:tcBorders>
              <w:top w:val="nil"/>
              <w:left w:val="nil"/>
              <w:bottom w:val="nil"/>
              <w:right w:val="nil"/>
            </w:tcBorders>
            <w:shd w:val="clear" w:color="000000" w:fill="FFFFFF"/>
            <w:noWrap/>
            <w:vAlign w:val="center"/>
            <w:hideMark/>
          </w:tcPr>
          <w:p w14:paraId="173A8A7E"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+ 20%</w:t>
            </w:r>
          </w:p>
        </w:tc>
        <w:tc>
          <w:tcPr>
            <w:tcW w:w="1600" w:type="dxa"/>
            <w:tcBorders>
              <w:top w:val="nil"/>
              <w:left w:val="nil"/>
              <w:bottom w:val="nil"/>
              <w:right w:val="nil"/>
            </w:tcBorders>
            <w:shd w:val="clear" w:color="000000" w:fill="FFFFFF"/>
            <w:noWrap/>
            <w:vAlign w:val="center"/>
            <w:hideMark/>
          </w:tcPr>
          <w:p w14:paraId="3BDFD42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1.29 (0.49, 2.42)</w:t>
            </w:r>
          </w:p>
        </w:tc>
        <w:tc>
          <w:tcPr>
            <w:tcW w:w="1720" w:type="dxa"/>
            <w:tcBorders>
              <w:top w:val="nil"/>
              <w:left w:val="nil"/>
              <w:bottom w:val="nil"/>
              <w:right w:val="nil"/>
            </w:tcBorders>
            <w:shd w:val="clear" w:color="000000" w:fill="FFFFFF"/>
            <w:noWrap/>
            <w:vAlign w:val="center"/>
            <w:hideMark/>
          </w:tcPr>
          <w:p w14:paraId="14DB7201"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0.45 (0.16, 0.62)</w:t>
            </w:r>
          </w:p>
        </w:tc>
        <w:tc>
          <w:tcPr>
            <w:tcW w:w="2060" w:type="dxa"/>
            <w:tcBorders>
              <w:top w:val="nil"/>
              <w:left w:val="nil"/>
              <w:bottom w:val="nil"/>
              <w:right w:val="nil"/>
            </w:tcBorders>
            <w:shd w:val="clear" w:color="000000" w:fill="FFFFFF"/>
            <w:noWrap/>
            <w:vAlign w:val="center"/>
            <w:hideMark/>
          </w:tcPr>
          <w:p w14:paraId="41B157EC"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352 (266, 458)</w:t>
            </w:r>
          </w:p>
        </w:tc>
        <w:tc>
          <w:tcPr>
            <w:tcW w:w="2305" w:type="dxa"/>
            <w:tcBorders>
              <w:top w:val="nil"/>
              <w:left w:val="nil"/>
              <w:bottom w:val="nil"/>
              <w:right w:val="nil"/>
            </w:tcBorders>
            <w:shd w:val="clear" w:color="000000" w:fill="FFFFFF"/>
            <w:noWrap/>
            <w:vAlign w:val="center"/>
            <w:hideMark/>
          </w:tcPr>
          <w:p w14:paraId="4B86BE1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0.27 (0.19, 0.35)</w:t>
            </w:r>
          </w:p>
        </w:tc>
      </w:tr>
      <w:tr w:rsidR="00995E68" w:rsidRPr="00995E68" w14:paraId="6FC36874" w14:textId="77777777" w:rsidTr="00995E68">
        <w:trPr>
          <w:trHeight w:val="300"/>
        </w:trPr>
        <w:tc>
          <w:tcPr>
            <w:tcW w:w="4229" w:type="dxa"/>
            <w:tcBorders>
              <w:top w:val="nil"/>
              <w:left w:val="nil"/>
              <w:bottom w:val="nil"/>
              <w:right w:val="nil"/>
            </w:tcBorders>
            <w:shd w:val="clear" w:color="000000" w:fill="FFFFFF"/>
            <w:noWrap/>
            <w:vAlign w:val="center"/>
            <w:hideMark/>
          </w:tcPr>
          <w:p w14:paraId="0DBC7D25"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+ 30%</w:t>
            </w:r>
          </w:p>
        </w:tc>
        <w:tc>
          <w:tcPr>
            <w:tcW w:w="1600" w:type="dxa"/>
            <w:tcBorders>
              <w:top w:val="nil"/>
              <w:left w:val="nil"/>
              <w:bottom w:val="nil"/>
              <w:right w:val="nil"/>
            </w:tcBorders>
            <w:shd w:val="clear" w:color="000000" w:fill="FFFFFF"/>
            <w:noWrap/>
            <w:vAlign w:val="center"/>
            <w:hideMark/>
          </w:tcPr>
          <w:p w14:paraId="1319A91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1.23 (0.46, 2.28)</w:t>
            </w:r>
          </w:p>
        </w:tc>
        <w:tc>
          <w:tcPr>
            <w:tcW w:w="1720" w:type="dxa"/>
            <w:tcBorders>
              <w:top w:val="nil"/>
              <w:left w:val="nil"/>
              <w:bottom w:val="nil"/>
              <w:right w:val="nil"/>
            </w:tcBorders>
            <w:shd w:val="clear" w:color="000000" w:fill="FFFFFF"/>
            <w:noWrap/>
            <w:vAlign w:val="center"/>
            <w:hideMark/>
          </w:tcPr>
          <w:p w14:paraId="5A79B1F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0.45 (0.17, 0.64)</w:t>
            </w:r>
          </w:p>
        </w:tc>
        <w:tc>
          <w:tcPr>
            <w:tcW w:w="2060" w:type="dxa"/>
            <w:tcBorders>
              <w:top w:val="nil"/>
              <w:left w:val="nil"/>
              <w:bottom w:val="nil"/>
              <w:right w:val="nil"/>
            </w:tcBorders>
            <w:shd w:val="clear" w:color="000000" w:fill="FFFFFF"/>
            <w:noWrap/>
            <w:vAlign w:val="center"/>
            <w:hideMark/>
          </w:tcPr>
          <w:p w14:paraId="09AD81A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383 (273, 483)</w:t>
            </w:r>
          </w:p>
        </w:tc>
        <w:tc>
          <w:tcPr>
            <w:tcW w:w="2305" w:type="dxa"/>
            <w:tcBorders>
              <w:top w:val="nil"/>
              <w:left w:val="nil"/>
              <w:bottom w:val="nil"/>
              <w:right w:val="nil"/>
            </w:tcBorders>
            <w:shd w:val="clear" w:color="000000" w:fill="FFFFFF"/>
            <w:noWrap/>
            <w:vAlign w:val="center"/>
            <w:hideMark/>
          </w:tcPr>
          <w:p w14:paraId="60531E6F"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0.26 (0.19, 0.33)</w:t>
            </w:r>
          </w:p>
        </w:tc>
      </w:tr>
      <w:tr w:rsidR="00995E68" w:rsidRPr="00995E68" w14:paraId="3D8C7A0F" w14:textId="77777777" w:rsidTr="00995E68">
        <w:trPr>
          <w:trHeight w:val="300"/>
        </w:trPr>
        <w:tc>
          <w:tcPr>
            <w:tcW w:w="4229" w:type="dxa"/>
            <w:tcBorders>
              <w:top w:val="nil"/>
              <w:left w:val="nil"/>
              <w:bottom w:val="nil"/>
              <w:right w:val="nil"/>
            </w:tcBorders>
            <w:shd w:val="clear" w:color="000000" w:fill="FFFFFF"/>
            <w:noWrap/>
            <w:vAlign w:val="center"/>
            <w:hideMark/>
          </w:tcPr>
          <w:p w14:paraId="368B2C11"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+ 40%</w:t>
            </w:r>
          </w:p>
        </w:tc>
        <w:tc>
          <w:tcPr>
            <w:tcW w:w="1600" w:type="dxa"/>
            <w:tcBorders>
              <w:top w:val="nil"/>
              <w:left w:val="nil"/>
              <w:bottom w:val="nil"/>
              <w:right w:val="nil"/>
            </w:tcBorders>
            <w:shd w:val="clear" w:color="000000" w:fill="FFFFFF"/>
            <w:noWrap/>
            <w:vAlign w:val="center"/>
            <w:hideMark/>
          </w:tcPr>
          <w:p w14:paraId="142660D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1.08 (0.29, 1.94)</w:t>
            </w:r>
          </w:p>
        </w:tc>
        <w:tc>
          <w:tcPr>
            <w:tcW w:w="1720" w:type="dxa"/>
            <w:tcBorders>
              <w:top w:val="nil"/>
              <w:left w:val="nil"/>
              <w:bottom w:val="nil"/>
              <w:right w:val="nil"/>
            </w:tcBorders>
            <w:shd w:val="clear" w:color="000000" w:fill="FFFFFF"/>
            <w:noWrap/>
            <w:vAlign w:val="center"/>
            <w:hideMark/>
          </w:tcPr>
          <w:p w14:paraId="1F5D073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0.53 (0.24, 0.67)</w:t>
            </w:r>
          </w:p>
        </w:tc>
        <w:tc>
          <w:tcPr>
            <w:tcW w:w="2060" w:type="dxa"/>
            <w:tcBorders>
              <w:top w:val="nil"/>
              <w:left w:val="nil"/>
              <w:bottom w:val="nil"/>
              <w:right w:val="nil"/>
            </w:tcBorders>
            <w:shd w:val="clear" w:color="000000" w:fill="FFFFFF"/>
            <w:noWrap/>
            <w:vAlign w:val="center"/>
            <w:hideMark/>
          </w:tcPr>
          <w:p w14:paraId="4EE9D7C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368 (280, 488)</w:t>
            </w:r>
          </w:p>
        </w:tc>
        <w:tc>
          <w:tcPr>
            <w:tcW w:w="2305" w:type="dxa"/>
            <w:tcBorders>
              <w:top w:val="nil"/>
              <w:left w:val="nil"/>
              <w:bottom w:val="nil"/>
              <w:right w:val="nil"/>
            </w:tcBorders>
            <w:shd w:val="clear" w:color="000000" w:fill="FFFFFF"/>
            <w:noWrap/>
            <w:vAlign w:val="center"/>
            <w:hideMark/>
          </w:tcPr>
          <w:p w14:paraId="7C07426E"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0.23 (0.18, 0.31)</w:t>
            </w:r>
          </w:p>
        </w:tc>
      </w:tr>
      <w:tr w:rsidR="00995E68" w:rsidRPr="00995E68" w14:paraId="72FBFD48" w14:textId="77777777" w:rsidTr="00995E68">
        <w:trPr>
          <w:trHeight w:val="300"/>
        </w:trPr>
        <w:tc>
          <w:tcPr>
            <w:tcW w:w="4229" w:type="dxa"/>
            <w:tcBorders>
              <w:top w:val="nil"/>
              <w:left w:val="nil"/>
              <w:bottom w:val="nil"/>
              <w:right w:val="nil"/>
            </w:tcBorders>
            <w:shd w:val="clear" w:color="000000" w:fill="FFFFFF"/>
            <w:noWrap/>
            <w:vAlign w:val="center"/>
            <w:hideMark/>
          </w:tcPr>
          <w:p w14:paraId="51337447"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+ 50%</w:t>
            </w:r>
          </w:p>
        </w:tc>
        <w:tc>
          <w:tcPr>
            <w:tcW w:w="1600" w:type="dxa"/>
            <w:tcBorders>
              <w:top w:val="nil"/>
              <w:left w:val="nil"/>
              <w:bottom w:val="nil"/>
              <w:right w:val="nil"/>
            </w:tcBorders>
            <w:shd w:val="clear" w:color="000000" w:fill="FFFFFF"/>
            <w:noWrap/>
            <w:vAlign w:val="center"/>
            <w:hideMark/>
          </w:tcPr>
          <w:p w14:paraId="3E00B809"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0.94 (0.30, 1.49)</w:t>
            </w:r>
          </w:p>
        </w:tc>
        <w:tc>
          <w:tcPr>
            <w:tcW w:w="1720" w:type="dxa"/>
            <w:tcBorders>
              <w:top w:val="nil"/>
              <w:left w:val="nil"/>
              <w:bottom w:val="nil"/>
              <w:right w:val="nil"/>
            </w:tcBorders>
            <w:shd w:val="clear" w:color="000000" w:fill="FFFFFF"/>
            <w:noWrap/>
            <w:vAlign w:val="center"/>
            <w:hideMark/>
          </w:tcPr>
          <w:p w14:paraId="3CA10ED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0.51 (0.27, 0.66)</w:t>
            </w:r>
          </w:p>
        </w:tc>
        <w:tc>
          <w:tcPr>
            <w:tcW w:w="2060" w:type="dxa"/>
            <w:tcBorders>
              <w:top w:val="nil"/>
              <w:left w:val="nil"/>
              <w:bottom w:val="nil"/>
              <w:right w:val="nil"/>
            </w:tcBorders>
            <w:shd w:val="clear" w:color="000000" w:fill="FFFFFF"/>
            <w:noWrap/>
            <w:vAlign w:val="center"/>
            <w:hideMark/>
          </w:tcPr>
          <w:p w14:paraId="09C3BC6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386 (301, 494)</w:t>
            </w:r>
          </w:p>
        </w:tc>
        <w:tc>
          <w:tcPr>
            <w:tcW w:w="2305" w:type="dxa"/>
            <w:tcBorders>
              <w:top w:val="nil"/>
              <w:left w:val="nil"/>
              <w:bottom w:val="nil"/>
              <w:right w:val="nil"/>
            </w:tcBorders>
            <w:shd w:val="clear" w:color="000000" w:fill="FFFFFF"/>
            <w:noWrap/>
            <w:vAlign w:val="center"/>
            <w:hideMark/>
          </w:tcPr>
          <w:p w14:paraId="351EA06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0.23 (0.18, 0.29)</w:t>
            </w:r>
          </w:p>
        </w:tc>
      </w:tr>
      <w:tr w:rsidR="00995E68" w:rsidRPr="00995E68" w14:paraId="7A1C287C" w14:textId="77777777" w:rsidTr="00995E68">
        <w:trPr>
          <w:trHeight w:val="300"/>
        </w:trPr>
        <w:tc>
          <w:tcPr>
            <w:tcW w:w="4229" w:type="dxa"/>
            <w:tcBorders>
              <w:top w:val="nil"/>
              <w:left w:val="nil"/>
              <w:bottom w:val="nil"/>
              <w:right w:val="nil"/>
            </w:tcBorders>
            <w:shd w:val="clear" w:color="000000" w:fill="FFFFFF"/>
            <w:vAlign w:val="center"/>
            <w:hideMark/>
          </w:tcPr>
          <w:p w14:paraId="4830B502" w14:textId="77777777" w:rsidR="00995E68" w:rsidRPr="00995E68" w:rsidRDefault="00995E68" w:rsidP="00995E68">
            <w:pPr>
              <w:rPr>
                <w:rFonts w:ascii="Helvetica Neue" w:hAnsi="Helvetica Neue"/>
                <w:b/>
                <w:bCs/>
                <w:sz w:val="18"/>
                <w:szCs w:val="18"/>
              </w:rPr>
            </w:pPr>
            <w:r w:rsidRPr="00995E68">
              <w:rPr>
                <w:rFonts w:ascii="Helvetica Neue" w:hAnsi="Helvetica Neue"/>
                <w:b/>
                <w:bCs/>
                <w:sz w:val="18"/>
                <w:szCs w:val="18"/>
              </w:rPr>
              <w:t>EPT Uptake by Non-Index Partner (20% Coverage)</w:t>
            </w:r>
          </w:p>
        </w:tc>
        <w:tc>
          <w:tcPr>
            <w:tcW w:w="1600" w:type="dxa"/>
            <w:tcBorders>
              <w:top w:val="nil"/>
              <w:left w:val="nil"/>
              <w:bottom w:val="nil"/>
              <w:right w:val="nil"/>
            </w:tcBorders>
            <w:shd w:val="clear" w:color="000000" w:fill="FFFFFF"/>
            <w:noWrap/>
            <w:vAlign w:val="center"/>
            <w:hideMark/>
          </w:tcPr>
          <w:p w14:paraId="0F9CDF5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10304594"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060" w:type="dxa"/>
            <w:tcBorders>
              <w:top w:val="nil"/>
              <w:left w:val="nil"/>
              <w:bottom w:val="nil"/>
              <w:right w:val="nil"/>
            </w:tcBorders>
            <w:shd w:val="clear" w:color="000000" w:fill="FFFFFF"/>
            <w:noWrap/>
            <w:vAlign w:val="center"/>
            <w:hideMark/>
          </w:tcPr>
          <w:p w14:paraId="26E9EAC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c>
          <w:tcPr>
            <w:tcW w:w="2305" w:type="dxa"/>
            <w:tcBorders>
              <w:top w:val="nil"/>
              <w:left w:val="nil"/>
              <w:bottom w:val="nil"/>
              <w:right w:val="nil"/>
            </w:tcBorders>
            <w:shd w:val="clear" w:color="000000" w:fill="FFFFFF"/>
            <w:noWrap/>
            <w:vAlign w:val="center"/>
            <w:hideMark/>
          </w:tcPr>
          <w:p w14:paraId="76DF932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 </w:t>
            </w:r>
          </w:p>
        </w:tc>
      </w:tr>
      <w:tr w:rsidR="00995E68" w:rsidRPr="00995E68" w14:paraId="4FDBC3E9" w14:textId="77777777" w:rsidTr="00995E68">
        <w:trPr>
          <w:trHeight w:val="300"/>
        </w:trPr>
        <w:tc>
          <w:tcPr>
            <w:tcW w:w="4229" w:type="dxa"/>
            <w:tcBorders>
              <w:top w:val="nil"/>
              <w:left w:val="nil"/>
              <w:bottom w:val="nil"/>
              <w:right w:val="nil"/>
            </w:tcBorders>
            <w:shd w:val="clear" w:color="000000" w:fill="FFFFFF"/>
            <w:noWrap/>
            <w:vAlign w:val="center"/>
            <w:hideMark/>
          </w:tcPr>
          <w:p w14:paraId="254A129C"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+ 10%</w:t>
            </w:r>
          </w:p>
        </w:tc>
        <w:tc>
          <w:tcPr>
            <w:tcW w:w="1600" w:type="dxa"/>
            <w:tcBorders>
              <w:top w:val="nil"/>
              <w:left w:val="nil"/>
              <w:bottom w:val="nil"/>
              <w:right w:val="nil"/>
            </w:tcBorders>
            <w:shd w:val="clear" w:color="000000" w:fill="FFFFFF"/>
            <w:noWrap/>
            <w:vAlign w:val="center"/>
            <w:hideMark/>
          </w:tcPr>
          <w:p w14:paraId="25B8C45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1.61 (0.66, 2.45)</w:t>
            </w:r>
          </w:p>
        </w:tc>
        <w:tc>
          <w:tcPr>
            <w:tcW w:w="1720" w:type="dxa"/>
            <w:tcBorders>
              <w:top w:val="nil"/>
              <w:left w:val="nil"/>
              <w:bottom w:val="nil"/>
              <w:right w:val="nil"/>
            </w:tcBorders>
            <w:shd w:val="clear" w:color="000000" w:fill="FFFFFF"/>
            <w:noWrap/>
            <w:vAlign w:val="center"/>
            <w:hideMark/>
          </w:tcPr>
          <w:p w14:paraId="3C51E785"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0.39 (0.13, 0.58)</w:t>
            </w:r>
          </w:p>
        </w:tc>
        <w:tc>
          <w:tcPr>
            <w:tcW w:w="2060" w:type="dxa"/>
            <w:tcBorders>
              <w:top w:val="nil"/>
              <w:left w:val="nil"/>
              <w:bottom w:val="nil"/>
              <w:right w:val="nil"/>
            </w:tcBorders>
            <w:shd w:val="clear" w:color="000000" w:fill="FFFFFF"/>
            <w:noWrap/>
            <w:vAlign w:val="center"/>
            <w:hideMark/>
          </w:tcPr>
          <w:p w14:paraId="2D2BBAF3"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338 (261, 430)</w:t>
            </w:r>
          </w:p>
        </w:tc>
        <w:tc>
          <w:tcPr>
            <w:tcW w:w="2305" w:type="dxa"/>
            <w:tcBorders>
              <w:top w:val="nil"/>
              <w:left w:val="nil"/>
              <w:bottom w:val="nil"/>
              <w:right w:val="nil"/>
            </w:tcBorders>
            <w:shd w:val="clear" w:color="000000" w:fill="FFFFFF"/>
            <w:noWrap/>
            <w:vAlign w:val="center"/>
            <w:hideMark/>
          </w:tcPr>
          <w:p w14:paraId="01AFC9C2"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0.28 (0.21, 0.36)</w:t>
            </w:r>
          </w:p>
        </w:tc>
      </w:tr>
      <w:tr w:rsidR="00995E68" w:rsidRPr="00995E68" w14:paraId="30F10E06" w14:textId="77777777" w:rsidTr="00995E68">
        <w:trPr>
          <w:trHeight w:val="315"/>
        </w:trPr>
        <w:tc>
          <w:tcPr>
            <w:tcW w:w="4229" w:type="dxa"/>
            <w:tcBorders>
              <w:top w:val="nil"/>
              <w:left w:val="nil"/>
              <w:bottom w:val="double" w:sz="6" w:space="0" w:color="auto"/>
              <w:right w:val="nil"/>
            </w:tcBorders>
            <w:shd w:val="clear" w:color="000000" w:fill="FFFFFF"/>
            <w:noWrap/>
            <w:vAlign w:val="center"/>
            <w:hideMark/>
          </w:tcPr>
          <w:p w14:paraId="3CF79079" w14:textId="77777777" w:rsidR="00995E68" w:rsidRPr="00995E68" w:rsidRDefault="00995E68" w:rsidP="00995E68">
            <w:pPr>
              <w:ind w:firstLineChars="100" w:firstLine="180"/>
              <w:rPr>
                <w:rFonts w:ascii="Helvetica Neue" w:hAnsi="Helvetica Neue"/>
                <w:sz w:val="18"/>
                <w:szCs w:val="18"/>
              </w:rPr>
            </w:pPr>
            <w:r w:rsidRPr="00995E68">
              <w:rPr>
                <w:rFonts w:ascii="Helvetica Neue" w:hAnsi="Helvetica Neue"/>
                <w:sz w:val="18"/>
                <w:szCs w:val="18"/>
              </w:rPr>
              <w:t>Base + 20%</w:t>
            </w:r>
          </w:p>
        </w:tc>
        <w:tc>
          <w:tcPr>
            <w:tcW w:w="1600" w:type="dxa"/>
            <w:tcBorders>
              <w:top w:val="nil"/>
              <w:left w:val="nil"/>
              <w:bottom w:val="double" w:sz="6" w:space="0" w:color="auto"/>
              <w:right w:val="nil"/>
            </w:tcBorders>
            <w:shd w:val="clear" w:color="000000" w:fill="FFFFFF"/>
            <w:noWrap/>
            <w:vAlign w:val="center"/>
            <w:hideMark/>
          </w:tcPr>
          <w:p w14:paraId="006E3FBD"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1.20 (0.51, 2.22)</w:t>
            </w:r>
          </w:p>
        </w:tc>
        <w:tc>
          <w:tcPr>
            <w:tcW w:w="1720" w:type="dxa"/>
            <w:tcBorders>
              <w:top w:val="nil"/>
              <w:left w:val="nil"/>
              <w:bottom w:val="double" w:sz="6" w:space="0" w:color="auto"/>
              <w:right w:val="nil"/>
            </w:tcBorders>
            <w:shd w:val="clear" w:color="000000" w:fill="FFFFFF"/>
            <w:noWrap/>
            <w:vAlign w:val="center"/>
            <w:hideMark/>
          </w:tcPr>
          <w:p w14:paraId="208FD79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0.45 (0.20, 0.62)</w:t>
            </w:r>
          </w:p>
        </w:tc>
        <w:tc>
          <w:tcPr>
            <w:tcW w:w="2060" w:type="dxa"/>
            <w:tcBorders>
              <w:top w:val="nil"/>
              <w:left w:val="nil"/>
              <w:bottom w:val="double" w:sz="6" w:space="0" w:color="auto"/>
              <w:right w:val="nil"/>
            </w:tcBorders>
            <w:shd w:val="clear" w:color="000000" w:fill="FFFFFF"/>
            <w:noWrap/>
            <w:vAlign w:val="center"/>
            <w:hideMark/>
          </w:tcPr>
          <w:p w14:paraId="494F13A6"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346 (258, 429)</w:t>
            </w:r>
          </w:p>
        </w:tc>
        <w:tc>
          <w:tcPr>
            <w:tcW w:w="2305" w:type="dxa"/>
            <w:tcBorders>
              <w:top w:val="nil"/>
              <w:left w:val="nil"/>
              <w:bottom w:val="double" w:sz="6" w:space="0" w:color="auto"/>
              <w:right w:val="nil"/>
            </w:tcBorders>
            <w:shd w:val="clear" w:color="000000" w:fill="FFFFFF"/>
            <w:noWrap/>
            <w:vAlign w:val="center"/>
            <w:hideMark/>
          </w:tcPr>
          <w:p w14:paraId="79B1B170"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0.26 (0.20, 0.33)</w:t>
            </w:r>
          </w:p>
        </w:tc>
      </w:tr>
      <w:tr w:rsidR="00995E68" w:rsidRPr="00995E68" w14:paraId="4E88621C" w14:textId="77777777" w:rsidTr="00995E68">
        <w:trPr>
          <w:trHeight w:val="885"/>
        </w:trPr>
        <w:tc>
          <w:tcPr>
            <w:tcW w:w="11914" w:type="dxa"/>
            <w:gridSpan w:val="5"/>
            <w:tcBorders>
              <w:top w:val="nil"/>
              <w:left w:val="nil"/>
              <w:bottom w:val="nil"/>
              <w:right w:val="nil"/>
            </w:tcBorders>
            <w:shd w:val="clear" w:color="000000" w:fill="FFFFFF"/>
            <w:vAlign w:val="center"/>
            <w:hideMark/>
          </w:tcPr>
          <w:p w14:paraId="2AB3CB3B" w14:textId="77777777" w:rsidR="00995E68" w:rsidRPr="00995E68" w:rsidRDefault="00995E68" w:rsidP="00995E68">
            <w:pPr>
              <w:rPr>
                <w:rFonts w:ascii="Helvetica Neue" w:hAnsi="Helvetica Neue"/>
                <w:sz w:val="18"/>
                <w:szCs w:val="18"/>
              </w:rPr>
            </w:pPr>
            <w:r w:rsidRPr="00995E68">
              <w:rPr>
                <w:rFonts w:ascii="Helvetica Neue" w:hAnsi="Helvetica Neue"/>
                <w:sz w:val="18"/>
                <w:szCs w:val="18"/>
              </w:rPr>
              <w:t>IQR: interquartile range (25% and 75% percentiles) of the simulation outcomes; Incidence expressed per 100 person-years at risk at final year of simulation; All outcomes are compared to the reference model.</w:t>
            </w:r>
          </w:p>
        </w:tc>
      </w:tr>
    </w:tbl>
    <w:p w14:paraId="4D96250B" w14:textId="1604BA69" w:rsidR="00C80E13" w:rsidRDefault="00C80E13" w:rsidP="007751E4">
      <w:pPr>
        <w:spacing w:line="360" w:lineRule="auto"/>
        <w:rPr>
          <w:rFonts w:ascii="Helvetica Neue" w:hAnsi="Helvetica Neue"/>
          <w:sz w:val="20"/>
        </w:rPr>
      </w:pPr>
    </w:p>
    <w:p w14:paraId="2EDEBE26" w14:textId="49364C07" w:rsidR="006D5116" w:rsidRDefault="006D5116" w:rsidP="007751E4">
      <w:pPr>
        <w:spacing w:line="360" w:lineRule="auto"/>
        <w:rPr>
          <w:noProof/>
        </w:rPr>
      </w:pPr>
    </w:p>
    <w:p w14:paraId="430F835B" w14:textId="13ED86CB" w:rsidR="00B14E9F" w:rsidRDefault="00B14E9F" w:rsidP="007751E4">
      <w:pPr>
        <w:spacing w:line="360" w:lineRule="auto"/>
        <w:rPr>
          <w:noProof/>
        </w:rPr>
      </w:pPr>
    </w:p>
    <w:tbl>
      <w:tblPr>
        <w:tblW w:w="11874" w:type="dxa"/>
        <w:tblInd w:w="-1253" w:type="dxa"/>
        <w:tblLook w:val="04A0" w:firstRow="1" w:lastRow="0" w:firstColumn="1" w:lastColumn="0" w:noHBand="0" w:noVBand="1"/>
      </w:tblPr>
      <w:tblGrid>
        <w:gridCol w:w="4229"/>
        <w:gridCol w:w="1680"/>
        <w:gridCol w:w="1720"/>
        <w:gridCol w:w="2001"/>
        <w:gridCol w:w="2244"/>
      </w:tblGrid>
      <w:tr w:rsidR="00B14E9F" w:rsidRPr="00B14E9F" w14:paraId="3B52F686" w14:textId="77777777" w:rsidTr="00B14E9F">
        <w:trPr>
          <w:trHeight w:val="810"/>
        </w:trPr>
        <w:tc>
          <w:tcPr>
            <w:tcW w:w="11874" w:type="dxa"/>
            <w:gridSpan w:val="5"/>
            <w:tcBorders>
              <w:top w:val="nil"/>
              <w:left w:val="nil"/>
              <w:bottom w:val="nil"/>
              <w:right w:val="nil"/>
            </w:tcBorders>
            <w:shd w:val="clear" w:color="000000" w:fill="FFFFFF"/>
            <w:vAlign w:val="center"/>
            <w:hideMark/>
          </w:tcPr>
          <w:p w14:paraId="083D8639" w14:textId="329CF80A" w:rsidR="00B14E9F" w:rsidRPr="00B14E9F" w:rsidRDefault="00B14E9F" w:rsidP="00FE6CB3">
            <w:pPr>
              <w:rPr>
                <w:rFonts w:ascii="Helvetica Neue" w:hAnsi="Helvetica Neue"/>
                <w:sz w:val="18"/>
                <w:szCs w:val="18"/>
              </w:rPr>
            </w:pPr>
            <w:r w:rsidRPr="00B14E9F">
              <w:rPr>
                <w:rFonts w:ascii="Helvetica Neue" w:hAnsi="Helvetica Neue"/>
                <w:b/>
                <w:bCs/>
                <w:sz w:val="18"/>
                <w:szCs w:val="18"/>
              </w:rPr>
              <w:lastRenderedPageBreak/>
              <w:t xml:space="preserve">Supplementary Table </w:t>
            </w:r>
            <w:r w:rsidR="00FE6CB3" w:rsidRPr="00C64231">
              <w:rPr>
                <w:rFonts w:ascii="Helvetica Neue" w:hAnsi="Helvetica Neue"/>
                <w:b/>
                <w:bCs/>
                <w:sz w:val="18"/>
                <w:szCs w:val="18"/>
                <w:highlight w:val="yellow"/>
              </w:rPr>
              <w:t>7</w:t>
            </w:r>
            <w:r w:rsidRPr="00B14E9F">
              <w:rPr>
                <w:rFonts w:ascii="Helvetica Neue" w:hAnsi="Helvetica Neue"/>
                <w:b/>
                <w:bCs/>
                <w:sz w:val="18"/>
                <w:szCs w:val="18"/>
              </w:rPr>
              <w:t xml:space="preserve">. </w:t>
            </w:r>
            <w:r w:rsidRPr="00B14E9F">
              <w:rPr>
                <w:rFonts w:ascii="Helvetica Neue" w:hAnsi="Helvetica Neue"/>
                <w:sz w:val="18"/>
                <w:szCs w:val="18"/>
              </w:rPr>
              <w:t>Chlamydia (CT) Incidence, Percent of Infections Averted (PIA), Expedited Partner Therapy (EPT) Doses Taken by Partners, and Per-Capita Number of Times Infected Across EPT Pr</w:t>
            </w:r>
            <w:r w:rsidR="00B34636">
              <w:rPr>
                <w:rFonts w:ascii="Helvetica Neue" w:hAnsi="Helvetica Neue"/>
                <w:sz w:val="18"/>
                <w:szCs w:val="18"/>
              </w:rPr>
              <w:t>o</w:t>
            </w:r>
            <w:r w:rsidRPr="00B14E9F">
              <w:rPr>
                <w:rFonts w:ascii="Helvetica Neue" w:hAnsi="Helvetica Neue"/>
                <w:sz w:val="18"/>
                <w:szCs w:val="18"/>
              </w:rPr>
              <w:t>vision (Distribution to Partner) Levels, Limited by Partnership Type, among Men Who Have Sex with Men</w:t>
            </w:r>
          </w:p>
        </w:tc>
      </w:tr>
      <w:tr w:rsidR="00B14E9F" w:rsidRPr="00B14E9F" w14:paraId="5BBEEE18" w14:textId="77777777" w:rsidTr="00B14E9F">
        <w:trPr>
          <w:trHeight w:val="720"/>
        </w:trPr>
        <w:tc>
          <w:tcPr>
            <w:tcW w:w="4229" w:type="dxa"/>
            <w:tcBorders>
              <w:top w:val="single" w:sz="4" w:space="0" w:color="auto"/>
              <w:left w:val="nil"/>
              <w:bottom w:val="single" w:sz="4" w:space="0" w:color="auto"/>
              <w:right w:val="nil"/>
            </w:tcBorders>
            <w:shd w:val="clear" w:color="000000" w:fill="FFFFFF"/>
            <w:noWrap/>
            <w:vAlign w:val="center"/>
            <w:hideMark/>
          </w:tcPr>
          <w:p w14:paraId="78C846E5"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 </w:t>
            </w:r>
          </w:p>
        </w:tc>
        <w:tc>
          <w:tcPr>
            <w:tcW w:w="1680" w:type="dxa"/>
            <w:tcBorders>
              <w:top w:val="single" w:sz="4" w:space="0" w:color="auto"/>
              <w:left w:val="nil"/>
              <w:bottom w:val="single" w:sz="4" w:space="0" w:color="auto"/>
              <w:right w:val="nil"/>
            </w:tcBorders>
            <w:shd w:val="clear" w:color="auto" w:fill="auto"/>
            <w:vAlign w:val="center"/>
            <w:hideMark/>
          </w:tcPr>
          <w:p w14:paraId="3654C5B0" w14:textId="77777777" w:rsidR="00B14E9F" w:rsidRPr="00B14E9F" w:rsidRDefault="00B14E9F" w:rsidP="00B14E9F">
            <w:pPr>
              <w:rPr>
                <w:rFonts w:ascii="Helvetica Neue" w:hAnsi="Helvetica Neue"/>
                <w:i/>
                <w:iCs/>
                <w:sz w:val="18"/>
                <w:szCs w:val="18"/>
              </w:rPr>
            </w:pPr>
            <w:r w:rsidRPr="00B14E9F">
              <w:rPr>
                <w:rFonts w:ascii="Helvetica Neue" w:hAnsi="Helvetica Neue"/>
                <w:b/>
                <w:bCs/>
                <w:sz w:val="18"/>
                <w:szCs w:val="18"/>
              </w:rPr>
              <w:t xml:space="preserve">Incidence </w:t>
            </w:r>
            <w:r w:rsidRPr="00B14E9F">
              <w:rPr>
                <w:rFonts w:ascii="Helvetica Neue" w:hAnsi="Helvetica Neue"/>
                <w:i/>
                <w:iCs/>
                <w:sz w:val="18"/>
                <w:szCs w:val="18"/>
              </w:rPr>
              <w:br/>
              <w:t>(Median, IQR)</w:t>
            </w:r>
          </w:p>
        </w:tc>
        <w:tc>
          <w:tcPr>
            <w:tcW w:w="1720" w:type="dxa"/>
            <w:tcBorders>
              <w:top w:val="single" w:sz="4" w:space="0" w:color="auto"/>
              <w:left w:val="nil"/>
              <w:bottom w:val="single" w:sz="4" w:space="0" w:color="auto"/>
              <w:right w:val="nil"/>
            </w:tcBorders>
            <w:shd w:val="clear" w:color="auto" w:fill="auto"/>
            <w:vAlign w:val="center"/>
            <w:hideMark/>
          </w:tcPr>
          <w:p w14:paraId="6D30CC93" w14:textId="77777777" w:rsidR="00B14E9F" w:rsidRPr="00B14E9F" w:rsidRDefault="00B14E9F" w:rsidP="00B14E9F">
            <w:pPr>
              <w:rPr>
                <w:rFonts w:ascii="Helvetica Neue" w:hAnsi="Helvetica Neue"/>
                <w:i/>
                <w:iCs/>
                <w:sz w:val="18"/>
                <w:szCs w:val="18"/>
              </w:rPr>
            </w:pPr>
            <w:r w:rsidRPr="00B14E9F">
              <w:rPr>
                <w:rFonts w:ascii="Helvetica Neue" w:hAnsi="Helvetica Neue"/>
                <w:b/>
                <w:bCs/>
                <w:sz w:val="18"/>
                <w:szCs w:val="18"/>
              </w:rPr>
              <w:t>Cumulative PIA</w:t>
            </w:r>
            <w:r w:rsidRPr="00B14E9F">
              <w:rPr>
                <w:rFonts w:ascii="Helvetica Neue" w:hAnsi="Helvetica Neue"/>
                <w:i/>
                <w:iCs/>
                <w:sz w:val="18"/>
                <w:szCs w:val="18"/>
              </w:rPr>
              <w:t xml:space="preserve"> (Median, IQR)</w:t>
            </w:r>
          </w:p>
        </w:tc>
        <w:tc>
          <w:tcPr>
            <w:tcW w:w="2001" w:type="dxa"/>
            <w:tcBorders>
              <w:top w:val="single" w:sz="4" w:space="0" w:color="auto"/>
              <w:left w:val="nil"/>
              <w:bottom w:val="single" w:sz="4" w:space="0" w:color="auto"/>
              <w:right w:val="nil"/>
            </w:tcBorders>
            <w:shd w:val="clear" w:color="auto" w:fill="auto"/>
            <w:vAlign w:val="center"/>
            <w:hideMark/>
          </w:tcPr>
          <w:p w14:paraId="042502DD" w14:textId="77777777" w:rsidR="00B14E9F" w:rsidRPr="00B14E9F" w:rsidRDefault="00B14E9F" w:rsidP="00B14E9F">
            <w:pPr>
              <w:rPr>
                <w:rFonts w:ascii="Helvetica Neue" w:hAnsi="Helvetica Neue"/>
                <w:i/>
                <w:iCs/>
                <w:sz w:val="18"/>
                <w:szCs w:val="18"/>
              </w:rPr>
            </w:pPr>
            <w:r w:rsidRPr="00B14E9F">
              <w:rPr>
                <w:rFonts w:ascii="Helvetica Neue" w:hAnsi="Helvetica Neue"/>
                <w:b/>
                <w:bCs/>
                <w:sz w:val="18"/>
                <w:szCs w:val="18"/>
              </w:rPr>
              <w:t>Total EPT Doses Taken</w:t>
            </w:r>
            <w:r w:rsidRPr="00B14E9F">
              <w:rPr>
                <w:rFonts w:ascii="Helvetica Neue" w:hAnsi="Helvetica Neue"/>
                <w:i/>
                <w:iCs/>
                <w:sz w:val="18"/>
                <w:szCs w:val="18"/>
              </w:rPr>
              <w:t xml:space="preserve"> (Median, IQR)</w:t>
            </w:r>
          </w:p>
        </w:tc>
        <w:tc>
          <w:tcPr>
            <w:tcW w:w="2244" w:type="dxa"/>
            <w:tcBorders>
              <w:top w:val="single" w:sz="4" w:space="0" w:color="auto"/>
              <w:left w:val="nil"/>
              <w:bottom w:val="single" w:sz="4" w:space="0" w:color="auto"/>
              <w:right w:val="nil"/>
            </w:tcBorders>
            <w:shd w:val="clear" w:color="auto" w:fill="auto"/>
            <w:vAlign w:val="center"/>
            <w:hideMark/>
          </w:tcPr>
          <w:p w14:paraId="1AEB9BA6" w14:textId="77777777" w:rsidR="00B14E9F" w:rsidRPr="00B14E9F" w:rsidRDefault="00B14E9F" w:rsidP="00B14E9F">
            <w:pPr>
              <w:rPr>
                <w:rFonts w:ascii="Helvetica Neue" w:hAnsi="Helvetica Neue"/>
                <w:i/>
                <w:iCs/>
                <w:sz w:val="18"/>
                <w:szCs w:val="18"/>
              </w:rPr>
            </w:pPr>
            <w:r w:rsidRPr="00B14E9F">
              <w:rPr>
                <w:rFonts w:ascii="Helvetica Neue" w:hAnsi="Helvetica Neue"/>
                <w:b/>
                <w:bCs/>
                <w:sz w:val="18"/>
                <w:szCs w:val="18"/>
              </w:rPr>
              <w:t xml:space="preserve">Per-Capita Times Infected </w:t>
            </w:r>
            <w:r w:rsidRPr="00B14E9F">
              <w:rPr>
                <w:rFonts w:ascii="Helvetica Neue" w:hAnsi="Helvetica Neue"/>
                <w:i/>
                <w:iCs/>
                <w:sz w:val="18"/>
                <w:szCs w:val="18"/>
              </w:rPr>
              <w:br/>
              <w:t>(Median, IQR)</w:t>
            </w:r>
          </w:p>
        </w:tc>
      </w:tr>
      <w:tr w:rsidR="00B14E9F" w:rsidRPr="00B14E9F" w14:paraId="73284EDC" w14:textId="77777777" w:rsidTr="00B14E9F">
        <w:trPr>
          <w:trHeight w:val="300"/>
        </w:trPr>
        <w:tc>
          <w:tcPr>
            <w:tcW w:w="4229" w:type="dxa"/>
            <w:tcBorders>
              <w:top w:val="nil"/>
              <w:left w:val="nil"/>
              <w:bottom w:val="nil"/>
              <w:right w:val="nil"/>
            </w:tcBorders>
            <w:shd w:val="clear" w:color="000000" w:fill="FFFFFF"/>
            <w:vAlign w:val="center"/>
            <w:hideMark/>
          </w:tcPr>
          <w:p w14:paraId="46C0F0CD"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Reference Model</w:t>
            </w:r>
          </w:p>
        </w:tc>
        <w:tc>
          <w:tcPr>
            <w:tcW w:w="1680" w:type="dxa"/>
            <w:tcBorders>
              <w:top w:val="nil"/>
              <w:left w:val="nil"/>
              <w:bottom w:val="nil"/>
              <w:right w:val="nil"/>
            </w:tcBorders>
            <w:shd w:val="clear" w:color="000000" w:fill="FFFFFF"/>
            <w:noWrap/>
            <w:vAlign w:val="center"/>
            <w:hideMark/>
          </w:tcPr>
          <w:p w14:paraId="72E2B96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6.85 (5.94, 7.85)</w:t>
            </w:r>
          </w:p>
        </w:tc>
        <w:tc>
          <w:tcPr>
            <w:tcW w:w="1720" w:type="dxa"/>
            <w:tcBorders>
              <w:top w:val="nil"/>
              <w:left w:val="nil"/>
              <w:bottom w:val="nil"/>
              <w:right w:val="nil"/>
            </w:tcBorders>
            <w:shd w:val="clear" w:color="000000" w:fill="FFFFFF"/>
            <w:noWrap/>
            <w:vAlign w:val="center"/>
            <w:hideMark/>
          </w:tcPr>
          <w:p w14:paraId="7EEF381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w:t>
            </w:r>
          </w:p>
        </w:tc>
        <w:tc>
          <w:tcPr>
            <w:tcW w:w="2001" w:type="dxa"/>
            <w:tcBorders>
              <w:top w:val="nil"/>
              <w:left w:val="nil"/>
              <w:bottom w:val="nil"/>
              <w:right w:val="nil"/>
            </w:tcBorders>
            <w:shd w:val="clear" w:color="000000" w:fill="FFFFFF"/>
            <w:noWrap/>
            <w:vAlign w:val="center"/>
            <w:hideMark/>
          </w:tcPr>
          <w:p w14:paraId="3A48F4C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w:t>
            </w:r>
          </w:p>
        </w:tc>
        <w:tc>
          <w:tcPr>
            <w:tcW w:w="2244" w:type="dxa"/>
            <w:tcBorders>
              <w:top w:val="nil"/>
              <w:left w:val="nil"/>
              <w:bottom w:val="nil"/>
              <w:right w:val="nil"/>
            </w:tcBorders>
            <w:shd w:val="clear" w:color="000000" w:fill="FFFFFF"/>
            <w:noWrap/>
            <w:vAlign w:val="center"/>
            <w:hideMark/>
          </w:tcPr>
          <w:p w14:paraId="1BE31EF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0.72 (0.65, 0.79)</w:t>
            </w:r>
          </w:p>
        </w:tc>
      </w:tr>
      <w:tr w:rsidR="00B14E9F" w:rsidRPr="00B14E9F" w14:paraId="7E124835" w14:textId="77777777" w:rsidTr="00B14E9F">
        <w:trPr>
          <w:trHeight w:val="300"/>
        </w:trPr>
        <w:tc>
          <w:tcPr>
            <w:tcW w:w="4229" w:type="dxa"/>
            <w:tcBorders>
              <w:top w:val="nil"/>
              <w:left w:val="nil"/>
              <w:bottom w:val="nil"/>
              <w:right w:val="nil"/>
            </w:tcBorders>
            <w:shd w:val="clear" w:color="000000" w:fill="FFFFFF"/>
            <w:vAlign w:val="center"/>
            <w:hideMark/>
          </w:tcPr>
          <w:p w14:paraId="6C66394B"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EPT Coverage (Provision to Index)</w:t>
            </w:r>
          </w:p>
        </w:tc>
        <w:tc>
          <w:tcPr>
            <w:tcW w:w="1680" w:type="dxa"/>
            <w:tcBorders>
              <w:top w:val="nil"/>
              <w:left w:val="nil"/>
              <w:bottom w:val="nil"/>
              <w:right w:val="nil"/>
            </w:tcBorders>
            <w:shd w:val="clear" w:color="000000" w:fill="FFFFFF"/>
            <w:noWrap/>
            <w:vAlign w:val="center"/>
            <w:hideMark/>
          </w:tcPr>
          <w:p w14:paraId="28B0D753"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2341665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001" w:type="dxa"/>
            <w:tcBorders>
              <w:top w:val="nil"/>
              <w:left w:val="nil"/>
              <w:bottom w:val="nil"/>
              <w:right w:val="nil"/>
            </w:tcBorders>
            <w:shd w:val="clear" w:color="000000" w:fill="FFFFFF"/>
            <w:noWrap/>
            <w:vAlign w:val="center"/>
            <w:hideMark/>
          </w:tcPr>
          <w:p w14:paraId="1EFFF39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244" w:type="dxa"/>
            <w:tcBorders>
              <w:top w:val="nil"/>
              <w:left w:val="nil"/>
              <w:bottom w:val="nil"/>
              <w:right w:val="nil"/>
            </w:tcBorders>
            <w:shd w:val="clear" w:color="000000" w:fill="FFFFFF"/>
            <w:noWrap/>
            <w:vAlign w:val="center"/>
            <w:hideMark/>
          </w:tcPr>
          <w:p w14:paraId="5C31D05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r>
      <w:tr w:rsidR="00B14E9F" w:rsidRPr="00B14E9F" w14:paraId="6882ACA0" w14:textId="77777777" w:rsidTr="00B14E9F">
        <w:trPr>
          <w:trHeight w:val="300"/>
        </w:trPr>
        <w:tc>
          <w:tcPr>
            <w:tcW w:w="4229" w:type="dxa"/>
            <w:tcBorders>
              <w:top w:val="nil"/>
              <w:left w:val="nil"/>
              <w:bottom w:val="nil"/>
              <w:right w:val="nil"/>
            </w:tcBorders>
            <w:shd w:val="clear" w:color="000000" w:fill="FFFFFF"/>
            <w:noWrap/>
            <w:vAlign w:val="center"/>
            <w:hideMark/>
          </w:tcPr>
          <w:p w14:paraId="1E6918B6"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10%</w:t>
            </w:r>
          </w:p>
        </w:tc>
        <w:tc>
          <w:tcPr>
            <w:tcW w:w="1680" w:type="dxa"/>
            <w:tcBorders>
              <w:top w:val="nil"/>
              <w:left w:val="nil"/>
              <w:bottom w:val="nil"/>
              <w:right w:val="nil"/>
            </w:tcBorders>
            <w:shd w:val="clear" w:color="000000" w:fill="FFFFFF"/>
            <w:noWrap/>
            <w:vAlign w:val="center"/>
            <w:hideMark/>
          </w:tcPr>
          <w:p w14:paraId="40E5B08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5.23 (4.27, 6.17)</w:t>
            </w:r>
          </w:p>
        </w:tc>
        <w:tc>
          <w:tcPr>
            <w:tcW w:w="1720" w:type="dxa"/>
            <w:tcBorders>
              <w:top w:val="nil"/>
              <w:left w:val="nil"/>
              <w:bottom w:val="nil"/>
              <w:right w:val="nil"/>
            </w:tcBorders>
            <w:shd w:val="clear" w:color="000000" w:fill="FFFFFF"/>
            <w:noWrap/>
            <w:vAlign w:val="center"/>
            <w:hideMark/>
          </w:tcPr>
          <w:p w14:paraId="46B2A7B3"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0.13 (0.01, 0.23)</w:t>
            </w:r>
          </w:p>
        </w:tc>
        <w:tc>
          <w:tcPr>
            <w:tcW w:w="2001" w:type="dxa"/>
            <w:tcBorders>
              <w:top w:val="nil"/>
              <w:left w:val="nil"/>
              <w:bottom w:val="nil"/>
              <w:right w:val="nil"/>
            </w:tcBorders>
            <w:shd w:val="clear" w:color="000000" w:fill="FFFFFF"/>
            <w:noWrap/>
            <w:vAlign w:val="center"/>
            <w:hideMark/>
          </w:tcPr>
          <w:p w14:paraId="4ED86AB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274 (252, 304)</w:t>
            </w:r>
          </w:p>
        </w:tc>
        <w:tc>
          <w:tcPr>
            <w:tcW w:w="2244" w:type="dxa"/>
            <w:tcBorders>
              <w:top w:val="nil"/>
              <w:left w:val="nil"/>
              <w:bottom w:val="nil"/>
              <w:right w:val="nil"/>
            </w:tcBorders>
            <w:shd w:val="clear" w:color="000000" w:fill="FFFFFF"/>
            <w:noWrap/>
            <w:vAlign w:val="center"/>
            <w:hideMark/>
          </w:tcPr>
          <w:p w14:paraId="5F8410B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0.62 (0.57, 0.69)</w:t>
            </w:r>
          </w:p>
        </w:tc>
      </w:tr>
      <w:tr w:rsidR="00B14E9F" w:rsidRPr="00B14E9F" w14:paraId="7B29DC4B" w14:textId="77777777" w:rsidTr="00B14E9F">
        <w:trPr>
          <w:trHeight w:val="300"/>
        </w:trPr>
        <w:tc>
          <w:tcPr>
            <w:tcW w:w="4229" w:type="dxa"/>
            <w:tcBorders>
              <w:top w:val="nil"/>
              <w:left w:val="nil"/>
              <w:bottom w:val="nil"/>
              <w:right w:val="nil"/>
            </w:tcBorders>
            <w:shd w:val="clear" w:color="000000" w:fill="FFFFFF"/>
            <w:noWrap/>
            <w:vAlign w:val="center"/>
            <w:hideMark/>
          </w:tcPr>
          <w:p w14:paraId="78255608"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20%</w:t>
            </w:r>
          </w:p>
        </w:tc>
        <w:tc>
          <w:tcPr>
            <w:tcW w:w="1680" w:type="dxa"/>
            <w:tcBorders>
              <w:top w:val="nil"/>
              <w:left w:val="nil"/>
              <w:bottom w:val="nil"/>
              <w:right w:val="nil"/>
            </w:tcBorders>
            <w:shd w:val="clear" w:color="000000" w:fill="FFFFFF"/>
            <w:noWrap/>
            <w:vAlign w:val="center"/>
            <w:hideMark/>
          </w:tcPr>
          <w:p w14:paraId="4B625DED"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4.34 (3.49, 5.06)</w:t>
            </w:r>
          </w:p>
        </w:tc>
        <w:tc>
          <w:tcPr>
            <w:tcW w:w="1720" w:type="dxa"/>
            <w:tcBorders>
              <w:top w:val="nil"/>
              <w:left w:val="nil"/>
              <w:bottom w:val="nil"/>
              <w:right w:val="nil"/>
            </w:tcBorders>
            <w:shd w:val="clear" w:color="000000" w:fill="FFFFFF"/>
            <w:noWrap/>
            <w:vAlign w:val="center"/>
            <w:hideMark/>
          </w:tcPr>
          <w:p w14:paraId="17BA3207"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0.20 (0.08, 0.30)</w:t>
            </w:r>
          </w:p>
        </w:tc>
        <w:tc>
          <w:tcPr>
            <w:tcW w:w="2001" w:type="dxa"/>
            <w:tcBorders>
              <w:top w:val="nil"/>
              <w:left w:val="nil"/>
              <w:bottom w:val="nil"/>
              <w:right w:val="nil"/>
            </w:tcBorders>
            <w:shd w:val="clear" w:color="000000" w:fill="FFFFFF"/>
            <w:noWrap/>
            <w:vAlign w:val="center"/>
            <w:hideMark/>
          </w:tcPr>
          <w:p w14:paraId="5D1E03B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486 (433, 539)</w:t>
            </w:r>
          </w:p>
        </w:tc>
        <w:tc>
          <w:tcPr>
            <w:tcW w:w="2244" w:type="dxa"/>
            <w:tcBorders>
              <w:top w:val="nil"/>
              <w:left w:val="nil"/>
              <w:bottom w:val="nil"/>
              <w:right w:val="nil"/>
            </w:tcBorders>
            <w:shd w:val="clear" w:color="000000" w:fill="FFFFFF"/>
            <w:noWrap/>
            <w:vAlign w:val="center"/>
            <w:hideMark/>
          </w:tcPr>
          <w:p w14:paraId="6381872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0.58 (0.53, 0.64)</w:t>
            </w:r>
          </w:p>
        </w:tc>
      </w:tr>
      <w:tr w:rsidR="00B14E9F" w:rsidRPr="00B14E9F" w14:paraId="5D24E597" w14:textId="77777777" w:rsidTr="00B14E9F">
        <w:trPr>
          <w:trHeight w:val="300"/>
        </w:trPr>
        <w:tc>
          <w:tcPr>
            <w:tcW w:w="4229" w:type="dxa"/>
            <w:tcBorders>
              <w:top w:val="nil"/>
              <w:left w:val="nil"/>
              <w:bottom w:val="nil"/>
              <w:right w:val="nil"/>
            </w:tcBorders>
            <w:shd w:val="clear" w:color="000000" w:fill="FFFFFF"/>
            <w:noWrap/>
            <w:vAlign w:val="center"/>
            <w:hideMark/>
          </w:tcPr>
          <w:p w14:paraId="0FF52B40"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30%</w:t>
            </w:r>
          </w:p>
        </w:tc>
        <w:tc>
          <w:tcPr>
            <w:tcW w:w="1680" w:type="dxa"/>
            <w:tcBorders>
              <w:top w:val="nil"/>
              <w:left w:val="nil"/>
              <w:bottom w:val="nil"/>
              <w:right w:val="nil"/>
            </w:tcBorders>
            <w:shd w:val="clear" w:color="000000" w:fill="FFFFFF"/>
            <w:noWrap/>
            <w:vAlign w:val="center"/>
            <w:hideMark/>
          </w:tcPr>
          <w:p w14:paraId="4B88EF6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3.68 (3.00, 4.43)</w:t>
            </w:r>
          </w:p>
        </w:tc>
        <w:tc>
          <w:tcPr>
            <w:tcW w:w="1720" w:type="dxa"/>
            <w:tcBorders>
              <w:top w:val="nil"/>
              <w:left w:val="nil"/>
              <w:bottom w:val="nil"/>
              <w:right w:val="nil"/>
            </w:tcBorders>
            <w:shd w:val="clear" w:color="000000" w:fill="FFFFFF"/>
            <w:noWrap/>
            <w:vAlign w:val="center"/>
            <w:hideMark/>
          </w:tcPr>
          <w:p w14:paraId="5F55CC6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0.28 (0.16, 0.38)</w:t>
            </w:r>
          </w:p>
        </w:tc>
        <w:tc>
          <w:tcPr>
            <w:tcW w:w="2001" w:type="dxa"/>
            <w:tcBorders>
              <w:top w:val="nil"/>
              <w:left w:val="nil"/>
              <w:bottom w:val="nil"/>
              <w:right w:val="nil"/>
            </w:tcBorders>
            <w:shd w:val="clear" w:color="000000" w:fill="FFFFFF"/>
            <w:noWrap/>
            <w:vAlign w:val="center"/>
            <w:hideMark/>
          </w:tcPr>
          <w:p w14:paraId="798FD19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644 (574, 703)</w:t>
            </w:r>
          </w:p>
        </w:tc>
        <w:tc>
          <w:tcPr>
            <w:tcW w:w="2244" w:type="dxa"/>
            <w:tcBorders>
              <w:top w:val="nil"/>
              <w:left w:val="nil"/>
              <w:bottom w:val="nil"/>
              <w:right w:val="nil"/>
            </w:tcBorders>
            <w:shd w:val="clear" w:color="000000" w:fill="FFFFFF"/>
            <w:noWrap/>
            <w:vAlign w:val="center"/>
            <w:hideMark/>
          </w:tcPr>
          <w:p w14:paraId="1D68EBA5"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0.53 (0.47, 0.58)</w:t>
            </w:r>
          </w:p>
        </w:tc>
      </w:tr>
      <w:tr w:rsidR="00B14E9F" w:rsidRPr="00B14E9F" w14:paraId="1EE7DCB0" w14:textId="77777777" w:rsidTr="00B14E9F">
        <w:trPr>
          <w:trHeight w:val="300"/>
        </w:trPr>
        <w:tc>
          <w:tcPr>
            <w:tcW w:w="4229" w:type="dxa"/>
            <w:tcBorders>
              <w:top w:val="nil"/>
              <w:left w:val="nil"/>
              <w:bottom w:val="nil"/>
              <w:right w:val="nil"/>
            </w:tcBorders>
            <w:shd w:val="clear" w:color="000000" w:fill="FFFFFF"/>
            <w:noWrap/>
            <w:vAlign w:val="center"/>
            <w:hideMark/>
          </w:tcPr>
          <w:p w14:paraId="6B88CB16"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40%</w:t>
            </w:r>
          </w:p>
        </w:tc>
        <w:tc>
          <w:tcPr>
            <w:tcW w:w="1680" w:type="dxa"/>
            <w:tcBorders>
              <w:top w:val="nil"/>
              <w:left w:val="nil"/>
              <w:bottom w:val="nil"/>
              <w:right w:val="nil"/>
            </w:tcBorders>
            <w:shd w:val="clear" w:color="000000" w:fill="FFFFFF"/>
            <w:noWrap/>
            <w:vAlign w:val="center"/>
            <w:hideMark/>
          </w:tcPr>
          <w:p w14:paraId="79E40725"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3.07 (2.37, 3.85)</w:t>
            </w:r>
          </w:p>
        </w:tc>
        <w:tc>
          <w:tcPr>
            <w:tcW w:w="1720" w:type="dxa"/>
            <w:tcBorders>
              <w:top w:val="nil"/>
              <w:left w:val="nil"/>
              <w:bottom w:val="nil"/>
              <w:right w:val="nil"/>
            </w:tcBorders>
            <w:shd w:val="clear" w:color="000000" w:fill="FFFFFF"/>
            <w:noWrap/>
            <w:vAlign w:val="center"/>
            <w:hideMark/>
          </w:tcPr>
          <w:p w14:paraId="3BF315E5"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0.33 (0.25, 0.42)</w:t>
            </w:r>
          </w:p>
        </w:tc>
        <w:tc>
          <w:tcPr>
            <w:tcW w:w="2001" w:type="dxa"/>
            <w:tcBorders>
              <w:top w:val="nil"/>
              <w:left w:val="nil"/>
              <w:bottom w:val="nil"/>
              <w:right w:val="nil"/>
            </w:tcBorders>
            <w:shd w:val="clear" w:color="000000" w:fill="FFFFFF"/>
            <w:noWrap/>
            <w:vAlign w:val="center"/>
            <w:hideMark/>
          </w:tcPr>
          <w:p w14:paraId="779BCAF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764 (693, 842)</w:t>
            </w:r>
          </w:p>
        </w:tc>
        <w:tc>
          <w:tcPr>
            <w:tcW w:w="2244" w:type="dxa"/>
            <w:tcBorders>
              <w:top w:val="nil"/>
              <w:left w:val="nil"/>
              <w:bottom w:val="nil"/>
              <w:right w:val="nil"/>
            </w:tcBorders>
            <w:shd w:val="clear" w:color="000000" w:fill="FFFFFF"/>
            <w:noWrap/>
            <w:vAlign w:val="center"/>
            <w:hideMark/>
          </w:tcPr>
          <w:p w14:paraId="2EC6E26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0.49 (0.44, 0.54)</w:t>
            </w:r>
          </w:p>
        </w:tc>
      </w:tr>
      <w:tr w:rsidR="00B14E9F" w:rsidRPr="00B14E9F" w14:paraId="2CE0444A" w14:textId="77777777" w:rsidTr="00B14E9F">
        <w:trPr>
          <w:trHeight w:val="300"/>
        </w:trPr>
        <w:tc>
          <w:tcPr>
            <w:tcW w:w="4229" w:type="dxa"/>
            <w:tcBorders>
              <w:top w:val="nil"/>
              <w:left w:val="nil"/>
              <w:bottom w:val="nil"/>
              <w:right w:val="nil"/>
            </w:tcBorders>
            <w:shd w:val="clear" w:color="000000" w:fill="FFFFFF"/>
            <w:noWrap/>
            <w:vAlign w:val="center"/>
            <w:hideMark/>
          </w:tcPr>
          <w:p w14:paraId="400A14EB"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50%</w:t>
            </w:r>
          </w:p>
        </w:tc>
        <w:tc>
          <w:tcPr>
            <w:tcW w:w="1680" w:type="dxa"/>
            <w:tcBorders>
              <w:top w:val="nil"/>
              <w:left w:val="nil"/>
              <w:bottom w:val="nil"/>
              <w:right w:val="nil"/>
            </w:tcBorders>
            <w:shd w:val="clear" w:color="000000" w:fill="FFFFFF"/>
            <w:noWrap/>
            <w:vAlign w:val="center"/>
            <w:hideMark/>
          </w:tcPr>
          <w:p w14:paraId="5DD15210"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2.76 (1.95, 3.45)</w:t>
            </w:r>
          </w:p>
        </w:tc>
        <w:tc>
          <w:tcPr>
            <w:tcW w:w="1720" w:type="dxa"/>
            <w:tcBorders>
              <w:top w:val="nil"/>
              <w:left w:val="nil"/>
              <w:bottom w:val="nil"/>
              <w:right w:val="nil"/>
            </w:tcBorders>
            <w:shd w:val="clear" w:color="000000" w:fill="FFFFFF"/>
            <w:noWrap/>
            <w:vAlign w:val="center"/>
            <w:hideMark/>
          </w:tcPr>
          <w:p w14:paraId="42460FB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0.36 (0.27, 0.45)</w:t>
            </w:r>
          </w:p>
        </w:tc>
        <w:tc>
          <w:tcPr>
            <w:tcW w:w="2001" w:type="dxa"/>
            <w:tcBorders>
              <w:top w:val="nil"/>
              <w:left w:val="nil"/>
              <w:bottom w:val="nil"/>
              <w:right w:val="nil"/>
            </w:tcBorders>
            <w:shd w:val="clear" w:color="000000" w:fill="FFFFFF"/>
            <w:noWrap/>
            <w:vAlign w:val="center"/>
            <w:hideMark/>
          </w:tcPr>
          <w:p w14:paraId="14D5F2D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894 (795, 988)</w:t>
            </w:r>
          </w:p>
        </w:tc>
        <w:tc>
          <w:tcPr>
            <w:tcW w:w="2244" w:type="dxa"/>
            <w:tcBorders>
              <w:top w:val="nil"/>
              <w:left w:val="nil"/>
              <w:bottom w:val="nil"/>
              <w:right w:val="nil"/>
            </w:tcBorders>
            <w:shd w:val="clear" w:color="000000" w:fill="FFFFFF"/>
            <w:noWrap/>
            <w:vAlign w:val="center"/>
            <w:hideMark/>
          </w:tcPr>
          <w:p w14:paraId="6ED2ED23"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0.47 (0.42, 0.52)</w:t>
            </w:r>
          </w:p>
        </w:tc>
      </w:tr>
      <w:tr w:rsidR="00B14E9F" w:rsidRPr="00B14E9F" w14:paraId="176B28A3" w14:textId="77777777" w:rsidTr="00B14E9F">
        <w:trPr>
          <w:trHeight w:val="300"/>
        </w:trPr>
        <w:tc>
          <w:tcPr>
            <w:tcW w:w="4229" w:type="dxa"/>
            <w:tcBorders>
              <w:top w:val="nil"/>
              <w:left w:val="nil"/>
              <w:bottom w:val="nil"/>
              <w:right w:val="nil"/>
            </w:tcBorders>
            <w:shd w:val="clear" w:color="000000" w:fill="FFFFFF"/>
            <w:noWrap/>
            <w:vAlign w:val="center"/>
            <w:hideMark/>
          </w:tcPr>
          <w:p w14:paraId="32A88601"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60%</w:t>
            </w:r>
          </w:p>
        </w:tc>
        <w:tc>
          <w:tcPr>
            <w:tcW w:w="1680" w:type="dxa"/>
            <w:tcBorders>
              <w:top w:val="nil"/>
              <w:left w:val="nil"/>
              <w:bottom w:val="nil"/>
              <w:right w:val="nil"/>
            </w:tcBorders>
            <w:shd w:val="clear" w:color="000000" w:fill="FFFFFF"/>
            <w:noWrap/>
            <w:vAlign w:val="center"/>
            <w:hideMark/>
          </w:tcPr>
          <w:p w14:paraId="062993E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2.37 (1.82, 2.97)</w:t>
            </w:r>
          </w:p>
        </w:tc>
        <w:tc>
          <w:tcPr>
            <w:tcW w:w="1720" w:type="dxa"/>
            <w:tcBorders>
              <w:top w:val="nil"/>
              <w:left w:val="nil"/>
              <w:bottom w:val="nil"/>
              <w:right w:val="nil"/>
            </w:tcBorders>
            <w:shd w:val="clear" w:color="000000" w:fill="FFFFFF"/>
            <w:noWrap/>
            <w:vAlign w:val="center"/>
            <w:hideMark/>
          </w:tcPr>
          <w:p w14:paraId="041BDFF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0.42 (0.31, 0.50)</w:t>
            </w:r>
          </w:p>
        </w:tc>
        <w:tc>
          <w:tcPr>
            <w:tcW w:w="2001" w:type="dxa"/>
            <w:tcBorders>
              <w:top w:val="nil"/>
              <w:left w:val="nil"/>
              <w:bottom w:val="nil"/>
              <w:right w:val="nil"/>
            </w:tcBorders>
            <w:shd w:val="clear" w:color="000000" w:fill="FFFFFF"/>
            <w:noWrap/>
            <w:vAlign w:val="center"/>
            <w:hideMark/>
          </w:tcPr>
          <w:p w14:paraId="3C6B881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968 (871, 1066)</w:t>
            </w:r>
          </w:p>
        </w:tc>
        <w:tc>
          <w:tcPr>
            <w:tcW w:w="2244" w:type="dxa"/>
            <w:tcBorders>
              <w:top w:val="nil"/>
              <w:left w:val="nil"/>
              <w:bottom w:val="nil"/>
              <w:right w:val="nil"/>
            </w:tcBorders>
            <w:shd w:val="clear" w:color="000000" w:fill="FFFFFF"/>
            <w:noWrap/>
            <w:vAlign w:val="center"/>
            <w:hideMark/>
          </w:tcPr>
          <w:p w14:paraId="04504B73"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0.44 (0.39, 0.49)</w:t>
            </w:r>
          </w:p>
        </w:tc>
      </w:tr>
      <w:tr w:rsidR="00B14E9F" w:rsidRPr="00B14E9F" w14:paraId="4F901115" w14:textId="77777777" w:rsidTr="00B14E9F">
        <w:trPr>
          <w:trHeight w:val="300"/>
        </w:trPr>
        <w:tc>
          <w:tcPr>
            <w:tcW w:w="4229" w:type="dxa"/>
            <w:tcBorders>
              <w:top w:val="nil"/>
              <w:left w:val="nil"/>
              <w:bottom w:val="nil"/>
              <w:right w:val="nil"/>
            </w:tcBorders>
            <w:shd w:val="clear" w:color="000000" w:fill="FFFFFF"/>
            <w:noWrap/>
            <w:vAlign w:val="center"/>
            <w:hideMark/>
          </w:tcPr>
          <w:p w14:paraId="0502AEFD"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70%</w:t>
            </w:r>
          </w:p>
        </w:tc>
        <w:tc>
          <w:tcPr>
            <w:tcW w:w="1680" w:type="dxa"/>
            <w:tcBorders>
              <w:top w:val="nil"/>
              <w:left w:val="nil"/>
              <w:bottom w:val="nil"/>
              <w:right w:val="nil"/>
            </w:tcBorders>
            <w:shd w:val="clear" w:color="000000" w:fill="FFFFFF"/>
            <w:noWrap/>
            <w:vAlign w:val="center"/>
            <w:hideMark/>
          </w:tcPr>
          <w:p w14:paraId="52FFD51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2.06 (1.56, 2.65)</w:t>
            </w:r>
          </w:p>
        </w:tc>
        <w:tc>
          <w:tcPr>
            <w:tcW w:w="1720" w:type="dxa"/>
            <w:tcBorders>
              <w:top w:val="nil"/>
              <w:left w:val="nil"/>
              <w:bottom w:val="nil"/>
              <w:right w:val="nil"/>
            </w:tcBorders>
            <w:shd w:val="clear" w:color="000000" w:fill="FFFFFF"/>
            <w:noWrap/>
            <w:vAlign w:val="center"/>
            <w:hideMark/>
          </w:tcPr>
          <w:p w14:paraId="3B9F6BA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0.46 (0.36, 0.52)</w:t>
            </w:r>
          </w:p>
        </w:tc>
        <w:tc>
          <w:tcPr>
            <w:tcW w:w="2001" w:type="dxa"/>
            <w:tcBorders>
              <w:top w:val="nil"/>
              <w:left w:val="nil"/>
              <w:bottom w:val="nil"/>
              <w:right w:val="nil"/>
            </w:tcBorders>
            <w:shd w:val="clear" w:color="000000" w:fill="FFFFFF"/>
            <w:noWrap/>
            <w:vAlign w:val="center"/>
            <w:hideMark/>
          </w:tcPr>
          <w:p w14:paraId="6DF2201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1018 (924, 1138)</w:t>
            </w:r>
          </w:p>
        </w:tc>
        <w:tc>
          <w:tcPr>
            <w:tcW w:w="2244" w:type="dxa"/>
            <w:tcBorders>
              <w:top w:val="nil"/>
              <w:left w:val="nil"/>
              <w:bottom w:val="nil"/>
              <w:right w:val="nil"/>
            </w:tcBorders>
            <w:shd w:val="clear" w:color="000000" w:fill="FFFFFF"/>
            <w:noWrap/>
            <w:vAlign w:val="center"/>
            <w:hideMark/>
          </w:tcPr>
          <w:p w14:paraId="7CC5E93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0.41 (0.37, 0.45)</w:t>
            </w:r>
          </w:p>
        </w:tc>
      </w:tr>
      <w:tr w:rsidR="00B14E9F" w:rsidRPr="00B14E9F" w14:paraId="4E17F9A5" w14:textId="77777777" w:rsidTr="00B14E9F">
        <w:trPr>
          <w:trHeight w:val="300"/>
        </w:trPr>
        <w:tc>
          <w:tcPr>
            <w:tcW w:w="4229" w:type="dxa"/>
            <w:tcBorders>
              <w:top w:val="nil"/>
              <w:left w:val="nil"/>
              <w:bottom w:val="nil"/>
              <w:right w:val="nil"/>
            </w:tcBorders>
            <w:shd w:val="clear" w:color="000000" w:fill="FFFFFF"/>
            <w:noWrap/>
            <w:vAlign w:val="center"/>
            <w:hideMark/>
          </w:tcPr>
          <w:p w14:paraId="64EC3E73"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80%</w:t>
            </w:r>
          </w:p>
        </w:tc>
        <w:tc>
          <w:tcPr>
            <w:tcW w:w="1680" w:type="dxa"/>
            <w:tcBorders>
              <w:top w:val="nil"/>
              <w:left w:val="nil"/>
              <w:bottom w:val="nil"/>
              <w:right w:val="nil"/>
            </w:tcBorders>
            <w:shd w:val="clear" w:color="000000" w:fill="FFFFFF"/>
            <w:noWrap/>
            <w:vAlign w:val="center"/>
            <w:hideMark/>
          </w:tcPr>
          <w:p w14:paraId="5624AA3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1.85 (1.34, 2.35)</w:t>
            </w:r>
          </w:p>
        </w:tc>
        <w:tc>
          <w:tcPr>
            <w:tcW w:w="1720" w:type="dxa"/>
            <w:tcBorders>
              <w:top w:val="nil"/>
              <w:left w:val="nil"/>
              <w:bottom w:val="nil"/>
              <w:right w:val="nil"/>
            </w:tcBorders>
            <w:shd w:val="clear" w:color="000000" w:fill="FFFFFF"/>
            <w:noWrap/>
            <w:vAlign w:val="center"/>
            <w:hideMark/>
          </w:tcPr>
          <w:p w14:paraId="57A354D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0.48 (0.39, 0.54)</w:t>
            </w:r>
          </w:p>
        </w:tc>
        <w:tc>
          <w:tcPr>
            <w:tcW w:w="2001" w:type="dxa"/>
            <w:tcBorders>
              <w:top w:val="nil"/>
              <w:left w:val="nil"/>
              <w:bottom w:val="nil"/>
              <w:right w:val="nil"/>
            </w:tcBorders>
            <w:shd w:val="clear" w:color="000000" w:fill="FFFFFF"/>
            <w:noWrap/>
            <w:vAlign w:val="center"/>
            <w:hideMark/>
          </w:tcPr>
          <w:p w14:paraId="2FFB0A9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1080 (971, 1199)</w:t>
            </w:r>
          </w:p>
        </w:tc>
        <w:tc>
          <w:tcPr>
            <w:tcW w:w="2244" w:type="dxa"/>
            <w:tcBorders>
              <w:top w:val="nil"/>
              <w:left w:val="nil"/>
              <w:bottom w:val="nil"/>
              <w:right w:val="nil"/>
            </w:tcBorders>
            <w:shd w:val="clear" w:color="000000" w:fill="FFFFFF"/>
            <w:noWrap/>
            <w:vAlign w:val="center"/>
            <w:hideMark/>
          </w:tcPr>
          <w:p w14:paraId="4CD2CD3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0.39 (0.35, 0.44)</w:t>
            </w:r>
          </w:p>
        </w:tc>
      </w:tr>
      <w:tr w:rsidR="00B14E9F" w:rsidRPr="00B14E9F" w14:paraId="254AF04E" w14:textId="77777777" w:rsidTr="00B14E9F">
        <w:trPr>
          <w:trHeight w:val="300"/>
        </w:trPr>
        <w:tc>
          <w:tcPr>
            <w:tcW w:w="4229" w:type="dxa"/>
            <w:tcBorders>
              <w:top w:val="nil"/>
              <w:left w:val="nil"/>
              <w:bottom w:val="nil"/>
              <w:right w:val="nil"/>
            </w:tcBorders>
            <w:shd w:val="clear" w:color="000000" w:fill="FFFFFF"/>
            <w:noWrap/>
            <w:vAlign w:val="center"/>
            <w:hideMark/>
          </w:tcPr>
          <w:p w14:paraId="08D1050A"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90%</w:t>
            </w:r>
          </w:p>
        </w:tc>
        <w:tc>
          <w:tcPr>
            <w:tcW w:w="1680" w:type="dxa"/>
            <w:tcBorders>
              <w:top w:val="nil"/>
              <w:left w:val="nil"/>
              <w:bottom w:val="nil"/>
              <w:right w:val="nil"/>
            </w:tcBorders>
            <w:shd w:val="clear" w:color="000000" w:fill="FFFFFF"/>
            <w:noWrap/>
            <w:vAlign w:val="center"/>
            <w:hideMark/>
          </w:tcPr>
          <w:p w14:paraId="55BAF8C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1.73 (1.20, 2.19)</w:t>
            </w:r>
          </w:p>
        </w:tc>
        <w:tc>
          <w:tcPr>
            <w:tcW w:w="1720" w:type="dxa"/>
            <w:tcBorders>
              <w:top w:val="nil"/>
              <w:left w:val="nil"/>
              <w:bottom w:val="nil"/>
              <w:right w:val="nil"/>
            </w:tcBorders>
            <w:shd w:val="clear" w:color="000000" w:fill="FFFFFF"/>
            <w:noWrap/>
            <w:vAlign w:val="center"/>
            <w:hideMark/>
          </w:tcPr>
          <w:p w14:paraId="00E76B60"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0.49 (0.41, 0.56)</w:t>
            </w:r>
          </w:p>
        </w:tc>
        <w:tc>
          <w:tcPr>
            <w:tcW w:w="2001" w:type="dxa"/>
            <w:tcBorders>
              <w:top w:val="nil"/>
              <w:left w:val="nil"/>
              <w:bottom w:val="nil"/>
              <w:right w:val="nil"/>
            </w:tcBorders>
            <w:shd w:val="clear" w:color="000000" w:fill="FFFFFF"/>
            <w:noWrap/>
            <w:vAlign w:val="center"/>
            <w:hideMark/>
          </w:tcPr>
          <w:p w14:paraId="490EFD5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1150 (1047, 1269)</w:t>
            </w:r>
          </w:p>
        </w:tc>
        <w:tc>
          <w:tcPr>
            <w:tcW w:w="2244" w:type="dxa"/>
            <w:tcBorders>
              <w:top w:val="nil"/>
              <w:left w:val="nil"/>
              <w:bottom w:val="nil"/>
              <w:right w:val="nil"/>
            </w:tcBorders>
            <w:shd w:val="clear" w:color="000000" w:fill="FFFFFF"/>
            <w:noWrap/>
            <w:vAlign w:val="center"/>
            <w:hideMark/>
          </w:tcPr>
          <w:p w14:paraId="5F1AE187"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0.38 (0.34, 0.42)</w:t>
            </w:r>
          </w:p>
        </w:tc>
      </w:tr>
      <w:tr w:rsidR="00B14E9F" w:rsidRPr="00B14E9F" w14:paraId="6FFBE606" w14:textId="77777777" w:rsidTr="00B14E9F">
        <w:trPr>
          <w:trHeight w:val="300"/>
        </w:trPr>
        <w:tc>
          <w:tcPr>
            <w:tcW w:w="4229" w:type="dxa"/>
            <w:tcBorders>
              <w:top w:val="nil"/>
              <w:left w:val="nil"/>
              <w:bottom w:val="nil"/>
              <w:right w:val="nil"/>
            </w:tcBorders>
            <w:shd w:val="clear" w:color="000000" w:fill="FFFFFF"/>
            <w:noWrap/>
            <w:vAlign w:val="center"/>
            <w:hideMark/>
          </w:tcPr>
          <w:p w14:paraId="46F1A844"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100%</w:t>
            </w:r>
          </w:p>
        </w:tc>
        <w:tc>
          <w:tcPr>
            <w:tcW w:w="1680" w:type="dxa"/>
            <w:tcBorders>
              <w:top w:val="nil"/>
              <w:left w:val="nil"/>
              <w:bottom w:val="nil"/>
              <w:right w:val="nil"/>
            </w:tcBorders>
            <w:shd w:val="clear" w:color="000000" w:fill="FFFFFF"/>
            <w:noWrap/>
            <w:vAlign w:val="center"/>
            <w:hideMark/>
          </w:tcPr>
          <w:p w14:paraId="3FD120E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1.48 (1.13, 1.96)</w:t>
            </w:r>
          </w:p>
        </w:tc>
        <w:tc>
          <w:tcPr>
            <w:tcW w:w="1720" w:type="dxa"/>
            <w:tcBorders>
              <w:top w:val="nil"/>
              <w:left w:val="nil"/>
              <w:bottom w:val="nil"/>
              <w:right w:val="nil"/>
            </w:tcBorders>
            <w:shd w:val="clear" w:color="000000" w:fill="FFFFFF"/>
            <w:noWrap/>
            <w:vAlign w:val="center"/>
            <w:hideMark/>
          </w:tcPr>
          <w:p w14:paraId="54E9175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0.50 (0.44, 0.58)</w:t>
            </w:r>
          </w:p>
        </w:tc>
        <w:tc>
          <w:tcPr>
            <w:tcW w:w="2001" w:type="dxa"/>
            <w:tcBorders>
              <w:top w:val="nil"/>
              <w:left w:val="nil"/>
              <w:bottom w:val="nil"/>
              <w:right w:val="nil"/>
            </w:tcBorders>
            <w:shd w:val="clear" w:color="000000" w:fill="FFFFFF"/>
            <w:noWrap/>
            <w:vAlign w:val="center"/>
            <w:hideMark/>
          </w:tcPr>
          <w:p w14:paraId="0D312605"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1215 (1105, 1337)</w:t>
            </w:r>
          </w:p>
        </w:tc>
        <w:tc>
          <w:tcPr>
            <w:tcW w:w="2244" w:type="dxa"/>
            <w:tcBorders>
              <w:top w:val="nil"/>
              <w:left w:val="nil"/>
              <w:bottom w:val="nil"/>
              <w:right w:val="nil"/>
            </w:tcBorders>
            <w:shd w:val="clear" w:color="000000" w:fill="FFFFFF"/>
            <w:noWrap/>
            <w:vAlign w:val="center"/>
            <w:hideMark/>
          </w:tcPr>
          <w:p w14:paraId="318C573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0.37 (0.34, 0.41)</w:t>
            </w:r>
          </w:p>
        </w:tc>
      </w:tr>
      <w:tr w:rsidR="00B14E9F" w:rsidRPr="00B14E9F" w14:paraId="2DD9FA6B" w14:textId="77777777" w:rsidTr="00B14E9F">
        <w:trPr>
          <w:trHeight w:val="300"/>
        </w:trPr>
        <w:tc>
          <w:tcPr>
            <w:tcW w:w="4229" w:type="dxa"/>
            <w:tcBorders>
              <w:top w:val="nil"/>
              <w:left w:val="nil"/>
              <w:bottom w:val="nil"/>
              <w:right w:val="nil"/>
            </w:tcBorders>
            <w:shd w:val="clear" w:color="000000" w:fill="FFFFFF"/>
            <w:vAlign w:val="center"/>
            <w:hideMark/>
          </w:tcPr>
          <w:p w14:paraId="2DB461BA"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EPT Partnership Window (20% Coverage)</w:t>
            </w:r>
          </w:p>
        </w:tc>
        <w:tc>
          <w:tcPr>
            <w:tcW w:w="1680" w:type="dxa"/>
            <w:tcBorders>
              <w:top w:val="nil"/>
              <w:left w:val="nil"/>
              <w:bottom w:val="nil"/>
              <w:right w:val="nil"/>
            </w:tcBorders>
            <w:shd w:val="clear" w:color="000000" w:fill="FFFFFF"/>
            <w:noWrap/>
            <w:vAlign w:val="center"/>
            <w:hideMark/>
          </w:tcPr>
          <w:p w14:paraId="7C15E59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6F1708C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001" w:type="dxa"/>
            <w:tcBorders>
              <w:top w:val="nil"/>
              <w:left w:val="nil"/>
              <w:bottom w:val="nil"/>
              <w:right w:val="nil"/>
            </w:tcBorders>
            <w:shd w:val="clear" w:color="000000" w:fill="FFFFFF"/>
            <w:noWrap/>
            <w:vAlign w:val="center"/>
            <w:hideMark/>
          </w:tcPr>
          <w:p w14:paraId="61B8E2F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244" w:type="dxa"/>
            <w:tcBorders>
              <w:top w:val="nil"/>
              <w:left w:val="nil"/>
              <w:bottom w:val="nil"/>
              <w:right w:val="nil"/>
            </w:tcBorders>
            <w:shd w:val="clear" w:color="000000" w:fill="FFFFFF"/>
            <w:noWrap/>
            <w:vAlign w:val="center"/>
            <w:hideMark/>
          </w:tcPr>
          <w:p w14:paraId="0CE7A60D"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r>
      <w:tr w:rsidR="00B14E9F" w:rsidRPr="00B14E9F" w14:paraId="26BE9E0C" w14:textId="77777777" w:rsidTr="00B14E9F">
        <w:trPr>
          <w:trHeight w:val="300"/>
        </w:trPr>
        <w:tc>
          <w:tcPr>
            <w:tcW w:w="4229" w:type="dxa"/>
            <w:tcBorders>
              <w:top w:val="nil"/>
              <w:left w:val="nil"/>
              <w:bottom w:val="nil"/>
              <w:right w:val="nil"/>
            </w:tcBorders>
            <w:shd w:val="clear" w:color="000000" w:fill="FFFFFF"/>
            <w:noWrap/>
            <w:vAlign w:val="center"/>
            <w:hideMark/>
          </w:tcPr>
          <w:p w14:paraId="1E68AF78"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1 month (28 days)</w:t>
            </w:r>
          </w:p>
        </w:tc>
        <w:tc>
          <w:tcPr>
            <w:tcW w:w="1680" w:type="dxa"/>
            <w:tcBorders>
              <w:top w:val="nil"/>
              <w:left w:val="nil"/>
              <w:bottom w:val="nil"/>
              <w:right w:val="nil"/>
            </w:tcBorders>
            <w:shd w:val="clear" w:color="000000" w:fill="FFFFFF"/>
            <w:noWrap/>
            <w:vAlign w:val="center"/>
            <w:hideMark/>
          </w:tcPr>
          <w:p w14:paraId="312044D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4.44 (3.40, 5.33)</w:t>
            </w:r>
          </w:p>
        </w:tc>
        <w:tc>
          <w:tcPr>
            <w:tcW w:w="1720" w:type="dxa"/>
            <w:tcBorders>
              <w:top w:val="nil"/>
              <w:left w:val="nil"/>
              <w:bottom w:val="nil"/>
              <w:right w:val="nil"/>
            </w:tcBorders>
            <w:shd w:val="clear" w:color="000000" w:fill="FFFFFF"/>
            <w:noWrap/>
            <w:vAlign w:val="center"/>
            <w:hideMark/>
          </w:tcPr>
          <w:p w14:paraId="3DFDD96D"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0.20 (0.08, 0.33)</w:t>
            </w:r>
          </w:p>
        </w:tc>
        <w:tc>
          <w:tcPr>
            <w:tcW w:w="2001" w:type="dxa"/>
            <w:tcBorders>
              <w:top w:val="nil"/>
              <w:left w:val="nil"/>
              <w:bottom w:val="nil"/>
              <w:right w:val="nil"/>
            </w:tcBorders>
            <w:shd w:val="clear" w:color="000000" w:fill="FFFFFF"/>
            <w:noWrap/>
            <w:vAlign w:val="center"/>
            <w:hideMark/>
          </w:tcPr>
          <w:p w14:paraId="4E8B04F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426 (370, 467)</w:t>
            </w:r>
          </w:p>
        </w:tc>
        <w:tc>
          <w:tcPr>
            <w:tcW w:w="2244" w:type="dxa"/>
            <w:tcBorders>
              <w:top w:val="nil"/>
              <w:left w:val="nil"/>
              <w:bottom w:val="nil"/>
              <w:right w:val="nil"/>
            </w:tcBorders>
            <w:shd w:val="clear" w:color="000000" w:fill="FFFFFF"/>
            <w:noWrap/>
            <w:vAlign w:val="center"/>
            <w:hideMark/>
          </w:tcPr>
          <w:p w14:paraId="464A2D7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0.58 (0.52, 0.64)</w:t>
            </w:r>
          </w:p>
        </w:tc>
      </w:tr>
      <w:tr w:rsidR="00B14E9F" w:rsidRPr="00B14E9F" w14:paraId="6B49F7DA" w14:textId="77777777" w:rsidTr="00B14E9F">
        <w:trPr>
          <w:trHeight w:val="300"/>
        </w:trPr>
        <w:tc>
          <w:tcPr>
            <w:tcW w:w="4229" w:type="dxa"/>
            <w:tcBorders>
              <w:top w:val="nil"/>
              <w:left w:val="nil"/>
              <w:bottom w:val="nil"/>
              <w:right w:val="nil"/>
            </w:tcBorders>
            <w:shd w:val="clear" w:color="000000" w:fill="FFFFFF"/>
            <w:noWrap/>
            <w:vAlign w:val="center"/>
            <w:hideMark/>
          </w:tcPr>
          <w:p w14:paraId="79C20334"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3 months (91 days)</w:t>
            </w:r>
          </w:p>
        </w:tc>
        <w:tc>
          <w:tcPr>
            <w:tcW w:w="1680" w:type="dxa"/>
            <w:tcBorders>
              <w:top w:val="nil"/>
              <w:left w:val="nil"/>
              <w:bottom w:val="nil"/>
              <w:right w:val="nil"/>
            </w:tcBorders>
            <w:shd w:val="clear" w:color="000000" w:fill="FFFFFF"/>
            <w:noWrap/>
            <w:vAlign w:val="center"/>
            <w:hideMark/>
          </w:tcPr>
          <w:p w14:paraId="2301E1B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4.36 (3.67, 5.24)</w:t>
            </w:r>
          </w:p>
        </w:tc>
        <w:tc>
          <w:tcPr>
            <w:tcW w:w="1720" w:type="dxa"/>
            <w:tcBorders>
              <w:top w:val="nil"/>
              <w:left w:val="nil"/>
              <w:bottom w:val="nil"/>
              <w:right w:val="nil"/>
            </w:tcBorders>
            <w:shd w:val="clear" w:color="000000" w:fill="FFFFFF"/>
            <w:noWrap/>
            <w:vAlign w:val="center"/>
            <w:hideMark/>
          </w:tcPr>
          <w:p w14:paraId="1A3D253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0.20 (0.08, 0.32)</w:t>
            </w:r>
          </w:p>
        </w:tc>
        <w:tc>
          <w:tcPr>
            <w:tcW w:w="2001" w:type="dxa"/>
            <w:tcBorders>
              <w:top w:val="nil"/>
              <w:left w:val="nil"/>
              <w:bottom w:val="nil"/>
              <w:right w:val="nil"/>
            </w:tcBorders>
            <w:shd w:val="clear" w:color="000000" w:fill="FFFFFF"/>
            <w:noWrap/>
            <w:vAlign w:val="center"/>
            <w:hideMark/>
          </w:tcPr>
          <w:p w14:paraId="36C8780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536 (476, 594)</w:t>
            </w:r>
          </w:p>
        </w:tc>
        <w:tc>
          <w:tcPr>
            <w:tcW w:w="2244" w:type="dxa"/>
            <w:tcBorders>
              <w:top w:val="nil"/>
              <w:left w:val="nil"/>
              <w:bottom w:val="nil"/>
              <w:right w:val="nil"/>
            </w:tcBorders>
            <w:shd w:val="clear" w:color="000000" w:fill="FFFFFF"/>
            <w:noWrap/>
            <w:vAlign w:val="center"/>
            <w:hideMark/>
          </w:tcPr>
          <w:p w14:paraId="43B0A8D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0.58 (0.52, 0.64)</w:t>
            </w:r>
          </w:p>
        </w:tc>
      </w:tr>
      <w:tr w:rsidR="00B14E9F" w:rsidRPr="00B14E9F" w14:paraId="729D81F7" w14:textId="77777777" w:rsidTr="00B14E9F">
        <w:trPr>
          <w:trHeight w:val="300"/>
        </w:trPr>
        <w:tc>
          <w:tcPr>
            <w:tcW w:w="4229" w:type="dxa"/>
            <w:tcBorders>
              <w:top w:val="nil"/>
              <w:left w:val="nil"/>
              <w:bottom w:val="nil"/>
              <w:right w:val="nil"/>
            </w:tcBorders>
            <w:shd w:val="clear" w:color="000000" w:fill="FFFFFF"/>
            <w:noWrap/>
            <w:vAlign w:val="center"/>
            <w:hideMark/>
          </w:tcPr>
          <w:p w14:paraId="0FB6456F"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4 months (119 days)</w:t>
            </w:r>
          </w:p>
        </w:tc>
        <w:tc>
          <w:tcPr>
            <w:tcW w:w="1680" w:type="dxa"/>
            <w:tcBorders>
              <w:top w:val="nil"/>
              <w:left w:val="nil"/>
              <w:bottom w:val="nil"/>
              <w:right w:val="nil"/>
            </w:tcBorders>
            <w:shd w:val="clear" w:color="000000" w:fill="FFFFFF"/>
            <w:noWrap/>
            <w:vAlign w:val="center"/>
            <w:hideMark/>
          </w:tcPr>
          <w:p w14:paraId="5E9261B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4.41 (3.62, 5.29)</w:t>
            </w:r>
          </w:p>
        </w:tc>
        <w:tc>
          <w:tcPr>
            <w:tcW w:w="1720" w:type="dxa"/>
            <w:tcBorders>
              <w:top w:val="nil"/>
              <w:left w:val="nil"/>
              <w:bottom w:val="nil"/>
              <w:right w:val="nil"/>
            </w:tcBorders>
            <w:shd w:val="clear" w:color="000000" w:fill="FFFFFF"/>
            <w:noWrap/>
            <w:vAlign w:val="center"/>
            <w:hideMark/>
          </w:tcPr>
          <w:p w14:paraId="30BB20F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0.20 (0.09, 0.30)</w:t>
            </w:r>
          </w:p>
        </w:tc>
        <w:tc>
          <w:tcPr>
            <w:tcW w:w="2001" w:type="dxa"/>
            <w:tcBorders>
              <w:top w:val="nil"/>
              <w:left w:val="nil"/>
              <w:bottom w:val="nil"/>
              <w:right w:val="nil"/>
            </w:tcBorders>
            <w:shd w:val="clear" w:color="000000" w:fill="FFFFFF"/>
            <w:noWrap/>
            <w:vAlign w:val="center"/>
            <w:hideMark/>
          </w:tcPr>
          <w:p w14:paraId="15EB7C45"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582 (532, 638)</w:t>
            </w:r>
          </w:p>
        </w:tc>
        <w:tc>
          <w:tcPr>
            <w:tcW w:w="2244" w:type="dxa"/>
            <w:tcBorders>
              <w:top w:val="nil"/>
              <w:left w:val="nil"/>
              <w:bottom w:val="nil"/>
              <w:right w:val="nil"/>
            </w:tcBorders>
            <w:shd w:val="clear" w:color="000000" w:fill="FFFFFF"/>
            <w:noWrap/>
            <w:vAlign w:val="center"/>
            <w:hideMark/>
          </w:tcPr>
          <w:p w14:paraId="060B17D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0.58 (0.53, 0.64)</w:t>
            </w:r>
          </w:p>
        </w:tc>
      </w:tr>
      <w:tr w:rsidR="00B14E9F" w:rsidRPr="00B14E9F" w14:paraId="3326EA05" w14:textId="77777777" w:rsidTr="00B14E9F">
        <w:trPr>
          <w:trHeight w:val="300"/>
        </w:trPr>
        <w:tc>
          <w:tcPr>
            <w:tcW w:w="4229" w:type="dxa"/>
            <w:tcBorders>
              <w:top w:val="nil"/>
              <w:left w:val="nil"/>
              <w:bottom w:val="nil"/>
              <w:right w:val="nil"/>
            </w:tcBorders>
            <w:shd w:val="clear" w:color="000000" w:fill="FFFFFF"/>
            <w:noWrap/>
            <w:vAlign w:val="center"/>
            <w:hideMark/>
          </w:tcPr>
          <w:p w14:paraId="1F8FE727"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5 months (154 days)</w:t>
            </w:r>
          </w:p>
        </w:tc>
        <w:tc>
          <w:tcPr>
            <w:tcW w:w="1680" w:type="dxa"/>
            <w:tcBorders>
              <w:top w:val="nil"/>
              <w:left w:val="nil"/>
              <w:bottom w:val="nil"/>
              <w:right w:val="nil"/>
            </w:tcBorders>
            <w:shd w:val="clear" w:color="000000" w:fill="FFFFFF"/>
            <w:noWrap/>
            <w:vAlign w:val="center"/>
            <w:hideMark/>
          </w:tcPr>
          <w:p w14:paraId="6EA397E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4.18 (3.44, 5.07)</w:t>
            </w:r>
          </w:p>
        </w:tc>
        <w:tc>
          <w:tcPr>
            <w:tcW w:w="1720" w:type="dxa"/>
            <w:tcBorders>
              <w:top w:val="nil"/>
              <w:left w:val="nil"/>
              <w:bottom w:val="nil"/>
              <w:right w:val="nil"/>
            </w:tcBorders>
            <w:shd w:val="clear" w:color="000000" w:fill="FFFFFF"/>
            <w:noWrap/>
            <w:vAlign w:val="center"/>
            <w:hideMark/>
          </w:tcPr>
          <w:p w14:paraId="1507B03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0.21 (0.08, 0.33)</w:t>
            </w:r>
          </w:p>
        </w:tc>
        <w:tc>
          <w:tcPr>
            <w:tcW w:w="2001" w:type="dxa"/>
            <w:tcBorders>
              <w:top w:val="nil"/>
              <w:left w:val="nil"/>
              <w:bottom w:val="nil"/>
              <w:right w:val="nil"/>
            </w:tcBorders>
            <w:shd w:val="clear" w:color="000000" w:fill="FFFFFF"/>
            <w:noWrap/>
            <w:vAlign w:val="center"/>
            <w:hideMark/>
          </w:tcPr>
          <w:p w14:paraId="62FF2D07"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642 (576, 701)</w:t>
            </w:r>
          </w:p>
        </w:tc>
        <w:tc>
          <w:tcPr>
            <w:tcW w:w="2244" w:type="dxa"/>
            <w:tcBorders>
              <w:top w:val="nil"/>
              <w:left w:val="nil"/>
              <w:bottom w:val="nil"/>
              <w:right w:val="nil"/>
            </w:tcBorders>
            <w:shd w:val="clear" w:color="000000" w:fill="FFFFFF"/>
            <w:noWrap/>
            <w:vAlign w:val="center"/>
            <w:hideMark/>
          </w:tcPr>
          <w:p w14:paraId="726F4E97"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0.57 (0.52, 0.63)</w:t>
            </w:r>
          </w:p>
        </w:tc>
      </w:tr>
      <w:tr w:rsidR="00B14E9F" w:rsidRPr="00B14E9F" w14:paraId="30BA6AA2" w14:textId="77777777" w:rsidTr="00B14E9F">
        <w:trPr>
          <w:trHeight w:val="300"/>
        </w:trPr>
        <w:tc>
          <w:tcPr>
            <w:tcW w:w="4229" w:type="dxa"/>
            <w:tcBorders>
              <w:top w:val="nil"/>
              <w:left w:val="nil"/>
              <w:bottom w:val="nil"/>
              <w:right w:val="nil"/>
            </w:tcBorders>
            <w:shd w:val="clear" w:color="000000" w:fill="FFFFFF"/>
            <w:noWrap/>
            <w:vAlign w:val="center"/>
            <w:hideMark/>
          </w:tcPr>
          <w:p w14:paraId="76ECA2B2"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6 months (182 days)</w:t>
            </w:r>
          </w:p>
        </w:tc>
        <w:tc>
          <w:tcPr>
            <w:tcW w:w="1680" w:type="dxa"/>
            <w:tcBorders>
              <w:top w:val="nil"/>
              <w:left w:val="nil"/>
              <w:bottom w:val="nil"/>
              <w:right w:val="nil"/>
            </w:tcBorders>
            <w:shd w:val="clear" w:color="000000" w:fill="FFFFFF"/>
            <w:noWrap/>
            <w:vAlign w:val="center"/>
            <w:hideMark/>
          </w:tcPr>
          <w:p w14:paraId="6F2A818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4.30 (3.52, 4.98)</w:t>
            </w:r>
          </w:p>
        </w:tc>
        <w:tc>
          <w:tcPr>
            <w:tcW w:w="1720" w:type="dxa"/>
            <w:tcBorders>
              <w:top w:val="nil"/>
              <w:left w:val="nil"/>
              <w:bottom w:val="nil"/>
              <w:right w:val="nil"/>
            </w:tcBorders>
            <w:shd w:val="clear" w:color="000000" w:fill="FFFFFF"/>
            <w:noWrap/>
            <w:vAlign w:val="center"/>
            <w:hideMark/>
          </w:tcPr>
          <w:p w14:paraId="4CB8AD8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0.22 (0.11, 0.32)</w:t>
            </w:r>
          </w:p>
        </w:tc>
        <w:tc>
          <w:tcPr>
            <w:tcW w:w="2001" w:type="dxa"/>
            <w:tcBorders>
              <w:top w:val="nil"/>
              <w:left w:val="nil"/>
              <w:bottom w:val="nil"/>
              <w:right w:val="nil"/>
            </w:tcBorders>
            <w:shd w:val="clear" w:color="000000" w:fill="FFFFFF"/>
            <w:noWrap/>
            <w:vAlign w:val="center"/>
            <w:hideMark/>
          </w:tcPr>
          <w:p w14:paraId="63E4F90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681 (620, 750)</w:t>
            </w:r>
          </w:p>
        </w:tc>
        <w:tc>
          <w:tcPr>
            <w:tcW w:w="2244" w:type="dxa"/>
            <w:tcBorders>
              <w:top w:val="nil"/>
              <w:left w:val="nil"/>
              <w:bottom w:val="nil"/>
              <w:right w:val="nil"/>
            </w:tcBorders>
            <w:shd w:val="clear" w:color="000000" w:fill="FFFFFF"/>
            <w:noWrap/>
            <w:vAlign w:val="center"/>
            <w:hideMark/>
          </w:tcPr>
          <w:p w14:paraId="6231EF6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0.57 (0.52, 0.63)</w:t>
            </w:r>
          </w:p>
        </w:tc>
      </w:tr>
      <w:tr w:rsidR="00B14E9F" w:rsidRPr="00B14E9F" w14:paraId="439B4659" w14:textId="77777777" w:rsidTr="00B14E9F">
        <w:trPr>
          <w:trHeight w:val="300"/>
        </w:trPr>
        <w:tc>
          <w:tcPr>
            <w:tcW w:w="4229" w:type="dxa"/>
            <w:tcBorders>
              <w:top w:val="nil"/>
              <w:left w:val="nil"/>
              <w:bottom w:val="nil"/>
              <w:right w:val="nil"/>
            </w:tcBorders>
            <w:shd w:val="clear" w:color="000000" w:fill="FFFFFF"/>
            <w:vAlign w:val="center"/>
            <w:hideMark/>
          </w:tcPr>
          <w:p w14:paraId="7A999A5F"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EPT Provision to Non-Index Partner (20% Coverage)</w:t>
            </w:r>
          </w:p>
        </w:tc>
        <w:tc>
          <w:tcPr>
            <w:tcW w:w="1680" w:type="dxa"/>
            <w:tcBorders>
              <w:top w:val="nil"/>
              <w:left w:val="nil"/>
              <w:bottom w:val="nil"/>
              <w:right w:val="nil"/>
            </w:tcBorders>
            <w:shd w:val="clear" w:color="000000" w:fill="FFFFFF"/>
            <w:noWrap/>
            <w:vAlign w:val="center"/>
            <w:hideMark/>
          </w:tcPr>
          <w:p w14:paraId="71C42053"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0C190D10"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001" w:type="dxa"/>
            <w:tcBorders>
              <w:top w:val="nil"/>
              <w:left w:val="nil"/>
              <w:bottom w:val="nil"/>
              <w:right w:val="nil"/>
            </w:tcBorders>
            <w:shd w:val="clear" w:color="000000" w:fill="FFFFFF"/>
            <w:noWrap/>
            <w:vAlign w:val="center"/>
            <w:hideMark/>
          </w:tcPr>
          <w:p w14:paraId="3816CA7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244" w:type="dxa"/>
            <w:tcBorders>
              <w:top w:val="nil"/>
              <w:left w:val="nil"/>
              <w:bottom w:val="nil"/>
              <w:right w:val="nil"/>
            </w:tcBorders>
            <w:shd w:val="clear" w:color="000000" w:fill="FFFFFF"/>
            <w:noWrap/>
            <w:vAlign w:val="center"/>
            <w:hideMark/>
          </w:tcPr>
          <w:p w14:paraId="5D63400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r>
      <w:tr w:rsidR="00B14E9F" w:rsidRPr="00B14E9F" w14:paraId="21D019FE" w14:textId="77777777" w:rsidTr="00B14E9F">
        <w:trPr>
          <w:trHeight w:val="300"/>
        </w:trPr>
        <w:tc>
          <w:tcPr>
            <w:tcW w:w="4229" w:type="dxa"/>
            <w:tcBorders>
              <w:top w:val="nil"/>
              <w:left w:val="nil"/>
              <w:bottom w:val="nil"/>
              <w:right w:val="nil"/>
            </w:tcBorders>
            <w:shd w:val="clear" w:color="000000" w:fill="FFFFFF"/>
            <w:noWrap/>
            <w:vAlign w:val="center"/>
            <w:hideMark/>
          </w:tcPr>
          <w:p w14:paraId="36E691F5"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+ 10%</w:t>
            </w:r>
          </w:p>
        </w:tc>
        <w:tc>
          <w:tcPr>
            <w:tcW w:w="1680" w:type="dxa"/>
            <w:tcBorders>
              <w:top w:val="nil"/>
              <w:left w:val="nil"/>
              <w:bottom w:val="nil"/>
              <w:right w:val="nil"/>
            </w:tcBorders>
            <w:shd w:val="clear" w:color="000000" w:fill="FFFFFF"/>
            <w:noWrap/>
            <w:vAlign w:val="center"/>
            <w:hideMark/>
          </w:tcPr>
          <w:p w14:paraId="467A44B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4.23 (3.42, 5.17)</w:t>
            </w:r>
          </w:p>
        </w:tc>
        <w:tc>
          <w:tcPr>
            <w:tcW w:w="1720" w:type="dxa"/>
            <w:tcBorders>
              <w:top w:val="nil"/>
              <w:left w:val="nil"/>
              <w:bottom w:val="nil"/>
              <w:right w:val="nil"/>
            </w:tcBorders>
            <w:shd w:val="clear" w:color="000000" w:fill="FFFFFF"/>
            <w:noWrap/>
            <w:vAlign w:val="center"/>
            <w:hideMark/>
          </w:tcPr>
          <w:p w14:paraId="5BABCD3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0.20 (0.11, 0.32)</w:t>
            </w:r>
          </w:p>
        </w:tc>
        <w:tc>
          <w:tcPr>
            <w:tcW w:w="2001" w:type="dxa"/>
            <w:tcBorders>
              <w:top w:val="nil"/>
              <w:left w:val="nil"/>
              <w:bottom w:val="nil"/>
              <w:right w:val="nil"/>
            </w:tcBorders>
            <w:shd w:val="clear" w:color="000000" w:fill="FFFFFF"/>
            <w:noWrap/>
            <w:vAlign w:val="center"/>
            <w:hideMark/>
          </w:tcPr>
          <w:p w14:paraId="68EDA16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523 (475, 584)</w:t>
            </w:r>
          </w:p>
        </w:tc>
        <w:tc>
          <w:tcPr>
            <w:tcW w:w="2244" w:type="dxa"/>
            <w:tcBorders>
              <w:top w:val="nil"/>
              <w:left w:val="nil"/>
              <w:bottom w:val="nil"/>
              <w:right w:val="nil"/>
            </w:tcBorders>
            <w:shd w:val="clear" w:color="000000" w:fill="FFFFFF"/>
            <w:noWrap/>
            <w:vAlign w:val="center"/>
            <w:hideMark/>
          </w:tcPr>
          <w:p w14:paraId="7F56037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0.57 (0.51, 0.63)</w:t>
            </w:r>
          </w:p>
        </w:tc>
      </w:tr>
      <w:tr w:rsidR="00B14E9F" w:rsidRPr="00B14E9F" w14:paraId="4C94EFE7" w14:textId="77777777" w:rsidTr="00B14E9F">
        <w:trPr>
          <w:trHeight w:val="300"/>
        </w:trPr>
        <w:tc>
          <w:tcPr>
            <w:tcW w:w="4229" w:type="dxa"/>
            <w:tcBorders>
              <w:top w:val="nil"/>
              <w:left w:val="nil"/>
              <w:bottom w:val="nil"/>
              <w:right w:val="nil"/>
            </w:tcBorders>
            <w:shd w:val="clear" w:color="000000" w:fill="FFFFFF"/>
            <w:noWrap/>
            <w:vAlign w:val="center"/>
            <w:hideMark/>
          </w:tcPr>
          <w:p w14:paraId="4781E171"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+ 20%</w:t>
            </w:r>
          </w:p>
        </w:tc>
        <w:tc>
          <w:tcPr>
            <w:tcW w:w="1680" w:type="dxa"/>
            <w:tcBorders>
              <w:top w:val="nil"/>
              <w:left w:val="nil"/>
              <w:bottom w:val="nil"/>
              <w:right w:val="nil"/>
            </w:tcBorders>
            <w:shd w:val="clear" w:color="000000" w:fill="FFFFFF"/>
            <w:noWrap/>
            <w:vAlign w:val="center"/>
            <w:hideMark/>
          </w:tcPr>
          <w:p w14:paraId="5CB2806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4.04 (3.29, 4.93)</w:t>
            </w:r>
          </w:p>
        </w:tc>
        <w:tc>
          <w:tcPr>
            <w:tcW w:w="1720" w:type="dxa"/>
            <w:tcBorders>
              <w:top w:val="nil"/>
              <w:left w:val="nil"/>
              <w:bottom w:val="nil"/>
              <w:right w:val="nil"/>
            </w:tcBorders>
            <w:shd w:val="clear" w:color="000000" w:fill="FFFFFF"/>
            <w:noWrap/>
            <w:vAlign w:val="center"/>
            <w:hideMark/>
          </w:tcPr>
          <w:p w14:paraId="46F576F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0.23 (0.13, 0.35)</w:t>
            </w:r>
          </w:p>
        </w:tc>
        <w:tc>
          <w:tcPr>
            <w:tcW w:w="2001" w:type="dxa"/>
            <w:tcBorders>
              <w:top w:val="nil"/>
              <w:left w:val="nil"/>
              <w:bottom w:val="nil"/>
              <w:right w:val="nil"/>
            </w:tcBorders>
            <w:shd w:val="clear" w:color="000000" w:fill="FFFFFF"/>
            <w:noWrap/>
            <w:vAlign w:val="center"/>
            <w:hideMark/>
          </w:tcPr>
          <w:p w14:paraId="51E0CED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561 (499, 611)</w:t>
            </w:r>
          </w:p>
        </w:tc>
        <w:tc>
          <w:tcPr>
            <w:tcW w:w="2244" w:type="dxa"/>
            <w:tcBorders>
              <w:top w:val="nil"/>
              <w:left w:val="nil"/>
              <w:bottom w:val="nil"/>
              <w:right w:val="nil"/>
            </w:tcBorders>
            <w:shd w:val="clear" w:color="000000" w:fill="FFFFFF"/>
            <w:noWrap/>
            <w:vAlign w:val="center"/>
            <w:hideMark/>
          </w:tcPr>
          <w:p w14:paraId="386D1A41"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0.55 (0.50, 0.61)</w:t>
            </w:r>
          </w:p>
        </w:tc>
      </w:tr>
      <w:tr w:rsidR="00B14E9F" w:rsidRPr="00B14E9F" w14:paraId="12F5A9CC" w14:textId="77777777" w:rsidTr="00B14E9F">
        <w:trPr>
          <w:trHeight w:val="300"/>
        </w:trPr>
        <w:tc>
          <w:tcPr>
            <w:tcW w:w="4229" w:type="dxa"/>
            <w:tcBorders>
              <w:top w:val="nil"/>
              <w:left w:val="nil"/>
              <w:bottom w:val="nil"/>
              <w:right w:val="nil"/>
            </w:tcBorders>
            <w:shd w:val="clear" w:color="000000" w:fill="FFFFFF"/>
            <w:noWrap/>
            <w:vAlign w:val="center"/>
            <w:hideMark/>
          </w:tcPr>
          <w:p w14:paraId="08C444EB"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+ 30%</w:t>
            </w:r>
          </w:p>
        </w:tc>
        <w:tc>
          <w:tcPr>
            <w:tcW w:w="1680" w:type="dxa"/>
            <w:tcBorders>
              <w:top w:val="nil"/>
              <w:left w:val="nil"/>
              <w:bottom w:val="nil"/>
              <w:right w:val="nil"/>
            </w:tcBorders>
            <w:shd w:val="clear" w:color="000000" w:fill="FFFFFF"/>
            <w:noWrap/>
            <w:vAlign w:val="center"/>
            <w:hideMark/>
          </w:tcPr>
          <w:p w14:paraId="6C94903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3.79 (3.03, 4.54)</w:t>
            </w:r>
          </w:p>
        </w:tc>
        <w:tc>
          <w:tcPr>
            <w:tcW w:w="1720" w:type="dxa"/>
            <w:tcBorders>
              <w:top w:val="nil"/>
              <w:left w:val="nil"/>
              <w:bottom w:val="nil"/>
              <w:right w:val="nil"/>
            </w:tcBorders>
            <w:shd w:val="clear" w:color="000000" w:fill="FFFFFF"/>
            <w:noWrap/>
            <w:vAlign w:val="center"/>
            <w:hideMark/>
          </w:tcPr>
          <w:p w14:paraId="1A6E35B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0.26 (0.15, 0.36)</w:t>
            </w:r>
          </w:p>
        </w:tc>
        <w:tc>
          <w:tcPr>
            <w:tcW w:w="2001" w:type="dxa"/>
            <w:tcBorders>
              <w:top w:val="nil"/>
              <w:left w:val="nil"/>
              <w:bottom w:val="nil"/>
              <w:right w:val="nil"/>
            </w:tcBorders>
            <w:shd w:val="clear" w:color="000000" w:fill="FFFFFF"/>
            <w:noWrap/>
            <w:vAlign w:val="center"/>
            <w:hideMark/>
          </w:tcPr>
          <w:p w14:paraId="110FD1A7"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592 (540, 650)</w:t>
            </w:r>
          </w:p>
        </w:tc>
        <w:tc>
          <w:tcPr>
            <w:tcW w:w="2244" w:type="dxa"/>
            <w:tcBorders>
              <w:top w:val="nil"/>
              <w:left w:val="nil"/>
              <w:bottom w:val="nil"/>
              <w:right w:val="nil"/>
            </w:tcBorders>
            <w:shd w:val="clear" w:color="000000" w:fill="FFFFFF"/>
            <w:noWrap/>
            <w:vAlign w:val="center"/>
            <w:hideMark/>
          </w:tcPr>
          <w:p w14:paraId="26EAA62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0.54 (0.49, 0.6)</w:t>
            </w:r>
          </w:p>
        </w:tc>
      </w:tr>
      <w:tr w:rsidR="00B14E9F" w:rsidRPr="00B14E9F" w14:paraId="27C4D6A5" w14:textId="77777777" w:rsidTr="00B14E9F">
        <w:trPr>
          <w:trHeight w:val="300"/>
        </w:trPr>
        <w:tc>
          <w:tcPr>
            <w:tcW w:w="4229" w:type="dxa"/>
            <w:tcBorders>
              <w:top w:val="nil"/>
              <w:left w:val="nil"/>
              <w:bottom w:val="nil"/>
              <w:right w:val="nil"/>
            </w:tcBorders>
            <w:shd w:val="clear" w:color="000000" w:fill="FFFFFF"/>
            <w:noWrap/>
            <w:vAlign w:val="center"/>
            <w:hideMark/>
          </w:tcPr>
          <w:p w14:paraId="757FB958"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+ 40%</w:t>
            </w:r>
          </w:p>
        </w:tc>
        <w:tc>
          <w:tcPr>
            <w:tcW w:w="1680" w:type="dxa"/>
            <w:tcBorders>
              <w:top w:val="nil"/>
              <w:left w:val="nil"/>
              <w:bottom w:val="nil"/>
              <w:right w:val="nil"/>
            </w:tcBorders>
            <w:shd w:val="clear" w:color="000000" w:fill="FFFFFF"/>
            <w:noWrap/>
            <w:vAlign w:val="center"/>
            <w:hideMark/>
          </w:tcPr>
          <w:p w14:paraId="3FF654B0"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3.59 (2.93, 4.30)</w:t>
            </w:r>
          </w:p>
        </w:tc>
        <w:tc>
          <w:tcPr>
            <w:tcW w:w="1720" w:type="dxa"/>
            <w:tcBorders>
              <w:top w:val="nil"/>
              <w:left w:val="nil"/>
              <w:bottom w:val="nil"/>
              <w:right w:val="nil"/>
            </w:tcBorders>
            <w:shd w:val="clear" w:color="000000" w:fill="FFFFFF"/>
            <w:noWrap/>
            <w:vAlign w:val="center"/>
            <w:hideMark/>
          </w:tcPr>
          <w:p w14:paraId="681BB72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0.27 (0.15, 0.37)</w:t>
            </w:r>
          </w:p>
        </w:tc>
        <w:tc>
          <w:tcPr>
            <w:tcW w:w="2001" w:type="dxa"/>
            <w:tcBorders>
              <w:top w:val="nil"/>
              <w:left w:val="nil"/>
              <w:bottom w:val="nil"/>
              <w:right w:val="nil"/>
            </w:tcBorders>
            <w:shd w:val="clear" w:color="000000" w:fill="FFFFFF"/>
            <w:noWrap/>
            <w:vAlign w:val="center"/>
            <w:hideMark/>
          </w:tcPr>
          <w:p w14:paraId="0A4F585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627 (565, 698)</w:t>
            </w:r>
          </w:p>
        </w:tc>
        <w:tc>
          <w:tcPr>
            <w:tcW w:w="2244" w:type="dxa"/>
            <w:tcBorders>
              <w:top w:val="nil"/>
              <w:left w:val="nil"/>
              <w:bottom w:val="nil"/>
              <w:right w:val="nil"/>
            </w:tcBorders>
            <w:shd w:val="clear" w:color="000000" w:fill="FFFFFF"/>
            <w:noWrap/>
            <w:vAlign w:val="center"/>
            <w:hideMark/>
          </w:tcPr>
          <w:p w14:paraId="20FD12B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0.53 (0.49, 0.59)</w:t>
            </w:r>
          </w:p>
        </w:tc>
      </w:tr>
      <w:tr w:rsidR="00B14E9F" w:rsidRPr="00B14E9F" w14:paraId="7496DD01" w14:textId="77777777" w:rsidTr="00B14E9F">
        <w:trPr>
          <w:trHeight w:val="300"/>
        </w:trPr>
        <w:tc>
          <w:tcPr>
            <w:tcW w:w="4229" w:type="dxa"/>
            <w:tcBorders>
              <w:top w:val="nil"/>
              <w:left w:val="nil"/>
              <w:bottom w:val="nil"/>
              <w:right w:val="nil"/>
            </w:tcBorders>
            <w:shd w:val="clear" w:color="000000" w:fill="FFFFFF"/>
            <w:noWrap/>
            <w:vAlign w:val="center"/>
            <w:hideMark/>
          </w:tcPr>
          <w:p w14:paraId="456B46B1"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+ 50%</w:t>
            </w:r>
          </w:p>
        </w:tc>
        <w:tc>
          <w:tcPr>
            <w:tcW w:w="1680" w:type="dxa"/>
            <w:tcBorders>
              <w:top w:val="nil"/>
              <w:left w:val="nil"/>
              <w:bottom w:val="nil"/>
              <w:right w:val="nil"/>
            </w:tcBorders>
            <w:shd w:val="clear" w:color="000000" w:fill="FFFFFF"/>
            <w:noWrap/>
            <w:vAlign w:val="center"/>
            <w:hideMark/>
          </w:tcPr>
          <w:p w14:paraId="3F83CA7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3.38 (2.51, 4.21)</w:t>
            </w:r>
          </w:p>
        </w:tc>
        <w:tc>
          <w:tcPr>
            <w:tcW w:w="1720" w:type="dxa"/>
            <w:tcBorders>
              <w:top w:val="nil"/>
              <w:left w:val="nil"/>
              <w:bottom w:val="nil"/>
              <w:right w:val="nil"/>
            </w:tcBorders>
            <w:shd w:val="clear" w:color="000000" w:fill="FFFFFF"/>
            <w:noWrap/>
            <w:vAlign w:val="center"/>
            <w:hideMark/>
          </w:tcPr>
          <w:p w14:paraId="3DFB331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0.29 (0.19, 0.40)</w:t>
            </w:r>
          </w:p>
        </w:tc>
        <w:tc>
          <w:tcPr>
            <w:tcW w:w="2001" w:type="dxa"/>
            <w:tcBorders>
              <w:top w:val="nil"/>
              <w:left w:val="nil"/>
              <w:bottom w:val="nil"/>
              <w:right w:val="nil"/>
            </w:tcBorders>
            <w:shd w:val="clear" w:color="000000" w:fill="FFFFFF"/>
            <w:noWrap/>
            <w:vAlign w:val="center"/>
            <w:hideMark/>
          </w:tcPr>
          <w:p w14:paraId="68E3B67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653 (574, 719)</w:t>
            </w:r>
          </w:p>
        </w:tc>
        <w:tc>
          <w:tcPr>
            <w:tcW w:w="2244" w:type="dxa"/>
            <w:tcBorders>
              <w:top w:val="nil"/>
              <w:left w:val="nil"/>
              <w:bottom w:val="nil"/>
              <w:right w:val="nil"/>
            </w:tcBorders>
            <w:shd w:val="clear" w:color="000000" w:fill="FFFFFF"/>
            <w:noWrap/>
            <w:vAlign w:val="center"/>
            <w:hideMark/>
          </w:tcPr>
          <w:p w14:paraId="02DD085F"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0.51 (0.46, 0.57)</w:t>
            </w:r>
          </w:p>
        </w:tc>
      </w:tr>
      <w:tr w:rsidR="00B14E9F" w:rsidRPr="00B14E9F" w14:paraId="19CD4096" w14:textId="77777777" w:rsidTr="00B14E9F">
        <w:trPr>
          <w:trHeight w:val="300"/>
        </w:trPr>
        <w:tc>
          <w:tcPr>
            <w:tcW w:w="4229" w:type="dxa"/>
            <w:tcBorders>
              <w:top w:val="nil"/>
              <w:left w:val="nil"/>
              <w:bottom w:val="nil"/>
              <w:right w:val="nil"/>
            </w:tcBorders>
            <w:shd w:val="clear" w:color="000000" w:fill="FFFFFF"/>
            <w:vAlign w:val="center"/>
            <w:hideMark/>
          </w:tcPr>
          <w:p w14:paraId="5AA96DEB" w14:textId="77777777" w:rsidR="00B14E9F" w:rsidRPr="00B14E9F" w:rsidRDefault="00B14E9F" w:rsidP="00B14E9F">
            <w:pPr>
              <w:rPr>
                <w:rFonts w:ascii="Helvetica Neue" w:hAnsi="Helvetica Neue"/>
                <w:b/>
                <w:bCs/>
                <w:sz w:val="18"/>
                <w:szCs w:val="18"/>
              </w:rPr>
            </w:pPr>
            <w:r w:rsidRPr="00B14E9F">
              <w:rPr>
                <w:rFonts w:ascii="Helvetica Neue" w:hAnsi="Helvetica Neue"/>
                <w:b/>
                <w:bCs/>
                <w:sz w:val="18"/>
                <w:szCs w:val="18"/>
              </w:rPr>
              <w:t>EPT Uptake by Non-Index Partner (20% Coverage)</w:t>
            </w:r>
          </w:p>
        </w:tc>
        <w:tc>
          <w:tcPr>
            <w:tcW w:w="1680" w:type="dxa"/>
            <w:tcBorders>
              <w:top w:val="nil"/>
              <w:left w:val="nil"/>
              <w:bottom w:val="nil"/>
              <w:right w:val="nil"/>
            </w:tcBorders>
            <w:shd w:val="clear" w:color="000000" w:fill="FFFFFF"/>
            <w:noWrap/>
            <w:vAlign w:val="center"/>
            <w:hideMark/>
          </w:tcPr>
          <w:p w14:paraId="30EAB93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1720" w:type="dxa"/>
            <w:tcBorders>
              <w:top w:val="nil"/>
              <w:left w:val="nil"/>
              <w:bottom w:val="nil"/>
              <w:right w:val="nil"/>
            </w:tcBorders>
            <w:shd w:val="clear" w:color="000000" w:fill="FFFFFF"/>
            <w:noWrap/>
            <w:vAlign w:val="center"/>
            <w:hideMark/>
          </w:tcPr>
          <w:p w14:paraId="37CF916D"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001" w:type="dxa"/>
            <w:tcBorders>
              <w:top w:val="nil"/>
              <w:left w:val="nil"/>
              <w:bottom w:val="nil"/>
              <w:right w:val="nil"/>
            </w:tcBorders>
            <w:shd w:val="clear" w:color="000000" w:fill="FFFFFF"/>
            <w:noWrap/>
            <w:vAlign w:val="center"/>
            <w:hideMark/>
          </w:tcPr>
          <w:p w14:paraId="310AC96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c>
          <w:tcPr>
            <w:tcW w:w="2244" w:type="dxa"/>
            <w:tcBorders>
              <w:top w:val="nil"/>
              <w:left w:val="nil"/>
              <w:bottom w:val="nil"/>
              <w:right w:val="nil"/>
            </w:tcBorders>
            <w:shd w:val="clear" w:color="000000" w:fill="FFFFFF"/>
            <w:noWrap/>
            <w:vAlign w:val="center"/>
            <w:hideMark/>
          </w:tcPr>
          <w:p w14:paraId="05DD6736"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 </w:t>
            </w:r>
          </w:p>
        </w:tc>
      </w:tr>
      <w:tr w:rsidR="00B14E9F" w:rsidRPr="00B14E9F" w14:paraId="79EE367D" w14:textId="77777777" w:rsidTr="00B14E9F">
        <w:trPr>
          <w:trHeight w:val="300"/>
        </w:trPr>
        <w:tc>
          <w:tcPr>
            <w:tcW w:w="4229" w:type="dxa"/>
            <w:tcBorders>
              <w:top w:val="nil"/>
              <w:left w:val="nil"/>
              <w:bottom w:val="nil"/>
              <w:right w:val="nil"/>
            </w:tcBorders>
            <w:shd w:val="clear" w:color="000000" w:fill="FFFFFF"/>
            <w:noWrap/>
            <w:vAlign w:val="center"/>
            <w:hideMark/>
          </w:tcPr>
          <w:p w14:paraId="72337648"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+ 10%</w:t>
            </w:r>
          </w:p>
        </w:tc>
        <w:tc>
          <w:tcPr>
            <w:tcW w:w="1680" w:type="dxa"/>
            <w:tcBorders>
              <w:top w:val="nil"/>
              <w:left w:val="nil"/>
              <w:bottom w:val="nil"/>
              <w:right w:val="nil"/>
            </w:tcBorders>
            <w:shd w:val="clear" w:color="000000" w:fill="FFFFFF"/>
            <w:noWrap/>
            <w:vAlign w:val="center"/>
            <w:hideMark/>
          </w:tcPr>
          <w:p w14:paraId="3B4DA669"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4.00 (3.28, 5.06)</w:t>
            </w:r>
          </w:p>
        </w:tc>
        <w:tc>
          <w:tcPr>
            <w:tcW w:w="1720" w:type="dxa"/>
            <w:tcBorders>
              <w:top w:val="nil"/>
              <w:left w:val="nil"/>
              <w:bottom w:val="nil"/>
              <w:right w:val="nil"/>
            </w:tcBorders>
            <w:shd w:val="clear" w:color="000000" w:fill="FFFFFF"/>
            <w:noWrap/>
            <w:vAlign w:val="center"/>
            <w:hideMark/>
          </w:tcPr>
          <w:p w14:paraId="2CF5E688"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0.22 (0.09, 0.34)</w:t>
            </w:r>
          </w:p>
        </w:tc>
        <w:tc>
          <w:tcPr>
            <w:tcW w:w="2001" w:type="dxa"/>
            <w:tcBorders>
              <w:top w:val="nil"/>
              <w:left w:val="nil"/>
              <w:bottom w:val="nil"/>
              <w:right w:val="nil"/>
            </w:tcBorders>
            <w:shd w:val="clear" w:color="000000" w:fill="FFFFFF"/>
            <w:noWrap/>
            <w:vAlign w:val="center"/>
            <w:hideMark/>
          </w:tcPr>
          <w:p w14:paraId="7099C7D2"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520 (468, 580)</w:t>
            </w:r>
          </w:p>
        </w:tc>
        <w:tc>
          <w:tcPr>
            <w:tcW w:w="2244" w:type="dxa"/>
            <w:tcBorders>
              <w:top w:val="nil"/>
              <w:left w:val="nil"/>
              <w:bottom w:val="nil"/>
              <w:right w:val="nil"/>
            </w:tcBorders>
            <w:shd w:val="clear" w:color="000000" w:fill="FFFFFF"/>
            <w:noWrap/>
            <w:vAlign w:val="center"/>
            <w:hideMark/>
          </w:tcPr>
          <w:p w14:paraId="5693AA04"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0.56 (0.51, 0.63)</w:t>
            </w:r>
          </w:p>
        </w:tc>
      </w:tr>
      <w:tr w:rsidR="00B14E9F" w:rsidRPr="00B14E9F" w14:paraId="51EABDA6" w14:textId="77777777" w:rsidTr="00B14E9F">
        <w:trPr>
          <w:trHeight w:val="315"/>
        </w:trPr>
        <w:tc>
          <w:tcPr>
            <w:tcW w:w="4229" w:type="dxa"/>
            <w:tcBorders>
              <w:top w:val="nil"/>
              <w:left w:val="nil"/>
              <w:bottom w:val="double" w:sz="6" w:space="0" w:color="auto"/>
              <w:right w:val="nil"/>
            </w:tcBorders>
            <w:shd w:val="clear" w:color="000000" w:fill="FFFFFF"/>
            <w:noWrap/>
            <w:vAlign w:val="center"/>
            <w:hideMark/>
          </w:tcPr>
          <w:p w14:paraId="42AD4DD9" w14:textId="77777777" w:rsidR="00B14E9F" w:rsidRPr="00B14E9F" w:rsidRDefault="00B14E9F" w:rsidP="00B14E9F">
            <w:pPr>
              <w:ind w:firstLineChars="100" w:firstLine="180"/>
              <w:rPr>
                <w:rFonts w:ascii="Helvetica Neue" w:hAnsi="Helvetica Neue"/>
                <w:sz w:val="18"/>
                <w:szCs w:val="18"/>
              </w:rPr>
            </w:pPr>
            <w:r w:rsidRPr="00B14E9F">
              <w:rPr>
                <w:rFonts w:ascii="Helvetica Neue" w:hAnsi="Helvetica Neue"/>
                <w:sz w:val="18"/>
                <w:szCs w:val="18"/>
              </w:rPr>
              <w:t>Base + 20%</w:t>
            </w:r>
          </w:p>
        </w:tc>
        <w:tc>
          <w:tcPr>
            <w:tcW w:w="1680" w:type="dxa"/>
            <w:tcBorders>
              <w:top w:val="nil"/>
              <w:left w:val="nil"/>
              <w:bottom w:val="double" w:sz="6" w:space="0" w:color="auto"/>
              <w:right w:val="nil"/>
            </w:tcBorders>
            <w:shd w:val="clear" w:color="000000" w:fill="FFFFFF"/>
            <w:noWrap/>
            <w:vAlign w:val="center"/>
            <w:hideMark/>
          </w:tcPr>
          <w:p w14:paraId="0D90622A"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4.06 (3.35, 4.96)</w:t>
            </w:r>
          </w:p>
        </w:tc>
        <w:tc>
          <w:tcPr>
            <w:tcW w:w="1720" w:type="dxa"/>
            <w:tcBorders>
              <w:top w:val="nil"/>
              <w:left w:val="nil"/>
              <w:bottom w:val="double" w:sz="6" w:space="0" w:color="auto"/>
              <w:right w:val="nil"/>
            </w:tcBorders>
            <w:shd w:val="clear" w:color="000000" w:fill="FFFFFF"/>
            <w:noWrap/>
            <w:vAlign w:val="center"/>
            <w:hideMark/>
          </w:tcPr>
          <w:p w14:paraId="7712A10C"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0.24 (0.14, 0.32)</w:t>
            </w:r>
          </w:p>
        </w:tc>
        <w:tc>
          <w:tcPr>
            <w:tcW w:w="2001" w:type="dxa"/>
            <w:tcBorders>
              <w:top w:val="nil"/>
              <w:left w:val="nil"/>
              <w:bottom w:val="double" w:sz="6" w:space="0" w:color="auto"/>
              <w:right w:val="nil"/>
            </w:tcBorders>
            <w:shd w:val="clear" w:color="000000" w:fill="FFFFFF"/>
            <w:noWrap/>
            <w:vAlign w:val="center"/>
            <w:hideMark/>
          </w:tcPr>
          <w:p w14:paraId="20B9479E"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566 (509, 620)</w:t>
            </w:r>
          </w:p>
        </w:tc>
        <w:tc>
          <w:tcPr>
            <w:tcW w:w="2244" w:type="dxa"/>
            <w:tcBorders>
              <w:top w:val="nil"/>
              <w:left w:val="nil"/>
              <w:bottom w:val="double" w:sz="6" w:space="0" w:color="auto"/>
              <w:right w:val="nil"/>
            </w:tcBorders>
            <w:shd w:val="clear" w:color="000000" w:fill="FFFFFF"/>
            <w:noWrap/>
            <w:vAlign w:val="center"/>
            <w:hideMark/>
          </w:tcPr>
          <w:p w14:paraId="7EFD2E6B" w14:textId="77777777" w:rsidR="00B14E9F" w:rsidRPr="00B14E9F" w:rsidRDefault="00B14E9F" w:rsidP="00B14E9F">
            <w:pPr>
              <w:rPr>
                <w:rFonts w:ascii="Helvetica Neue" w:hAnsi="Helvetica Neue"/>
                <w:sz w:val="18"/>
                <w:szCs w:val="18"/>
              </w:rPr>
            </w:pPr>
            <w:r w:rsidRPr="00B14E9F">
              <w:rPr>
                <w:rFonts w:ascii="Helvetica Neue" w:hAnsi="Helvetica Neue"/>
                <w:sz w:val="18"/>
                <w:szCs w:val="18"/>
              </w:rPr>
              <w:t>0.56 (0.51, 0.61)</w:t>
            </w:r>
          </w:p>
        </w:tc>
      </w:tr>
      <w:tr w:rsidR="00ED736D" w:rsidRPr="00B14E9F" w14:paraId="7708DB1E" w14:textId="77777777" w:rsidTr="001B1EE5">
        <w:trPr>
          <w:trHeight w:val="585"/>
        </w:trPr>
        <w:tc>
          <w:tcPr>
            <w:tcW w:w="11874" w:type="dxa"/>
            <w:gridSpan w:val="5"/>
            <w:tcBorders>
              <w:top w:val="nil"/>
              <w:left w:val="nil"/>
              <w:bottom w:val="nil"/>
              <w:right w:val="nil"/>
            </w:tcBorders>
            <w:shd w:val="clear" w:color="000000" w:fill="FFFFFF"/>
            <w:vAlign w:val="center"/>
            <w:hideMark/>
          </w:tcPr>
          <w:p w14:paraId="3528BDDF" w14:textId="0B276F0F" w:rsidR="00ED736D" w:rsidRPr="00B14E9F" w:rsidRDefault="00ED736D" w:rsidP="00ED736D">
            <w:pPr>
              <w:rPr>
                <w:rFonts w:ascii="Helvetica Neue" w:hAnsi="Helvetica Neue"/>
                <w:sz w:val="18"/>
                <w:szCs w:val="18"/>
              </w:rPr>
            </w:pPr>
            <w:r w:rsidRPr="00B14E9F">
              <w:rPr>
                <w:rFonts w:ascii="Helvetica Neue" w:hAnsi="Helvetica Neue"/>
                <w:sz w:val="18"/>
                <w:szCs w:val="18"/>
              </w:rPr>
              <w:t>IQR: interquartile range (25% and 75% percentiles) of the simulation outcomes; Incidence expressed per 100 person-years at risk at final year of simulation; All outcomes are compared to the reference model.</w:t>
            </w:r>
          </w:p>
        </w:tc>
      </w:tr>
    </w:tbl>
    <w:p w14:paraId="1A58C608" w14:textId="77777777" w:rsidR="00B14E9F" w:rsidRPr="0024409C" w:rsidRDefault="00B14E9F" w:rsidP="007751E4">
      <w:pPr>
        <w:spacing w:line="360" w:lineRule="auto"/>
        <w:rPr>
          <w:rFonts w:ascii="Helvetica Neue" w:hAnsi="Helvetica Neue"/>
          <w:sz w:val="20"/>
        </w:rPr>
      </w:pPr>
    </w:p>
    <w:p w14:paraId="39950C2C" w14:textId="33CA41C6" w:rsidR="00575C0C" w:rsidRDefault="00575C0C" w:rsidP="007751E4">
      <w:pPr>
        <w:spacing w:line="360" w:lineRule="auto"/>
        <w:rPr>
          <w:rFonts w:ascii="Helvetica Neue" w:hAnsi="Helvetica Neue"/>
          <w:sz w:val="20"/>
        </w:rPr>
      </w:pPr>
    </w:p>
    <w:p w14:paraId="14180478" w14:textId="19540DF9" w:rsidR="00C80E13" w:rsidRDefault="00C80E13" w:rsidP="007751E4">
      <w:pPr>
        <w:spacing w:line="360" w:lineRule="auto"/>
        <w:rPr>
          <w:rFonts w:ascii="Helvetica Neue" w:hAnsi="Helvetica Neue"/>
          <w:sz w:val="20"/>
        </w:rPr>
      </w:pPr>
    </w:p>
    <w:p w14:paraId="3922030E" w14:textId="36C92A70" w:rsidR="00A468E9" w:rsidRDefault="00A468E9" w:rsidP="007751E4">
      <w:pPr>
        <w:spacing w:line="360" w:lineRule="auto"/>
        <w:rPr>
          <w:rFonts w:ascii="Helvetica Neue" w:hAnsi="Helvetica Neue"/>
          <w:sz w:val="20"/>
        </w:rPr>
        <w:sectPr w:rsidR="00A468E9" w:rsidSect="004977A8">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08F34A46" w14:textId="0AA5A932" w:rsidR="008F739B" w:rsidRDefault="008F739B" w:rsidP="007751E4">
      <w:pPr>
        <w:spacing w:line="360" w:lineRule="auto"/>
        <w:rPr>
          <w:rFonts w:ascii="Helvetica Neue" w:hAnsi="Helvetica Neue"/>
          <w:sz w:val="20"/>
        </w:rPr>
      </w:pPr>
    </w:p>
    <w:tbl>
      <w:tblPr>
        <w:tblW w:w="13770" w:type="dxa"/>
        <w:tblLayout w:type="fixed"/>
        <w:tblLook w:val="04A0" w:firstRow="1" w:lastRow="0" w:firstColumn="1" w:lastColumn="0" w:noHBand="0" w:noVBand="1"/>
      </w:tblPr>
      <w:tblGrid>
        <w:gridCol w:w="2620"/>
        <w:gridCol w:w="1610"/>
        <w:gridCol w:w="1710"/>
        <w:gridCol w:w="1620"/>
        <w:gridCol w:w="1710"/>
        <w:gridCol w:w="1530"/>
        <w:gridCol w:w="1530"/>
        <w:gridCol w:w="1440"/>
      </w:tblGrid>
      <w:tr w:rsidR="00C524E9" w:rsidRPr="00C524E9" w14:paraId="7E1CA477" w14:textId="77777777" w:rsidTr="003D3FFF">
        <w:trPr>
          <w:trHeight w:val="720"/>
        </w:trPr>
        <w:tc>
          <w:tcPr>
            <w:tcW w:w="13770" w:type="dxa"/>
            <w:gridSpan w:val="8"/>
            <w:tcBorders>
              <w:top w:val="nil"/>
              <w:left w:val="nil"/>
              <w:bottom w:val="nil"/>
              <w:right w:val="nil"/>
            </w:tcBorders>
            <w:shd w:val="clear" w:color="000000" w:fill="FFFFFF"/>
            <w:vAlign w:val="center"/>
            <w:hideMark/>
          </w:tcPr>
          <w:p w14:paraId="323A3554" w14:textId="4AE455D3" w:rsidR="00C524E9" w:rsidRPr="00C524E9" w:rsidRDefault="00C524E9" w:rsidP="00FE6CB3">
            <w:pPr>
              <w:rPr>
                <w:rFonts w:ascii="Helvetica Neue" w:hAnsi="Helvetica Neue"/>
                <w:sz w:val="18"/>
                <w:szCs w:val="18"/>
              </w:rPr>
            </w:pPr>
            <w:r w:rsidRPr="00C524E9">
              <w:rPr>
                <w:rFonts w:ascii="Helvetica Neue" w:hAnsi="Helvetica Neue"/>
                <w:b/>
                <w:bCs/>
                <w:sz w:val="18"/>
                <w:szCs w:val="18"/>
              </w:rPr>
              <w:t xml:space="preserve">Supplementary Table </w:t>
            </w:r>
            <w:r w:rsidR="00FE6CB3" w:rsidRPr="00C64231">
              <w:rPr>
                <w:rFonts w:ascii="Helvetica Neue" w:hAnsi="Helvetica Neue"/>
                <w:b/>
                <w:bCs/>
                <w:sz w:val="18"/>
                <w:szCs w:val="18"/>
                <w:highlight w:val="yellow"/>
              </w:rPr>
              <w:t>8</w:t>
            </w:r>
            <w:r w:rsidRPr="00C524E9">
              <w:rPr>
                <w:rFonts w:ascii="Helvetica Neue" w:hAnsi="Helvetica Neue"/>
                <w:b/>
                <w:bCs/>
                <w:sz w:val="18"/>
                <w:szCs w:val="18"/>
              </w:rPr>
              <w:t>.</w:t>
            </w:r>
            <w:r w:rsidRPr="00C524E9">
              <w:rPr>
                <w:rFonts w:ascii="Helvetica Neue" w:hAnsi="Helvetica Neue"/>
                <w:sz w:val="18"/>
                <w:szCs w:val="18"/>
              </w:rPr>
              <w:t xml:space="preserve"> Combined Gonorrhea and Chlamydia (NG/CT) Partners Eligible for Expedited Partner Therapy (EPT), Partners Eligible Per-Time Step, Total EPT Doses Provided to Index Patients, Total Doses Provided from Index Patients to Partners, and Proportion of Partners Provided with EPT Medication by Partnership Type by Coverage, Partnership Window Interval, Provision to Non-Index Partner, Uptake by Non-Index Partner of EPT Medication among Men Who Have Sex with Men in the United States</w:t>
            </w:r>
          </w:p>
        </w:tc>
      </w:tr>
      <w:tr w:rsidR="00C524E9" w:rsidRPr="00C524E9" w14:paraId="36AAC58E" w14:textId="77777777" w:rsidTr="003D3FFF">
        <w:trPr>
          <w:trHeight w:val="960"/>
        </w:trPr>
        <w:tc>
          <w:tcPr>
            <w:tcW w:w="2620" w:type="dxa"/>
            <w:tcBorders>
              <w:top w:val="single" w:sz="4" w:space="0" w:color="auto"/>
              <w:left w:val="nil"/>
              <w:bottom w:val="single" w:sz="4" w:space="0" w:color="auto"/>
              <w:right w:val="nil"/>
            </w:tcBorders>
            <w:shd w:val="clear" w:color="000000" w:fill="FFFFFF"/>
            <w:noWrap/>
            <w:vAlign w:val="center"/>
            <w:hideMark/>
          </w:tcPr>
          <w:p w14:paraId="2BDE57FA"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610" w:type="dxa"/>
            <w:tcBorders>
              <w:top w:val="single" w:sz="4" w:space="0" w:color="auto"/>
              <w:left w:val="nil"/>
              <w:bottom w:val="single" w:sz="4" w:space="0" w:color="auto"/>
              <w:right w:val="nil"/>
            </w:tcBorders>
            <w:shd w:val="clear" w:color="auto" w:fill="auto"/>
            <w:vAlign w:val="center"/>
            <w:hideMark/>
          </w:tcPr>
          <w:p w14:paraId="0BE1D748"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Total Partners Eligible</w:t>
            </w:r>
            <w:r w:rsidRPr="00C524E9">
              <w:rPr>
                <w:rFonts w:ascii="Helvetica Neue" w:hAnsi="Helvetica Neue"/>
                <w:i/>
                <w:iCs/>
                <w:sz w:val="18"/>
                <w:szCs w:val="18"/>
              </w:rPr>
              <w:t xml:space="preserve"> (Median, IQR)</w:t>
            </w:r>
          </w:p>
        </w:tc>
        <w:tc>
          <w:tcPr>
            <w:tcW w:w="1710" w:type="dxa"/>
            <w:tcBorders>
              <w:top w:val="single" w:sz="4" w:space="0" w:color="auto"/>
              <w:left w:val="nil"/>
              <w:bottom w:val="single" w:sz="4" w:space="0" w:color="auto"/>
              <w:right w:val="nil"/>
            </w:tcBorders>
            <w:shd w:val="clear" w:color="auto" w:fill="auto"/>
            <w:vAlign w:val="center"/>
            <w:hideMark/>
          </w:tcPr>
          <w:p w14:paraId="720CA73E"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Total Partners Eligible Per-Time Step</w:t>
            </w:r>
            <w:r w:rsidRPr="00C524E9">
              <w:rPr>
                <w:rFonts w:ascii="Helvetica Neue" w:hAnsi="Helvetica Neue"/>
                <w:i/>
                <w:iCs/>
                <w:sz w:val="18"/>
                <w:szCs w:val="18"/>
              </w:rPr>
              <w:t xml:space="preserve"> (Median, IQR)</w:t>
            </w:r>
          </w:p>
        </w:tc>
        <w:tc>
          <w:tcPr>
            <w:tcW w:w="1620" w:type="dxa"/>
            <w:tcBorders>
              <w:top w:val="single" w:sz="4" w:space="0" w:color="auto"/>
              <w:left w:val="nil"/>
              <w:bottom w:val="single" w:sz="4" w:space="0" w:color="auto"/>
              <w:right w:val="nil"/>
            </w:tcBorders>
            <w:shd w:val="clear" w:color="auto" w:fill="auto"/>
            <w:vAlign w:val="center"/>
            <w:hideMark/>
          </w:tcPr>
          <w:p w14:paraId="6A78D74D"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Total EPT Doses Provided to Index</w:t>
            </w:r>
            <w:r w:rsidRPr="00C524E9">
              <w:rPr>
                <w:rFonts w:ascii="Helvetica Neue" w:hAnsi="Helvetica Neue"/>
                <w:i/>
                <w:iCs/>
                <w:sz w:val="18"/>
                <w:szCs w:val="18"/>
              </w:rPr>
              <w:t xml:space="preserve"> (Median, IQR)</w:t>
            </w:r>
          </w:p>
        </w:tc>
        <w:tc>
          <w:tcPr>
            <w:tcW w:w="1710" w:type="dxa"/>
            <w:tcBorders>
              <w:top w:val="single" w:sz="4" w:space="0" w:color="auto"/>
              <w:left w:val="nil"/>
              <w:bottom w:val="single" w:sz="4" w:space="0" w:color="auto"/>
              <w:right w:val="nil"/>
            </w:tcBorders>
            <w:shd w:val="clear" w:color="auto" w:fill="auto"/>
            <w:vAlign w:val="center"/>
            <w:hideMark/>
          </w:tcPr>
          <w:p w14:paraId="38E8A6D3"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Total EPT Doses Provided to Partners</w:t>
            </w:r>
            <w:r w:rsidRPr="00C524E9">
              <w:rPr>
                <w:rFonts w:ascii="Helvetica Neue" w:hAnsi="Helvetica Neue"/>
                <w:i/>
                <w:iCs/>
                <w:sz w:val="18"/>
                <w:szCs w:val="18"/>
              </w:rPr>
              <w:t xml:space="preserve"> (Median, IQR)</w:t>
            </w:r>
          </w:p>
        </w:tc>
        <w:tc>
          <w:tcPr>
            <w:tcW w:w="1530" w:type="dxa"/>
            <w:tcBorders>
              <w:top w:val="single" w:sz="4" w:space="0" w:color="auto"/>
              <w:left w:val="nil"/>
              <w:bottom w:val="single" w:sz="4" w:space="0" w:color="auto"/>
              <w:right w:val="nil"/>
            </w:tcBorders>
            <w:shd w:val="clear" w:color="auto" w:fill="auto"/>
            <w:vAlign w:val="center"/>
            <w:hideMark/>
          </w:tcPr>
          <w:p w14:paraId="5054BE2C"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Proportion of Main Partners Provided Per Time Step</w:t>
            </w:r>
            <w:r w:rsidRPr="00C524E9">
              <w:rPr>
                <w:rFonts w:ascii="Helvetica Neue" w:hAnsi="Helvetica Neue"/>
                <w:i/>
                <w:iCs/>
                <w:sz w:val="18"/>
                <w:szCs w:val="18"/>
              </w:rPr>
              <w:t xml:space="preserve"> (Median, IQR)</w:t>
            </w:r>
          </w:p>
        </w:tc>
        <w:tc>
          <w:tcPr>
            <w:tcW w:w="1530" w:type="dxa"/>
            <w:tcBorders>
              <w:top w:val="single" w:sz="4" w:space="0" w:color="auto"/>
              <w:left w:val="nil"/>
              <w:bottom w:val="single" w:sz="4" w:space="0" w:color="auto"/>
              <w:right w:val="nil"/>
            </w:tcBorders>
            <w:shd w:val="clear" w:color="auto" w:fill="auto"/>
            <w:vAlign w:val="center"/>
            <w:hideMark/>
          </w:tcPr>
          <w:p w14:paraId="5E108FCD"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Proportion of Casual Partners Provided Per Time Step</w:t>
            </w:r>
            <w:r w:rsidRPr="00C524E9">
              <w:rPr>
                <w:rFonts w:ascii="Helvetica Neue" w:hAnsi="Helvetica Neue"/>
                <w:i/>
                <w:iCs/>
                <w:sz w:val="18"/>
                <w:szCs w:val="18"/>
              </w:rPr>
              <w:t xml:space="preserve"> (Median, IQR)</w:t>
            </w:r>
          </w:p>
        </w:tc>
        <w:tc>
          <w:tcPr>
            <w:tcW w:w="1440" w:type="dxa"/>
            <w:tcBorders>
              <w:top w:val="single" w:sz="4" w:space="0" w:color="auto"/>
              <w:left w:val="nil"/>
              <w:bottom w:val="single" w:sz="4" w:space="0" w:color="auto"/>
              <w:right w:val="nil"/>
            </w:tcBorders>
            <w:shd w:val="clear" w:color="auto" w:fill="auto"/>
            <w:vAlign w:val="center"/>
            <w:hideMark/>
          </w:tcPr>
          <w:p w14:paraId="3C6981F1" w14:textId="77777777" w:rsidR="00C524E9" w:rsidRPr="00C524E9" w:rsidRDefault="00C524E9" w:rsidP="00C524E9">
            <w:pPr>
              <w:rPr>
                <w:rFonts w:ascii="Helvetica Neue" w:hAnsi="Helvetica Neue"/>
                <w:i/>
                <w:iCs/>
                <w:sz w:val="18"/>
                <w:szCs w:val="18"/>
              </w:rPr>
            </w:pPr>
            <w:r w:rsidRPr="00C524E9">
              <w:rPr>
                <w:rFonts w:ascii="Helvetica Neue" w:hAnsi="Helvetica Neue"/>
                <w:b/>
                <w:bCs/>
                <w:sz w:val="18"/>
                <w:szCs w:val="18"/>
              </w:rPr>
              <w:t>Proportion of One-Time Partners Provided Per Time Step</w:t>
            </w:r>
            <w:r w:rsidRPr="00C524E9">
              <w:rPr>
                <w:rFonts w:ascii="Helvetica Neue" w:hAnsi="Helvetica Neue"/>
                <w:i/>
                <w:iCs/>
                <w:sz w:val="18"/>
                <w:szCs w:val="18"/>
              </w:rPr>
              <w:t xml:space="preserve"> (Median, IQR)</w:t>
            </w:r>
          </w:p>
        </w:tc>
      </w:tr>
      <w:tr w:rsidR="00C524E9" w:rsidRPr="00C524E9" w14:paraId="7C068E9D" w14:textId="77777777" w:rsidTr="003D3FFF">
        <w:trPr>
          <w:trHeight w:val="300"/>
        </w:trPr>
        <w:tc>
          <w:tcPr>
            <w:tcW w:w="2620" w:type="dxa"/>
            <w:tcBorders>
              <w:top w:val="nil"/>
              <w:left w:val="nil"/>
              <w:bottom w:val="nil"/>
              <w:right w:val="nil"/>
            </w:tcBorders>
            <w:shd w:val="clear" w:color="000000" w:fill="FFFFFF"/>
            <w:vAlign w:val="center"/>
            <w:hideMark/>
          </w:tcPr>
          <w:p w14:paraId="5069AB9B"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Reference Model</w:t>
            </w:r>
          </w:p>
        </w:tc>
        <w:tc>
          <w:tcPr>
            <w:tcW w:w="1610" w:type="dxa"/>
            <w:tcBorders>
              <w:top w:val="nil"/>
              <w:left w:val="nil"/>
              <w:bottom w:val="nil"/>
              <w:right w:val="nil"/>
            </w:tcBorders>
            <w:shd w:val="clear" w:color="000000" w:fill="FFFFFF"/>
            <w:noWrap/>
            <w:vAlign w:val="center"/>
            <w:hideMark/>
          </w:tcPr>
          <w:p w14:paraId="00E93D0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c>
          <w:tcPr>
            <w:tcW w:w="1710" w:type="dxa"/>
            <w:tcBorders>
              <w:top w:val="nil"/>
              <w:left w:val="nil"/>
              <w:bottom w:val="nil"/>
              <w:right w:val="nil"/>
            </w:tcBorders>
            <w:shd w:val="clear" w:color="000000" w:fill="FFFFFF"/>
            <w:noWrap/>
            <w:vAlign w:val="center"/>
            <w:hideMark/>
          </w:tcPr>
          <w:p w14:paraId="0ED7796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c>
          <w:tcPr>
            <w:tcW w:w="1620" w:type="dxa"/>
            <w:tcBorders>
              <w:top w:val="nil"/>
              <w:left w:val="nil"/>
              <w:bottom w:val="nil"/>
              <w:right w:val="nil"/>
            </w:tcBorders>
            <w:shd w:val="clear" w:color="000000" w:fill="FFFFFF"/>
            <w:noWrap/>
            <w:vAlign w:val="center"/>
            <w:hideMark/>
          </w:tcPr>
          <w:p w14:paraId="7B595D4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c>
          <w:tcPr>
            <w:tcW w:w="1710" w:type="dxa"/>
            <w:tcBorders>
              <w:top w:val="nil"/>
              <w:left w:val="nil"/>
              <w:bottom w:val="nil"/>
              <w:right w:val="nil"/>
            </w:tcBorders>
            <w:shd w:val="clear" w:color="000000" w:fill="FFFFFF"/>
            <w:noWrap/>
            <w:vAlign w:val="center"/>
            <w:hideMark/>
          </w:tcPr>
          <w:p w14:paraId="2E5C519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26B3A39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c>
          <w:tcPr>
            <w:tcW w:w="1530" w:type="dxa"/>
            <w:tcBorders>
              <w:top w:val="nil"/>
              <w:left w:val="nil"/>
              <w:bottom w:val="nil"/>
              <w:right w:val="nil"/>
            </w:tcBorders>
            <w:shd w:val="clear" w:color="000000" w:fill="FFFFFF"/>
            <w:noWrap/>
            <w:vAlign w:val="center"/>
            <w:hideMark/>
          </w:tcPr>
          <w:p w14:paraId="5498A4F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c>
          <w:tcPr>
            <w:tcW w:w="1440" w:type="dxa"/>
            <w:tcBorders>
              <w:top w:val="nil"/>
              <w:left w:val="nil"/>
              <w:bottom w:val="nil"/>
              <w:right w:val="nil"/>
            </w:tcBorders>
            <w:shd w:val="clear" w:color="000000" w:fill="FFFFFF"/>
            <w:noWrap/>
            <w:vAlign w:val="center"/>
            <w:hideMark/>
          </w:tcPr>
          <w:p w14:paraId="7EFE476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w:t>
            </w:r>
          </w:p>
        </w:tc>
      </w:tr>
      <w:tr w:rsidR="00C524E9" w:rsidRPr="00C524E9" w14:paraId="239C29EA" w14:textId="77777777" w:rsidTr="003D3FFF">
        <w:trPr>
          <w:trHeight w:val="300"/>
        </w:trPr>
        <w:tc>
          <w:tcPr>
            <w:tcW w:w="2620" w:type="dxa"/>
            <w:tcBorders>
              <w:top w:val="nil"/>
              <w:left w:val="nil"/>
              <w:bottom w:val="nil"/>
              <w:right w:val="nil"/>
            </w:tcBorders>
            <w:shd w:val="clear" w:color="000000" w:fill="FFFFFF"/>
            <w:vAlign w:val="center"/>
            <w:hideMark/>
          </w:tcPr>
          <w:p w14:paraId="229A0676"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EPT Coverage (Provision to Index)</w:t>
            </w:r>
          </w:p>
        </w:tc>
        <w:tc>
          <w:tcPr>
            <w:tcW w:w="1610" w:type="dxa"/>
            <w:tcBorders>
              <w:top w:val="nil"/>
              <w:left w:val="nil"/>
              <w:bottom w:val="nil"/>
              <w:right w:val="nil"/>
            </w:tcBorders>
            <w:shd w:val="clear" w:color="000000" w:fill="FFFFFF"/>
            <w:vAlign w:val="center"/>
            <w:hideMark/>
          </w:tcPr>
          <w:p w14:paraId="09F6A63A" w14:textId="77777777" w:rsidR="00C524E9" w:rsidRPr="00C524E9" w:rsidRDefault="00C524E9" w:rsidP="00C524E9">
            <w:pPr>
              <w:rPr>
                <w:rFonts w:ascii="Helvetica Neue" w:hAnsi="Helvetica Neue"/>
                <w:b/>
                <w:bCs/>
                <w:color w:val="FF0000"/>
                <w:sz w:val="18"/>
                <w:szCs w:val="18"/>
              </w:rPr>
            </w:pPr>
            <w:r w:rsidRPr="00C524E9">
              <w:rPr>
                <w:rFonts w:ascii="Helvetica Neue" w:hAnsi="Helvetica Neue"/>
                <w:b/>
                <w:bCs/>
                <w:color w:val="FF0000"/>
                <w:sz w:val="18"/>
                <w:szCs w:val="18"/>
              </w:rPr>
              <w:t> </w:t>
            </w:r>
          </w:p>
        </w:tc>
        <w:tc>
          <w:tcPr>
            <w:tcW w:w="1710" w:type="dxa"/>
            <w:tcBorders>
              <w:top w:val="nil"/>
              <w:left w:val="nil"/>
              <w:bottom w:val="nil"/>
              <w:right w:val="nil"/>
            </w:tcBorders>
            <w:shd w:val="clear" w:color="000000" w:fill="FFFFFF"/>
            <w:vAlign w:val="center"/>
            <w:hideMark/>
          </w:tcPr>
          <w:p w14:paraId="5653ABE0" w14:textId="77777777" w:rsidR="00C524E9" w:rsidRPr="00C524E9" w:rsidRDefault="00C524E9" w:rsidP="00C524E9">
            <w:pPr>
              <w:rPr>
                <w:rFonts w:ascii="Helvetica Neue" w:hAnsi="Helvetica Neue"/>
                <w:b/>
                <w:bCs/>
                <w:color w:val="FF0000"/>
                <w:sz w:val="18"/>
                <w:szCs w:val="18"/>
              </w:rPr>
            </w:pPr>
            <w:r w:rsidRPr="00C524E9">
              <w:rPr>
                <w:rFonts w:ascii="Helvetica Neue" w:hAnsi="Helvetica Neue"/>
                <w:b/>
                <w:bCs/>
                <w:color w:val="FF0000"/>
                <w:sz w:val="18"/>
                <w:szCs w:val="18"/>
              </w:rPr>
              <w:t> </w:t>
            </w:r>
          </w:p>
        </w:tc>
        <w:tc>
          <w:tcPr>
            <w:tcW w:w="1620" w:type="dxa"/>
            <w:tcBorders>
              <w:top w:val="nil"/>
              <w:left w:val="nil"/>
              <w:bottom w:val="nil"/>
              <w:right w:val="nil"/>
            </w:tcBorders>
            <w:shd w:val="clear" w:color="000000" w:fill="FFFFFF"/>
            <w:noWrap/>
            <w:vAlign w:val="center"/>
            <w:hideMark/>
          </w:tcPr>
          <w:p w14:paraId="62F5A20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710" w:type="dxa"/>
            <w:tcBorders>
              <w:top w:val="nil"/>
              <w:left w:val="nil"/>
              <w:bottom w:val="nil"/>
              <w:right w:val="nil"/>
            </w:tcBorders>
            <w:shd w:val="clear" w:color="000000" w:fill="FFFFFF"/>
            <w:noWrap/>
            <w:vAlign w:val="center"/>
            <w:hideMark/>
          </w:tcPr>
          <w:p w14:paraId="0456488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7D29364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3114872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440" w:type="dxa"/>
            <w:tcBorders>
              <w:top w:val="nil"/>
              <w:left w:val="nil"/>
              <w:bottom w:val="nil"/>
              <w:right w:val="nil"/>
            </w:tcBorders>
            <w:shd w:val="clear" w:color="000000" w:fill="FFFFFF"/>
            <w:noWrap/>
            <w:vAlign w:val="center"/>
            <w:hideMark/>
          </w:tcPr>
          <w:p w14:paraId="7B91CE1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r>
      <w:tr w:rsidR="00C524E9" w:rsidRPr="00C524E9" w14:paraId="6BDE0A8F" w14:textId="77777777" w:rsidTr="003D3FFF">
        <w:trPr>
          <w:trHeight w:val="402"/>
        </w:trPr>
        <w:tc>
          <w:tcPr>
            <w:tcW w:w="2620" w:type="dxa"/>
            <w:tcBorders>
              <w:top w:val="nil"/>
              <w:left w:val="nil"/>
              <w:bottom w:val="nil"/>
              <w:right w:val="nil"/>
            </w:tcBorders>
            <w:shd w:val="clear" w:color="000000" w:fill="FFFFFF"/>
            <w:noWrap/>
            <w:vAlign w:val="center"/>
            <w:hideMark/>
          </w:tcPr>
          <w:p w14:paraId="3900BCAA"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10%</w:t>
            </w:r>
          </w:p>
        </w:tc>
        <w:tc>
          <w:tcPr>
            <w:tcW w:w="1610" w:type="dxa"/>
            <w:tcBorders>
              <w:top w:val="nil"/>
              <w:left w:val="nil"/>
              <w:bottom w:val="nil"/>
              <w:right w:val="nil"/>
            </w:tcBorders>
            <w:shd w:val="clear" w:color="000000" w:fill="FFFFFF"/>
            <w:noWrap/>
            <w:vAlign w:val="center"/>
            <w:hideMark/>
          </w:tcPr>
          <w:p w14:paraId="6C52AA9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1779 (1575, 2053)</w:t>
            </w:r>
          </w:p>
        </w:tc>
        <w:tc>
          <w:tcPr>
            <w:tcW w:w="1710" w:type="dxa"/>
            <w:tcBorders>
              <w:top w:val="nil"/>
              <w:left w:val="nil"/>
              <w:bottom w:val="nil"/>
              <w:right w:val="nil"/>
            </w:tcBorders>
            <w:shd w:val="clear" w:color="000000" w:fill="FFFFFF"/>
            <w:noWrap/>
            <w:vAlign w:val="center"/>
            <w:hideMark/>
          </w:tcPr>
          <w:p w14:paraId="3A680F3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3.42 (3.03, 3.95)</w:t>
            </w:r>
          </w:p>
        </w:tc>
        <w:tc>
          <w:tcPr>
            <w:tcW w:w="1620" w:type="dxa"/>
            <w:tcBorders>
              <w:top w:val="nil"/>
              <w:left w:val="nil"/>
              <w:bottom w:val="nil"/>
              <w:right w:val="nil"/>
            </w:tcBorders>
            <w:shd w:val="clear" w:color="000000" w:fill="FFFFFF"/>
            <w:noWrap/>
            <w:vAlign w:val="center"/>
            <w:hideMark/>
          </w:tcPr>
          <w:p w14:paraId="451D9F0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843 (744, 951)</w:t>
            </w:r>
          </w:p>
        </w:tc>
        <w:tc>
          <w:tcPr>
            <w:tcW w:w="1710" w:type="dxa"/>
            <w:tcBorders>
              <w:top w:val="nil"/>
              <w:left w:val="nil"/>
              <w:bottom w:val="nil"/>
              <w:right w:val="nil"/>
            </w:tcBorders>
            <w:shd w:val="clear" w:color="000000" w:fill="FFFFFF"/>
            <w:noWrap/>
            <w:vAlign w:val="center"/>
            <w:hideMark/>
          </w:tcPr>
          <w:p w14:paraId="1C69CF4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600 (530, 694)</w:t>
            </w:r>
          </w:p>
        </w:tc>
        <w:tc>
          <w:tcPr>
            <w:tcW w:w="1530" w:type="dxa"/>
            <w:tcBorders>
              <w:top w:val="nil"/>
              <w:left w:val="nil"/>
              <w:bottom w:val="nil"/>
              <w:right w:val="nil"/>
            </w:tcBorders>
            <w:shd w:val="clear" w:color="000000" w:fill="FFFFFF"/>
            <w:noWrap/>
            <w:vAlign w:val="center"/>
            <w:hideMark/>
          </w:tcPr>
          <w:p w14:paraId="22413EB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0.51)</w:t>
            </w:r>
          </w:p>
        </w:tc>
        <w:tc>
          <w:tcPr>
            <w:tcW w:w="1530" w:type="dxa"/>
            <w:tcBorders>
              <w:top w:val="nil"/>
              <w:left w:val="nil"/>
              <w:bottom w:val="nil"/>
              <w:right w:val="nil"/>
            </w:tcBorders>
            <w:shd w:val="clear" w:color="000000" w:fill="FFFFFF"/>
            <w:noWrap/>
            <w:vAlign w:val="center"/>
            <w:hideMark/>
          </w:tcPr>
          <w:p w14:paraId="3C10CD1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0.40)</w:t>
            </w:r>
          </w:p>
        </w:tc>
        <w:tc>
          <w:tcPr>
            <w:tcW w:w="1440" w:type="dxa"/>
            <w:tcBorders>
              <w:top w:val="nil"/>
              <w:left w:val="nil"/>
              <w:bottom w:val="nil"/>
              <w:right w:val="nil"/>
            </w:tcBorders>
            <w:shd w:val="clear" w:color="000000" w:fill="FFFFFF"/>
            <w:noWrap/>
            <w:vAlign w:val="center"/>
            <w:hideMark/>
          </w:tcPr>
          <w:p w14:paraId="6B991C4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193977FB" w14:textId="77777777" w:rsidTr="003D3FFF">
        <w:trPr>
          <w:trHeight w:val="402"/>
        </w:trPr>
        <w:tc>
          <w:tcPr>
            <w:tcW w:w="2620" w:type="dxa"/>
            <w:tcBorders>
              <w:top w:val="nil"/>
              <w:left w:val="nil"/>
              <w:bottom w:val="nil"/>
              <w:right w:val="nil"/>
            </w:tcBorders>
            <w:shd w:val="clear" w:color="000000" w:fill="FFFFFF"/>
            <w:noWrap/>
            <w:vAlign w:val="center"/>
            <w:hideMark/>
          </w:tcPr>
          <w:p w14:paraId="4047F015"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20%</w:t>
            </w:r>
          </w:p>
        </w:tc>
        <w:tc>
          <w:tcPr>
            <w:tcW w:w="1610" w:type="dxa"/>
            <w:tcBorders>
              <w:top w:val="nil"/>
              <w:left w:val="nil"/>
              <w:bottom w:val="nil"/>
              <w:right w:val="nil"/>
            </w:tcBorders>
            <w:shd w:val="clear" w:color="000000" w:fill="FFFFFF"/>
            <w:noWrap/>
            <w:vAlign w:val="center"/>
            <w:hideMark/>
          </w:tcPr>
          <w:p w14:paraId="22D2314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3036 (2666, 3425)</w:t>
            </w:r>
          </w:p>
        </w:tc>
        <w:tc>
          <w:tcPr>
            <w:tcW w:w="1710" w:type="dxa"/>
            <w:tcBorders>
              <w:top w:val="nil"/>
              <w:left w:val="nil"/>
              <w:bottom w:val="nil"/>
              <w:right w:val="nil"/>
            </w:tcBorders>
            <w:shd w:val="clear" w:color="000000" w:fill="FFFFFF"/>
            <w:noWrap/>
            <w:vAlign w:val="center"/>
            <w:hideMark/>
          </w:tcPr>
          <w:p w14:paraId="74B8DD2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5.84 (5.13, 6.59)</w:t>
            </w:r>
          </w:p>
        </w:tc>
        <w:tc>
          <w:tcPr>
            <w:tcW w:w="1620" w:type="dxa"/>
            <w:tcBorders>
              <w:top w:val="nil"/>
              <w:left w:val="nil"/>
              <w:bottom w:val="nil"/>
              <w:right w:val="nil"/>
            </w:tcBorders>
            <w:shd w:val="clear" w:color="000000" w:fill="FFFFFF"/>
            <w:noWrap/>
            <w:vAlign w:val="center"/>
            <w:hideMark/>
          </w:tcPr>
          <w:p w14:paraId="7309577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1482 (1316, 1685)</w:t>
            </w:r>
          </w:p>
        </w:tc>
        <w:tc>
          <w:tcPr>
            <w:tcW w:w="1710" w:type="dxa"/>
            <w:tcBorders>
              <w:top w:val="nil"/>
              <w:left w:val="nil"/>
              <w:bottom w:val="nil"/>
              <w:right w:val="nil"/>
            </w:tcBorders>
            <w:shd w:val="clear" w:color="000000" w:fill="FFFFFF"/>
            <w:noWrap/>
            <w:vAlign w:val="center"/>
            <w:hideMark/>
          </w:tcPr>
          <w:p w14:paraId="486D6DE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1016 (892, 1162)</w:t>
            </w:r>
          </w:p>
        </w:tc>
        <w:tc>
          <w:tcPr>
            <w:tcW w:w="1530" w:type="dxa"/>
            <w:tcBorders>
              <w:top w:val="nil"/>
              <w:left w:val="nil"/>
              <w:bottom w:val="nil"/>
              <w:right w:val="nil"/>
            </w:tcBorders>
            <w:shd w:val="clear" w:color="000000" w:fill="FFFFFF"/>
            <w:noWrap/>
            <w:vAlign w:val="center"/>
            <w:hideMark/>
          </w:tcPr>
          <w:p w14:paraId="291D687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0.51)</w:t>
            </w:r>
          </w:p>
        </w:tc>
        <w:tc>
          <w:tcPr>
            <w:tcW w:w="1530" w:type="dxa"/>
            <w:tcBorders>
              <w:top w:val="nil"/>
              <w:left w:val="nil"/>
              <w:bottom w:val="nil"/>
              <w:right w:val="nil"/>
            </w:tcBorders>
            <w:shd w:val="clear" w:color="000000" w:fill="FFFFFF"/>
            <w:noWrap/>
            <w:vAlign w:val="center"/>
            <w:hideMark/>
          </w:tcPr>
          <w:p w14:paraId="683D969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1DC7E8C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400C7C81" w14:textId="77777777" w:rsidTr="003D3FFF">
        <w:trPr>
          <w:trHeight w:val="402"/>
        </w:trPr>
        <w:tc>
          <w:tcPr>
            <w:tcW w:w="2620" w:type="dxa"/>
            <w:tcBorders>
              <w:top w:val="nil"/>
              <w:left w:val="nil"/>
              <w:bottom w:val="nil"/>
              <w:right w:val="nil"/>
            </w:tcBorders>
            <w:shd w:val="clear" w:color="000000" w:fill="FFFFFF"/>
            <w:noWrap/>
            <w:vAlign w:val="center"/>
            <w:hideMark/>
          </w:tcPr>
          <w:p w14:paraId="4CBC8451"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30%</w:t>
            </w:r>
          </w:p>
        </w:tc>
        <w:tc>
          <w:tcPr>
            <w:tcW w:w="1610" w:type="dxa"/>
            <w:tcBorders>
              <w:top w:val="nil"/>
              <w:left w:val="nil"/>
              <w:bottom w:val="nil"/>
              <w:right w:val="nil"/>
            </w:tcBorders>
            <w:shd w:val="clear" w:color="000000" w:fill="FFFFFF"/>
            <w:noWrap/>
            <w:vAlign w:val="center"/>
            <w:hideMark/>
          </w:tcPr>
          <w:p w14:paraId="772CF0B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3867 (3404, 4374)</w:t>
            </w:r>
          </w:p>
        </w:tc>
        <w:tc>
          <w:tcPr>
            <w:tcW w:w="1710" w:type="dxa"/>
            <w:tcBorders>
              <w:top w:val="nil"/>
              <w:left w:val="nil"/>
              <w:bottom w:val="nil"/>
              <w:right w:val="nil"/>
            </w:tcBorders>
            <w:shd w:val="clear" w:color="000000" w:fill="FFFFFF"/>
            <w:noWrap/>
            <w:vAlign w:val="center"/>
            <w:hideMark/>
          </w:tcPr>
          <w:p w14:paraId="121C704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7.44 (6.55, 8.41)</w:t>
            </w:r>
          </w:p>
        </w:tc>
        <w:tc>
          <w:tcPr>
            <w:tcW w:w="1620" w:type="dxa"/>
            <w:tcBorders>
              <w:top w:val="nil"/>
              <w:left w:val="nil"/>
              <w:bottom w:val="nil"/>
              <w:right w:val="nil"/>
            </w:tcBorders>
            <w:shd w:val="clear" w:color="000000" w:fill="FFFFFF"/>
            <w:noWrap/>
            <w:vAlign w:val="center"/>
            <w:hideMark/>
          </w:tcPr>
          <w:p w14:paraId="680C4A1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1976 (1733, 2229)</w:t>
            </w:r>
          </w:p>
        </w:tc>
        <w:tc>
          <w:tcPr>
            <w:tcW w:w="1710" w:type="dxa"/>
            <w:tcBorders>
              <w:top w:val="nil"/>
              <w:left w:val="nil"/>
              <w:bottom w:val="nil"/>
              <w:right w:val="nil"/>
            </w:tcBorders>
            <w:shd w:val="clear" w:color="000000" w:fill="FFFFFF"/>
            <w:noWrap/>
            <w:vAlign w:val="center"/>
            <w:hideMark/>
          </w:tcPr>
          <w:p w14:paraId="3A83C06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1294 (1152, 1458)</w:t>
            </w:r>
          </w:p>
        </w:tc>
        <w:tc>
          <w:tcPr>
            <w:tcW w:w="1530" w:type="dxa"/>
            <w:tcBorders>
              <w:top w:val="nil"/>
              <w:left w:val="nil"/>
              <w:bottom w:val="nil"/>
              <w:right w:val="nil"/>
            </w:tcBorders>
            <w:shd w:val="clear" w:color="000000" w:fill="FFFFFF"/>
            <w:noWrap/>
            <w:vAlign w:val="center"/>
            <w:hideMark/>
          </w:tcPr>
          <w:p w14:paraId="6B78298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0.50)</w:t>
            </w:r>
          </w:p>
        </w:tc>
        <w:tc>
          <w:tcPr>
            <w:tcW w:w="1530" w:type="dxa"/>
            <w:tcBorders>
              <w:top w:val="nil"/>
              <w:left w:val="nil"/>
              <w:bottom w:val="nil"/>
              <w:right w:val="nil"/>
            </w:tcBorders>
            <w:shd w:val="clear" w:color="000000" w:fill="FFFFFF"/>
            <w:noWrap/>
            <w:vAlign w:val="center"/>
            <w:hideMark/>
          </w:tcPr>
          <w:p w14:paraId="7BDDBCD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(0.38, 0.39)</w:t>
            </w:r>
          </w:p>
        </w:tc>
        <w:tc>
          <w:tcPr>
            <w:tcW w:w="1440" w:type="dxa"/>
            <w:tcBorders>
              <w:top w:val="nil"/>
              <w:left w:val="nil"/>
              <w:bottom w:val="nil"/>
              <w:right w:val="nil"/>
            </w:tcBorders>
            <w:shd w:val="clear" w:color="000000" w:fill="FFFFFF"/>
            <w:noWrap/>
            <w:vAlign w:val="center"/>
            <w:hideMark/>
          </w:tcPr>
          <w:p w14:paraId="04A16E2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38622BCF" w14:textId="77777777" w:rsidTr="003D3FFF">
        <w:trPr>
          <w:trHeight w:val="402"/>
        </w:trPr>
        <w:tc>
          <w:tcPr>
            <w:tcW w:w="2620" w:type="dxa"/>
            <w:tcBorders>
              <w:top w:val="nil"/>
              <w:left w:val="nil"/>
              <w:bottom w:val="nil"/>
              <w:right w:val="nil"/>
            </w:tcBorders>
            <w:shd w:val="clear" w:color="000000" w:fill="FFFFFF"/>
            <w:noWrap/>
            <w:vAlign w:val="center"/>
            <w:hideMark/>
          </w:tcPr>
          <w:p w14:paraId="3A1137A2"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40%</w:t>
            </w:r>
          </w:p>
        </w:tc>
        <w:tc>
          <w:tcPr>
            <w:tcW w:w="1610" w:type="dxa"/>
            <w:tcBorders>
              <w:top w:val="nil"/>
              <w:left w:val="nil"/>
              <w:bottom w:val="nil"/>
              <w:right w:val="nil"/>
            </w:tcBorders>
            <w:shd w:val="clear" w:color="000000" w:fill="FFFFFF"/>
            <w:noWrap/>
            <w:vAlign w:val="center"/>
            <w:hideMark/>
          </w:tcPr>
          <w:p w14:paraId="4190025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4437 (3973, 4990)</w:t>
            </w:r>
          </w:p>
        </w:tc>
        <w:tc>
          <w:tcPr>
            <w:tcW w:w="1710" w:type="dxa"/>
            <w:tcBorders>
              <w:top w:val="nil"/>
              <w:left w:val="nil"/>
              <w:bottom w:val="nil"/>
              <w:right w:val="nil"/>
            </w:tcBorders>
            <w:shd w:val="clear" w:color="000000" w:fill="FFFFFF"/>
            <w:noWrap/>
            <w:vAlign w:val="center"/>
            <w:hideMark/>
          </w:tcPr>
          <w:p w14:paraId="4CB792A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8.53 (7.64, 9.60)</w:t>
            </w:r>
          </w:p>
        </w:tc>
        <w:tc>
          <w:tcPr>
            <w:tcW w:w="1620" w:type="dxa"/>
            <w:tcBorders>
              <w:top w:val="nil"/>
              <w:left w:val="nil"/>
              <w:bottom w:val="nil"/>
              <w:right w:val="nil"/>
            </w:tcBorders>
            <w:shd w:val="clear" w:color="000000" w:fill="FFFFFF"/>
            <w:noWrap/>
            <w:vAlign w:val="center"/>
            <w:hideMark/>
          </w:tcPr>
          <w:p w14:paraId="398328C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2350 (2094, 2645)</w:t>
            </w:r>
          </w:p>
        </w:tc>
        <w:tc>
          <w:tcPr>
            <w:tcW w:w="1710" w:type="dxa"/>
            <w:tcBorders>
              <w:top w:val="nil"/>
              <w:left w:val="nil"/>
              <w:bottom w:val="nil"/>
              <w:right w:val="nil"/>
            </w:tcBorders>
            <w:shd w:val="clear" w:color="000000" w:fill="FFFFFF"/>
            <w:noWrap/>
            <w:vAlign w:val="center"/>
            <w:hideMark/>
          </w:tcPr>
          <w:p w14:paraId="77C1298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1494 (1330, 1664)</w:t>
            </w:r>
          </w:p>
        </w:tc>
        <w:tc>
          <w:tcPr>
            <w:tcW w:w="1530" w:type="dxa"/>
            <w:tcBorders>
              <w:top w:val="nil"/>
              <w:left w:val="nil"/>
              <w:bottom w:val="nil"/>
              <w:right w:val="nil"/>
            </w:tcBorders>
            <w:shd w:val="clear" w:color="000000" w:fill="FFFFFF"/>
            <w:noWrap/>
            <w:vAlign w:val="center"/>
            <w:hideMark/>
          </w:tcPr>
          <w:p w14:paraId="4862C67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0.50)</w:t>
            </w:r>
          </w:p>
        </w:tc>
        <w:tc>
          <w:tcPr>
            <w:tcW w:w="1530" w:type="dxa"/>
            <w:tcBorders>
              <w:top w:val="nil"/>
              <w:left w:val="nil"/>
              <w:bottom w:val="nil"/>
              <w:right w:val="nil"/>
            </w:tcBorders>
            <w:shd w:val="clear" w:color="000000" w:fill="FFFFFF"/>
            <w:noWrap/>
            <w:vAlign w:val="center"/>
            <w:hideMark/>
          </w:tcPr>
          <w:p w14:paraId="10653D9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(0.38, 0.39)</w:t>
            </w:r>
          </w:p>
        </w:tc>
        <w:tc>
          <w:tcPr>
            <w:tcW w:w="1440" w:type="dxa"/>
            <w:tcBorders>
              <w:top w:val="nil"/>
              <w:left w:val="nil"/>
              <w:bottom w:val="nil"/>
              <w:right w:val="nil"/>
            </w:tcBorders>
            <w:shd w:val="clear" w:color="000000" w:fill="FFFFFF"/>
            <w:noWrap/>
            <w:vAlign w:val="center"/>
            <w:hideMark/>
          </w:tcPr>
          <w:p w14:paraId="16F7B83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446A28A" w14:textId="77777777" w:rsidTr="003D3FFF">
        <w:trPr>
          <w:trHeight w:val="402"/>
        </w:trPr>
        <w:tc>
          <w:tcPr>
            <w:tcW w:w="2620" w:type="dxa"/>
            <w:tcBorders>
              <w:top w:val="nil"/>
              <w:left w:val="nil"/>
              <w:bottom w:val="nil"/>
              <w:right w:val="nil"/>
            </w:tcBorders>
            <w:shd w:val="clear" w:color="000000" w:fill="FFFFFF"/>
            <w:noWrap/>
            <w:vAlign w:val="center"/>
            <w:hideMark/>
          </w:tcPr>
          <w:p w14:paraId="29376F47"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50%</w:t>
            </w:r>
          </w:p>
        </w:tc>
        <w:tc>
          <w:tcPr>
            <w:tcW w:w="1610" w:type="dxa"/>
            <w:tcBorders>
              <w:top w:val="nil"/>
              <w:left w:val="nil"/>
              <w:bottom w:val="nil"/>
              <w:right w:val="nil"/>
            </w:tcBorders>
            <w:shd w:val="clear" w:color="000000" w:fill="FFFFFF"/>
            <w:noWrap/>
            <w:vAlign w:val="center"/>
            <w:hideMark/>
          </w:tcPr>
          <w:p w14:paraId="4EB4D0C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5163 (4560, 5744)</w:t>
            </w:r>
          </w:p>
        </w:tc>
        <w:tc>
          <w:tcPr>
            <w:tcW w:w="1710" w:type="dxa"/>
            <w:tcBorders>
              <w:top w:val="nil"/>
              <w:left w:val="nil"/>
              <w:bottom w:val="nil"/>
              <w:right w:val="nil"/>
            </w:tcBorders>
            <w:shd w:val="clear" w:color="000000" w:fill="FFFFFF"/>
            <w:noWrap/>
            <w:vAlign w:val="center"/>
            <w:hideMark/>
          </w:tcPr>
          <w:p w14:paraId="09BA684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9.93 (8.77, 11.05)</w:t>
            </w:r>
          </w:p>
        </w:tc>
        <w:tc>
          <w:tcPr>
            <w:tcW w:w="1620" w:type="dxa"/>
            <w:tcBorders>
              <w:top w:val="nil"/>
              <w:left w:val="nil"/>
              <w:bottom w:val="nil"/>
              <w:right w:val="nil"/>
            </w:tcBorders>
            <w:shd w:val="clear" w:color="000000" w:fill="FFFFFF"/>
            <w:noWrap/>
            <w:vAlign w:val="center"/>
            <w:hideMark/>
          </w:tcPr>
          <w:p w14:paraId="4F3EC9D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2822 (2483, 3134)</w:t>
            </w:r>
          </w:p>
        </w:tc>
        <w:tc>
          <w:tcPr>
            <w:tcW w:w="1710" w:type="dxa"/>
            <w:tcBorders>
              <w:top w:val="nil"/>
              <w:left w:val="nil"/>
              <w:bottom w:val="nil"/>
              <w:right w:val="nil"/>
            </w:tcBorders>
            <w:shd w:val="clear" w:color="000000" w:fill="FFFFFF"/>
            <w:noWrap/>
            <w:vAlign w:val="center"/>
            <w:hideMark/>
          </w:tcPr>
          <w:p w14:paraId="36D27F2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1724 (1527, 1914)</w:t>
            </w:r>
          </w:p>
        </w:tc>
        <w:tc>
          <w:tcPr>
            <w:tcW w:w="1530" w:type="dxa"/>
            <w:tcBorders>
              <w:top w:val="nil"/>
              <w:left w:val="nil"/>
              <w:bottom w:val="nil"/>
              <w:right w:val="nil"/>
            </w:tcBorders>
            <w:shd w:val="clear" w:color="000000" w:fill="FFFFFF"/>
            <w:noWrap/>
            <w:vAlign w:val="center"/>
            <w:hideMark/>
          </w:tcPr>
          <w:p w14:paraId="44657FB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(0.48, 0.50)</w:t>
            </w:r>
          </w:p>
        </w:tc>
        <w:tc>
          <w:tcPr>
            <w:tcW w:w="1530" w:type="dxa"/>
            <w:tcBorders>
              <w:top w:val="nil"/>
              <w:left w:val="nil"/>
              <w:bottom w:val="nil"/>
              <w:right w:val="nil"/>
            </w:tcBorders>
            <w:shd w:val="clear" w:color="000000" w:fill="FFFFFF"/>
            <w:noWrap/>
            <w:vAlign w:val="center"/>
            <w:hideMark/>
          </w:tcPr>
          <w:p w14:paraId="04E098C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3752886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DAFED2A" w14:textId="77777777" w:rsidTr="003D3FFF">
        <w:trPr>
          <w:trHeight w:val="402"/>
        </w:trPr>
        <w:tc>
          <w:tcPr>
            <w:tcW w:w="2620" w:type="dxa"/>
            <w:tcBorders>
              <w:top w:val="nil"/>
              <w:left w:val="nil"/>
              <w:bottom w:val="nil"/>
              <w:right w:val="nil"/>
            </w:tcBorders>
            <w:shd w:val="clear" w:color="000000" w:fill="FFFFFF"/>
            <w:noWrap/>
            <w:vAlign w:val="center"/>
            <w:hideMark/>
          </w:tcPr>
          <w:p w14:paraId="54D675E7"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60%</w:t>
            </w:r>
          </w:p>
        </w:tc>
        <w:tc>
          <w:tcPr>
            <w:tcW w:w="1610" w:type="dxa"/>
            <w:tcBorders>
              <w:top w:val="nil"/>
              <w:left w:val="nil"/>
              <w:bottom w:val="nil"/>
              <w:right w:val="nil"/>
            </w:tcBorders>
            <w:shd w:val="clear" w:color="000000" w:fill="FFFFFF"/>
            <w:noWrap/>
            <w:vAlign w:val="center"/>
            <w:hideMark/>
          </w:tcPr>
          <w:p w14:paraId="4275FCC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5592 (5031, 6167)</w:t>
            </w:r>
          </w:p>
        </w:tc>
        <w:tc>
          <w:tcPr>
            <w:tcW w:w="1710" w:type="dxa"/>
            <w:tcBorders>
              <w:top w:val="nil"/>
              <w:left w:val="nil"/>
              <w:bottom w:val="nil"/>
              <w:right w:val="nil"/>
            </w:tcBorders>
            <w:shd w:val="clear" w:color="000000" w:fill="FFFFFF"/>
            <w:noWrap/>
            <w:vAlign w:val="center"/>
            <w:hideMark/>
          </w:tcPr>
          <w:p w14:paraId="4370352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10.75 (9.67, 11.86)</w:t>
            </w:r>
          </w:p>
        </w:tc>
        <w:tc>
          <w:tcPr>
            <w:tcW w:w="1620" w:type="dxa"/>
            <w:tcBorders>
              <w:top w:val="nil"/>
              <w:left w:val="nil"/>
              <w:bottom w:val="nil"/>
              <w:right w:val="nil"/>
            </w:tcBorders>
            <w:shd w:val="clear" w:color="000000" w:fill="FFFFFF"/>
            <w:noWrap/>
            <w:vAlign w:val="center"/>
            <w:hideMark/>
          </w:tcPr>
          <w:p w14:paraId="42B46D4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3153 (2816, 3505)</w:t>
            </w:r>
          </w:p>
        </w:tc>
        <w:tc>
          <w:tcPr>
            <w:tcW w:w="1710" w:type="dxa"/>
            <w:tcBorders>
              <w:top w:val="nil"/>
              <w:left w:val="nil"/>
              <w:bottom w:val="nil"/>
              <w:right w:val="nil"/>
            </w:tcBorders>
            <w:shd w:val="clear" w:color="000000" w:fill="FFFFFF"/>
            <w:noWrap/>
            <w:vAlign w:val="center"/>
            <w:hideMark/>
          </w:tcPr>
          <w:p w14:paraId="1ED1925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1872 (1670, 2058)</w:t>
            </w:r>
          </w:p>
        </w:tc>
        <w:tc>
          <w:tcPr>
            <w:tcW w:w="1530" w:type="dxa"/>
            <w:tcBorders>
              <w:top w:val="nil"/>
              <w:left w:val="nil"/>
              <w:bottom w:val="nil"/>
              <w:right w:val="nil"/>
            </w:tcBorders>
            <w:shd w:val="clear" w:color="000000" w:fill="FFFFFF"/>
            <w:noWrap/>
            <w:vAlign w:val="center"/>
            <w:hideMark/>
          </w:tcPr>
          <w:p w14:paraId="68E7E10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0.50)</w:t>
            </w:r>
          </w:p>
        </w:tc>
        <w:tc>
          <w:tcPr>
            <w:tcW w:w="1530" w:type="dxa"/>
            <w:tcBorders>
              <w:top w:val="nil"/>
              <w:left w:val="nil"/>
              <w:bottom w:val="nil"/>
              <w:right w:val="nil"/>
            </w:tcBorders>
            <w:shd w:val="clear" w:color="000000" w:fill="FFFFFF"/>
            <w:noWrap/>
            <w:vAlign w:val="center"/>
            <w:hideMark/>
          </w:tcPr>
          <w:p w14:paraId="22AFD58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4EA07B8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0899F0E8" w14:textId="77777777" w:rsidTr="003D3FFF">
        <w:trPr>
          <w:trHeight w:val="402"/>
        </w:trPr>
        <w:tc>
          <w:tcPr>
            <w:tcW w:w="2620" w:type="dxa"/>
            <w:tcBorders>
              <w:top w:val="nil"/>
              <w:left w:val="nil"/>
              <w:bottom w:val="nil"/>
              <w:right w:val="nil"/>
            </w:tcBorders>
            <w:shd w:val="clear" w:color="000000" w:fill="FFFFFF"/>
            <w:noWrap/>
            <w:vAlign w:val="center"/>
            <w:hideMark/>
          </w:tcPr>
          <w:p w14:paraId="612A5F83"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70%</w:t>
            </w:r>
          </w:p>
        </w:tc>
        <w:tc>
          <w:tcPr>
            <w:tcW w:w="1610" w:type="dxa"/>
            <w:tcBorders>
              <w:top w:val="nil"/>
              <w:left w:val="nil"/>
              <w:bottom w:val="nil"/>
              <w:right w:val="nil"/>
            </w:tcBorders>
            <w:shd w:val="clear" w:color="000000" w:fill="FFFFFF"/>
            <w:noWrap/>
            <w:vAlign w:val="center"/>
            <w:hideMark/>
          </w:tcPr>
          <w:p w14:paraId="319F1D2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5902 (5174, 6697)</w:t>
            </w:r>
          </w:p>
        </w:tc>
        <w:tc>
          <w:tcPr>
            <w:tcW w:w="1710" w:type="dxa"/>
            <w:tcBorders>
              <w:top w:val="nil"/>
              <w:left w:val="nil"/>
              <w:bottom w:val="nil"/>
              <w:right w:val="nil"/>
            </w:tcBorders>
            <w:shd w:val="clear" w:color="000000" w:fill="FFFFFF"/>
            <w:noWrap/>
            <w:vAlign w:val="center"/>
            <w:hideMark/>
          </w:tcPr>
          <w:p w14:paraId="402E1E9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11.35 (9.95, 12.88)</w:t>
            </w:r>
          </w:p>
        </w:tc>
        <w:tc>
          <w:tcPr>
            <w:tcW w:w="1620" w:type="dxa"/>
            <w:tcBorders>
              <w:top w:val="nil"/>
              <w:left w:val="nil"/>
              <w:bottom w:val="nil"/>
              <w:right w:val="nil"/>
            </w:tcBorders>
            <w:shd w:val="clear" w:color="000000" w:fill="FFFFFF"/>
            <w:noWrap/>
            <w:vAlign w:val="center"/>
            <w:hideMark/>
          </w:tcPr>
          <w:p w14:paraId="44591E6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3403 (2983, 3888)</w:t>
            </w:r>
          </w:p>
        </w:tc>
        <w:tc>
          <w:tcPr>
            <w:tcW w:w="1710" w:type="dxa"/>
            <w:tcBorders>
              <w:top w:val="nil"/>
              <w:left w:val="nil"/>
              <w:bottom w:val="nil"/>
              <w:right w:val="nil"/>
            </w:tcBorders>
            <w:shd w:val="clear" w:color="000000" w:fill="FFFFFF"/>
            <w:noWrap/>
            <w:vAlign w:val="center"/>
            <w:hideMark/>
          </w:tcPr>
          <w:p w14:paraId="29F096E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1972 (1747, 2235)</w:t>
            </w:r>
          </w:p>
        </w:tc>
        <w:tc>
          <w:tcPr>
            <w:tcW w:w="1530" w:type="dxa"/>
            <w:tcBorders>
              <w:top w:val="nil"/>
              <w:left w:val="nil"/>
              <w:bottom w:val="nil"/>
              <w:right w:val="nil"/>
            </w:tcBorders>
            <w:shd w:val="clear" w:color="000000" w:fill="FFFFFF"/>
            <w:noWrap/>
            <w:vAlign w:val="center"/>
            <w:hideMark/>
          </w:tcPr>
          <w:p w14:paraId="0DD935C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0.50)</w:t>
            </w:r>
          </w:p>
        </w:tc>
        <w:tc>
          <w:tcPr>
            <w:tcW w:w="1530" w:type="dxa"/>
            <w:tcBorders>
              <w:top w:val="nil"/>
              <w:left w:val="nil"/>
              <w:bottom w:val="nil"/>
              <w:right w:val="nil"/>
            </w:tcBorders>
            <w:shd w:val="clear" w:color="000000" w:fill="FFFFFF"/>
            <w:noWrap/>
            <w:vAlign w:val="center"/>
            <w:hideMark/>
          </w:tcPr>
          <w:p w14:paraId="60F1707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2975005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AF5377C" w14:textId="77777777" w:rsidTr="003D3FFF">
        <w:trPr>
          <w:trHeight w:val="402"/>
        </w:trPr>
        <w:tc>
          <w:tcPr>
            <w:tcW w:w="2620" w:type="dxa"/>
            <w:tcBorders>
              <w:top w:val="nil"/>
              <w:left w:val="nil"/>
              <w:bottom w:val="nil"/>
              <w:right w:val="nil"/>
            </w:tcBorders>
            <w:shd w:val="clear" w:color="000000" w:fill="FFFFFF"/>
            <w:noWrap/>
            <w:vAlign w:val="center"/>
            <w:hideMark/>
          </w:tcPr>
          <w:p w14:paraId="14BBA0B7"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80%</w:t>
            </w:r>
          </w:p>
        </w:tc>
        <w:tc>
          <w:tcPr>
            <w:tcW w:w="1610" w:type="dxa"/>
            <w:tcBorders>
              <w:top w:val="nil"/>
              <w:left w:val="nil"/>
              <w:bottom w:val="nil"/>
              <w:right w:val="nil"/>
            </w:tcBorders>
            <w:shd w:val="clear" w:color="000000" w:fill="FFFFFF"/>
            <w:noWrap/>
            <w:vAlign w:val="center"/>
            <w:hideMark/>
          </w:tcPr>
          <w:p w14:paraId="7D115B4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6321 (5515, 7186)</w:t>
            </w:r>
          </w:p>
        </w:tc>
        <w:tc>
          <w:tcPr>
            <w:tcW w:w="1710" w:type="dxa"/>
            <w:tcBorders>
              <w:top w:val="nil"/>
              <w:left w:val="nil"/>
              <w:bottom w:val="nil"/>
              <w:right w:val="nil"/>
            </w:tcBorders>
            <w:shd w:val="clear" w:color="000000" w:fill="FFFFFF"/>
            <w:noWrap/>
            <w:vAlign w:val="center"/>
            <w:hideMark/>
          </w:tcPr>
          <w:p w14:paraId="1DE89C7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12.16 (10.61, 13.82)</w:t>
            </w:r>
          </w:p>
        </w:tc>
        <w:tc>
          <w:tcPr>
            <w:tcW w:w="1620" w:type="dxa"/>
            <w:tcBorders>
              <w:top w:val="nil"/>
              <w:left w:val="nil"/>
              <w:bottom w:val="nil"/>
              <w:right w:val="nil"/>
            </w:tcBorders>
            <w:shd w:val="clear" w:color="000000" w:fill="FFFFFF"/>
            <w:noWrap/>
            <w:vAlign w:val="center"/>
            <w:hideMark/>
          </w:tcPr>
          <w:p w14:paraId="7FC79F6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3750 (3267, 4337)</w:t>
            </w:r>
          </w:p>
        </w:tc>
        <w:tc>
          <w:tcPr>
            <w:tcW w:w="1710" w:type="dxa"/>
            <w:tcBorders>
              <w:top w:val="nil"/>
              <w:left w:val="nil"/>
              <w:bottom w:val="nil"/>
              <w:right w:val="nil"/>
            </w:tcBorders>
            <w:shd w:val="clear" w:color="000000" w:fill="FFFFFF"/>
            <w:noWrap/>
            <w:vAlign w:val="center"/>
            <w:hideMark/>
          </w:tcPr>
          <w:p w14:paraId="283B1D4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2116 (1827, 2394)</w:t>
            </w:r>
          </w:p>
        </w:tc>
        <w:tc>
          <w:tcPr>
            <w:tcW w:w="1530" w:type="dxa"/>
            <w:tcBorders>
              <w:top w:val="nil"/>
              <w:left w:val="nil"/>
              <w:bottom w:val="nil"/>
              <w:right w:val="nil"/>
            </w:tcBorders>
            <w:shd w:val="clear" w:color="000000" w:fill="FFFFFF"/>
            <w:noWrap/>
            <w:vAlign w:val="center"/>
            <w:hideMark/>
          </w:tcPr>
          <w:p w14:paraId="7EDE947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0.48 (0.47, 0.50)</w:t>
            </w:r>
          </w:p>
        </w:tc>
        <w:tc>
          <w:tcPr>
            <w:tcW w:w="1530" w:type="dxa"/>
            <w:tcBorders>
              <w:top w:val="nil"/>
              <w:left w:val="nil"/>
              <w:bottom w:val="nil"/>
              <w:right w:val="nil"/>
            </w:tcBorders>
            <w:shd w:val="clear" w:color="000000" w:fill="FFFFFF"/>
            <w:noWrap/>
            <w:vAlign w:val="center"/>
            <w:hideMark/>
          </w:tcPr>
          <w:p w14:paraId="3BF18B9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3C85FAD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41EB3554" w14:textId="77777777" w:rsidTr="003D3FFF">
        <w:trPr>
          <w:trHeight w:val="402"/>
        </w:trPr>
        <w:tc>
          <w:tcPr>
            <w:tcW w:w="2620" w:type="dxa"/>
            <w:tcBorders>
              <w:top w:val="nil"/>
              <w:left w:val="nil"/>
              <w:bottom w:val="nil"/>
              <w:right w:val="nil"/>
            </w:tcBorders>
            <w:shd w:val="clear" w:color="000000" w:fill="FFFFFF"/>
            <w:noWrap/>
            <w:vAlign w:val="center"/>
            <w:hideMark/>
          </w:tcPr>
          <w:p w14:paraId="2C5E9C64"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90%</w:t>
            </w:r>
          </w:p>
        </w:tc>
        <w:tc>
          <w:tcPr>
            <w:tcW w:w="1610" w:type="dxa"/>
            <w:tcBorders>
              <w:top w:val="nil"/>
              <w:left w:val="nil"/>
              <w:bottom w:val="nil"/>
              <w:right w:val="nil"/>
            </w:tcBorders>
            <w:shd w:val="clear" w:color="000000" w:fill="FFFFFF"/>
            <w:noWrap/>
            <w:vAlign w:val="center"/>
            <w:hideMark/>
          </w:tcPr>
          <w:p w14:paraId="44A2640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6521 (5911, 7282)</w:t>
            </w:r>
          </w:p>
        </w:tc>
        <w:tc>
          <w:tcPr>
            <w:tcW w:w="1710" w:type="dxa"/>
            <w:tcBorders>
              <w:top w:val="nil"/>
              <w:left w:val="nil"/>
              <w:bottom w:val="nil"/>
              <w:right w:val="nil"/>
            </w:tcBorders>
            <w:shd w:val="clear" w:color="000000" w:fill="FFFFFF"/>
            <w:noWrap/>
            <w:vAlign w:val="center"/>
            <w:hideMark/>
          </w:tcPr>
          <w:p w14:paraId="24E4F14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12.54 (11.37, 14.00)</w:t>
            </w:r>
          </w:p>
        </w:tc>
        <w:tc>
          <w:tcPr>
            <w:tcW w:w="1620" w:type="dxa"/>
            <w:tcBorders>
              <w:top w:val="nil"/>
              <w:left w:val="nil"/>
              <w:bottom w:val="nil"/>
              <w:right w:val="nil"/>
            </w:tcBorders>
            <w:shd w:val="clear" w:color="000000" w:fill="FFFFFF"/>
            <w:noWrap/>
            <w:vAlign w:val="center"/>
            <w:hideMark/>
          </w:tcPr>
          <w:p w14:paraId="7E09379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4004 (3561, 4496)</w:t>
            </w:r>
          </w:p>
        </w:tc>
        <w:tc>
          <w:tcPr>
            <w:tcW w:w="1710" w:type="dxa"/>
            <w:tcBorders>
              <w:top w:val="nil"/>
              <w:left w:val="nil"/>
              <w:bottom w:val="nil"/>
              <w:right w:val="nil"/>
            </w:tcBorders>
            <w:shd w:val="clear" w:color="000000" w:fill="FFFFFF"/>
            <w:noWrap/>
            <w:vAlign w:val="center"/>
            <w:hideMark/>
          </w:tcPr>
          <w:p w14:paraId="42A66CE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2180 (1975, 2430)</w:t>
            </w:r>
          </w:p>
        </w:tc>
        <w:tc>
          <w:tcPr>
            <w:tcW w:w="1530" w:type="dxa"/>
            <w:tcBorders>
              <w:top w:val="nil"/>
              <w:left w:val="nil"/>
              <w:bottom w:val="nil"/>
              <w:right w:val="nil"/>
            </w:tcBorders>
            <w:shd w:val="clear" w:color="000000" w:fill="FFFFFF"/>
            <w:noWrap/>
            <w:vAlign w:val="center"/>
            <w:hideMark/>
          </w:tcPr>
          <w:p w14:paraId="05ADAE9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(0.48, 0.50)</w:t>
            </w:r>
          </w:p>
        </w:tc>
        <w:tc>
          <w:tcPr>
            <w:tcW w:w="1530" w:type="dxa"/>
            <w:tcBorders>
              <w:top w:val="nil"/>
              <w:left w:val="nil"/>
              <w:bottom w:val="nil"/>
              <w:right w:val="nil"/>
            </w:tcBorders>
            <w:shd w:val="clear" w:color="000000" w:fill="FFFFFF"/>
            <w:noWrap/>
            <w:vAlign w:val="center"/>
            <w:hideMark/>
          </w:tcPr>
          <w:p w14:paraId="7310BA2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(0.38, 0.39)</w:t>
            </w:r>
          </w:p>
        </w:tc>
        <w:tc>
          <w:tcPr>
            <w:tcW w:w="1440" w:type="dxa"/>
            <w:tcBorders>
              <w:top w:val="nil"/>
              <w:left w:val="nil"/>
              <w:bottom w:val="nil"/>
              <w:right w:val="nil"/>
            </w:tcBorders>
            <w:shd w:val="clear" w:color="000000" w:fill="FFFFFF"/>
            <w:noWrap/>
            <w:vAlign w:val="center"/>
            <w:hideMark/>
          </w:tcPr>
          <w:p w14:paraId="63C2C42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4FC2AC9" w14:textId="77777777" w:rsidTr="003D3FFF">
        <w:trPr>
          <w:trHeight w:val="402"/>
        </w:trPr>
        <w:tc>
          <w:tcPr>
            <w:tcW w:w="2620" w:type="dxa"/>
            <w:tcBorders>
              <w:top w:val="nil"/>
              <w:left w:val="nil"/>
              <w:bottom w:val="nil"/>
              <w:right w:val="nil"/>
            </w:tcBorders>
            <w:shd w:val="clear" w:color="000000" w:fill="FFFFFF"/>
            <w:noWrap/>
            <w:vAlign w:val="center"/>
            <w:hideMark/>
          </w:tcPr>
          <w:p w14:paraId="77699D59"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100%</w:t>
            </w:r>
          </w:p>
        </w:tc>
        <w:tc>
          <w:tcPr>
            <w:tcW w:w="1610" w:type="dxa"/>
            <w:tcBorders>
              <w:top w:val="nil"/>
              <w:left w:val="nil"/>
              <w:bottom w:val="nil"/>
              <w:right w:val="nil"/>
            </w:tcBorders>
            <w:shd w:val="clear" w:color="000000" w:fill="FFFFFF"/>
            <w:noWrap/>
            <w:vAlign w:val="center"/>
            <w:hideMark/>
          </w:tcPr>
          <w:p w14:paraId="29C6444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6894 (6359, 7794)</w:t>
            </w:r>
          </w:p>
        </w:tc>
        <w:tc>
          <w:tcPr>
            <w:tcW w:w="1710" w:type="dxa"/>
            <w:tcBorders>
              <w:top w:val="nil"/>
              <w:left w:val="nil"/>
              <w:bottom w:val="nil"/>
              <w:right w:val="nil"/>
            </w:tcBorders>
            <w:shd w:val="clear" w:color="000000" w:fill="FFFFFF"/>
            <w:noWrap/>
            <w:vAlign w:val="center"/>
            <w:hideMark/>
          </w:tcPr>
          <w:p w14:paraId="36358B9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13.26 (12.23, 14.99)</w:t>
            </w:r>
          </w:p>
        </w:tc>
        <w:tc>
          <w:tcPr>
            <w:tcW w:w="1620" w:type="dxa"/>
            <w:tcBorders>
              <w:top w:val="nil"/>
              <w:left w:val="nil"/>
              <w:bottom w:val="nil"/>
              <w:right w:val="nil"/>
            </w:tcBorders>
            <w:shd w:val="clear" w:color="000000" w:fill="FFFFFF"/>
            <w:noWrap/>
            <w:vAlign w:val="center"/>
            <w:hideMark/>
          </w:tcPr>
          <w:p w14:paraId="3F39041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4305 (3918, 4959)</w:t>
            </w:r>
          </w:p>
        </w:tc>
        <w:tc>
          <w:tcPr>
            <w:tcW w:w="1710" w:type="dxa"/>
            <w:tcBorders>
              <w:top w:val="nil"/>
              <w:left w:val="nil"/>
              <w:bottom w:val="nil"/>
              <w:right w:val="nil"/>
            </w:tcBorders>
            <w:shd w:val="clear" w:color="000000" w:fill="FFFFFF"/>
            <w:noWrap/>
            <w:vAlign w:val="center"/>
            <w:hideMark/>
          </w:tcPr>
          <w:p w14:paraId="095F815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2304 (2108, 2609)</w:t>
            </w:r>
          </w:p>
        </w:tc>
        <w:tc>
          <w:tcPr>
            <w:tcW w:w="1530" w:type="dxa"/>
            <w:tcBorders>
              <w:top w:val="nil"/>
              <w:left w:val="nil"/>
              <w:bottom w:val="nil"/>
              <w:right w:val="nil"/>
            </w:tcBorders>
            <w:shd w:val="clear" w:color="000000" w:fill="FFFFFF"/>
            <w:noWrap/>
            <w:vAlign w:val="center"/>
            <w:hideMark/>
          </w:tcPr>
          <w:p w14:paraId="2FF2826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0.48 (0.47, 0.50)</w:t>
            </w:r>
          </w:p>
        </w:tc>
        <w:tc>
          <w:tcPr>
            <w:tcW w:w="1530" w:type="dxa"/>
            <w:tcBorders>
              <w:top w:val="nil"/>
              <w:left w:val="nil"/>
              <w:bottom w:val="nil"/>
              <w:right w:val="nil"/>
            </w:tcBorders>
            <w:shd w:val="clear" w:color="000000" w:fill="FFFFFF"/>
            <w:noWrap/>
            <w:vAlign w:val="center"/>
            <w:hideMark/>
          </w:tcPr>
          <w:p w14:paraId="0582B84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02E3B75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2FCD969F" w14:textId="77777777" w:rsidTr="003D3FFF">
        <w:trPr>
          <w:trHeight w:val="402"/>
        </w:trPr>
        <w:tc>
          <w:tcPr>
            <w:tcW w:w="2620" w:type="dxa"/>
            <w:tcBorders>
              <w:top w:val="nil"/>
              <w:left w:val="nil"/>
              <w:bottom w:val="nil"/>
              <w:right w:val="nil"/>
            </w:tcBorders>
            <w:shd w:val="clear" w:color="000000" w:fill="FFFFFF"/>
            <w:vAlign w:val="center"/>
            <w:hideMark/>
          </w:tcPr>
          <w:p w14:paraId="0902601B"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EPT Partnership Window (20% Coverage)</w:t>
            </w:r>
          </w:p>
        </w:tc>
        <w:tc>
          <w:tcPr>
            <w:tcW w:w="1610" w:type="dxa"/>
            <w:tcBorders>
              <w:top w:val="nil"/>
              <w:left w:val="nil"/>
              <w:bottom w:val="nil"/>
              <w:right w:val="nil"/>
            </w:tcBorders>
            <w:shd w:val="clear" w:color="000000" w:fill="FFFFFF"/>
            <w:vAlign w:val="center"/>
            <w:hideMark/>
          </w:tcPr>
          <w:p w14:paraId="3B2D9266"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710" w:type="dxa"/>
            <w:tcBorders>
              <w:top w:val="nil"/>
              <w:left w:val="nil"/>
              <w:bottom w:val="nil"/>
              <w:right w:val="nil"/>
            </w:tcBorders>
            <w:shd w:val="clear" w:color="000000" w:fill="FFFFFF"/>
            <w:vAlign w:val="center"/>
            <w:hideMark/>
          </w:tcPr>
          <w:p w14:paraId="5E561B6F"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620" w:type="dxa"/>
            <w:tcBorders>
              <w:top w:val="nil"/>
              <w:left w:val="nil"/>
              <w:bottom w:val="nil"/>
              <w:right w:val="nil"/>
            </w:tcBorders>
            <w:shd w:val="clear" w:color="000000" w:fill="FFFFFF"/>
            <w:noWrap/>
            <w:vAlign w:val="center"/>
            <w:hideMark/>
          </w:tcPr>
          <w:p w14:paraId="28675CF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710" w:type="dxa"/>
            <w:tcBorders>
              <w:top w:val="nil"/>
              <w:left w:val="nil"/>
              <w:bottom w:val="nil"/>
              <w:right w:val="nil"/>
            </w:tcBorders>
            <w:shd w:val="clear" w:color="000000" w:fill="FFFFFF"/>
            <w:noWrap/>
            <w:vAlign w:val="center"/>
            <w:hideMark/>
          </w:tcPr>
          <w:p w14:paraId="20677D2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3D3904D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4F7B13A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440" w:type="dxa"/>
            <w:tcBorders>
              <w:top w:val="nil"/>
              <w:left w:val="nil"/>
              <w:bottom w:val="nil"/>
              <w:right w:val="nil"/>
            </w:tcBorders>
            <w:shd w:val="clear" w:color="000000" w:fill="FFFFFF"/>
            <w:noWrap/>
            <w:vAlign w:val="center"/>
            <w:hideMark/>
          </w:tcPr>
          <w:p w14:paraId="3FAECBC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r>
      <w:tr w:rsidR="00C524E9" w:rsidRPr="00C524E9" w14:paraId="3F71DCCD" w14:textId="77777777" w:rsidTr="003D3FFF">
        <w:trPr>
          <w:trHeight w:val="402"/>
        </w:trPr>
        <w:tc>
          <w:tcPr>
            <w:tcW w:w="2620" w:type="dxa"/>
            <w:tcBorders>
              <w:top w:val="nil"/>
              <w:left w:val="nil"/>
              <w:bottom w:val="nil"/>
              <w:right w:val="nil"/>
            </w:tcBorders>
            <w:shd w:val="clear" w:color="000000" w:fill="FFFFFF"/>
            <w:noWrap/>
            <w:vAlign w:val="center"/>
            <w:hideMark/>
          </w:tcPr>
          <w:p w14:paraId="7D18241B"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1 month (28 days)</w:t>
            </w:r>
          </w:p>
        </w:tc>
        <w:tc>
          <w:tcPr>
            <w:tcW w:w="1610" w:type="dxa"/>
            <w:tcBorders>
              <w:top w:val="nil"/>
              <w:left w:val="nil"/>
              <w:bottom w:val="nil"/>
              <w:right w:val="nil"/>
            </w:tcBorders>
            <w:shd w:val="clear" w:color="000000" w:fill="FFFFFF"/>
            <w:noWrap/>
            <w:vAlign w:val="center"/>
            <w:hideMark/>
          </w:tcPr>
          <w:p w14:paraId="222E118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2464 (2174, 2804)</w:t>
            </w:r>
          </w:p>
        </w:tc>
        <w:tc>
          <w:tcPr>
            <w:tcW w:w="1710" w:type="dxa"/>
            <w:tcBorders>
              <w:top w:val="nil"/>
              <w:left w:val="nil"/>
              <w:bottom w:val="nil"/>
              <w:right w:val="nil"/>
            </w:tcBorders>
            <w:shd w:val="clear" w:color="000000" w:fill="FFFFFF"/>
            <w:noWrap/>
            <w:vAlign w:val="center"/>
            <w:hideMark/>
          </w:tcPr>
          <w:p w14:paraId="5C641DD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4.74 (4.18, 5.39)</w:t>
            </w:r>
          </w:p>
        </w:tc>
        <w:tc>
          <w:tcPr>
            <w:tcW w:w="1620" w:type="dxa"/>
            <w:tcBorders>
              <w:top w:val="nil"/>
              <w:left w:val="nil"/>
              <w:bottom w:val="nil"/>
              <w:right w:val="nil"/>
            </w:tcBorders>
            <w:shd w:val="clear" w:color="000000" w:fill="FFFFFF"/>
            <w:noWrap/>
            <w:vAlign w:val="center"/>
            <w:hideMark/>
          </w:tcPr>
          <w:p w14:paraId="07DAD11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1488 (1312, 1692)</w:t>
            </w:r>
          </w:p>
        </w:tc>
        <w:tc>
          <w:tcPr>
            <w:tcW w:w="1710" w:type="dxa"/>
            <w:tcBorders>
              <w:top w:val="nil"/>
              <w:left w:val="nil"/>
              <w:bottom w:val="nil"/>
              <w:right w:val="nil"/>
            </w:tcBorders>
            <w:shd w:val="clear" w:color="000000" w:fill="FFFFFF"/>
            <w:noWrap/>
            <w:vAlign w:val="center"/>
            <w:hideMark/>
          </w:tcPr>
          <w:p w14:paraId="7093904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878 (774, 1009)</w:t>
            </w:r>
          </w:p>
        </w:tc>
        <w:tc>
          <w:tcPr>
            <w:tcW w:w="1530" w:type="dxa"/>
            <w:tcBorders>
              <w:top w:val="nil"/>
              <w:left w:val="nil"/>
              <w:bottom w:val="nil"/>
              <w:right w:val="nil"/>
            </w:tcBorders>
            <w:shd w:val="clear" w:color="000000" w:fill="FFFFFF"/>
            <w:noWrap/>
            <w:vAlign w:val="center"/>
            <w:hideMark/>
          </w:tcPr>
          <w:p w14:paraId="6813E85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0.50 (0.48, 0.51)</w:t>
            </w:r>
          </w:p>
        </w:tc>
        <w:tc>
          <w:tcPr>
            <w:tcW w:w="1530" w:type="dxa"/>
            <w:tcBorders>
              <w:top w:val="nil"/>
              <w:left w:val="nil"/>
              <w:bottom w:val="nil"/>
              <w:right w:val="nil"/>
            </w:tcBorders>
            <w:shd w:val="clear" w:color="000000" w:fill="FFFFFF"/>
            <w:noWrap/>
            <w:vAlign w:val="center"/>
            <w:hideMark/>
          </w:tcPr>
          <w:p w14:paraId="5EC5099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0.39 (0.38, 0.40)</w:t>
            </w:r>
          </w:p>
        </w:tc>
        <w:tc>
          <w:tcPr>
            <w:tcW w:w="1440" w:type="dxa"/>
            <w:tcBorders>
              <w:top w:val="nil"/>
              <w:left w:val="nil"/>
              <w:bottom w:val="nil"/>
              <w:right w:val="nil"/>
            </w:tcBorders>
            <w:shd w:val="clear" w:color="000000" w:fill="FFFFFF"/>
            <w:noWrap/>
            <w:vAlign w:val="center"/>
            <w:hideMark/>
          </w:tcPr>
          <w:p w14:paraId="480D408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2A9ECD21" w14:textId="77777777" w:rsidTr="003D3FFF">
        <w:trPr>
          <w:trHeight w:val="402"/>
        </w:trPr>
        <w:tc>
          <w:tcPr>
            <w:tcW w:w="2620" w:type="dxa"/>
            <w:tcBorders>
              <w:top w:val="nil"/>
              <w:left w:val="nil"/>
              <w:bottom w:val="nil"/>
              <w:right w:val="nil"/>
            </w:tcBorders>
            <w:shd w:val="clear" w:color="000000" w:fill="FFFFFF"/>
            <w:noWrap/>
            <w:vAlign w:val="center"/>
            <w:hideMark/>
          </w:tcPr>
          <w:p w14:paraId="0E30892E"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3 months (91 days)</w:t>
            </w:r>
          </w:p>
        </w:tc>
        <w:tc>
          <w:tcPr>
            <w:tcW w:w="1610" w:type="dxa"/>
            <w:tcBorders>
              <w:top w:val="nil"/>
              <w:left w:val="nil"/>
              <w:bottom w:val="nil"/>
              <w:right w:val="nil"/>
            </w:tcBorders>
            <w:shd w:val="clear" w:color="000000" w:fill="FFFFFF"/>
            <w:noWrap/>
            <w:vAlign w:val="center"/>
            <w:hideMark/>
          </w:tcPr>
          <w:p w14:paraId="770B61F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3340 (2943, 3811)</w:t>
            </w:r>
          </w:p>
        </w:tc>
        <w:tc>
          <w:tcPr>
            <w:tcW w:w="1710" w:type="dxa"/>
            <w:tcBorders>
              <w:top w:val="nil"/>
              <w:left w:val="nil"/>
              <w:bottom w:val="nil"/>
              <w:right w:val="nil"/>
            </w:tcBorders>
            <w:shd w:val="clear" w:color="000000" w:fill="FFFFFF"/>
            <w:noWrap/>
            <w:vAlign w:val="center"/>
            <w:hideMark/>
          </w:tcPr>
          <w:p w14:paraId="0ABAC3D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6.42 (5.66, 7.33)</w:t>
            </w:r>
          </w:p>
        </w:tc>
        <w:tc>
          <w:tcPr>
            <w:tcW w:w="1620" w:type="dxa"/>
            <w:tcBorders>
              <w:top w:val="nil"/>
              <w:left w:val="nil"/>
              <w:bottom w:val="nil"/>
              <w:right w:val="nil"/>
            </w:tcBorders>
            <w:shd w:val="clear" w:color="000000" w:fill="FFFFFF"/>
            <w:noWrap/>
            <w:vAlign w:val="center"/>
            <w:hideMark/>
          </w:tcPr>
          <w:p w14:paraId="39F7A0B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1438 (1265, 1636)</w:t>
            </w:r>
          </w:p>
        </w:tc>
        <w:tc>
          <w:tcPr>
            <w:tcW w:w="1710" w:type="dxa"/>
            <w:tcBorders>
              <w:top w:val="nil"/>
              <w:left w:val="nil"/>
              <w:bottom w:val="nil"/>
              <w:right w:val="nil"/>
            </w:tcBorders>
            <w:shd w:val="clear" w:color="000000" w:fill="FFFFFF"/>
            <w:noWrap/>
            <w:vAlign w:val="center"/>
            <w:hideMark/>
          </w:tcPr>
          <w:p w14:paraId="6BDD5A4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1090 (944, 1235)</w:t>
            </w:r>
          </w:p>
        </w:tc>
        <w:tc>
          <w:tcPr>
            <w:tcW w:w="1530" w:type="dxa"/>
            <w:tcBorders>
              <w:top w:val="nil"/>
              <w:left w:val="nil"/>
              <w:bottom w:val="nil"/>
              <w:right w:val="nil"/>
            </w:tcBorders>
            <w:shd w:val="clear" w:color="000000" w:fill="FFFFFF"/>
            <w:noWrap/>
            <w:vAlign w:val="center"/>
            <w:hideMark/>
          </w:tcPr>
          <w:p w14:paraId="25DC5E4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(0.46, 0.50)</w:t>
            </w:r>
          </w:p>
        </w:tc>
        <w:tc>
          <w:tcPr>
            <w:tcW w:w="1530" w:type="dxa"/>
            <w:tcBorders>
              <w:top w:val="nil"/>
              <w:left w:val="nil"/>
              <w:bottom w:val="nil"/>
              <w:right w:val="nil"/>
            </w:tcBorders>
            <w:shd w:val="clear" w:color="000000" w:fill="FFFFFF"/>
            <w:noWrap/>
            <w:vAlign w:val="center"/>
            <w:hideMark/>
          </w:tcPr>
          <w:p w14:paraId="1219D4F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040ABA6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5C844C6B" w14:textId="77777777" w:rsidTr="003D3FFF">
        <w:trPr>
          <w:trHeight w:val="402"/>
        </w:trPr>
        <w:tc>
          <w:tcPr>
            <w:tcW w:w="2620" w:type="dxa"/>
            <w:tcBorders>
              <w:top w:val="nil"/>
              <w:left w:val="nil"/>
              <w:bottom w:val="nil"/>
              <w:right w:val="nil"/>
            </w:tcBorders>
            <w:shd w:val="clear" w:color="000000" w:fill="FFFFFF"/>
            <w:noWrap/>
            <w:vAlign w:val="center"/>
            <w:hideMark/>
          </w:tcPr>
          <w:p w14:paraId="29302330"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4 months (119 days)</w:t>
            </w:r>
          </w:p>
        </w:tc>
        <w:tc>
          <w:tcPr>
            <w:tcW w:w="1610" w:type="dxa"/>
            <w:tcBorders>
              <w:top w:val="nil"/>
              <w:left w:val="nil"/>
              <w:bottom w:val="nil"/>
              <w:right w:val="nil"/>
            </w:tcBorders>
            <w:shd w:val="clear" w:color="000000" w:fill="FFFFFF"/>
            <w:noWrap/>
            <w:vAlign w:val="center"/>
            <w:hideMark/>
          </w:tcPr>
          <w:p w14:paraId="36C2A4C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3821 (3357, 4330)</w:t>
            </w:r>
          </w:p>
        </w:tc>
        <w:tc>
          <w:tcPr>
            <w:tcW w:w="1710" w:type="dxa"/>
            <w:tcBorders>
              <w:top w:val="nil"/>
              <w:left w:val="nil"/>
              <w:bottom w:val="nil"/>
              <w:right w:val="nil"/>
            </w:tcBorders>
            <w:shd w:val="clear" w:color="000000" w:fill="FFFFFF"/>
            <w:noWrap/>
            <w:vAlign w:val="center"/>
            <w:hideMark/>
          </w:tcPr>
          <w:p w14:paraId="6437626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7.35 (6.46, 8.33)</w:t>
            </w:r>
          </w:p>
        </w:tc>
        <w:tc>
          <w:tcPr>
            <w:tcW w:w="1620" w:type="dxa"/>
            <w:tcBorders>
              <w:top w:val="nil"/>
              <w:left w:val="nil"/>
              <w:bottom w:val="nil"/>
              <w:right w:val="nil"/>
            </w:tcBorders>
            <w:shd w:val="clear" w:color="000000" w:fill="FFFFFF"/>
            <w:noWrap/>
            <w:vAlign w:val="center"/>
            <w:hideMark/>
          </w:tcPr>
          <w:p w14:paraId="3BC788B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1467 (1293, 1650)</w:t>
            </w:r>
          </w:p>
        </w:tc>
        <w:tc>
          <w:tcPr>
            <w:tcW w:w="1710" w:type="dxa"/>
            <w:tcBorders>
              <w:top w:val="nil"/>
              <w:left w:val="nil"/>
              <w:bottom w:val="nil"/>
              <w:right w:val="nil"/>
            </w:tcBorders>
            <w:shd w:val="clear" w:color="000000" w:fill="FFFFFF"/>
            <w:noWrap/>
            <w:vAlign w:val="center"/>
            <w:hideMark/>
          </w:tcPr>
          <w:p w14:paraId="70D40F1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1202 (1050, 1352)</w:t>
            </w:r>
          </w:p>
        </w:tc>
        <w:tc>
          <w:tcPr>
            <w:tcW w:w="1530" w:type="dxa"/>
            <w:tcBorders>
              <w:top w:val="nil"/>
              <w:left w:val="nil"/>
              <w:bottom w:val="nil"/>
              <w:right w:val="nil"/>
            </w:tcBorders>
            <w:shd w:val="clear" w:color="000000" w:fill="FFFFFF"/>
            <w:noWrap/>
            <w:vAlign w:val="center"/>
            <w:hideMark/>
          </w:tcPr>
          <w:p w14:paraId="1254044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0.48 (0.46, 0.49)</w:t>
            </w:r>
          </w:p>
        </w:tc>
        <w:tc>
          <w:tcPr>
            <w:tcW w:w="1530" w:type="dxa"/>
            <w:tcBorders>
              <w:top w:val="nil"/>
              <w:left w:val="nil"/>
              <w:bottom w:val="nil"/>
              <w:right w:val="nil"/>
            </w:tcBorders>
            <w:shd w:val="clear" w:color="000000" w:fill="FFFFFF"/>
            <w:noWrap/>
            <w:vAlign w:val="center"/>
            <w:hideMark/>
          </w:tcPr>
          <w:p w14:paraId="3C34FBA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0.37 (0.36, 0.38)</w:t>
            </w:r>
          </w:p>
        </w:tc>
        <w:tc>
          <w:tcPr>
            <w:tcW w:w="1440" w:type="dxa"/>
            <w:tcBorders>
              <w:top w:val="nil"/>
              <w:left w:val="nil"/>
              <w:bottom w:val="nil"/>
              <w:right w:val="nil"/>
            </w:tcBorders>
            <w:shd w:val="clear" w:color="000000" w:fill="FFFFFF"/>
            <w:noWrap/>
            <w:vAlign w:val="center"/>
            <w:hideMark/>
          </w:tcPr>
          <w:p w14:paraId="57A7D43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C94B65A" w14:textId="77777777" w:rsidTr="003D3FFF">
        <w:trPr>
          <w:trHeight w:val="402"/>
        </w:trPr>
        <w:tc>
          <w:tcPr>
            <w:tcW w:w="2620" w:type="dxa"/>
            <w:tcBorders>
              <w:top w:val="nil"/>
              <w:left w:val="nil"/>
              <w:bottom w:val="nil"/>
              <w:right w:val="nil"/>
            </w:tcBorders>
            <w:shd w:val="clear" w:color="000000" w:fill="FFFFFF"/>
            <w:noWrap/>
            <w:vAlign w:val="center"/>
            <w:hideMark/>
          </w:tcPr>
          <w:p w14:paraId="5A747EEF"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5 months (154 days)</w:t>
            </w:r>
          </w:p>
        </w:tc>
        <w:tc>
          <w:tcPr>
            <w:tcW w:w="1610" w:type="dxa"/>
            <w:tcBorders>
              <w:top w:val="nil"/>
              <w:left w:val="nil"/>
              <w:bottom w:val="nil"/>
              <w:right w:val="nil"/>
            </w:tcBorders>
            <w:shd w:val="clear" w:color="000000" w:fill="FFFFFF"/>
            <w:noWrap/>
            <w:vAlign w:val="center"/>
            <w:hideMark/>
          </w:tcPr>
          <w:p w14:paraId="42367D6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4312 (3856, 4779)</w:t>
            </w:r>
          </w:p>
        </w:tc>
        <w:tc>
          <w:tcPr>
            <w:tcW w:w="1710" w:type="dxa"/>
            <w:tcBorders>
              <w:top w:val="nil"/>
              <w:left w:val="nil"/>
              <w:bottom w:val="nil"/>
              <w:right w:val="nil"/>
            </w:tcBorders>
            <w:shd w:val="clear" w:color="000000" w:fill="FFFFFF"/>
            <w:noWrap/>
            <w:vAlign w:val="center"/>
            <w:hideMark/>
          </w:tcPr>
          <w:p w14:paraId="3F75A57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8.29 (7.42, 9.19)</w:t>
            </w:r>
          </w:p>
        </w:tc>
        <w:tc>
          <w:tcPr>
            <w:tcW w:w="1620" w:type="dxa"/>
            <w:tcBorders>
              <w:top w:val="nil"/>
              <w:left w:val="nil"/>
              <w:bottom w:val="nil"/>
              <w:right w:val="nil"/>
            </w:tcBorders>
            <w:shd w:val="clear" w:color="000000" w:fill="FFFFFF"/>
            <w:noWrap/>
            <w:vAlign w:val="center"/>
            <w:hideMark/>
          </w:tcPr>
          <w:p w14:paraId="1F58D5C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1464 (1301, 1644)</w:t>
            </w:r>
          </w:p>
        </w:tc>
        <w:tc>
          <w:tcPr>
            <w:tcW w:w="1710" w:type="dxa"/>
            <w:tcBorders>
              <w:top w:val="nil"/>
              <w:left w:val="nil"/>
              <w:bottom w:val="nil"/>
              <w:right w:val="nil"/>
            </w:tcBorders>
            <w:shd w:val="clear" w:color="000000" w:fill="FFFFFF"/>
            <w:noWrap/>
            <w:vAlign w:val="center"/>
            <w:hideMark/>
          </w:tcPr>
          <w:p w14:paraId="2E0D816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1316 (1171, 1453)</w:t>
            </w:r>
          </w:p>
        </w:tc>
        <w:tc>
          <w:tcPr>
            <w:tcW w:w="1530" w:type="dxa"/>
            <w:tcBorders>
              <w:top w:val="nil"/>
              <w:left w:val="nil"/>
              <w:bottom w:val="nil"/>
              <w:right w:val="nil"/>
            </w:tcBorders>
            <w:shd w:val="clear" w:color="000000" w:fill="FFFFFF"/>
            <w:noWrap/>
            <w:vAlign w:val="center"/>
            <w:hideMark/>
          </w:tcPr>
          <w:p w14:paraId="5729B43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0.47 (0.46, 0.49)</w:t>
            </w:r>
          </w:p>
        </w:tc>
        <w:tc>
          <w:tcPr>
            <w:tcW w:w="1530" w:type="dxa"/>
            <w:tcBorders>
              <w:top w:val="nil"/>
              <w:left w:val="nil"/>
              <w:bottom w:val="nil"/>
              <w:right w:val="nil"/>
            </w:tcBorders>
            <w:shd w:val="clear" w:color="000000" w:fill="FFFFFF"/>
            <w:noWrap/>
            <w:vAlign w:val="center"/>
            <w:hideMark/>
          </w:tcPr>
          <w:p w14:paraId="75F3887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0.37 (0.36, 0.37)</w:t>
            </w:r>
          </w:p>
        </w:tc>
        <w:tc>
          <w:tcPr>
            <w:tcW w:w="1440" w:type="dxa"/>
            <w:tcBorders>
              <w:top w:val="nil"/>
              <w:left w:val="nil"/>
              <w:bottom w:val="nil"/>
              <w:right w:val="nil"/>
            </w:tcBorders>
            <w:shd w:val="clear" w:color="000000" w:fill="FFFFFF"/>
            <w:noWrap/>
            <w:vAlign w:val="center"/>
            <w:hideMark/>
          </w:tcPr>
          <w:p w14:paraId="1AC7C31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2D7803CC" w14:textId="77777777" w:rsidTr="003D3FFF">
        <w:trPr>
          <w:trHeight w:val="402"/>
        </w:trPr>
        <w:tc>
          <w:tcPr>
            <w:tcW w:w="2620" w:type="dxa"/>
            <w:tcBorders>
              <w:top w:val="nil"/>
              <w:left w:val="nil"/>
              <w:bottom w:val="nil"/>
              <w:right w:val="nil"/>
            </w:tcBorders>
            <w:shd w:val="clear" w:color="000000" w:fill="FFFFFF"/>
            <w:noWrap/>
            <w:vAlign w:val="center"/>
            <w:hideMark/>
          </w:tcPr>
          <w:p w14:paraId="702488D6"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6 months (182 days)</w:t>
            </w:r>
          </w:p>
        </w:tc>
        <w:tc>
          <w:tcPr>
            <w:tcW w:w="1610" w:type="dxa"/>
            <w:tcBorders>
              <w:top w:val="nil"/>
              <w:left w:val="nil"/>
              <w:bottom w:val="nil"/>
              <w:right w:val="nil"/>
            </w:tcBorders>
            <w:shd w:val="clear" w:color="000000" w:fill="FFFFFF"/>
            <w:noWrap/>
            <w:vAlign w:val="center"/>
            <w:hideMark/>
          </w:tcPr>
          <w:p w14:paraId="44A27A8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4736 (4219, 5232)</w:t>
            </w:r>
          </w:p>
        </w:tc>
        <w:tc>
          <w:tcPr>
            <w:tcW w:w="1710" w:type="dxa"/>
            <w:tcBorders>
              <w:top w:val="nil"/>
              <w:left w:val="nil"/>
              <w:bottom w:val="nil"/>
              <w:right w:val="nil"/>
            </w:tcBorders>
            <w:shd w:val="clear" w:color="000000" w:fill="FFFFFF"/>
            <w:noWrap/>
            <w:vAlign w:val="center"/>
            <w:hideMark/>
          </w:tcPr>
          <w:p w14:paraId="284409A1"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9.11 (8.11, 10.06)</w:t>
            </w:r>
          </w:p>
        </w:tc>
        <w:tc>
          <w:tcPr>
            <w:tcW w:w="1620" w:type="dxa"/>
            <w:tcBorders>
              <w:top w:val="nil"/>
              <w:left w:val="nil"/>
              <w:bottom w:val="nil"/>
              <w:right w:val="nil"/>
            </w:tcBorders>
            <w:shd w:val="clear" w:color="000000" w:fill="FFFFFF"/>
            <w:noWrap/>
            <w:vAlign w:val="center"/>
            <w:hideMark/>
          </w:tcPr>
          <w:p w14:paraId="553224E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1492 (1316, 1637)</w:t>
            </w:r>
          </w:p>
        </w:tc>
        <w:tc>
          <w:tcPr>
            <w:tcW w:w="1710" w:type="dxa"/>
            <w:tcBorders>
              <w:top w:val="nil"/>
              <w:left w:val="nil"/>
              <w:bottom w:val="nil"/>
              <w:right w:val="nil"/>
            </w:tcBorders>
            <w:shd w:val="clear" w:color="000000" w:fill="FFFFFF"/>
            <w:noWrap/>
            <w:vAlign w:val="center"/>
            <w:hideMark/>
          </w:tcPr>
          <w:p w14:paraId="7FBD98D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1428 (1272, 1561)</w:t>
            </w:r>
          </w:p>
        </w:tc>
        <w:tc>
          <w:tcPr>
            <w:tcW w:w="1530" w:type="dxa"/>
            <w:tcBorders>
              <w:top w:val="nil"/>
              <w:left w:val="nil"/>
              <w:bottom w:val="nil"/>
              <w:right w:val="nil"/>
            </w:tcBorders>
            <w:shd w:val="clear" w:color="000000" w:fill="FFFFFF"/>
            <w:noWrap/>
            <w:vAlign w:val="center"/>
            <w:hideMark/>
          </w:tcPr>
          <w:p w14:paraId="279D466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0.47 (0.46, 0.49)</w:t>
            </w:r>
          </w:p>
        </w:tc>
        <w:tc>
          <w:tcPr>
            <w:tcW w:w="1530" w:type="dxa"/>
            <w:tcBorders>
              <w:top w:val="nil"/>
              <w:left w:val="nil"/>
              <w:bottom w:val="nil"/>
              <w:right w:val="nil"/>
            </w:tcBorders>
            <w:shd w:val="clear" w:color="000000" w:fill="FFFFFF"/>
            <w:noWrap/>
            <w:vAlign w:val="center"/>
            <w:hideMark/>
          </w:tcPr>
          <w:p w14:paraId="57A380AA"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0.36 (0.35, 0.37)</w:t>
            </w:r>
          </w:p>
        </w:tc>
        <w:tc>
          <w:tcPr>
            <w:tcW w:w="1440" w:type="dxa"/>
            <w:tcBorders>
              <w:top w:val="nil"/>
              <w:left w:val="nil"/>
              <w:bottom w:val="nil"/>
              <w:right w:val="nil"/>
            </w:tcBorders>
            <w:shd w:val="clear" w:color="000000" w:fill="FFFFFF"/>
            <w:noWrap/>
            <w:vAlign w:val="center"/>
            <w:hideMark/>
          </w:tcPr>
          <w:p w14:paraId="368BD50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7C63B89D" w14:textId="77777777" w:rsidTr="003D3FFF">
        <w:trPr>
          <w:trHeight w:val="402"/>
        </w:trPr>
        <w:tc>
          <w:tcPr>
            <w:tcW w:w="2620" w:type="dxa"/>
            <w:tcBorders>
              <w:top w:val="nil"/>
              <w:left w:val="nil"/>
              <w:bottom w:val="nil"/>
              <w:right w:val="nil"/>
            </w:tcBorders>
            <w:shd w:val="clear" w:color="000000" w:fill="FFFFFF"/>
            <w:vAlign w:val="center"/>
            <w:hideMark/>
          </w:tcPr>
          <w:p w14:paraId="703680EC"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xml:space="preserve">EPT Provision to Non-Index </w:t>
            </w:r>
            <w:r w:rsidRPr="00C524E9">
              <w:rPr>
                <w:rFonts w:ascii="Helvetica Neue" w:hAnsi="Helvetica Neue"/>
                <w:b/>
                <w:bCs/>
                <w:sz w:val="18"/>
                <w:szCs w:val="18"/>
              </w:rPr>
              <w:lastRenderedPageBreak/>
              <w:t>Partner</w:t>
            </w:r>
          </w:p>
        </w:tc>
        <w:tc>
          <w:tcPr>
            <w:tcW w:w="1610" w:type="dxa"/>
            <w:tcBorders>
              <w:top w:val="nil"/>
              <w:left w:val="nil"/>
              <w:bottom w:val="nil"/>
              <w:right w:val="nil"/>
            </w:tcBorders>
            <w:shd w:val="clear" w:color="000000" w:fill="FFFFFF"/>
            <w:vAlign w:val="center"/>
            <w:hideMark/>
          </w:tcPr>
          <w:p w14:paraId="75FCD970"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lastRenderedPageBreak/>
              <w:t> </w:t>
            </w:r>
          </w:p>
        </w:tc>
        <w:tc>
          <w:tcPr>
            <w:tcW w:w="1710" w:type="dxa"/>
            <w:tcBorders>
              <w:top w:val="nil"/>
              <w:left w:val="nil"/>
              <w:bottom w:val="nil"/>
              <w:right w:val="nil"/>
            </w:tcBorders>
            <w:shd w:val="clear" w:color="000000" w:fill="FFFFFF"/>
            <w:vAlign w:val="center"/>
            <w:hideMark/>
          </w:tcPr>
          <w:p w14:paraId="002E99B3"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620" w:type="dxa"/>
            <w:tcBorders>
              <w:top w:val="nil"/>
              <w:left w:val="nil"/>
              <w:bottom w:val="nil"/>
              <w:right w:val="nil"/>
            </w:tcBorders>
            <w:shd w:val="clear" w:color="000000" w:fill="FFFFFF"/>
            <w:noWrap/>
            <w:vAlign w:val="center"/>
            <w:hideMark/>
          </w:tcPr>
          <w:p w14:paraId="16CB0CD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710" w:type="dxa"/>
            <w:tcBorders>
              <w:top w:val="nil"/>
              <w:left w:val="nil"/>
              <w:bottom w:val="nil"/>
              <w:right w:val="nil"/>
            </w:tcBorders>
            <w:shd w:val="clear" w:color="000000" w:fill="FFFFFF"/>
            <w:noWrap/>
            <w:vAlign w:val="center"/>
            <w:hideMark/>
          </w:tcPr>
          <w:p w14:paraId="06B78EE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4AF15DF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28AE549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440" w:type="dxa"/>
            <w:tcBorders>
              <w:top w:val="nil"/>
              <w:left w:val="nil"/>
              <w:bottom w:val="nil"/>
              <w:right w:val="nil"/>
            </w:tcBorders>
            <w:shd w:val="clear" w:color="000000" w:fill="FFFFFF"/>
            <w:noWrap/>
            <w:vAlign w:val="center"/>
            <w:hideMark/>
          </w:tcPr>
          <w:p w14:paraId="42EF963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r>
      <w:tr w:rsidR="00C524E9" w:rsidRPr="00C524E9" w14:paraId="7DC74004" w14:textId="77777777" w:rsidTr="003D3FFF">
        <w:trPr>
          <w:trHeight w:val="402"/>
        </w:trPr>
        <w:tc>
          <w:tcPr>
            <w:tcW w:w="2620" w:type="dxa"/>
            <w:tcBorders>
              <w:top w:val="nil"/>
              <w:left w:val="nil"/>
              <w:bottom w:val="nil"/>
              <w:right w:val="nil"/>
            </w:tcBorders>
            <w:shd w:val="clear" w:color="000000" w:fill="FFFFFF"/>
            <w:noWrap/>
            <w:vAlign w:val="center"/>
            <w:hideMark/>
          </w:tcPr>
          <w:p w14:paraId="18AE550D"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lastRenderedPageBreak/>
              <w:t>Base + 10%</w:t>
            </w:r>
          </w:p>
        </w:tc>
        <w:tc>
          <w:tcPr>
            <w:tcW w:w="1610" w:type="dxa"/>
            <w:tcBorders>
              <w:top w:val="nil"/>
              <w:left w:val="nil"/>
              <w:bottom w:val="nil"/>
              <w:right w:val="nil"/>
            </w:tcBorders>
            <w:shd w:val="clear" w:color="000000" w:fill="FFFFFF"/>
            <w:noWrap/>
            <w:vAlign w:val="center"/>
            <w:hideMark/>
          </w:tcPr>
          <w:p w14:paraId="73018A7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2919 (2593, 3343)</w:t>
            </w:r>
          </w:p>
        </w:tc>
        <w:tc>
          <w:tcPr>
            <w:tcW w:w="1710" w:type="dxa"/>
            <w:tcBorders>
              <w:top w:val="nil"/>
              <w:left w:val="nil"/>
              <w:bottom w:val="nil"/>
              <w:right w:val="nil"/>
            </w:tcBorders>
            <w:shd w:val="clear" w:color="000000" w:fill="FFFFFF"/>
            <w:noWrap/>
            <w:vAlign w:val="center"/>
            <w:hideMark/>
          </w:tcPr>
          <w:p w14:paraId="1D2AFB8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5.61 (4.99, 6.43)</w:t>
            </w:r>
          </w:p>
        </w:tc>
        <w:tc>
          <w:tcPr>
            <w:tcW w:w="1620" w:type="dxa"/>
            <w:tcBorders>
              <w:top w:val="nil"/>
              <w:left w:val="nil"/>
              <w:bottom w:val="nil"/>
              <w:right w:val="nil"/>
            </w:tcBorders>
            <w:shd w:val="clear" w:color="000000" w:fill="FFFFFF"/>
            <w:noWrap/>
            <w:vAlign w:val="center"/>
            <w:hideMark/>
          </w:tcPr>
          <w:p w14:paraId="14FF8E4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1433 (1263, 1642)</w:t>
            </w:r>
          </w:p>
        </w:tc>
        <w:tc>
          <w:tcPr>
            <w:tcW w:w="1710" w:type="dxa"/>
            <w:tcBorders>
              <w:top w:val="nil"/>
              <w:left w:val="nil"/>
              <w:bottom w:val="nil"/>
              <w:right w:val="nil"/>
            </w:tcBorders>
            <w:shd w:val="clear" w:color="000000" w:fill="FFFFFF"/>
            <w:noWrap/>
            <w:vAlign w:val="center"/>
            <w:hideMark/>
          </w:tcPr>
          <w:p w14:paraId="2B01404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1090 (951, 1238)</w:t>
            </w:r>
          </w:p>
        </w:tc>
        <w:tc>
          <w:tcPr>
            <w:tcW w:w="1530" w:type="dxa"/>
            <w:tcBorders>
              <w:top w:val="nil"/>
              <w:left w:val="nil"/>
              <w:bottom w:val="nil"/>
              <w:right w:val="nil"/>
            </w:tcBorders>
            <w:shd w:val="clear" w:color="000000" w:fill="FFFFFF"/>
            <w:noWrap/>
            <w:vAlign w:val="center"/>
            <w:hideMark/>
          </w:tcPr>
          <w:p w14:paraId="6A0B0C5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0.54 (0.52, 0.55)</w:t>
            </w:r>
          </w:p>
        </w:tc>
        <w:tc>
          <w:tcPr>
            <w:tcW w:w="1530" w:type="dxa"/>
            <w:tcBorders>
              <w:top w:val="nil"/>
              <w:left w:val="nil"/>
              <w:bottom w:val="nil"/>
              <w:right w:val="nil"/>
            </w:tcBorders>
            <w:shd w:val="clear" w:color="000000" w:fill="FFFFFF"/>
            <w:noWrap/>
            <w:vAlign w:val="center"/>
            <w:hideMark/>
          </w:tcPr>
          <w:p w14:paraId="44E5B38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0.42 (0.41, 0.43)</w:t>
            </w:r>
          </w:p>
        </w:tc>
        <w:tc>
          <w:tcPr>
            <w:tcW w:w="1440" w:type="dxa"/>
            <w:tcBorders>
              <w:top w:val="nil"/>
              <w:left w:val="nil"/>
              <w:bottom w:val="nil"/>
              <w:right w:val="nil"/>
            </w:tcBorders>
            <w:shd w:val="clear" w:color="000000" w:fill="FFFFFF"/>
            <w:noWrap/>
            <w:vAlign w:val="center"/>
            <w:hideMark/>
          </w:tcPr>
          <w:p w14:paraId="3B2461C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0.22 (0.21, 0.23)</w:t>
            </w:r>
          </w:p>
        </w:tc>
      </w:tr>
      <w:tr w:rsidR="00C524E9" w:rsidRPr="00C524E9" w14:paraId="4FA093F6" w14:textId="77777777" w:rsidTr="003D3FFF">
        <w:trPr>
          <w:trHeight w:val="402"/>
        </w:trPr>
        <w:tc>
          <w:tcPr>
            <w:tcW w:w="2620" w:type="dxa"/>
            <w:tcBorders>
              <w:top w:val="nil"/>
              <w:left w:val="nil"/>
              <w:bottom w:val="nil"/>
              <w:right w:val="nil"/>
            </w:tcBorders>
            <w:shd w:val="clear" w:color="000000" w:fill="FFFFFF"/>
            <w:noWrap/>
            <w:vAlign w:val="center"/>
            <w:hideMark/>
          </w:tcPr>
          <w:p w14:paraId="5FEFD2E9"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+ 20%</w:t>
            </w:r>
          </w:p>
        </w:tc>
        <w:tc>
          <w:tcPr>
            <w:tcW w:w="1610" w:type="dxa"/>
            <w:tcBorders>
              <w:top w:val="nil"/>
              <w:left w:val="nil"/>
              <w:bottom w:val="nil"/>
              <w:right w:val="nil"/>
            </w:tcBorders>
            <w:shd w:val="clear" w:color="000000" w:fill="FFFFFF"/>
            <w:noWrap/>
            <w:vAlign w:val="center"/>
            <w:hideMark/>
          </w:tcPr>
          <w:p w14:paraId="0E7B1F6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2836 (2480, 3148)</w:t>
            </w:r>
          </w:p>
        </w:tc>
        <w:tc>
          <w:tcPr>
            <w:tcW w:w="1710" w:type="dxa"/>
            <w:tcBorders>
              <w:top w:val="nil"/>
              <w:left w:val="nil"/>
              <w:bottom w:val="nil"/>
              <w:right w:val="nil"/>
            </w:tcBorders>
            <w:shd w:val="clear" w:color="000000" w:fill="FFFFFF"/>
            <w:noWrap/>
            <w:vAlign w:val="center"/>
            <w:hideMark/>
          </w:tcPr>
          <w:p w14:paraId="24711F7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5.45 (4.77, 6.05)</w:t>
            </w:r>
          </w:p>
        </w:tc>
        <w:tc>
          <w:tcPr>
            <w:tcW w:w="1620" w:type="dxa"/>
            <w:tcBorders>
              <w:top w:val="nil"/>
              <w:left w:val="nil"/>
              <w:bottom w:val="nil"/>
              <w:right w:val="nil"/>
            </w:tcBorders>
            <w:shd w:val="clear" w:color="000000" w:fill="FFFFFF"/>
            <w:noWrap/>
            <w:vAlign w:val="center"/>
            <w:hideMark/>
          </w:tcPr>
          <w:p w14:paraId="22D1F38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1396 (1222, 1544)</w:t>
            </w:r>
          </w:p>
        </w:tc>
        <w:tc>
          <w:tcPr>
            <w:tcW w:w="1710" w:type="dxa"/>
            <w:tcBorders>
              <w:top w:val="nil"/>
              <w:left w:val="nil"/>
              <w:bottom w:val="nil"/>
              <w:right w:val="nil"/>
            </w:tcBorders>
            <w:shd w:val="clear" w:color="000000" w:fill="FFFFFF"/>
            <w:noWrap/>
            <w:vAlign w:val="center"/>
            <w:hideMark/>
          </w:tcPr>
          <w:p w14:paraId="6B7831D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1146 (1004, 1265)</w:t>
            </w:r>
          </w:p>
        </w:tc>
        <w:tc>
          <w:tcPr>
            <w:tcW w:w="1530" w:type="dxa"/>
            <w:tcBorders>
              <w:top w:val="nil"/>
              <w:left w:val="nil"/>
              <w:bottom w:val="nil"/>
              <w:right w:val="nil"/>
            </w:tcBorders>
            <w:shd w:val="clear" w:color="000000" w:fill="FFFFFF"/>
            <w:noWrap/>
            <w:vAlign w:val="center"/>
            <w:hideMark/>
          </w:tcPr>
          <w:p w14:paraId="7D1D275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0.58 (0.57, 0.60)</w:t>
            </w:r>
          </w:p>
        </w:tc>
        <w:tc>
          <w:tcPr>
            <w:tcW w:w="1530" w:type="dxa"/>
            <w:tcBorders>
              <w:top w:val="nil"/>
              <w:left w:val="nil"/>
              <w:bottom w:val="nil"/>
              <w:right w:val="nil"/>
            </w:tcBorders>
            <w:shd w:val="clear" w:color="000000" w:fill="FFFFFF"/>
            <w:noWrap/>
            <w:vAlign w:val="center"/>
            <w:hideMark/>
          </w:tcPr>
          <w:p w14:paraId="627A7EB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0.46 (0.45, 0.47)</w:t>
            </w:r>
          </w:p>
        </w:tc>
        <w:tc>
          <w:tcPr>
            <w:tcW w:w="1440" w:type="dxa"/>
            <w:tcBorders>
              <w:top w:val="nil"/>
              <w:left w:val="nil"/>
              <w:bottom w:val="nil"/>
              <w:right w:val="nil"/>
            </w:tcBorders>
            <w:shd w:val="clear" w:color="000000" w:fill="FFFFFF"/>
            <w:noWrap/>
            <w:vAlign w:val="center"/>
            <w:hideMark/>
          </w:tcPr>
          <w:p w14:paraId="105CB53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0.24 (0.23, 0.25)</w:t>
            </w:r>
          </w:p>
        </w:tc>
      </w:tr>
      <w:tr w:rsidR="00C524E9" w:rsidRPr="00C524E9" w14:paraId="636CAE18" w14:textId="77777777" w:rsidTr="003D3FFF">
        <w:trPr>
          <w:trHeight w:val="402"/>
        </w:trPr>
        <w:tc>
          <w:tcPr>
            <w:tcW w:w="2620" w:type="dxa"/>
            <w:tcBorders>
              <w:top w:val="nil"/>
              <w:left w:val="nil"/>
              <w:bottom w:val="nil"/>
              <w:right w:val="nil"/>
            </w:tcBorders>
            <w:shd w:val="clear" w:color="000000" w:fill="FFFFFF"/>
            <w:noWrap/>
            <w:vAlign w:val="center"/>
            <w:hideMark/>
          </w:tcPr>
          <w:p w14:paraId="5E5918CF"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+ 30%</w:t>
            </w:r>
          </w:p>
        </w:tc>
        <w:tc>
          <w:tcPr>
            <w:tcW w:w="1610" w:type="dxa"/>
            <w:tcBorders>
              <w:top w:val="nil"/>
              <w:left w:val="nil"/>
              <w:bottom w:val="nil"/>
              <w:right w:val="nil"/>
            </w:tcBorders>
            <w:shd w:val="clear" w:color="000000" w:fill="FFFFFF"/>
            <w:noWrap/>
            <w:vAlign w:val="center"/>
            <w:hideMark/>
          </w:tcPr>
          <w:p w14:paraId="1B19B23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2792 (2441, 3138)</w:t>
            </w:r>
          </w:p>
        </w:tc>
        <w:tc>
          <w:tcPr>
            <w:tcW w:w="1710" w:type="dxa"/>
            <w:tcBorders>
              <w:top w:val="nil"/>
              <w:left w:val="nil"/>
              <w:bottom w:val="nil"/>
              <w:right w:val="nil"/>
            </w:tcBorders>
            <w:shd w:val="clear" w:color="000000" w:fill="FFFFFF"/>
            <w:noWrap/>
            <w:vAlign w:val="center"/>
            <w:hideMark/>
          </w:tcPr>
          <w:p w14:paraId="43D79D5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5.37 (4.69, 6.04)</w:t>
            </w:r>
          </w:p>
        </w:tc>
        <w:tc>
          <w:tcPr>
            <w:tcW w:w="1620" w:type="dxa"/>
            <w:tcBorders>
              <w:top w:val="nil"/>
              <w:left w:val="nil"/>
              <w:bottom w:val="nil"/>
              <w:right w:val="nil"/>
            </w:tcBorders>
            <w:shd w:val="clear" w:color="000000" w:fill="FFFFFF"/>
            <w:noWrap/>
            <w:vAlign w:val="center"/>
            <w:hideMark/>
          </w:tcPr>
          <w:p w14:paraId="41BCAC0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1354 (1199, 1512)</w:t>
            </w:r>
          </w:p>
        </w:tc>
        <w:tc>
          <w:tcPr>
            <w:tcW w:w="1710" w:type="dxa"/>
            <w:tcBorders>
              <w:top w:val="nil"/>
              <w:left w:val="nil"/>
              <w:bottom w:val="nil"/>
              <w:right w:val="nil"/>
            </w:tcBorders>
            <w:shd w:val="clear" w:color="000000" w:fill="FFFFFF"/>
            <w:noWrap/>
            <w:vAlign w:val="center"/>
            <w:hideMark/>
          </w:tcPr>
          <w:p w14:paraId="7E20B86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1215 (1077, 1381)</w:t>
            </w:r>
          </w:p>
        </w:tc>
        <w:tc>
          <w:tcPr>
            <w:tcW w:w="1530" w:type="dxa"/>
            <w:tcBorders>
              <w:top w:val="nil"/>
              <w:left w:val="nil"/>
              <w:bottom w:val="nil"/>
              <w:right w:val="nil"/>
            </w:tcBorders>
            <w:shd w:val="clear" w:color="000000" w:fill="FFFFFF"/>
            <w:noWrap/>
            <w:vAlign w:val="center"/>
            <w:hideMark/>
          </w:tcPr>
          <w:p w14:paraId="484F06C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0.63 (0.62, 0.65)</w:t>
            </w:r>
          </w:p>
        </w:tc>
        <w:tc>
          <w:tcPr>
            <w:tcW w:w="1530" w:type="dxa"/>
            <w:tcBorders>
              <w:top w:val="nil"/>
              <w:left w:val="nil"/>
              <w:bottom w:val="nil"/>
              <w:right w:val="nil"/>
            </w:tcBorders>
            <w:shd w:val="clear" w:color="000000" w:fill="FFFFFF"/>
            <w:noWrap/>
            <w:vAlign w:val="center"/>
            <w:hideMark/>
          </w:tcPr>
          <w:p w14:paraId="1AC5007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0.50 (0.49, 0.51)</w:t>
            </w:r>
          </w:p>
        </w:tc>
        <w:tc>
          <w:tcPr>
            <w:tcW w:w="1440" w:type="dxa"/>
            <w:tcBorders>
              <w:top w:val="nil"/>
              <w:left w:val="nil"/>
              <w:bottom w:val="nil"/>
              <w:right w:val="nil"/>
            </w:tcBorders>
            <w:shd w:val="clear" w:color="000000" w:fill="FFFFFF"/>
            <w:noWrap/>
            <w:vAlign w:val="center"/>
            <w:hideMark/>
          </w:tcPr>
          <w:p w14:paraId="12AF200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0.26 (0.25, 0.27)</w:t>
            </w:r>
          </w:p>
        </w:tc>
      </w:tr>
      <w:tr w:rsidR="00C524E9" w:rsidRPr="00C524E9" w14:paraId="414AFD6B" w14:textId="77777777" w:rsidTr="003D3FFF">
        <w:trPr>
          <w:trHeight w:val="402"/>
        </w:trPr>
        <w:tc>
          <w:tcPr>
            <w:tcW w:w="2620" w:type="dxa"/>
            <w:tcBorders>
              <w:top w:val="nil"/>
              <w:left w:val="nil"/>
              <w:bottom w:val="nil"/>
              <w:right w:val="nil"/>
            </w:tcBorders>
            <w:shd w:val="clear" w:color="000000" w:fill="FFFFFF"/>
            <w:noWrap/>
            <w:vAlign w:val="center"/>
            <w:hideMark/>
          </w:tcPr>
          <w:p w14:paraId="5B5FAABB"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+ 40%</w:t>
            </w:r>
          </w:p>
        </w:tc>
        <w:tc>
          <w:tcPr>
            <w:tcW w:w="1610" w:type="dxa"/>
            <w:tcBorders>
              <w:top w:val="nil"/>
              <w:left w:val="nil"/>
              <w:bottom w:val="nil"/>
              <w:right w:val="nil"/>
            </w:tcBorders>
            <w:shd w:val="clear" w:color="000000" w:fill="FFFFFF"/>
            <w:noWrap/>
            <w:vAlign w:val="center"/>
            <w:hideMark/>
          </w:tcPr>
          <w:p w14:paraId="0025A3E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2660 (2389, 2981)</w:t>
            </w:r>
          </w:p>
        </w:tc>
        <w:tc>
          <w:tcPr>
            <w:tcW w:w="1710" w:type="dxa"/>
            <w:tcBorders>
              <w:top w:val="nil"/>
              <w:left w:val="nil"/>
              <w:bottom w:val="nil"/>
              <w:right w:val="nil"/>
            </w:tcBorders>
            <w:shd w:val="clear" w:color="000000" w:fill="FFFFFF"/>
            <w:noWrap/>
            <w:vAlign w:val="center"/>
            <w:hideMark/>
          </w:tcPr>
          <w:p w14:paraId="3F0C76F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5.11 (4.59, 5.73)</w:t>
            </w:r>
          </w:p>
        </w:tc>
        <w:tc>
          <w:tcPr>
            <w:tcW w:w="1620" w:type="dxa"/>
            <w:tcBorders>
              <w:top w:val="nil"/>
              <w:left w:val="nil"/>
              <w:bottom w:val="nil"/>
              <w:right w:val="nil"/>
            </w:tcBorders>
            <w:shd w:val="clear" w:color="000000" w:fill="FFFFFF"/>
            <w:noWrap/>
            <w:vAlign w:val="center"/>
            <w:hideMark/>
          </w:tcPr>
          <w:p w14:paraId="5C3D544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1304 (1173, 1454)</w:t>
            </w:r>
          </w:p>
        </w:tc>
        <w:tc>
          <w:tcPr>
            <w:tcW w:w="1710" w:type="dxa"/>
            <w:tcBorders>
              <w:top w:val="nil"/>
              <w:left w:val="nil"/>
              <w:bottom w:val="nil"/>
              <w:right w:val="nil"/>
            </w:tcBorders>
            <w:shd w:val="clear" w:color="000000" w:fill="FFFFFF"/>
            <w:noWrap/>
            <w:vAlign w:val="center"/>
            <w:hideMark/>
          </w:tcPr>
          <w:p w14:paraId="37D6E88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1256 (1121, 1411)</w:t>
            </w:r>
          </w:p>
        </w:tc>
        <w:tc>
          <w:tcPr>
            <w:tcW w:w="1530" w:type="dxa"/>
            <w:tcBorders>
              <w:top w:val="nil"/>
              <w:left w:val="nil"/>
              <w:bottom w:val="nil"/>
              <w:right w:val="nil"/>
            </w:tcBorders>
            <w:shd w:val="clear" w:color="000000" w:fill="FFFFFF"/>
            <w:noWrap/>
            <w:vAlign w:val="center"/>
            <w:hideMark/>
          </w:tcPr>
          <w:p w14:paraId="4AA380D9"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0.68 (0.67, 0.70)</w:t>
            </w:r>
          </w:p>
        </w:tc>
        <w:tc>
          <w:tcPr>
            <w:tcW w:w="1530" w:type="dxa"/>
            <w:tcBorders>
              <w:top w:val="nil"/>
              <w:left w:val="nil"/>
              <w:bottom w:val="nil"/>
              <w:right w:val="nil"/>
            </w:tcBorders>
            <w:shd w:val="clear" w:color="000000" w:fill="FFFFFF"/>
            <w:noWrap/>
            <w:vAlign w:val="center"/>
            <w:hideMark/>
          </w:tcPr>
          <w:p w14:paraId="7D92DDB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0.53 (0.52, 0.55)</w:t>
            </w:r>
          </w:p>
        </w:tc>
        <w:tc>
          <w:tcPr>
            <w:tcW w:w="1440" w:type="dxa"/>
            <w:tcBorders>
              <w:top w:val="nil"/>
              <w:left w:val="nil"/>
              <w:bottom w:val="nil"/>
              <w:right w:val="nil"/>
            </w:tcBorders>
            <w:shd w:val="clear" w:color="000000" w:fill="FFFFFF"/>
            <w:noWrap/>
            <w:vAlign w:val="center"/>
            <w:hideMark/>
          </w:tcPr>
          <w:p w14:paraId="064FDFD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0.28 (0.27, 0.29)</w:t>
            </w:r>
          </w:p>
        </w:tc>
      </w:tr>
      <w:tr w:rsidR="00C524E9" w:rsidRPr="00C524E9" w14:paraId="219931B8" w14:textId="77777777" w:rsidTr="003D3FFF">
        <w:trPr>
          <w:trHeight w:val="402"/>
        </w:trPr>
        <w:tc>
          <w:tcPr>
            <w:tcW w:w="2620" w:type="dxa"/>
            <w:tcBorders>
              <w:top w:val="nil"/>
              <w:left w:val="nil"/>
              <w:bottom w:val="nil"/>
              <w:right w:val="nil"/>
            </w:tcBorders>
            <w:shd w:val="clear" w:color="000000" w:fill="FFFFFF"/>
            <w:noWrap/>
            <w:vAlign w:val="center"/>
            <w:hideMark/>
          </w:tcPr>
          <w:p w14:paraId="74E8C231"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+ 50%</w:t>
            </w:r>
          </w:p>
        </w:tc>
        <w:tc>
          <w:tcPr>
            <w:tcW w:w="1610" w:type="dxa"/>
            <w:tcBorders>
              <w:top w:val="nil"/>
              <w:left w:val="nil"/>
              <w:bottom w:val="nil"/>
              <w:right w:val="nil"/>
            </w:tcBorders>
            <w:shd w:val="clear" w:color="000000" w:fill="FFFFFF"/>
            <w:noWrap/>
            <w:vAlign w:val="center"/>
            <w:hideMark/>
          </w:tcPr>
          <w:p w14:paraId="206EC73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2589 (2297, 2905)</w:t>
            </w:r>
          </w:p>
        </w:tc>
        <w:tc>
          <w:tcPr>
            <w:tcW w:w="1710" w:type="dxa"/>
            <w:tcBorders>
              <w:top w:val="nil"/>
              <w:left w:val="nil"/>
              <w:bottom w:val="nil"/>
              <w:right w:val="nil"/>
            </w:tcBorders>
            <w:shd w:val="clear" w:color="000000" w:fill="FFFFFF"/>
            <w:noWrap/>
            <w:vAlign w:val="center"/>
            <w:hideMark/>
          </w:tcPr>
          <w:p w14:paraId="54DD54B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4.98 (4.42, 5.59)</w:t>
            </w:r>
          </w:p>
        </w:tc>
        <w:tc>
          <w:tcPr>
            <w:tcW w:w="1620" w:type="dxa"/>
            <w:tcBorders>
              <w:top w:val="nil"/>
              <w:left w:val="nil"/>
              <w:bottom w:val="nil"/>
              <w:right w:val="nil"/>
            </w:tcBorders>
            <w:shd w:val="clear" w:color="000000" w:fill="FFFFFF"/>
            <w:noWrap/>
            <w:vAlign w:val="center"/>
            <w:hideMark/>
          </w:tcPr>
          <w:p w14:paraId="4A087C4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1252 (1116, 1402)</w:t>
            </w:r>
          </w:p>
        </w:tc>
        <w:tc>
          <w:tcPr>
            <w:tcW w:w="1710" w:type="dxa"/>
            <w:tcBorders>
              <w:top w:val="nil"/>
              <w:left w:val="nil"/>
              <w:bottom w:val="nil"/>
              <w:right w:val="nil"/>
            </w:tcBorders>
            <w:shd w:val="clear" w:color="000000" w:fill="FFFFFF"/>
            <w:noWrap/>
            <w:vAlign w:val="center"/>
            <w:hideMark/>
          </w:tcPr>
          <w:p w14:paraId="42946A5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1308 (1154, 1465)</w:t>
            </w:r>
          </w:p>
        </w:tc>
        <w:tc>
          <w:tcPr>
            <w:tcW w:w="1530" w:type="dxa"/>
            <w:tcBorders>
              <w:top w:val="nil"/>
              <w:left w:val="nil"/>
              <w:bottom w:val="nil"/>
              <w:right w:val="nil"/>
            </w:tcBorders>
            <w:shd w:val="clear" w:color="000000" w:fill="FFFFFF"/>
            <w:noWrap/>
            <w:vAlign w:val="center"/>
            <w:hideMark/>
          </w:tcPr>
          <w:p w14:paraId="52BF5395"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0.73 (0.72, 0.74)</w:t>
            </w:r>
          </w:p>
        </w:tc>
        <w:tc>
          <w:tcPr>
            <w:tcW w:w="1530" w:type="dxa"/>
            <w:tcBorders>
              <w:top w:val="nil"/>
              <w:left w:val="nil"/>
              <w:bottom w:val="nil"/>
              <w:right w:val="nil"/>
            </w:tcBorders>
            <w:shd w:val="clear" w:color="000000" w:fill="FFFFFF"/>
            <w:noWrap/>
            <w:vAlign w:val="center"/>
            <w:hideMark/>
          </w:tcPr>
          <w:p w14:paraId="10F650C6"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0.57 (0.56, 0.58)</w:t>
            </w:r>
          </w:p>
        </w:tc>
        <w:tc>
          <w:tcPr>
            <w:tcW w:w="1440" w:type="dxa"/>
            <w:tcBorders>
              <w:top w:val="nil"/>
              <w:left w:val="nil"/>
              <w:bottom w:val="nil"/>
              <w:right w:val="nil"/>
            </w:tcBorders>
            <w:shd w:val="clear" w:color="000000" w:fill="FFFFFF"/>
            <w:noWrap/>
            <w:vAlign w:val="center"/>
            <w:hideMark/>
          </w:tcPr>
          <w:p w14:paraId="54858702"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 (0.29, 0.31)</w:t>
            </w:r>
          </w:p>
        </w:tc>
      </w:tr>
      <w:tr w:rsidR="00C524E9" w:rsidRPr="00C524E9" w14:paraId="7AD8BF3D" w14:textId="77777777" w:rsidTr="003D3FFF">
        <w:trPr>
          <w:trHeight w:val="402"/>
        </w:trPr>
        <w:tc>
          <w:tcPr>
            <w:tcW w:w="2620" w:type="dxa"/>
            <w:tcBorders>
              <w:top w:val="nil"/>
              <w:left w:val="nil"/>
              <w:bottom w:val="nil"/>
              <w:right w:val="nil"/>
            </w:tcBorders>
            <w:shd w:val="clear" w:color="000000" w:fill="FFFFFF"/>
            <w:vAlign w:val="center"/>
            <w:hideMark/>
          </w:tcPr>
          <w:p w14:paraId="0D151918"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EPT Uptake by Non-Index Partner</w:t>
            </w:r>
          </w:p>
        </w:tc>
        <w:tc>
          <w:tcPr>
            <w:tcW w:w="1610" w:type="dxa"/>
            <w:tcBorders>
              <w:top w:val="nil"/>
              <w:left w:val="nil"/>
              <w:bottom w:val="nil"/>
              <w:right w:val="nil"/>
            </w:tcBorders>
            <w:shd w:val="clear" w:color="000000" w:fill="FFFFFF"/>
            <w:vAlign w:val="center"/>
            <w:hideMark/>
          </w:tcPr>
          <w:p w14:paraId="7D705880"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710" w:type="dxa"/>
            <w:tcBorders>
              <w:top w:val="nil"/>
              <w:left w:val="nil"/>
              <w:bottom w:val="nil"/>
              <w:right w:val="nil"/>
            </w:tcBorders>
            <w:shd w:val="clear" w:color="000000" w:fill="FFFFFF"/>
            <w:vAlign w:val="center"/>
            <w:hideMark/>
          </w:tcPr>
          <w:p w14:paraId="5A001BD6" w14:textId="77777777" w:rsidR="00C524E9" w:rsidRPr="00C524E9" w:rsidRDefault="00C524E9" w:rsidP="00C524E9">
            <w:pPr>
              <w:rPr>
                <w:rFonts w:ascii="Helvetica Neue" w:hAnsi="Helvetica Neue"/>
                <w:b/>
                <w:bCs/>
                <w:sz w:val="18"/>
                <w:szCs w:val="18"/>
              </w:rPr>
            </w:pPr>
            <w:r w:rsidRPr="00C524E9">
              <w:rPr>
                <w:rFonts w:ascii="Helvetica Neue" w:hAnsi="Helvetica Neue"/>
                <w:b/>
                <w:bCs/>
                <w:sz w:val="18"/>
                <w:szCs w:val="18"/>
              </w:rPr>
              <w:t> </w:t>
            </w:r>
          </w:p>
        </w:tc>
        <w:tc>
          <w:tcPr>
            <w:tcW w:w="1620" w:type="dxa"/>
            <w:tcBorders>
              <w:top w:val="nil"/>
              <w:left w:val="nil"/>
              <w:bottom w:val="nil"/>
              <w:right w:val="nil"/>
            </w:tcBorders>
            <w:shd w:val="clear" w:color="000000" w:fill="FFFFFF"/>
            <w:noWrap/>
            <w:vAlign w:val="center"/>
            <w:hideMark/>
          </w:tcPr>
          <w:p w14:paraId="5138CBF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710" w:type="dxa"/>
            <w:tcBorders>
              <w:top w:val="nil"/>
              <w:left w:val="nil"/>
              <w:bottom w:val="nil"/>
              <w:right w:val="nil"/>
            </w:tcBorders>
            <w:shd w:val="clear" w:color="000000" w:fill="FFFFFF"/>
            <w:noWrap/>
            <w:vAlign w:val="center"/>
            <w:hideMark/>
          </w:tcPr>
          <w:p w14:paraId="0AF599C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0B1A0380"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530" w:type="dxa"/>
            <w:tcBorders>
              <w:top w:val="nil"/>
              <w:left w:val="nil"/>
              <w:bottom w:val="nil"/>
              <w:right w:val="nil"/>
            </w:tcBorders>
            <w:shd w:val="clear" w:color="000000" w:fill="FFFFFF"/>
            <w:noWrap/>
            <w:vAlign w:val="center"/>
            <w:hideMark/>
          </w:tcPr>
          <w:p w14:paraId="0004F78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c>
          <w:tcPr>
            <w:tcW w:w="1440" w:type="dxa"/>
            <w:tcBorders>
              <w:top w:val="nil"/>
              <w:left w:val="nil"/>
              <w:bottom w:val="nil"/>
              <w:right w:val="nil"/>
            </w:tcBorders>
            <w:shd w:val="clear" w:color="000000" w:fill="FFFFFF"/>
            <w:noWrap/>
            <w:vAlign w:val="center"/>
            <w:hideMark/>
          </w:tcPr>
          <w:p w14:paraId="5999C2F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 </w:t>
            </w:r>
          </w:p>
        </w:tc>
      </w:tr>
      <w:tr w:rsidR="00C524E9" w:rsidRPr="00C524E9" w14:paraId="15C15EE7" w14:textId="77777777" w:rsidTr="003D3FFF">
        <w:trPr>
          <w:trHeight w:val="402"/>
        </w:trPr>
        <w:tc>
          <w:tcPr>
            <w:tcW w:w="2620" w:type="dxa"/>
            <w:tcBorders>
              <w:top w:val="nil"/>
              <w:left w:val="nil"/>
              <w:bottom w:val="nil"/>
              <w:right w:val="nil"/>
            </w:tcBorders>
            <w:shd w:val="clear" w:color="000000" w:fill="FFFFFF"/>
            <w:noWrap/>
            <w:vAlign w:val="center"/>
            <w:hideMark/>
          </w:tcPr>
          <w:p w14:paraId="682D827D"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+ 10%</w:t>
            </w:r>
          </w:p>
        </w:tc>
        <w:tc>
          <w:tcPr>
            <w:tcW w:w="1610" w:type="dxa"/>
            <w:tcBorders>
              <w:top w:val="nil"/>
              <w:left w:val="nil"/>
              <w:bottom w:val="nil"/>
              <w:right w:val="nil"/>
            </w:tcBorders>
            <w:shd w:val="clear" w:color="000000" w:fill="FFFFFF"/>
            <w:noWrap/>
            <w:vAlign w:val="center"/>
            <w:hideMark/>
          </w:tcPr>
          <w:p w14:paraId="34F3F50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2930 (2596, 3322)</w:t>
            </w:r>
          </w:p>
        </w:tc>
        <w:tc>
          <w:tcPr>
            <w:tcW w:w="1710" w:type="dxa"/>
            <w:tcBorders>
              <w:top w:val="nil"/>
              <w:left w:val="nil"/>
              <w:bottom w:val="nil"/>
              <w:right w:val="nil"/>
            </w:tcBorders>
            <w:shd w:val="clear" w:color="000000" w:fill="FFFFFF"/>
            <w:noWrap/>
            <w:vAlign w:val="center"/>
            <w:hideMark/>
          </w:tcPr>
          <w:p w14:paraId="0E0B5ABF"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5.63 (4.99, 6.39)</w:t>
            </w:r>
          </w:p>
        </w:tc>
        <w:tc>
          <w:tcPr>
            <w:tcW w:w="1620" w:type="dxa"/>
            <w:tcBorders>
              <w:top w:val="nil"/>
              <w:left w:val="nil"/>
              <w:bottom w:val="nil"/>
              <w:right w:val="nil"/>
            </w:tcBorders>
            <w:shd w:val="clear" w:color="000000" w:fill="FFFFFF"/>
            <w:noWrap/>
            <w:vAlign w:val="center"/>
            <w:hideMark/>
          </w:tcPr>
          <w:p w14:paraId="64A4FF0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1445 (1263, 1628)</w:t>
            </w:r>
          </w:p>
        </w:tc>
        <w:tc>
          <w:tcPr>
            <w:tcW w:w="1710" w:type="dxa"/>
            <w:tcBorders>
              <w:top w:val="nil"/>
              <w:left w:val="nil"/>
              <w:bottom w:val="nil"/>
              <w:right w:val="nil"/>
            </w:tcBorders>
            <w:shd w:val="clear" w:color="000000" w:fill="FFFFFF"/>
            <w:noWrap/>
            <w:vAlign w:val="center"/>
            <w:hideMark/>
          </w:tcPr>
          <w:p w14:paraId="28D82E0C"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978 (868, 1123)</w:t>
            </w:r>
          </w:p>
        </w:tc>
        <w:tc>
          <w:tcPr>
            <w:tcW w:w="1530" w:type="dxa"/>
            <w:tcBorders>
              <w:top w:val="nil"/>
              <w:left w:val="nil"/>
              <w:bottom w:val="nil"/>
              <w:right w:val="nil"/>
            </w:tcBorders>
            <w:shd w:val="clear" w:color="000000" w:fill="FFFFFF"/>
            <w:noWrap/>
            <w:vAlign w:val="center"/>
            <w:hideMark/>
          </w:tcPr>
          <w:p w14:paraId="086B43ED"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0.50)</w:t>
            </w:r>
          </w:p>
        </w:tc>
        <w:tc>
          <w:tcPr>
            <w:tcW w:w="1530" w:type="dxa"/>
            <w:tcBorders>
              <w:top w:val="nil"/>
              <w:left w:val="nil"/>
              <w:bottom w:val="nil"/>
              <w:right w:val="nil"/>
            </w:tcBorders>
            <w:shd w:val="clear" w:color="000000" w:fill="FFFFFF"/>
            <w:noWrap/>
            <w:vAlign w:val="center"/>
            <w:hideMark/>
          </w:tcPr>
          <w:p w14:paraId="16198C1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nil"/>
              <w:right w:val="nil"/>
            </w:tcBorders>
            <w:shd w:val="clear" w:color="000000" w:fill="FFFFFF"/>
            <w:noWrap/>
            <w:vAlign w:val="center"/>
            <w:hideMark/>
          </w:tcPr>
          <w:p w14:paraId="6D209357"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C524E9" w:rsidRPr="00C524E9" w14:paraId="0BD1D69C" w14:textId="77777777" w:rsidTr="003D3FFF">
        <w:trPr>
          <w:trHeight w:val="402"/>
        </w:trPr>
        <w:tc>
          <w:tcPr>
            <w:tcW w:w="2620" w:type="dxa"/>
            <w:tcBorders>
              <w:top w:val="nil"/>
              <w:left w:val="nil"/>
              <w:bottom w:val="double" w:sz="6" w:space="0" w:color="auto"/>
              <w:right w:val="nil"/>
            </w:tcBorders>
            <w:shd w:val="clear" w:color="000000" w:fill="FFFFFF"/>
            <w:noWrap/>
            <w:vAlign w:val="center"/>
            <w:hideMark/>
          </w:tcPr>
          <w:p w14:paraId="366285C8" w14:textId="77777777" w:rsidR="00C524E9" w:rsidRPr="00C524E9" w:rsidRDefault="00C524E9" w:rsidP="00C524E9">
            <w:pPr>
              <w:ind w:firstLineChars="100" w:firstLine="180"/>
              <w:rPr>
                <w:rFonts w:ascii="Helvetica Neue" w:hAnsi="Helvetica Neue"/>
                <w:sz w:val="18"/>
                <w:szCs w:val="18"/>
              </w:rPr>
            </w:pPr>
            <w:r w:rsidRPr="00C524E9">
              <w:rPr>
                <w:rFonts w:ascii="Helvetica Neue" w:hAnsi="Helvetica Neue"/>
                <w:sz w:val="18"/>
                <w:szCs w:val="18"/>
              </w:rPr>
              <w:t>Base + 20%</w:t>
            </w:r>
          </w:p>
        </w:tc>
        <w:tc>
          <w:tcPr>
            <w:tcW w:w="1610" w:type="dxa"/>
            <w:tcBorders>
              <w:top w:val="nil"/>
              <w:left w:val="nil"/>
              <w:bottom w:val="double" w:sz="6" w:space="0" w:color="auto"/>
              <w:right w:val="nil"/>
            </w:tcBorders>
            <w:shd w:val="clear" w:color="000000" w:fill="FFFFFF"/>
            <w:noWrap/>
            <w:vAlign w:val="center"/>
            <w:hideMark/>
          </w:tcPr>
          <w:p w14:paraId="7CB31688"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2826 (2491, 3159)</w:t>
            </w:r>
          </w:p>
        </w:tc>
        <w:tc>
          <w:tcPr>
            <w:tcW w:w="1710" w:type="dxa"/>
            <w:tcBorders>
              <w:top w:val="nil"/>
              <w:left w:val="nil"/>
              <w:bottom w:val="double" w:sz="6" w:space="0" w:color="auto"/>
              <w:right w:val="nil"/>
            </w:tcBorders>
            <w:shd w:val="clear" w:color="000000" w:fill="FFFFFF"/>
            <w:noWrap/>
            <w:vAlign w:val="center"/>
            <w:hideMark/>
          </w:tcPr>
          <w:p w14:paraId="7D74472E"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5.43 (4.79, 6.08)</w:t>
            </w:r>
          </w:p>
        </w:tc>
        <w:tc>
          <w:tcPr>
            <w:tcW w:w="1620" w:type="dxa"/>
            <w:tcBorders>
              <w:top w:val="nil"/>
              <w:left w:val="nil"/>
              <w:bottom w:val="double" w:sz="6" w:space="0" w:color="auto"/>
              <w:right w:val="nil"/>
            </w:tcBorders>
            <w:shd w:val="clear" w:color="000000" w:fill="FFFFFF"/>
            <w:noWrap/>
            <w:vAlign w:val="center"/>
            <w:hideMark/>
          </w:tcPr>
          <w:p w14:paraId="70DB9F94"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1382 (1232, 1536)</w:t>
            </w:r>
          </w:p>
        </w:tc>
        <w:tc>
          <w:tcPr>
            <w:tcW w:w="1710" w:type="dxa"/>
            <w:tcBorders>
              <w:top w:val="nil"/>
              <w:left w:val="nil"/>
              <w:bottom w:val="double" w:sz="6" w:space="0" w:color="auto"/>
              <w:right w:val="nil"/>
            </w:tcBorders>
            <w:shd w:val="clear" w:color="000000" w:fill="FFFFFF"/>
            <w:noWrap/>
            <w:vAlign w:val="center"/>
            <w:hideMark/>
          </w:tcPr>
          <w:p w14:paraId="3485D1F3" w14:textId="4BBA5E5F" w:rsidR="00C524E9" w:rsidRPr="00C524E9" w:rsidRDefault="00C524E9" w:rsidP="003D3FFF">
            <w:pPr>
              <w:rPr>
                <w:rFonts w:ascii="Helvetica Neue" w:hAnsi="Helvetica Neue"/>
                <w:sz w:val="18"/>
                <w:szCs w:val="18"/>
              </w:rPr>
            </w:pPr>
            <w:r w:rsidRPr="00C524E9">
              <w:rPr>
                <w:rFonts w:ascii="Helvetica Neue" w:hAnsi="Helvetica Neue"/>
                <w:sz w:val="18"/>
                <w:szCs w:val="18"/>
              </w:rPr>
              <w:t>951 (839, 105</w:t>
            </w:r>
            <w:r w:rsidR="003D3FFF">
              <w:rPr>
                <w:rFonts w:ascii="Helvetica Neue" w:hAnsi="Helvetica Neue"/>
                <w:sz w:val="18"/>
                <w:szCs w:val="18"/>
              </w:rPr>
              <w:t>4</w:t>
            </w:r>
            <w:r w:rsidRPr="00C524E9">
              <w:rPr>
                <w:rFonts w:ascii="Helvetica Neue" w:hAnsi="Helvetica Neue"/>
                <w:sz w:val="18"/>
                <w:szCs w:val="18"/>
              </w:rPr>
              <w:t>)</w:t>
            </w:r>
          </w:p>
        </w:tc>
        <w:tc>
          <w:tcPr>
            <w:tcW w:w="1530" w:type="dxa"/>
            <w:tcBorders>
              <w:top w:val="nil"/>
              <w:left w:val="nil"/>
              <w:bottom w:val="double" w:sz="6" w:space="0" w:color="auto"/>
              <w:right w:val="nil"/>
            </w:tcBorders>
            <w:shd w:val="clear" w:color="000000" w:fill="FFFFFF"/>
            <w:noWrap/>
            <w:vAlign w:val="center"/>
            <w:hideMark/>
          </w:tcPr>
          <w:p w14:paraId="0CD4216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0.49 (0.47, 0.51)</w:t>
            </w:r>
          </w:p>
        </w:tc>
        <w:tc>
          <w:tcPr>
            <w:tcW w:w="1530" w:type="dxa"/>
            <w:tcBorders>
              <w:top w:val="nil"/>
              <w:left w:val="nil"/>
              <w:bottom w:val="double" w:sz="6" w:space="0" w:color="auto"/>
              <w:right w:val="nil"/>
            </w:tcBorders>
            <w:shd w:val="clear" w:color="000000" w:fill="FFFFFF"/>
            <w:noWrap/>
            <w:vAlign w:val="center"/>
            <w:hideMark/>
          </w:tcPr>
          <w:p w14:paraId="411178BB"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0.38 (0.37, 0.39)</w:t>
            </w:r>
          </w:p>
        </w:tc>
        <w:tc>
          <w:tcPr>
            <w:tcW w:w="1440" w:type="dxa"/>
            <w:tcBorders>
              <w:top w:val="nil"/>
              <w:left w:val="nil"/>
              <w:bottom w:val="double" w:sz="6" w:space="0" w:color="auto"/>
              <w:right w:val="nil"/>
            </w:tcBorders>
            <w:shd w:val="clear" w:color="000000" w:fill="FFFFFF"/>
            <w:noWrap/>
            <w:vAlign w:val="center"/>
            <w:hideMark/>
          </w:tcPr>
          <w:p w14:paraId="56516663" w14:textId="77777777" w:rsidR="00C524E9" w:rsidRPr="00C524E9" w:rsidRDefault="00C524E9" w:rsidP="00C524E9">
            <w:pPr>
              <w:rPr>
                <w:rFonts w:ascii="Helvetica Neue" w:hAnsi="Helvetica Neue"/>
                <w:sz w:val="18"/>
                <w:szCs w:val="18"/>
              </w:rPr>
            </w:pPr>
            <w:r w:rsidRPr="00C524E9">
              <w:rPr>
                <w:rFonts w:ascii="Helvetica Neue" w:hAnsi="Helvetica Neue"/>
                <w:sz w:val="18"/>
                <w:szCs w:val="18"/>
              </w:rPr>
              <w:t>0.20 (0.19, 0.21)</w:t>
            </w:r>
          </w:p>
        </w:tc>
      </w:tr>
      <w:tr w:rsidR="00EC6330" w:rsidRPr="00C524E9" w14:paraId="2CA49D04" w14:textId="77777777" w:rsidTr="00990DDA">
        <w:trPr>
          <w:trHeight w:val="540"/>
        </w:trPr>
        <w:tc>
          <w:tcPr>
            <w:tcW w:w="13770" w:type="dxa"/>
            <w:gridSpan w:val="8"/>
            <w:tcBorders>
              <w:top w:val="nil"/>
              <w:left w:val="nil"/>
              <w:bottom w:val="nil"/>
              <w:right w:val="nil"/>
            </w:tcBorders>
            <w:shd w:val="clear" w:color="000000" w:fill="FFFFFF"/>
            <w:vAlign w:val="center"/>
            <w:hideMark/>
          </w:tcPr>
          <w:p w14:paraId="4A0493BD" w14:textId="51ABDC35" w:rsidR="00EC6330" w:rsidRPr="00C524E9" w:rsidRDefault="00EC6330" w:rsidP="00ED736D">
            <w:pPr>
              <w:rPr>
                <w:rFonts w:ascii="Helvetica Neue" w:hAnsi="Helvetica Neue"/>
                <w:sz w:val="18"/>
                <w:szCs w:val="18"/>
              </w:rPr>
            </w:pPr>
            <w:r w:rsidRPr="00C524E9">
              <w:rPr>
                <w:rFonts w:ascii="Helvetica Neue" w:hAnsi="Helvetica Neue"/>
                <w:sz w:val="18"/>
                <w:szCs w:val="18"/>
              </w:rPr>
              <w:t>IQR: interquartile range (25% and 75% percentiles) of the simulation outcomes; Incidence expressed per 100 person-years at risk at final year of simulation; All outcomes are compared to the reference model. </w:t>
            </w:r>
          </w:p>
        </w:tc>
      </w:tr>
    </w:tbl>
    <w:p w14:paraId="33A5BE43" w14:textId="571A6645" w:rsidR="008F739B" w:rsidRDefault="008F739B" w:rsidP="007751E4">
      <w:pPr>
        <w:spacing w:line="360" w:lineRule="auto"/>
        <w:rPr>
          <w:rFonts w:ascii="Helvetica Neue" w:hAnsi="Helvetica Neue"/>
          <w:sz w:val="20"/>
        </w:rPr>
      </w:pPr>
    </w:p>
    <w:p w14:paraId="2AD25C94" w14:textId="79BA5C38" w:rsidR="008F739B" w:rsidRDefault="008F739B" w:rsidP="007751E4">
      <w:pPr>
        <w:spacing w:line="360" w:lineRule="auto"/>
        <w:rPr>
          <w:rFonts w:ascii="Helvetica Neue" w:hAnsi="Helvetica Neue"/>
          <w:sz w:val="20"/>
        </w:rPr>
      </w:pPr>
    </w:p>
    <w:p w14:paraId="1FBEB06A" w14:textId="77777777" w:rsidR="00CD340B" w:rsidRDefault="00CD340B" w:rsidP="007751E4">
      <w:pPr>
        <w:spacing w:line="360" w:lineRule="auto"/>
        <w:rPr>
          <w:rFonts w:ascii="Helvetica Neue" w:hAnsi="Helvetica Neue"/>
          <w:sz w:val="20"/>
        </w:rPr>
        <w:sectPr w:rsidR="00CD340B" w:rsidSect="00A468E9">
          <w:pgSz w:w="15840" w:h="12240" w:orient="landscape"/>
          <w:pgMar w:top="720" w:right="720" w:bottom="720" w:left="720" w:header="720" w:footer="720" w:gutter="0"/>
          <w:cols w:space="720"/>
          <w:docGrid w:linePitch="360"/>
        </w:sectPr>
      </w:pPr>
    </w:p>
    <w:p w14:paraId="7D70DB42" w14:textId="2CADB9D3" w:rsidR="008F739B" w:rsidRDefault="008F739B" w:rsidP="007751E4">
      <w:pPr>
        <w:spacing w:line="360" w:lineRule="auto"/>
        <w:rPr>
          <w:rFonts w:ascii="Helvetica Neue" w:hAnsi="Helvetica Neue"/>
          <w:sz w:val="20"/>
        </w:rPr>
      </w:pPr>
    </w:p>
    <w:tbl>
      <w:tblPr>
        <w:tblW w:w="10800" w:type="dxa"/>
        <w:tblLook w:val="04A0" w:firstRow="1" w:lastRow="0" w:firstColumn="1" w:lastColumn="0" w:noHBand="0" w:noVBand="1"/>
      </w:tblPr>
      <w:tblGrid>
        <w:gridCol w:w="4243"/>
        <w:gridCol w:w="1517"/>
        <w:gridCol w:w="1530"/>
        <w:gridCol w:w="1350"/>
        <w:gridCol w:w="2160"/>
      </w:tblGrid>
      <w:tr w:rsidR="00CD340B" w:rsidRPr="00CD340B" w14:paraId="562A91FB" w14:textId="77777777" w:rsidTr="00CD340B">
        <w:trPr>
          <w:trHeight w:val="679"/>
        </w:trPr>
        <w:tc>
          <w:tcPr>
            <w:tcW w:w="10800" w:type="dxa"/>
            <w:gridSpan w:val="5"/>
            <w:tcBorders>
              <w:top w:val="nil"/>
              <w:left w:val="nil"/>
              <w:bottom w:val="nil"/>
              <w:right w:val="nil"/>
            </w:tcBorders>
            <w:shd w:val="clear" w:color="000000" w:fill="FFFFFF"/>
            <w:vAlign w:val="center"/>
            <w:hideMark/>
          </w:tcPr>
          <w:p w14:paraId="5577209A" w14:textId="34BD505A" w:rsidR="00CD340B" w:rsidRPr="00CD340B" w:rsidRDefault="00CD340B" w:rsidP="00FE6CB3">
            <w:pPr>
              <w:rPr>
                <w:rFonts w:ascii="Helvetica Neue" w:hAnsi="Helvetica Neue"/>
                <w:sz w:val="18"/>
                <w:szCs w:val="18"/>
              </w:rPr>
            </w:pPr>
            <w:r w:rsidRPr="00CD340B">
              <w:rPr>
                <w:rFonts w:ascii="Helvetica Neue" w:hAnsi="Helvetica Neue"/>
                <w:b/>
                <w:bCs/>
                <w:sz w:val="18"/>
                <w:szCs w:val="18"/>
              </w:rPr>
              <w:t xml:space="preserve">Supplementary Table </w:t>
            </w:r>
            <w:r w:rsidR="00FE6CB3" w:rsidRPr="00C64231">
              <w:rPr>
                <w:rFonts w:ascii="Helvetica Neue" w:hAnsi="Helvetica Neue"/>
                <w:b/>
                <w:bCs/>
                <w:sz w:val="18"/>
                <w:szCs w:val="18"/>
                <w:highlight w:val="yellow"/>
              </w:rPr>
              <w:t>9</w:t>
            </w:r>
            <w:r w:rsidRPr="00CD340B">
              <w:rPr>
                <w:rFonts w:ascii="Helvetica Neue" w:hAnsi="Helvetica Neue"/>
                <w:b/>
                <w:bCs/>
                <w:sz w:val="18"/>
                <w:szCs w:val="18"/>
              </w:rPr>
              <w:t>.</w:t>
            </w:r>
            <w:r w:rsidRPr="00CD340B">
              <w:rPr>
                <w:rFonts w:ascii="Helvetica Neue" w:hAnsi="Helvetica Neue"/>
                <w:sz w:val="18"/>
                <w:szCs w:val="18"/>
              </w:rPr>
              <w:t xml:space="preserve"> Gonorrhea (NG) Incidence, Percent of Infections Averted (PIA), Expedited Partner Therapy (EPT) Doses Taken by Partners, and Per-Capita Number of Times Infected Across EPT Coverage (Provision to Index) Levels, Limited by Partnership Type, among Men Who Have Sex with Men</w:t>
            </w:r>
          </w:p>
        </w:tc>
      </w:tr>
      <w:tr w:rsidR="00CD340B" w:rsidRPr="00CD340B" w14:paraId="6B253986" w14:textId="77777777" w:rsidTr="00CD340B">
        <w:trPr>
          <w:trHeight w:val="720"/>
        </w:trPr>
        <w:tc>
          <w:tcPr>
            <w:tcW w:w="4243" w:type="dxa"/>
            <w:tcBorders>
              <w:top w:val="single" w:sz="4" w:space="0" w:color="auto"/>
              <w:left w:val="nil"/>
              <w:bottom w:val="single" w:sz="4" w:space="0" w:color="auto"/>
              <w:right w:val="nil"/>
            </w:tcBorders>
            <w:shd w:val="clear" w:color="000000" w:fill="FFFFFF"/>
            <w:noWrap/>
            <w:vAlign w:val="center"/>
            <w:hideMark/>
          </w:tcPr>
          <w:p w14:paraId="3A2F2273"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517" w:type="dxa"/>
            <w:tcBorders>
              <w:top w:val="single" w:sz="4" w:space="0" w:color="auto"/>
              <w:left w:val="nil"/>
              <w:bottom w:val="single" w:sz="4" w:space="0" w:color="auto"/>
              <w:right w:val="nil"/>
            </w:tcBorders>
            <w:shd w:val="clear" w:color="auto" w:fill="auto"/>
            <w:vAlign w:val="center"/>
            <w:hideMark/>
          </w:tcPr>
          <w:p w14:paraId="3D496E91" w14:textId="77777777" w:rsidR="00CD340B" w:rsidRPr="00CD340B" w:rsidRDefault="00CD340B" w:rsidP="00CD340B">
            <w:pPr>
              <w:rPr>
                <w:rFonts w:ascii="Helvetica Neue" w:hAnsi="Helvetica Neue"/>
                <w:i/>
                <w:iCs/>
                <w:sz w:val="18"/>
                <w:szCs w:val="18"/>
              </w:rPr>
            </w:pPr>
            <w:r w:rsidRPr="00CD340B">
              <w:rPr>
                <w:rFonts w:ascii="Helvetica Neue" w:hAnsi="Helvetica Neue"/>
                <w:b/>
                <w:bCs/>
                <w:sz w:val="18"/>
                <w:szCs w:val="18"/>
              </w:rPr>
              <w:t xml:space="preserve">Incidence </w:t>
            </w:r>
            <w:r w:rsidRPr="00CD340B">
              <w:rPr>
                <w:rFonts w:ascii="Helvetica Neue" w:hAnsi="Helvetica Neue"/>
                <w:i/>
                <w:iCs/>
                <w:sz w:val="18"/>
                <w:szCs w:val="18"/>
              </w:rPr>
              <w:br/>
              <w:t>(Median, IQR)</w:t>
            </w:r>
          </w:p>
        </w:tc>
        <w:tc>
          <w:tcPr>
            <w:tcW w:w="1530" w:type="dxa"/>
            <w:tcBorders>
              <w:top w:val="single" w:sz="4" w:space="0" w:color="auto"/>
              <w:left w:val="nil"/>
              <w:bottom w:val="single" w:sz="4" w:space="0" w:color="auto"/>
              <w:right w:val="nil"/>
            </w:tcBorders>
            <w:shd w:val="clear" w:color="auto" w:fill="auto"/>
            <w:vAlign w:val="center"/>
            <w:hideMark/>
          </w:tcPr>
          <w:p w14:paraId="452393E1" w14:textId="77777777" w:rsidR="00CD340B" w:rsidRPr="00CD340B" w:rsidRDefault="00CD340B" w:rsidP="00CD340B">
            <w:pPr>
              <w:rPr>
                <w:rFonts w:ascii="Helvetica Neue" w:hAnsi="Helvetica Neue"/>
                <w:i/>
                <w:iCs/>
                <w:sz w:val="18"/>
                <w:szCs w:val="18"/>
              </w:rPr>
            </w:pPr>
            <w:r w:rsidRPr="00CD340B">
              <w:rPr>
                <w:rFonts w:ascii="Helvetica Neue" w:hAnsi="Helvetica Neue"/>
                <w:b/>
                <w:bCs/>
                <w:sz w:val="18"/>
                <w:szCs w:val="18"/>
              </w:rPr>
              <w:t>Cumulative PIA</w:t>
            </w:r>
            <w:r w:rsidRPr="00CD340B">
              <w:rPr>
                <w:rFonts w:ascii="Helvetica Neue" w:hAnsi="Helvetica Neue"/>
                <w:i/>
                <w:iCs/>
                <w:sz w:val="18"/>
                <w:szCs w:val="18"/>
              </w:rPr>
              <w:t xml:space="preserve"> (Median, IQR)</w:t>
            </w:r>
          </w:p>
        </w:tc>
        <w:tc>
          <w:tcPr>
            <w:tcW w:w="1350" w:type="dxa"/>
            <w:tcBorders>
              <w:top w:val="single" w:sz="4" w:space="0" w:color="auto"/>
              <w:left w:val="nil"/>
              <w:bottom w:val="single" w:sz="4" w:space="0" w:color="auto"/>
              <w:right w:val="nil"/>
            </w:tcBorders>
            <w:shd w:val="clear" w:color="auto" w:fill="auto"/>
            <w:vAlign w:val="center"/>
            <w:hideMark/>
          </w:tcPr>
          <w:p w14:paraId="00ED0B77" w14:textId="77777777" w:rsidR="00CD340B" w:rsidRPr="00CD340B" w:rsidRDefault="00CD340B" w:rsidP="00CD340B">
            <w:pPr>
              <w:rPr>
                <w:rFonts w:ascii="Helvetica Neue" w:hAnsi="Helvetica Neue"/>
                <w:i/>
                <w:iCs/>
                <w:sz w:val="18"/>
                <w:szCs w:val="18"/>
              </w:rPr>
            </w:pPr>
            <w:r w:rsidRPr="00CD340B">
              <w:rPr>
                <w:rFonts w:ascii="Helvetica Neue" w:hAnsi="Helvetica Neue"/>
                <w:b/>
                <w:bCs/>
                <w:sz w:val="18"/>
                <w:szCs w:val="18"/>
              </w:rPr>
              <w:t>Total EPT Doses</w:t>
            </w:r>
            <w:r w:rsidRPr="00CD340B">
              <w:rPr>
                <w:rFonts w:ascii="Helvetica Neue" w:hAnsi="Helvetica Neue"/>
                <w:i/>
                <w:iCs/>
                <w:sz w:val="18"/>
                <w:szCs w:val="18"/>
              </w:rPr>
              <w:t xml:space="preserve"> </w:t>
            </w:r>
            <w:r w:rsidRPr="00CD340B">
              <w:rPr>
                <w:rFonts w:ascii="Helvetica Neue" w:hAnsi="Helvetica Neue"/>
                <w:b/>
                <w:bCs/>
                <w:sz w:val="18"/>
                <w:szCs w:val="18"/>
              </w:rPr>
              <w:t>Taken</w:t>
            </w:r>
            <w:r w:rsidRPr="00CD340B">
              <w:rPr>
                <w:rFonts w:ascii="Helvetica Neue" w:hAnsi="Helvetica Neue"/>
                <w:i/>
                <w:iCs/>
                <w:sz w:val="18"/>
                <w:szCs w:val="18"/>
              </w:rPr>
              <w:t xml:space="preserve"> (Median, IQR)</w:t>
            </w:r>
          </w:p>
        </w:tc>
        <w:tc>
          <w:tcPr>
            <w:tcW w:w="2160" w:type="dxa"/>
            <w:tcBorders>
              <w:top w:val="single" w:sz="4" w:space="0" w:color="auto"/>
              <w:left w:val="nil"/>
              <w:bottom w:val="single" w:sz="4" w:space="0" w:color="auto"/>
              <w:right w:val="nil"/>
            </w:tcBorders>
            <w:shd w:val="clear" w:color="auto" w:fill="auto"/>
            <w:vAlign w:val="center"/>
            <w:hideMark/>
          </w:tcPr>
          <w:p w14:paraId="20DD76D9" w14:textId="77777777" w:rsidR="00CD340B" w:rsidRPr="00CD340B" w:rsidRDefault="00CD340B" w:rsidP="00CD340B">
            <w:pPr>
              <w:rPr>
                <w:rFonts w:ascii="Helvetica Neue" w:hAnsi="Helvetica Neue"/>
                <w:i/>
                <w:iCs/>
                <w:sz w:val="18"/>
                <w:szCs w:val="18"/>
              </w:rPr>
            </w:pPr>
            <w:r w:rsidRPr="00CD340B">
              <w:rPr>
                <w:rFonts w:ascii="Helvetica Neue" w:hAnsi="Helvetica Neue"/>
                <w:b/>
                <w:bCs/>
                <w:sz w:val="18"/>
                <w:szCs w:val="18"/>
              </w:rPr>
              <w:t xml:space="preserve">Per-Capita Times Infected </w:t>
            </w:r>
            <w:r w:rsidRPr="00CD340B">
              <w:rPr>
                <w:rFonts w:ascii="Helvetica Neue" w:hAnsi="Helvetica Neue"/>
                <w:i/>
                <w:iCs/>
                <w:sz w:val="18"/>
                <w:szCs w:val="18"/>
              </w:rPr>
              <w:br/>
              <w:t>(Median, IQR)</w:t>
            </w:r>
          </w:p>
        </w:tc>
      </w:tr>
      <w:tr w:rsidR="00CD340B" w:rsidRPr="00CD340B" w14:paraId="10E48C50" w14:textId="77777777" w:rsidTr="00CD340B">
        <w:trPr>
          <w:trHeight w:val="300"/>
        </w:trPr>
        <w:tc>
          <w:tcPr>
            <w:tcW w:w="4243" w:type="dxa"/>
            <w:tcBorders>
              <w:top w:val="nil"/>
              <w:left w:val="nil"/>
              <w:bottom w:val="nil"/>
              <w:right w:val="nil"/>
            </w:tcBorders>
            <w:shd w:val="clear" w:color="000000" w:fill="FFFFFF"/>
            <w:vAlign w:val="center"/>
            <w:hideMark/>
          </w:tcPr>
          <w:p w14:paraId="0E1CB518"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Base Model</w:t>
            </w:r>
          </w:p>
        </w:tc>
        <w:tc>
          <w:tcPr>
            <w:tcW w:w="1517" w:type="dxa"/>
            <w:tcBorders>
              <w:top w:val="nil"/>
              <w:left w:val="nil"/>
              <w:bottom w:val="nil"/>
              <w:right w:val="nil"/>
            </w:tcBorders>
            <w:shd w:val="clear" w:color="000000" w:fill="FFFFFF"/>
            <w:noWrap/>
            <w:vAlign w:val="center"/>
            <w:hideMark/>
          </w:tcPr>
          <w:p w14:paraId="7E5C08B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4.64 (2.66, 6.95)</w:t>
            </w:r>
          </w:p>
        </w:tc>
        <w:tc>
          <w:tcPr>
            <w:tcW w:w="1530" w:type="dxa"/>
            <w:tcBorders>
              <w:top w:val="nil"/>
              <w:left w:val="nil"/>
              <w:bottom w:val="nil"/>
              <w:right w:val="nil"/>
            </w:tcBorders>
            <w:shd w:val="clear" w:color="000000" w:fill="FFFFFF"/>
            <w:noWrap/>
            <w:vAlign w:val="center"/>
            <w:hideMark/>
          </w:tcPr>
          <w:p w14:paraId="2BC6909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w:t>
            </w:r>
          </w:p>
        </w:tc>
        <w:tc>
          <w:tcPr>
            <w:tcW w:w="1350" w:type="dxa"/>
            <w:tcBorders>
              <w:top w:val="nil"/>
              <w:left w:val="nil"/>
              <w:bottom w:val="nil"/>
              <w:right w:val="nil"/>
            </w:tcBorders>
            <w:shd w:val="clear" w:color="000000" w:fill="FFFFFF"/>
            <w:noWrap/>
            <w:vAlign w:val="center"/>
            <w:hideMark/>
          </w:tcPr>
          <w:p w14:paraId="7BA601D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w:t>
            </w:r>
          </w:p>
        </w:tc>
        <w:tc>
          <w:tcPr>
            <w:tcW w:w="2160" w:type="dxa"/>
            <w:tcBorders>
              <w:top w:val="nil"/>
              <w:left w:val="nil"/>
              <w:bottom w:val="nil"/>
              <w:right w:val="nil"/>
            </w:tcBorders>
            <w:shd w:val="clear" w:color="000000" w:fill="FFFFFF"/>
            <w:noWrap/>
            <w:vAlign w:val="center"/>
            <w:hideMark/>
          </w:tcPr>
          <w:p w14:paraId="2AA1812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0.47 (0.34, 0.59)</w:t>
            </w:r>
          </w:p>
        </w:tc>
      </w:tr>
      <w:tr w:rsidR="00CD340B" w:rsidRPr="00CD340B" w14:paraId="1B7599E3" w14:textId="77777777" w:rsidTr="00CD340B">
        <w:trPr>
          <w:trHeight w:val="300"/>
        </w:trPr>
        <w:tc>
          <w:tcPr>
            <w:tcW w:w="4243" w:type="dxa"/>
            <w:tcBorders>
              <w:top w:val="nil"/>
              <w:left w:val="nil"/>
              <w:bottom w:val="nil"/>
              <w:right w:val="nil"/>
            </w:tcBorders>
            <w:shd w:val="clear" w:color="000000" w:fill="FFFFFF"/>
            <w:noWrap/>
            <w:vAlign w:val="center"/>
            <w:hideMark/>
          </w:tcPr>
          <w:p w14:paraId="2AE7960E"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Coverage for Index Patients (Provision to Main Partners Only)*</w:t>
            </w:r>
          </w:p>
        </w:tc>
        <w:tc>
          <w:tcPr>
            <w:tcW w:w="1517" w:type="dxa"/>
            <w:tcBorders>
              <w:top w:val="nil"/>
              <w:left w:val="nil"/>
              <w:bottom w:val="nil"/>
              <w:right w:val="nil"/>
            </w:tcBorders>
            <w:shd w:val="clear" w:color="000000" w:fill="FFFFFF"/>
            <w:noWrap/>
            <w:vAlign w:val="center"/>
            <w:hideMark/>
          </w:tcPr>
          <w:p w14:paraId="11746B62"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530" w:type="dxa"/>
            <w:tcBorders>
              <w:top w:val="nil"/>
              <w:left w:val="nil"/>
              <w:bottom w:val="nil"/>
              <w:right w:val="nil"/>
            </w:tcBorders>
            <w:shd w:val="clear" w:color="000000" w:fill="FFFFFF"/>
            <w:noWrap/>
            <w:vAlign w:val="center"/>
            <w:hideMark/>
          </w:tcPr>
          <w:p w14:paraId="3A484F57"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350" w:type="dxa"/>
            <w:tcBorders>
              <w:top w:val="nil"/>
              <w:left w:val="nil"/>
              <w:bottom w:val="nil"/>
              <w:right w:val="nil"/>
            </w:tcBorders>
            <w:shd w:val="clear" w:color="000000" w:fill="FFFFFF"/>
            <w:noWrap/>
            <w:vAlign w:val="center"/>
            <w:hideMark/>
          </w:tcPr>
          <w:p w14:paraId="0318940D"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2160" w:type="dxa"/>
            <w:tcBorders>
              <w:top w:val="nil"/>
              <w:left w:val="nil"/>
              <w:bottom w:val="nil"/>
              <w:right w:val="nil"/>
            </w:tcBorders>
            <w:shd w:val="clear" w:color="000000" w:fill="FFFFFF"/>
            <w:noWrap/>
            <w:vAlign w:val="center"/>
            <w:hideMark/>
          </w:tcPr>
          <w:p w14:paraId="60F46939"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r>
      <w:tr w:rsidR="00CD340B" w:rsidRPr="00CD340B" w14:paraId="705F7EC1" w14:textId="77777777" w:rsidTr="00CD340B">
        <w:trPr>
          <w:trHeight w:val="300"/>
        </w:trPr>
        <w:tc>
          <w:tcPr>
            <w:tcW w:w="4243" w:type="dxa"/>
            <w:tcBorders>
              <w:top w:val="nil"/>
              <w:left w:val="nil"/>
              <w:bottom w:val="nil"/>
              <w:right w:val="nil"/>
            </w:tcBorders>
            <w:shd w:val="clear" w:color="000000" w:fill="FFFFFF"/>
            <w:noWrap/>
            <w:vAlign w:val="center"/>
            <w:hideMark/>
          </w:tcPr>
          <w:p w14:paraId="099D4C5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72868C41" w14:textId="05A6EF07" w:rsidR="00CD340B" w:rsidRPr="00CD340B" w:rsidRDefault="00CD340B" w:rsidP="00CD340B">
            <w:pPr>
              <w:rPr>
                <w:rFonts w:ascii="Helvetica Neue" w:hAnsi="Helvetica Neue"/>
                <w:sz w:val="18"/>
                <w:szCs w:val="18"/>
              </w:rPr>
            </w:pPr>
            <w:r w:rsidRPr="00CD340B">
              <w:rPr>
                <w:rFonts w:ascii="Helvetica Neue" w:hAnsi="Helvetica Neue"/>
                <w:sz w:val="18"/>
                <w:szCs w:val="18"/>
              </w:rPr>
              <w:t>4.01 (2.32, 5.9</w:t>
            </w:r>
            <w:r>
              <w:rPr>
                <w:rFonts w:ascii="Helvetica Neue" w:hAnsi="Helvetica Neue"/>
                <w:sz w:val="18"/>
                <w:szCs w:val="18"/>
              </w:rPr>
              <w:t>0</w:t>
            </w:r>
            <w:r w:rsidRPr="00CD340B">
              <w:rPr>
                <w:rFonts w:ascii="Helvetica Neue" w:hAnsi="Helvetica Neue"/>
                <w:sz w:val="18"/>
                <w:szCs w:val="18"/>
              </w:rPr>
              <w:t>)</w:t>
            </w:r>
          </w:p>
        </w:tc>
        <w:tc>
          <w:tcPr>
            <w:tcW w:w="1530" w:type="dxa"/>
            <w:tcBorders>
              <w:top w:val="nil"/>
              <w:left w:val="nil"/>
              <w:bottom w:val="nil"/>
              <w:right w:val="nil"/>
            </w:tcBorders>
            <w:shd w:val="clear" w:color="000000" w:fill="FFFFFF"/>
            <w:noWrap/>
            <w:vAlign w:val="center"/>
            <w:hideMark/>
          </w:tcPr>
          <w:p w14:paraId="2EBF93F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0.07 (-0.34, 0.39)</w:t>
            </w:r>
          </w:p>
        </w:tc>
        <w:tc>
          <w:tcPr>
            <w:tcW w:w="1350" w:type="dxa"/>
            <w:tcBorders>
              <w:top w:val="nil"/>
              <w:left w:val="nil"/>
              <w:bottom w:val="nil"/>
              <w:right w:val="nil"/>
            </w:tcBorders>
            <w:shd w:val="clear" w:color="000000" w:fill="FFFFFF"/>
            <w:noWrap/>
            <w:vAlign w:val="center"/>
            <w:hideMark/>
          </w:tcPr>
          <w:p w14:paraId="069C82C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53 (39, 66)</w:t>
            </w:r>
          </w:p>
        </w:tc>
        <w:tc>
          <w:tcPr>
            <w:tcW w:w="2160" w:type="dxa"/>
            <w:tcBorders>
              <w:top w:val="nil"/>
              <w:left w:val="nil"/>
              <w:bottom w:val="nil"/>
              <w:right w:val="nil"/>
            </w:tcBorders>
            <w:shd w:val="clear" w:color="000000" w:fill="FFFFFF"/>
            <w:noWrap/>
            <w:vAlign w:val="center"/>
            <w:hideMark/>
          </w:tcPr>
          <w:p w14:paraId="3D513B5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0.44 (0.32, 0.55)</w:t>
            </w:r>
          </w:p>
        </w:tc>
      </w:tr>
      <w:tr w:rsidR="00CD340B" w:rsidRPr="00CD340B" w14:paraId="5BEEA2F6" w14:textId="77777777" w:rsidTr="00CD340B">
        <w:trPr>
          <w:trHeight w:val="300"/>
        </w:trPr>
        <w:tc>
          <w:tcPr>
            <w:tcW w:w="4243" w:type="dxa"/>
            <w:tcBorders>
              <w:top w:val="nil"/>
              <w:left w:val="nil"/>
              <w:bottom w:val="nil"/>
              <w:right w:val="nil"/>
            </w:tcBorders>
            <w:shd w:val="clear" w:color="000000" w:fill="FFFFFF"/>
            <w:noWrap/>
            <w:vAlign w:val="center"/>
            <w:hideMark/>
          </w:tcPr>
          <w:p w14:paraId="1A8EAAC0"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6E394C4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3.41 (1.97, 5.66)</w:t>
            </w:r>
          </w:p>
        </w:tc>
        <w:tc>
          <w:tcPr>
            <w:tcW w:w="1530" w:type="dxa"/>
            <w:tcBorders>
              <w:top w:val="nil"/>
              <w:left w:val="nil"/>
              <w:bottom w:val="nil"/>
              <w:right w:val="nil"/>
            </w:tcBorders>
            <w:shd w:val="clear" w:color="000000" w:fill="FFFFFF"/>
            <w:noWrap/>
            <w:vAlign w:val="center"/>
            <w:hideMark/>
          </w:tcPr>
          <w:p w14:paraId="2731544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0.12 (-0.31, 0.42)</w:t>
            </w:r>
          </w:p>
        </w:tc>
        <w:tc>
          <w:tcPr>
            <w:tcW w:w="1350" w:type="dxa"/>
            <w:tcBorders>
              <w:top w:val="nil"/>
              <w:left w:val="nil"/>
              <w:bottom w:val="nil"/>
              <w:right w:val="nil"/>
            </w:tcBorders>
            <w:shd w:val="clear" w:color="000000" w:fill="FFFFFF"/>
            <w:noWrap/>
            <w:vAlign w:val="center"/>
            <w:hideMark/>
          </w:tcPr>
          <w:p w14:paraId="2A7A2EA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90 (70, 116)</w:t>
            </w:r>
          </w:p>
        </w:tc>
        <w:tc>
          <w:tcPr>
            <w:tcW w:w="2160" w:type="dxa"/>
            <w:tcBorders>
              <w:top w:val="nil"/>
              <w:left w:val="nil"/>
              <w:bottom w:val="nil"/>
              <w:right w:val="nil"/>
            </w:tcBorders>
            <w:shd w:val="clear" w:color="000000" w:fill="FFFFFF"/>
            <w:noWrap/>
            <w:vAlign w:val="center"/>
            <w:hideMark/>
          </w:tcPr>
          <w:p w14:paraId="2C5BE1B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0.40 (0.29, 0.52)</w:t>
            </w:r>
          </w:p>
        </w:tc>
      </w:tr>
      <w:tr w:rsidR="00CD340B" w:rsidRPr="00CD340B" w14:paraId="238604D4" w14:textId="77777777" w:rsidTr="00CD340B">
        <w:trPr>
          <w:trHeight w:val="300"/>
        </w:trPr>
        <w:tc>
          <w:tcPr>
            <w:tcW w:w="4243" w:type="dxa"/>
            <w:tcBorders>
              <w:top w:val="nil"/>
              <w:left w:val="nil"/>
              <w:bottom w:val="nil"/>
              <w:right w:val="nil"/>
            </w:tcBorders>
            <w:shd w:val="clear" w:color="000000" w:fill="FFFFFF"/>
            <w:noWrap/>
            <w:vAlign w:val="center"/>
            <w:hideMark/>
          </w:tcPr>
          <w:p w14:paraId="6CEE98C6"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1867C2D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3.18 (1.67, 4.77)</w:t>
            </w:r>
          </w:p>
        </w:tc>
        <w:tc>
          <w:tcPr>
            <w:tcW w:w="1530" w:type="dxa"/>
            <w:tcBorders>
              <w:top w:val="nil"/>
              <w:left w:val="nil"/>
              <w:bottom w:val="nil"/>
              <w:right w:val="nil"/>
            </w:tcBorders>
            <w:shd w:val="clear" w:color="000000" w:fill="FFFFFF"/>
            <w:noWrap/>
            <w:vAlign w:val="center"/>
            <w:hideMark/>
          </w:tcPr>
          <w:p w14:paraId="5FAB778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0.20 (-0.27, 0.46)</w:t>
            </w:r>
          </w:p>
        </w:tc>
        <w:tc>
          <w:tcPr>
            <w:tcW w:w="1350" w:type="dxa"/>
            <w:tcBorders>
              <w:top w:val="nil"/>
              <w:left w:val="nil"/>
              <w:bottom w:val="nil"/>
              <w:right w:val="nil"/>
            </w:tcBorders>
            <w:shd w:val="clear" w:color="000000" w:fill="FFFFFF"/>
            <w:noWrap/>
            <w:vAlign w:val="center"/>
            <w:hideMark/>
          </w:tcPr>
          <w:p w14:paraId="5014FDF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122 (87, 158)</w:t>
            </w:r>
          </w:p>
        </w:tc>
        <w:tc>
          <w:tcPr>
            <w:tcW w:w="2160" w:type="dxa"/>
            <w:tcBorders>
              <w:top w:val="nil"/>
              <w:left w:val="nil"/>
              <w:bottom w:val="nil"/>
              <w:right w:val="nil"/>
            </w:tcBorders>
            <w:shd w:val="clear" w:color="000000" w:fill="FFFFFF"/>
            <w:noWrap/>
            <w:vAlign w:val="center"/>
            <w:hideMark/>
          </w:tcPr>
          <w:p w14:paraId="5060902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0.40 (0.28, 0.51)</w:t>
            </w:r>
          </w:p>
        </w:tc>
      </w:tr>
      <w:tr w:rsidR="00CD340B" w:rsidRPr="00CD340B" w14:paraId="65C99087" w14:textId="77777777" w:rsidTr="00CD340B">
        <w:trPr>
          <w:trHeight w:val="300"/>
        </w:trPr>
        <w:tc>
          <w:tcPr>
            <w:tcW w:w="4243" w:type="dxa"/>
            <w:tcBorders>
              <w:top w:val="nil"/>
              <w:left w:val="nil"/>
              <w:bottom w:val="nil"/>
              <w:right w:val="nil"/>
            </w:tcBorders>
            <w:shd w:val="clear" w:color="000000" w:fill="FFFFFF"/>
            <w:noWrap/>
            <w:vAlign w:val="center"/>
            <w:hideMark/>
          </w:tcPr>
          <w:p w14:paraId="6773ED63"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6566EDE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2.96 (1.73, 4.45)</w:t>
            </w:r>
          </w:p>
        </w:tc>
        <w:tc>
          <w:tcPr>
            <w:tcW w:w="1530" w:type="dxa"/>
            <w:tcBorders>
              <w:top w:val="nil"/>
              <w:left w:val="nil"/>
              <w:bottom w:val="nil"/>
              <w:right w:val="nil"/>
            </w:tcBorders>
            <w:shd w:val="clear" w:color="000000" w:fill="FFFFFF"/>
            <w:noWrap/>
            <w:vAlign w:val="center"/>
            <w:hideMark/>
          </w:tcPr>
          <w:p w14:paraId="38C1387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0.21 (-0.12, 0.44)</w:t>
            </w:r>
          </w:p>
        </w:tc>
        <w:tc>
          <w:tcPr>
            <w:tcW w:w="1350" w:type="dxa"/>
            <w:tcBorders>
              <w:top w:val="nil"/>
              <w:left w:val="nil"/>
              <w:bottom w:val="nil"/>
              <w:right w:val="nil"/>
            </w:tcBorders>
            <w:shd w:val="clear" w:color="000000" w:fill="FFFFFF"/>
            <w:noWrap/>
            <w:vAlign w:val="center"/>
            <w:hideMark/>
          </w:tcPr>
          <w:p w14:paraId="67A10C7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143 (116, 182)</w:t>
            </w:r>
          </w:p>
        </w:tc>
        <w:tc>
          <w:tcPr>
            <w:tcW w:w="2160" w:type="dxa"/>
            <w:tcBorders>
              <w:top w:val="nil"/>
              <w:left w:val="nil"/>
              <w:bottom w:val="nil"/>
              <w:right w:val="nil"/>
            </w:tcBorders>
            <w:shd w:val="clear" w:color="000000" w:fill="FFFFFF"/>
            <w:noWrap/>
            <w:vAlign w:val="center"/>
            <w:hideMark/>
          </w:tcPr>
          <w:p w14:paraId="28692BF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0.38 (0.29, 0.48)</w:t>
            </w:r>
          </w:p>
        </w:tc>
      </w:tr>
      <w:tr w:rsidR="00CD340B" w:rsidRPr="00CD340B" w14:paraId="6C3A3985" w14:textId="77777777" w:rsidTr="00CD340B">
        <w:trPr>
          <w:trHeight w:val="300"/>
        </w:trPr>
        <w:tc>
          <w:tcPr>
            <w:tcW w:w="4243" w:type="dxa"/>
            <w:tcBorders>
              <w:top w:val="nil"/>
              <w:left w:val="nil"/>
              <w:bottom w:val="nil"/>
              <w:right w:val="nil"/>
            </w:tcBorders>
            <w:shd w:val="clear" w:color="000000" w:fill="FFFFFF"/>
            <w:noWrap/>
            <w:vAlign w:val="center"/>
            <w:hideMark/>
          </w:tcPr>
          <w:p w14:paraId="00BA826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0E2990D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2.90 (1.64, 4.51)</w:t>
            </w:r>
          </w:p>
        </w:tc>
        <w:tc>
          <w:tcPr>
            <w:tcW w:w="1530" w:type="dxa"/>
            <w:tcBorders>
              <w:top w:val="nil"/>
              <w:left w:val="nil"/>
              <w:bottom w:val="nil"/>
              <w:right w:val="nil"/>
            </w:tcBorders>
            <w:shd w:val="clear" w:color="000000" w:fill="FFFFFF"/>
            <w:noWrap/>
            <w:vAlign w:val="center"/>
            <w:hideMark/>
          </w:tcPr>
          <w:p w14:paraId="6BA5953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0.22 (-0.22, 0.48)</w:t>
            </w:r>
          </w:p>
        </w:tc>
        <w:tc>
          <w:tcPr>
            <w:tcW w:w="1350" w:type="dxa"/>
            <w:tcBorders>
              <w:top w:val="nil"/>
              <w:left w:val="nil"/>
              <w:bottom w:val="nil"/>
              <w:right w:val="nil"/>
            </w:tcBorders>
            <w:shd w:val="clear" w:color="000000" w:fill="FFFFFF"/>
            <w:noWrap/>
            <w:vAlign w:val="center"/>
            <w:hideMark/>
          </w:tcPr>
          <w:p w14:paraId="4A5B3F68"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172 (124, 221)</w:t>
            </w:r>
          </w:p>
        </w:tc>
        <w:tc>
          <w:tcPr>
            <w:tcW w:w="2160" w:type="dxa"/>
            <w:tcBorders>
              <w:top w:val="nil"/>
              <w:left w:val="nil"/>
              <w:bottom w:val="nil"/>
              <w:right w:val="nil"/>
            </w:tcBorders>
            <w:shd w:val="clear" w:color="000000" w:fill="FFFFFF"/>
            <w:noWrap/>
            <w:vAlign w:val="center"/>
            <w:hideMark/>
          </w:tcPr>
          <w:p w14:paraId="299C4CC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0.37 (0.27, 0.48)</w:t>
            </w:r>
          </w:p>
        </w:tc>
      </w:tr>
      <w:tr w:rsidR="00CD340B" w:rsidRPr="00CD340B" w14:paraId="6F9C2CD0" w14:textId="77777777" w:rsidTr="00CD340B">
        <w:trPr>
          <w:trHeight w:val="300"/>
        </w:trPr>
        <w:tc>
          <w:tcPr>
            <w:tcW w:w="4243" w:type="dxa"/>
            <w:tcBorders>
              <w:top w:val="nil"/>
              <w:left w:val="nil"/>
              <w:bottom w:val="nil"/>
              <w:right w:val="nil"/>
            </w:tcBorders>
            <w:shd w:val="clear" w:color="000000" w:fill="FFFFFF"/>
            <w:noWrap/>
            <w:vAlign w:val="center"/>
            <w:hideMark/>
          </w:tcPr>
          <w:p w14:paraId="10BD8B3F"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5293A0F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2.90 (1.63, 4.40)</w:t>
            </w:r>
          </w:p>
        </w:tc>
        <w:tc>
          <w:tcPr>
            <w:tcW w:w="1530" w:type="dxa"/>
            <w:tcBorders>
              <w:top w:val="nil"/>
              <w:left w:val="nil"/>
              <w:bottom w:val="nil"/>
              <w:right w:val="nil"/>
            </w:tcBorders>
            <w:shd w:val="clear" w:color="000000" w:fill="FFFFFF"/>
            <w:noWrap/>
            <w:vAlign w:val="center"/>
            <w:hideMark/>
          </w:tcPr>
          <w:p w14:paraId="0492FC9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0.16 (-0.15, 0.50)</w:t>
            </w:r>
          </w:p>
        </w:tc>
        <w:tc>
          <w:tcPr>
            <w:tcW w:w="1350" w:type="dxa"/>
            <w:tcBorders>
              <w:top w:val="nil"/>
              <w:left w:val="nil"/>
              <w:bottom w:val="nil"/>
              <w:right w:val="nil"/>
            </w:tcBorders>
            <w:shd w:val="clear" w:color="000000" w:fill="FFFFFF"/>
            <w:noWrap/>
            <w:vAlign w:val="center"/>
            <w:hideMark/>
          </w:tcPr>
          <w:p w14:paraId="15F13D6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190 (148, 248)</w:t>
            </w:r>
          </w:p>
        </w:tc>
        <w:tc>
          <w:tcPr>
            <w:tcW w:w="2160" w:type="dxa"/>
            <w:tcBorders>
              <w:top w:val="nil"/>
              <w:left w:val="nil"/>
              <w:bottom w:val="nil"/>
              <w:right w:val="nil"/>
            </w:tcBorders>
            <w:shd w:val="clear" w:color="000000" w:fill="FFFFFF"/>
            <w:noWrap/>
            <w:vAlign w:val="center"/>
            <w:hideMark/>
          </w:tcPr>
          <w:p w14:paraId="62CD0DE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0.36 (0.28, 0.47)</w:t>
            </w:r>
          </w:p>
        </w:tc>
      </w:tr>
      <w:tr w:rsidR="00CD340B" w:rsidRPr="00CD340B" w14:paraId="00512187" w14:textId="77777777" w:rsidTr="00CD340B">
        <w:trPr>
          <w:trHeight w:val="300"/>
        </w:trPr>
        <w:tc>
          <w:tcPr>
            <w:tcW w:w="4243" w:type="dxa"/>
            <w:tcBorders>
              <w:top w:val="nil"/>
              <w:left w:val="nil"/>
              <w:bottom w:val="nil"/>
              <w:right w:val="nil"/>
            </w:tcBorders>
            <w:shd w:val="clear" w:color="000000" w:fill="FFFFFF"/>
            <w:noWrap/>
            <w:vAlign w:val="center"/>
            <w:hideMark/>
          </w:tcPr>
          <w:p w14:paraId="5570211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49B2878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2.47 (1.02, 3.93)</w:t>
            </w:r>
          </w:p>
        </w:tc>
        <w:tc>
          <w:tcPr>
            <w:tcW w:w="1530" w:type="dxa"/>
            <w:tcBorders>
              <w:top w:val="nil"/>
              <w:left w:val="nil"/>
              <w:bottom w:val="nil"/>
              <w:right w:val="nil"/>
            </w:tcBorders>
            <w:shd w:val="clear" w:color="000000" w:fill="FFFFFF"/>
            <w:noWrap/>
            <w:vAlign w:val="center"/>
            <w:hideMark/>
          </w:tcPr>
          <w:p w14:paraId="6106693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0.29 (-0.08, 0.50)</w:t>
            </w:r>
          </w:p>
        </w:tc>
        <w:tc>
          <w:tcPr>
            <w:tcW w:w="1350" w:type="dxa"/>
            <w:tcBorders>
              <w:top w:val="nil"/>
              <w:left w:val="nil"/>
              <w:bottom w:val="nil"/>
              <w:right w:val="nil"/>
            </w:tcBorders>
            <w:shd w:val="clear" w:color="000000" w:fill="FFFFFF"/>
            <w:noWrap/>
            <w:vAlign w:val="center"/>
            <w:hideMark/>
          </w:tcPr>
          <w:p w14:paraId="4E00142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190 (140, 259)</w:t>
            </w:r>
          </w:p>
        </w:tc>
        <w:tc>
          <w:tcPr>
            <w:tcW w:w="2160" w:type="dxa"/>
            <w:tcBorders>
              <w:top w:val="nil"/>
              <w:left w:val="nil"/>
              <w:bottom w:val="nil"/>
              <w:right w:val="nil"/>
            </w:tcBorders>
            <w:shd w:val="clear" w:color="000000" w:fill="FFFFFF"/>
            <w:noWrap/>
            <w:vAlign w:val="center"/>
            <w:hideMark/>
          </w:tcPr>
          <w:p w14:paraId="7412624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0.33 (0.24, 0.45)</w:t>
            </w:r>
          </w:p>
        </w:tc>
      </w:tr>
      <w:tr w:rsidR="00CD340B" w:rsidRPr="00CD340B" w14:paraId="2E71754B" w14:textId="77777777" w:rsidTr="00CD340B">
        <w:trPr>
          <w:trHeight w:val="300"/>
        </w:trPr>
        <w:tc>
          <w:tcPr>
            <w:tcW w:w="4243" w:type="dxa"/>
            <w:tcBorders>
              <w:top w:val="nil"/>
              <w:left w:val="nil"/>
              <w:bottom w:val="nil"/>
              <w:right w:val="nil"/>
            </w:tcBorders>
            <w:shd w:val="clear" w:color="000000" w:fill="FFFFFF"/>
            <w:noWrap/>
            <w:vAlign w:val="center"/>
            <w:hideMark/>
          </w:tcPr>
          <w:p w14:paraId="437FE287"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1C222E83" w14:textId="26F82C3F" w:rsidR="00CD340B" w:rsidRPr="00CD340B" w:rsidRDefault="00CD340B" w:rsidP="00CD340B">
            <w:pPr>
              <w:rPr>
                <w:rFonts w:ascii="Helvetica Neue" w:hAnsi="Helvetica Neue"/>
                <w:sz w:val="18"/>
                <w:szCs w:val="18"/>
              </w:rPr>
            </w:pPr>
            <w:r w:rsidRPr="00CD340B">
              <w:rPr>
                <w:rFonts w:ascii="Helvetica Neue" w:hAnsi="Helvetica Neue"/>
                <w:sz w:val="18"/>
                <w:szCs w:val="18"/>
              </w:rPr>
              <w:t>2.69 (1.35, 4.4</w:t>
            </w:r>
            <w:r>
              <w:rPr>
                <w:rFonts w:ascii="Helvetica Neue" w:hAnsi="Helvetica Neue"/>
                <w:sz w:val="18"/>
                <w:szCs w:val="18"/>
              </w:rPr>
              <w:t>0</w:t>
            </w:r>
            <w:r w:rsidRPr="00CD340B">
              <w:rPr>
                <w:rFonts w:ascii="Helvetica Neue" w:hAnsi="Helvetica Neue"/>
                <w:sz w:val="18"/>
                <w:szCs w:val="18"/>
              </w:rPr>
              <w:t>)</w:t>
            </w:r>
          </w:p>
        </w:tc>
        <w:tc>
          <w:tcPr>
            <w:tcW w:w="1530" w:type="dxa"/>
            <w:tcBorders>
              <w:top w:val="nil"/>
              <w:left w:val="nil"/>
              <w:bottom w:val="nil"/>
              <w:right w:val="nil"/>
            </w:tcBorders>
            <w:shd w:val="clear" w:color="000000" w:fill="FFFFFF"/>
            <w:noWrap/>
            <w:vAlign w:val="center"/>
            <w:hideMark/>
          </w:tcPr>
          <w:p w14:paraId="665F14C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0.25 (-0.13, 0.54)</w:t>
            </w:r>
          </w:p>
        </w:tc>
        <w:tc>
          <w:tcPr>
            <w:tcW w:w="1350" w:type="dxa"/>
            <w:tcBorders>
              <w:top w:val="nil"/>
              <w:left w:val="nil"/>
              <w:bottom w:val="nil"/>
              <w:right w:val="nil"/>
            </w:tcBorders>
            <w:shd w:val="clear" w:color="000000" w:fill="FFFFFF"/>
            <w:noWrap/>
            <w:vAlign w:val="center"/>
            <w:hideMark/>
          </w:tcPr>
          <w:p w14:paraId="68AE0C08"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224 (163, 294)</w:t>
            </w:r>
          </w:p>
        </w:tc>
        <w:tc>
          <w:tcPr>
            <w:tcW w:w="2160" w:type="dxa"/>
            <w:tcBorders>
              <w:top w:val="nil"/>
              <w:left w:val="nil"/>
              <w:bottom w:val="nil"/>
              <w:right w:val="nil"/>
            </w:tcBorders>
            <w:shd w:val="clear" w:color="000000" w:fill="FFFFFF"/>
            <w:noWrap/>
            <w:vAlign w:val="center"/>
            <w:hideMark/>
          </w:tcPr>
          <w:p w14:paraId="78109001"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0.35 (0.25, 0.45)</w:t>
            </w:r>
          </w:p>
        </w:tc>
      </w:tr>
      <w:tr w:rsidR="00CD340B" w:rsidRPr="00CD340B" w14:paraId="6EFE2FAA" w14:textId="77777777" w:rsidTr="00CD340B">
        <w:trPr>
          <w:trHeight w:val="300"/>
        </w:trPr>
        <w:tc>
          <w:tcPr>
            <w:tcW w:w="4243" w:type="dxa"/>
            <w:tcBorders>
              <w:top w:val="nil"/>
              <w:left w:val="nil"/>
              <w:bottom w:val="nil"/>
              <w:right w:val="nil"/>
            </w:tcBorders>
            <w:shd w:val="clear" w:color="000000" w:fill="FFFFFF"/>
            <w:noWrap/>
            <w:vAlign w:val="center"/>
            <w:hideMark/>
          </w:tcPr>
          <w:p w14:paraId="51AD8CB2"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09FB695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2.55 (1.24, 3.98)</w:t>
            </w:r>
          </w:p>
        </w:tc>
        <w:tc>
          <w:tcPr>
            <w:tcW w:w="1530" w:type="dxa"/>
            <w:tcBorders>
              <w:top w:val="nil"/>
              <w:left w:val="nil"/>
              <w:bottom w:val="nil"/>
              <w:right w:val="nil"/>
            </w:tcBorders>
            <w:shd w:val="clear" w:color="000000" w:fill="FFFFFF"/>
            <w:noWrap/>
            <w:vAlign w:val="center"/>
            <w:hideMark/>
          </w:tcPr>
          <w:p w14:paraId="0D0454C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0.30 (-0.03, 0.51)</w:t>
            </w:r>
          </w:p>
        </w:tc>
        <w:tc>
          <w:tcPr>
            <w:tcW w:w="1350" w:type="dxa"/>
            <w:tcBorders>
              <w:top w:val="nil"/>
              <w:left w:val="nil"/>
              <w:bottom w:val="nil"/>
              <w:right w:val="nil"/>
            </w:tcBorders>
            <w:shd w:val="clear" w:color="000000" w:fill="FFFFFF"/>
            <w:noWrap/>
            <w:vAlign w:val="center"/>
            <w:hideMark/>
          </w:tcPr>
          <w:p w14:paraId="7A34C53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227 (174, 296)</w:t>
            </w:r>
          </w:p>
        </w:tc>
        <w:tc>
          <w:tcPr>
            <w:tcW w:w="2160" w:type="dxa"/>
            <w:tcBorders>
              <w:top w:val="nil"/>
              <w:left w:val="nil"/>
              <w:bottom w:val="nil"/>
              <w:right w:val="nil"/>
            </w:tcBorders>
            <w:shd w:val="clear" w:color="000000" w:fill="FFFFFF"/>
            <w:noWrap/>
            <w:vAlign w:val="center"/>
            <w:hideMark/>
          </w:tcPr>
          <w:p w14:paraId="557E729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0.33 (0.26, 0.43)</w:t>
            </w:r>
          </w:p>
        </w:tc>
      </w:tr>
      <w:tr w:rsidR="00CD340B" w:rsidRPr="00CD340B" w14:paraId="3E6E3733" w14:textId="77777777" w:rsidTr="00CD340B">
        <w:trPr>
          <w:trHeight w:val="300"/>
        </w:trPr>
        <w:tc>
          <w:tcPr>
            <w:tcW w:w="4243" w:type="dxa"/>
            <w:tcBorders>
              <w:top w:val="nil"/>
              <w:left w:val="nil"/>
              <w:bottom w:val="nil"/>
              <w:right w:val="nil"/>
            </w:tcBorders>
            <w:shd w:val="clear" w:color="000000" w:fill="FFFFFF"/>
            <w:noWrap/>
            <w:vAlign w:val="center"/>
            <w:hideMark/>
          </w:tcPr>
          <w:p w14:paraId="28778ACA"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nil"/>
              <w:right w:val="nil"/>
            </w:tcBorders>
            <w:shd w:val="clear" w:color="000000" w:fill="FFFFFF"/>
            <w:noWrap/>
            <w:vAlign w:val="center"/>
            <w:hideMark/>
          </w:tcPr>
          <w:p w14:paraId="0D142EF1"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2.58 (1.32, 3.96)</w:t>
            </w:r>
          </w:p>
        </w:tc>
        <w:tc>
          <w:tcPr>
            <w:tcW w:w="1530" w:type="dxa"/>
            <w:tcBorders>
              <w:top w:val="nil"/>
              <w:left w:val="nil"/>
              <w:bottom w:val="nil"/>
              <w:right w:val="nil"/>
            </w:tcBorders>
            <w:shd w:val="clear" w:color="000000" w:fill="FFFFFF"/>
            <w:noWrap/>
            <w:vAlign w:val="center"/>
            <w:hideMark/>
          </w:tcPr>
          <w:p w14:paraId="5A5998E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0.25 (-0.04, 0.47)</w:t>
            </w:r>
          </w:p>
        </w:tc>
        <w:tc>
          <w:tcPr>
            <w:tcW w:w="1350" w:type="dxa"/>
            <w:tcBorders>
              <w:top w:val="nil"/>
              <w:left w:val="nil"/>
              <w:bottom w:val="nil"/>
              <w:right w:val="nil"/>
            </w:tcBorders>
            <w:shd w:val="clear" w:color="000000" w:fill="FFFFFF"/>
            <w:noWrap/>
            <w:vAlign w:val="center"/>
            <w:hideMark/>
          </w:tcPr>
          <w:p w14:paraId="3A4CEA4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256 (193, 319)</w:t>
            </w:r>
          </w:p>
        </w:tc>
        <w:tc>
          <w:tcPr>
            <w:tcW w:w="2160" w:type="dxa"/>
            <w:tcBorders>
              <w:top w:val="nil"/>
              <w:left w:val="nil"/>
              <w:bottom w:val="nil"/>
              <w:right w:val="nil"/>
            </w:tcBorders>
            <w:shd w:val="clear" w:color="000000" w:fill="FFFFFF"/>
            <w:noWrap/>
            <w:vAlign w:val="center"/>
            <w:hideMark/>
          </w:tcPr>
          <w:p w14:paraId="33C5983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0.35 (0.25, 0.45)</w:t>
            </w:r>
          </w:p>
        </w:tc>
      </w:tr>
      <w:tr w:rsidR="00CD340B" w:rsidRPr="00CD340B" w14:paraId="0FC250B8" w14:textId="77777777" w:rsidTr="00CD340B">
        <w:trPr>
          <w:trHeight w:val="300"/>
        </w:trPr>
        <w:tc>
          <w:tcPr>
            <w:tcW w:w="4243" w:type="dxa"/>
            <w:tcBorders>
              <w:top w:val="nil"/>
              <w:left w:val="nil"/>
              <w:bottom w:val="nil"/>
              <w:right w:val="nil"/>
            </w:tcBorders>
            <w:shd w:val="clear" w:color="000000" w:fill="FFFFFF"/>
            <w:noWrap/>
            <w:vAlign w:val="center"/>
            <w:hideMark/>
          </w:tcPr>
          <w:p w14:paraId="25486D9B"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Coverage for Index Patients (Provision to Casual Partners Only)*</w:t>
            </w:r>
          </w:p>
        </w:tc>
        <w:tc>
          <w:tcPr>
            <w:tcW w:w="1517" w:type="dxa"/>
            <w:tcBorders>
              <w:top w:val="nil"/>
              <w:left w:val="nil"/>
              <w:bottom w:val="nil"/>
              <w:right w:val="nil"/>
            </w:tcBorders>
            <w:shd w:val="clear" w:color="000000" w:fill="FFFFFF"/>
            <w:noWrap/>
            <w:vAlign w:val="center"/>
            <w:hideMark/>
          </w:tcPr>
          <w:p w14:paraId="66A1911F"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530" w:type="dxa"/>
            <w:tcBorders>
              <w:top w:val="nil"/>
              <w:left w:val="nil"/>
              <w:bottom w:val="nil"/>
              <w:right w:val="nil"/>
            </w:tcBorders>
            <w:shd w:val="clear" w:color="000000" w:fill="FFFFFF"/>
            <w:noWrap/>
            <w:vAlign w:val="center"/>
            <w:hideMark/>
          </w:tcPr>
          <w:p w14:paraId="5F494CD8"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350" w:type="dxa"/>
            <w:tcBorders>
              <w:top w:val="nil"/>
              <w:left w:val="nil"/>
              <w:bottom w:val="nil"/>
              <w:right w:val="nil"/>
            </w:tcBorders>
            <w:shd w:val="clear" w:color="000000" w:fill="FFFFFF"/>
            <w:noWrap/>
            <w:vAlign w:val="center"/>
            <w:hideMark/>
          </w:tcPr>
          <w:p w14:paraId="1A15DA9B"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2160" w:type="dxa"/>
            <w:tcBorders>
              <w:top w:val="nil"/>
              <w:left w:val="nil"/>
              <w:bottom w:val="nil"/>
              <w:right w:val="nil"/>
            </w:tcBorders>
            <w:shd w:val="clear" w:color="000000" w:fill="FFFFFF"/>
            <w:noWrap/>
            <w:vAlign w:val="center"/>
            <w:hideMark/>
          </w:tcPr>
          <w:p w14:paraId="53702182"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r>
      <w:tr w:rsidR="00CD340B" w:rsidRPr="00CD340B" w14:paraId="7C672CE7" w14:textId="77777777" w:rsidTr="00CD340B">
        <w:trPr>
          <w:trHeight w:val="300"/>
        </w:trPr>
        <w:tc>
          <w:tcPr>
            <w:tcW w:w="4243" w:type="dxa"/>
            <w:tcBorders>
              <w:top w:val="nil"/>
              <w:left w:val="nil"/>
              <w:bottom w:val="nil"/>
              <w:right w:val="nil"/>
            </w:tcBorders>
            <w:shd w:val="clear" w:color="000000" w:fill="FFFFFF"/>
            <w:noWrap/>
            <w:vAlign w:val="center"/>
            <w:hideMark/>
          </w:tcPr>
          <w:p w14:paraId="2C9F6A2D"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7AB9173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3.10 (1.78, 4.84)</w:t>
            </w:r>
          </w:p>
        </w:tc>
        <w:tc>
          <w:tcPr>
            <w:tcW w:w="1530" w:type="dxa"/>
            <w:tcBorders>
              <w:top w:val="nil"/>
              <w:left w:val="nil"/>
              <w:bottom w:val="nil"/>
              <w:right w:val="nil"/>
            </w:tcBorders>
            <w:shd w:val="clear" w:color="000000" w:fill="FFFFFF"/>
            <w:noWrap/>
            <w:vAlign w:val="center"/>
            <w:hideMark/>
          </w:tcPr>
          <w:p w14:paraId="29BB7A4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0.13 (-0.25, 0.49)</w:t>
            </w:r>
          </w:p>
        </w:tc>
        <w:tc>
          <w:tcPr>
            <w:tcW w:w="1350" w:type="dxa"/>
            <w:tcBorders>
              <w:top w:val="nil"/>
              <w:left w:val="nil"/>
              <w:bottom w:val="nil"/>
              <w:right w:val="nil"/>
            </w:tcBorders>
            <w:shd w:val="clear" w:color="000000" w:fill="FFFFFF"/>
            <w:noWrap/>
            <w:vAlign w:val="center"/>
            <w:hideMark/>
          </w:tcPr>
          <w:p w14:paraId="184F011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135 (97, 169)</w:t>
            </w:r>
          </w:p>
        </w:tc>
        <w:tc>
          <w:tcPr>
            <w:tcW w:w="2160" w:type="dxa"/>
            <w:tcBorders>
              <w:top w:val="nil"/>
              <w:left w:val="nil"/>
              <w:bottom w:val="nil"/>
              <w:right w:val="nil"/>
            </w:tcBorders>
            <w:shd w:val="clear" w:color="000000" w:fill="FFFFFF"/>
            <w:noWrap/>
            <w:vAlign w:val="center"/>
            <w:hideMark/>
          </w:tcPr>
          <w:p w14:paraId="29E9762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0.38 (0.27, 0.50)</w:t>
            </w:r>
          </w:p>
        </w:tc>
      </w:tr>
      <w:tr w:rsidR="00CD340B" w:rsidRPr="00CD340B" w14:paraId="539E7BE0" w14:textId="77777777" w:rsidTr="00CD340B">
        <w:trPr>
          <w:trHeight w:val="300"/>
        </w:trPr>
        <w:tc>
          <w:tcPr>
            <w:tcW w:w="4243" w:type="dxa"/>
            <w:tcBorders>
              <w:top w:val="nil"/>
              <w:left w:val="nil"/>
              <w:bottom w:val="nil"/>
              <w:right w:val="nil"/>
            </w:tcBorders>
            <w:shd w:val="clear" w:color="000000" w:fill="FFFFFF"/>
            <w:noWrap/>
            <w:vAlign w:val="center"/>
            <w:hideMark/>
          </w:tcPr>
          <w:p w14:paraId="1D329F9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3A213F7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2.25 (1.20, 3.85)</w:t>
            </w:r>
          </w:p>
        </w:tc>
        <w:tc>
          <w:tcPr>
            <w:tcW w:w="1530" w:type="dxa"/>
            <w:tcBorders>
              <w:top w:val="nil"/>
              <w:left w:val="nil"/>
              <w:bottom w:val="nil"/>
              <w:right w:val="nil"/>
            </w:tcBorders>
            <w:shd w:val="clear" w:color="000000" w:fill="FFFFFF"/>
            <w:noWrap/>
            <w:vAlign w:val="center"/>
            <w:hideMark/>
          </w:tcPr>
          <w:p w14:paraId="288DA43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0.23 (-0.03, 0.48)</w:t>
            </w:r>
          </w:p>
        </w:tc>
        <w:tc>
          <w:tcPr>
            <w:tcW w:w="1350" w:type="dxa"/>
            <w:tcBorders>
              <w:top w:val="nil"/>
              <w:left w:val="nil"/>
              <w:bottom w:val="nil"/>
              <w:right w:val="nil"/>
            </w:tcBorders>
            <w:shd w:val="clear" w:color="000000" w:fill="FFFFFF"/>
            <w:noWrap/>
            <w:vAlign w:val="center"/>
            <w:hideMark/>
          </w:tcPr>
          <w:p w14:paraId="5CE2550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222 (165, 283)</w:t>
            </w:r>
          </w:p>
        </w:tc>
        <w:tc>
          <w:tcPr>
            <w:tcW w:w="2160" w:type="dxa"/>
            <w:tcBorders>
              <w:top w:val="nil"/>
              <w:left w:val="nil"/>
              <w:bottom w:val="nil"/>
              <w:right w:val="nil"/>
            </w:tcBorders>
            <w:shd w:val="clear" w:color="000000" w:fill="FFFFFF"/>
            <w:noWrap/>
            <w:vAlign w:val="center"/>
            <w:hideMark/>
          </w:tcPr>
          <w:p w14:paraId="71E404F1"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0.34 (0.26, 0.45)</w:t>
            </w:r>
          </w:p>
        </w:tc>
      </w:tr>
      <w:tr w:rsidR="00CD340B" w:rsidRPr="00CD340B" w14:paraId="552D2655" w14:textId="77777777" w:rsidTr="00CD340B">
        <w:trPr>
          <w:trHeight w:val="300"/>
        </w:trPr>
        <w:tc>
          <w:tcPr>
            <w:tcW w:w="4243" w:type="dxa"/>
            <w:tcBorders>
              <w:top w:val="nil"/>
              <w:left w:val="nil"/>
              <w:bottom w:val="nil"/>
              <w:right w:val="nil"/>
            </w:tcBorders>
            <w:shd w:val="clear" w:color="000000" w:fill="FFFFFF"/>
            <w:noWrap/>
            <w:vAlign w:val="center"/>
            <w:hideMark/>
          </w:tcPr>
          <w:p w14:paraId="020310A1"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4AA1923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1.89 (0.88, 3.24)</w:t>
            </w:r>
          </w:p>
        </w:tc>
        <w:tc>
          <w:tcPr>
            <w:tcW w:w="1530" w:type="dxa"/>
            <w:tcBorders>
              <w:top w:val="nil"/>
              <w:left w:val="nil"/>
              <w:bottom w:val="nil"/>
              <w:right w:val="nil"/>
            </w:tcBorders>
            <w:shd w:val="clear" w:color="000000" w:fill="FFFFFF"/>
            <w:noWrap/>
            <w:vAlign w:val="center"/>
            <w:hideMark/>
          </w:tcPr>
          <w:p w14:paraId="3372CB0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0.33 (0.05, 0.55)</w:t>
            </w:r>
          </w:p>
        </w:tc>
        <w:tc>
          <w:tcPr>
            <w:tcW w:w="1350" w:type="dxa"/>
            <w:tcBorders>
              <w:top w:val="nil"/>
              <w:left w:val="nil"/>
              <w:bottom w:val="nil"/>
              <w:right w:val="nil"/>
            </w:tcBorders>
            <w:shd w:val="clear" w:color="000000" w:fill="FFFFFF"/>
            <w:noWrap/>
            <w:vAlign w:val="center"/>
            <w:hideMark/>
          </w:tcPr>
          <w:p w14:paraId="55E4B3B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281 (204, 369)</w:t>
            </w:r>
          </w:p>
        </w:tc>
        <w:tc>
          <w:tcPr>
            <w:tcW w:w="2160" w:type="dxa"/>
            <w:tcBorders>
              <w:top w:val="nil"/>
              <w:left w:val="nil"/>
              <w:bottom w:val="nil"/>
              <w:right w:val="nil"/>
            </w:tcBorders>
            <w:shd w:val="clear" w:color="000000" w:fill="FFFFFF"/>
            <w:noWrap/>
            <w:vAlign w:val="center"/>
            <w:hideMark/>
          </w:tcPr>
          <w:p w14:paraId="41CF9FA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0.31 (0.23, 0.42)</w:t>
            </w:r>
          </w:p>
        </w:tc>
      </w:tr>
      <w:tr w:rsidR="00CD340B" w:rsidRPr="00CD340B" w14:paraId="40192DA0" w14:textId="77777777" w:rsidTr="00CD340B">
        <w:trPr>
          <w:trHeight w:val="300"/>
        </w:trPr>
        <w:tc>
          <w:tcPr>
            <w:tcW w:w="4243" w:type="dxa"/>
            <w:tcBorders>
              <w:top w:val="nil"/>
              <w:left w:val="nil"/>
              <w:bottom w:val="nil"/>
              <w:right w:val="nil"/>
            </w:tcBorders>
            <w:shd w:val="clear" w:color="000000" w:fill="FFFFFF"/>
            <w:noWrap/>
            <w:vAlign w:val="center"/>
            <w:hideMark/>
          </w:tcPr>
          <w:p w14:paraId="40246219"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4ED41D0B"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1.52 (0.69, 2.75)</w:t>
            </w:r>
          </w:p>
        </w:tc>
        <w:tc>
          <w:tcPr>
            <w:tcW w:w="1530" w:type="dxa"/>
            <w:tcBorders>
              <w:top w:val="nil"/>
              <w:left w:val="nil"/>
              <w:bottom w:val="nil"/>
              <w:right w:val="nil"/>
            </w:tcBorders>
            <w:shd w:val="clear" w:color="000000" w:fill="FFFFFF"/>
            <w:noWrap/>
            <w:vAlign w:val="center"/>
            <w:hideMark/>
          </w:tcPr>
          <w:p w14:paraId="3A6AFF2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0.41 (0.15, 0.58)</w:t>
            </w:r>
          </w:p>
        </w:tc>
        <w:tc>
          <w:tcPr>
            <w:tcW w:w="1350" w:type="dxa"/>
            <w:tcBorders>
              <w:top w:val="nil"/>
              <w:left w:val="nil"/>
              <w:bottom w:val="nil"/>
              <w:right w:val="nil"/>
            </w:tcBorders>
            <w:shd w:val="clear" w:color="000000" w:fill="FFFFFF"/>
            <w:noWrap/>
            <w:vAlign w:val="center"/>
            <w:hideMark/>
          </w:tcPr>
          <w:p w14:paraId="35CBFC1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310 (253, 402)</w:t>
            </w:r>
          </w:p>
        </w:tc>
        <w:tc>
          <w:tcPr>
            <w:tcW w:w="2160" w:type="dxa"/>
            <w:tcBorders>
              <w:top w:val="nil"/>
              <w:left w:val="nil"/>
              <w:bottom w:val="nil"/>
              <w:right w:val="nil"/>
            </w:tcBorders>
            <w:shd w:val="clear" w:color="000000" w:fill="FFFFFF"/>
            <w:noWrap/>
            <w:vAlign w:val="center"/>
            <w:hideMark/>
          </w:tcPr>
          <w:p w14:paraId="6D931F0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0.27 (0.22, 0.36)</w:t>
            </w:r>
          </w:p>
        </w:tc>
      </w:tr>
      <w:tr w:rsidR="00CD340B" w:rsidRPr="00CD340B" w14:paraId="1FF6EEC0" w14:textId="77777777" w:rsidTr="00CD340B">
        <w:trPr>
          <w:trHeight w:val="300"/>
        </w:trPr>
        <w:tc>
          <w:tcPr>
            <w:tcW w:w="4243" w:type="dxa"/>
            <w:tcBorders>
              <w:top w:val="nil"/>
              <w:left w:val="nil"/>
              <w:bottom w:val="nil"/>
              <w:right w:val="nil"/>
            </w:tcBorders>
            <w:shd w:val="clear" w:color="000000" w:fill="FFFFFF"/>
            <w:noWrap/>
            <w:vAlign w:val="center"/>
            <w:hideMark/>
          </w:tcPr>
          <w:p w14:paraId="20F818E3"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68DF740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1.61 (0.69, 2.54)</w:t>
            </w:r>
          </w:p>
        </w:tc>
        <w:tc>
          <w:tcPr>
            <w:tcW w:w="1530" w:type="dxa"/>
            <w:tcBorders>
              <w:top w:val="nil"/>
              <w:left w:val="nil"/>
              <w:bottom w:val="nil"/>
              <w:right w:val="nil"/>
            </w:tcBorders>
            <w:shd w:val="clear" w:color="000000" w:fill="FFFFFF"/>
            <w:noWrap/>
            <w:vAlign w:val="center"/>
            <w:hideMark/>
          </w:tcPr>
          <w:p w14:paraId="5F745B1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0.39 (0.14, 0.58)</w:t>
            </w:r>
          </w:p>
        </w:tc>
        <w:tc>
          <w:tcPr>
            <w:tcW w:w="1350" w:type="dxa"/>
            <w:tcBorders>
              <w:top w:val="nil"/>
              <w:left w:val="nil"/>
              <w:bottom w:val="nil"/>
              <w:right w:val="nil"/>
            </w:tcBorders>
            <w:shd w:val="clear" w:color="000000" w:fill="FFFFFF"/>
            <w:noWrap/>
            <w:vAlign w:val="center"/>
            <w:hideMark/>
          </w:tcPr>
          <w:p w14:paraId="0DD81E1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385 (280, 500)</w:t>
            </w:r>
          </w:p>
        </w:tc>
        <w:tc>
          <w:tcPr>
            <w:tcW w:w="2160" w:type="dxa"/>
            <w:tcBorders>
              <w:top w:val="nil"/>
              <w:left w:val="nil"/>
              <w:bottom w:val="nil"/>
              <w:right w:val="nil"/>
            </w:tcBorders>
            <w:shd w:val="clear" w:color="000000" w:fill="FFFFFF"/>
            <w:noWrap/>
            <w:vAlign w:val="center"/>
            <w:hideMark/>
          </w:tcPr>
          <w:p w14:paraId="3706EE7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0.28 (0.21, 0.38)</w:t>
            </w:r>
          </w:p>
        </w:tc>
      </w:tr>
      <w:tr w:rsidR="00CD340B" w:rsidRPr="00CD340B" w14:paraId="21AA1706" w14:textId="77777777" w:rsidTr="00CD340B">
        <w:trPr>
          <w:trHeight w:val="300"/>
        </w:trPr>
        <w:tc>
          <w:tcPr>
            <w:tcW w:w="4243" w:type="dxa"/>
            <w:tcBorders>
              <w:top w:val="nil"/>
              <w:left w:val="nil"/>
              <w:bottom w:val="nil"/>
              <w:right w:val="nil"/>
            </w:tcBorders>
            <w:shd w:val="clear" w:color="000000" w:fill="FFFFFF"/>
            <w:noWrap/>
            <w:vAlign w:val="center"/>
            <w:hideMark/>
          </w:tcPr>
          <w:p w14:paraId="5F31F2F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1A430F4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1.05 (0.42, 2.16)</w:t>
            </w:r>
          </w:p>
        </w:tc>
        <w:tc>
          <w:tcPr>
            <w:tcW w:w="1530" w:type="dxa"/>
            <w:tcBorders>
              <w:top w:val="nil"/>
              <w:left w:val="nil"/>
              <w:bottom w:val="nil"/>
              <w:right w:val="nil"/>
            </w:tcBorders>
            <w:shd w:val="clear" w:color="000000" w:fill="FFFFFF"/>
            <w:noWrap/>
            <w:vAlign w:val="center"/>
            <w:hideMark/>
          </w:tcPr>
          <w:p w14:paraId="19ADE1F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0.44 (0.26, 0.62)</w:t>
            </w:r>
          </w:p>
        </w:tc>
        <w:tc>
          <w:tcPr>
            <w:tcW w:w="1350" w:type="dxa"/>
            <w:tcBorders>
              <w:top w:val="nil"/>
              <w:left w:val="nil"/>
              <w:bottom w:val="nil"/>
              <w:right w:val="nil"/>
            </w:tcBorders>
            <w:shd w:val="clear" w:color="000000" w:fill="FFFFFF"/>
            <w:noWrap/>
            <w:vAlign w:val="center"/>
            <w:hideMark/>
          </w:tcPr>
          <w:p w14:paraId="3EC1E1D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400 (301, 508)</w:t>
            </w:r>
          </w:p>
        </w:tc>
        <w:tc>
          <w:tcPr>
            <w:tcW w:w="2160" w:type="dxa"/>
            <w:tcBorders>
              <w:top w:val="nil"/>
              <w:left w:val="nil"/>
              <w:bottom w:val="nil"/>
              <w:right w:val="nil"/>
            </w:tcBorders>
            <w:shd w:val="clear" w:color="000000" w:fill="FFFFFF"/>
            <w:noWrap/>
            <w:vAlign w:val="center"/>
            <w:hideMark/>
          </w:tcPr>
          <w:p w14:paraId="2F03038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0.26 (0.19, 0.32)</w:t>
            </w:r>
          </w:p>
        </w:tc>
      </w:tr>
      <w:tr w:rsidR="00CD340B" w:rsidRPr="00CD340B" w14:paraId="6D1A76AB" w14:textId="77777777" w:rsidTr="00CD340B">
        <w:trPr>
          <w:trHeight w:val="300"/>
        </w:trPr>
        <w:tc>
          <w:tcPr>
            <w:tcW w:w="4243" w:type="dxa"/>
            <w:tcBorders>
              <w:top w:val="nil"/>
              <w:left w:val="nil"/>
              <w:bottom w:val="nil"/>
              <w:right w:val="nil"/>
            </w:tcBorders>
            <w:shd w:val="clear" w:color="000000" w:fill="FFFFFF"/>
            <w:noWrap/>
            <w:vAlign w:val="center"/>
            <w:hideMark/>
          </w:tcPr>
          <w:p w14:paraId="15420CA3"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21EB795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1.11 (0.41, 2.08)</w:t>
            </w:r>
          </w:p>
        </w:tc>
        <w:tc>
          <w:tcPr>
            <w:tcW w:w="1530" w:type="dxa"/>
            <w:tcBorders>
              <w:top w:val="nil"/>
              <w:left w:val="nil"/>
              <w:bottom w:val="nil"/>
              <w:right w:val="nil"/>
            </w:tcBorders>
            <w:shd w:val="clear" w:color="000000" w:fill="FFFFFF"/>
            <w:noWrap/>
            <w:vAlign w:val="center"/>
            <w:hideMark/>
          </w:tcPr>
          <w:p w14:paraId="619A09C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0.47 (0.20, 0.63)</w:t>
            </w:r>
          </w:p>
        </w:tc>
        <w:tc>
          <w:tcPr>
            <w:tcW w:w="1350" w:type="dxa"/>
            <w:tcBorders>
              <w:top w:val="nil"/>
              <w:left w:val="nil"/>
              <w:bottom w:val="nil"/>
              <w:right w:val="nil"/>
            </w:tcBorders>
            <w:shd w:val="clear" w:color="000000" w:fill="FFFFFF"/>
            <w:noWrap/>
            <w:vAlign w:val="center"/>
            <w:hideMark/>
          </w:tcPr>
          <w:p w14:paraId="6D7683C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432 (326, 542)</w:t>
            </w:r>
          </w:p>
        </w:tc>
        <w:tc>
          <w:tcPr>
            <w:tcW w:w="2160" w:type="dxa"/>
            <w:tcBorders>
              <w:top w:val="nil"/>
              <w:left w:val="nil"/>
              <w:bottom w:val="nil"/>
              <w:right w:val="nil"/>
            </w:tcBorders>
            <w:shd w:val="clear" w:color="000000" w:fill="FFFFFF"/>
            <w:noWrap/>
            <w:vAlign w:val="center"/>
            <w:hideMark/>
          </w:tcPr>
          <w:p w14:paraId="76A9D9E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0.25 (0.19, 0.32)</w:t>
            </w:r>
          </w:p>
        </w:tc>
      </w:tr>
      <w:tr w:rsidR="00CD340B" w:rsidRPr="00CD340B" w14:paraId="204F7B85" w14:textId="77777777" w:rsidTr="00CD340B">
        <w:trPr>
          <w:trHeight w:val="300"/>
        </w:trPr>
        <w:tc>
          <w:tcPr>
            <w:tcW w:w="4243" w:type="dxa"/>
            <w:tcBorders>
              <w:top w:val="nil"/>
              <w:left w:val="nil"/>
              <w:bottom w:val="nil"/>
              <w:right w:val="nil"/>
            </w:tcBorders>
            <w:shd w:val="clear" w:color="000000" w:fill="FFFFFF"/>
            <w:noWrap/>
            <w:vAlign w:val="center"/>
            <w:hideMark/>
          </w:tcPr>
          <w:p w14:paraId="2B477E06"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70BA886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0.94 (0.26, 1.65)</w:t>
            </w:r>
          </w:p>
        </w:tc>
        <w:tc>
          <w:tcPr>
            <w:tcW w:w="1530" w:type="dxa"/>
            <w:tcBorders>
              <w:top w:val="nil"/>
              <w:left w:val="nil"/>
              <w:bottom w:val="nil"/>
              <w:right w:val="nil"/>
            </w:tcBorders>
            <w:shd w:val="clear" w:color="000000" w:fill="FFFFFF"/>
            <w:noWrap/>
            <w:vAlign w:val="center"/>
            <w:hideMark/>
          </w:tcPr>
          <w:p w14:paraId="3F103B5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0.51 (0.29, 0.67)</w:t>
            </w:r>
          </w:p>
        </w:tc>
        <w:tc>
          <w:tcPr>
            <w:tcW w:w="1350" w:type="dxa"/>
            <w:tcBorders>
              <w:top w:val="nil"/>
              <w:left w:val="nil"/>
              <w:bottom w:val="nil"/>
              <w:right w:val="nil"/>
            </w:tcBorders>
            <w:shd w:val="clear" w:color="000000" w:fill="FFFFFF"/>
            <w:noWrap/>
            <w:vAlign w:val="center"/>
            <w:hideMark/>
          </w:tcPr>
          <w:p w14:paraId="6CC1B47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434 (326, 546)</w:t>
            </w:r>
          </w:p>
        </w:tc>
        <w:tc>
          <w:tcPr>
            <w:tcW w:w="2160" w:type="dxa"/>
            <w:tcBorders>
              <w:top w:val="nil"/>
              <w:left w:val="nil"/>
              <w:bottom w:val="nil"/>
              <w:right w:val="nil"/>
            </w:tcBorders>
            <w:shd w:val="clear" w:color="000000" w:fill="FFFFFF"/>
            <w:noWrap/>
            <w:vAlign w:val="center"/>
            <w:hideMark/>
          </w:tcPr>
          <w:p w14:paraId="5E3487E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0.23 (0.17, 0.28)</w:t>
            </w:r>
          </w:p>
        </w:tc>
      </w:tr>
      <w:tr w:rsidR="00CD340B" w:rsidRPr="00CD340B" w14:paraId="59A44DEF" w14:textId="77777777" w:rsidTr="00CD340B">
        <w:trPr>
          <w:trHeight w:val="300"/>
        </w:trPr>
        <w:tc>
          <w:tcPr>
            <w:tcW w:w="4243" w:type="dxa"/>
            <w:tcBorders>
              <w:top w:val="nil"/>
              <w:left w:val="nil"/>
              <w:bottom w:val="nil"/>
              <w:right w:val="nil"/>
            </w:tcBorders>
            <w:shd w:val="clear" w:color="000000" w:fill="FFFFFF"/>
            <w:noWrap/>
            <w:vAlign w:val="center"/>
            <w:hideMark/>
          </w:tcPr>
          <w:p w14:paraId="244270CA"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23EDB63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1.13 (0.41, 1.90)</w:t>
            </w:r>
          </w:p>
        </w:tc>
        <w:tc>
          <w:tcPr>
            <w:tcW w:w="1530" w:type="dxa"/>
            <w:tcBorders>
              <w:top w:val="nil"/>
              <w:left w:val="nil"/>
              <w:bottom w:val="nil"/>
              <w:right w:val="nil"/>
            </w:tcBorders>
            <w:shd w:val="clear" w:color="000000" w:fill="FFFFFF"/>
            <w:noWrap/>
            <w:vAlign w:val="center"/>
            <w:hideMark/>
          </w:tcPr>
          <w:p w14:paraId="71737A9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0.49 (0.26, 0.66)</w:t>
            </w:r>
          </w:p>
        </w:tc>
        <w:tc>
          <w:tcPr>
            <w:tcW w:w="1350" w:type="dxa"/>
            <w:tcBorders>
              <w:top w:val="nil"/>
              <w:left w:val="nil"/>
              <w:bottom w:val="nil"/>
              <w:right w:val="nil"/>
            </w:tcBorders>
            <w:shd w:val="clear" w:color="000000" w:fill="FFFFFF"/>
            <w:noWrap/>
            <w:vAlign w:val="center"/>
            <w:hideMark/>
          </w:tcPr>
          <w:p w14:paraId="76322E2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482 (358, 626)</w:t>
            </w:r>
          </w:p>
        </w:tc>
        <w:tc>
          <w:tcPr>
            <w:tcW w:w="2160" w:type="dxa"/>
            <w:tcBorders>
              <w:top w:val="nil"/>
              <w:left w:val="nil"/>
              <w:bottom w:val="nil"/>
              <w:right w:val="nil"/>
            </w:tcBorders>
            <w:shd w:val="clear" w:color="000000" w:fill="FFFFFF"/>
            <w:noWrap/>
            <w:vAlign w:val="center"/>
            <w:hideMark/>
          </w:tcPr>
          <w:p w14:paraId="7E212C1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0.24 (0.18, 0.31)</w:t>
            </w:r>
          </w:p>
        </w:tc>
      </w:tr>
      <w:tr w:rsidR="00CD340B" w:rsidRPr="00CD340B" w14:paraId="0744F427" w14:textId="77777777" w:rsidTr="00CD340B">
        <w:trPr>
          <w:trHeight w:val="300"/>
        </w:trPr>
        <w:tc>
          <w:tcPr>
            <w:tcW w:w="4243" w:type="dxa"/>
            <w:tcBorders>
              <w:top w:val="nil"/>
              <w:left w:val="nil"/>
              <w:bottom w:val="nil"/>
              <w:right w:val="nil"/>
            </w:tcBorders>
            <w:shd w:val="clear" w:color="000000" w:fill="FFFFFF"/>
            <w:noWrap/>
            <w:vAlign w:val="center"/>
            <w:hideMark/>
          </w:tcPr>
          <w:p w14:paraId="0F4EA7DD"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nil"/>
              <w:right w:val="nil"/>
            </w:tcBorders>
            <w:shd w:val="clear" w:color="000000" w:fill="FFFFFF"/>
            <w:noWrap/>
            <w:vAlign w:val="center"/>
            <w:hideMark/>
          </w:tcPr>
          <w:p w14:paraId="578A7B3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0.97 (0.38, 1.82)</w:t>
            </w:r>
          </w:p>
        </w:tc>
        <w:tc>
          <w:tcPr>
            <w:tcW w:w="1530" w:type="dxa"/>
            <w:tcBorders>
              <w:top w:val="nil"/>
              <w:left w:val="nil"/>
              <w:bottom w:val="nil"/>
              <w:right w:val="nil"/>
            </w:tcBorders>
            <w:shd w:val="clear" w:color="000000" w:fill="FFFFFF"/>
            <w:noWrap/>
            <w:vAlign w:val="center"/>
            <w:hideMark/>
          </w:tcPr>
          <w:p w14:paraId="76A4B93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0.51 (0.28, 0.66)</w:t>
            </w:r>
          </w:p>
        </w:tc>
        <w:tc>
          <w:tcPr>
            <w:tcW w:w="1350" w:type="dxa"/>
            <w:tcBorders>
              <w:top w:val="nil"/>
              <w:left w:val="nil"/>
              <w:bottom w:val="nil"/>
              <w:right w:val="nil"/>
            </w:tcBorders>
            <w:shd w:val="clear" w:color="000000" w:fill="FFFFFF"/>
            <w:noWrap/>
            <w:vAlign w:val="center"/>
            <w:hideMark/>
          </w:tcPr>
          <w:p w14:paraId="2862C94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504 (391, 648)</w:t>
            </w:r>
          </w:p>
        </w:tc>
        <w:tc>
          <w:tcPr>
            <w:tcW w:w="2160" w:type="dxa"/>
            <w:tcBorders>
              <w:top w:val="nil"/>
              <w:left w:val="nil"/>
              <w:bottom w:val="nil"/>
              <w:right w:val="nil"/>
            </w:tcBorders>
            <w:shd w:val="clear" w:color="000000" w:fill="FFFFFF"/>
            <w:noWrap/>
            <w:vAlign w:val="center"/>
            <w:hideMark/>
          </w:tcPr>
          <w:p w14:paraId="70D06F2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0.23 (0.18, 0.30)</w:t>
            </w:r>
          </w:p>
        </w:tc>
      </w:tr>
      <w:tr w:rsidR="00CD340B" w:rsidRPr="00CD340B" w14:paraId="11D468E9" w14:textId="77777777" w:rsidTr="00CD340B">
        <w:trPr>
          <w:trHeight w:val="300"/>
        </w:trPr>
        <w:tc>
          <w:tcPr>
            <w:tcW w:w="4243" w:type="dxa"/>
            <w:tcBorders>
              <w:top w:val="nil"/>
              <w:left w:val="nil"/>
              <w:bottom w:val="nil"/>
              <w:right w:val="nil"/>
            </w:tcBorders>
            <w:shd w:val="clear" w:color="000000" w:fill="FFFFFF"/>
            <w:noWrap/>
            <w:vAlign w:val="center"/>
            <w:hideMark/>
          </w:tcPr>
          <w:p w14:paraId="7B572CA5"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Coverage for Index Patients (Provision to One-Time Partners Only)*</w:t>
            </w:r>
          </w:p>
        </w:tc>
        <w:tc>
          <w:tcPr>
            <w:tcW w:w="1517" w:type="dxa"/>
            <w:tcBorders>
              <w:top w:val="nil"/>
              <w:left w:val="nil"/>
              <w:bottom w:val="nil"/>
              <w:right w:val="nil"/>
            </w:tcBorders>
            <w:shd w:val="clear" w:color="000000" w:fill="FFFFFF"/>
            <w:noWrap/>
            <w:vAlign w:val="center"/>
            <w:hideMark/>
          </w:tcPr>
          <w:p w14:paraId="5A58A3C9"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530" w:type="dxa"/>
            <w:tcBorders>
              <w:top w:val="nil"/>
              <w:left w:val="nil"/>
              <w:bottom w:val="nil"/>
              <w:right w:val="nil"/>
            </w:tcBorders>
            <w:shd w:val="clear" w:color="000000" w:fill="FFFFFF"/>
            <w:noWrap/>
            <w:vAlign w:val="center"/>
            <w:hideMark/>
          </w:tcPr>
          <w:p w14:paraId="15903AF3"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1350" w:type="dxa"/>
            <w:tcBorders>
              <w:top w:val="nil"/>
              <w:left w:val="nil"/>
              <w:bottom w:val="nil"/>
              <w:right w:val="nil"/>
            </w:tcBorders>
            <w:shd w:val="clear" w:color="000000" w:fill="FFFFFF"/>
            <w:noWrap/>
            <w:vAlign w:val="center"/>
            <w:hideMark/>
          </w:tcPr>
          <w:p w14:paraId="59324974"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c>
          <w:tcPr>
            <w:tcW w:w="2160" w:type="dxa"/>
            <w:tcBorders>
              <w:top w:val="nil"/>
              <w:left w:val="nil"/>
              <w:bottom w:val="nil"/>
              <w:right w:val="nil"/>
            </w:tcBorders>
            <w:shd w:val="clear" w:color="000000" w:fill="FFFFFF"/>
            <w:noWrap/>
            <w:vAlign w:val="center"/>
            <w:hideMark/>
          </w:tcPr>
          <w:p w14:paraId="7938C46C" w14:textId="77777777" w:rsidR="00CD340B" w:rsidRPr="00CD340B" w:rsidRDefault="00CD340B" w:rsidP="00CD340B">
            <w:pPr>
              <w:rPr>
                <w:rFonts w:ascii="Helvetica Neue" w:hAnsi="Helvetica Neue"/>
                <w:b/>
                <w:bCs/>
                <w:sz w:val="18"/>
                <w:szCs w:val="18"/>
              </w:rPr>
            </w:pPr>
            <w:r w:rsidRPr="00CD340B">
              <w:rPr>
                <w:rFonts w:ascii="Helvetica Neue" w:hAnsi="Helvetica Neue"/>
                <w:b/>
                <w:bCs/>
                <w:sz w:val="18"/>
                <w:szCs w:val="18"/>
              </w:rPr>
              <w:t> </w:t>
            </w:r>
          </w:p>
        </w:tc>
      </w:tr>
      <w:tr w:rsidR="00CD340B" w:rsidRPr="00CD340B" w14:paraId="6ABCF359" w14:textId="77777777" w:rsidTr="00CD340B">
        <w:trPr>
          <w:trHeight w:val="300"/>
        </w:trPr>
        <w:tc>
          <w:tcPr>
            <w:tcW w:w="4243" w:type="dxa"/>
            <w:tcBorders>
              <w:top w:val="nil"/>
              <w:left w:val="nil"/>
              <w:bottom w:val="nil"/>
              <w:right w:val="nil"/>
            </w:tcBorders>
            <w:shd w:val="clear" w:color="000000" w:fill="FFFFFF"/>
            <w:noWrap/>
            <w:vAlign w:val="center"/>
            <w:hideMark/>
          </w:tcPr>
          <w:p w14:paraId="1CC967EC"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75A481D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4.05 (2.28, 6.36)</w:t>
            </w:r>
          </w:p>
        </w:tc>
        <w:tc>
          <w:tcPr>
            <w:tcW w:w="1530" w:type="dxa"/>
            <w:tcBorders>
              <w:top w:val="nil"/>
              <w:left w:val="nil"/>
              <w:bottom w:val="nil"/>
              <w:right w:val="nil"/>
            </w:tcBorders>
            <w:shd w:val="clear" w:color="000000" w:fill="FFFFFF"/>
            <w:noWrap/>
            <w:vAlign w:val="center"/>
            <w:hideMark/>
          </w:tcPr>
          <w:p w14:paraId="43158B9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0.11 (-0.34, 0.36)</w:t>
            </w:r>
          </w:p>
        </w:tc>
        <w:tc>
          <w:tcPr>
            <w:tcW w:w="1350" w:type="dxa"/>
            <w:tcBorders>
              <w:top w:val="nil"/>
              <w:left w:val="nil"/>
              <w:bottom w:val="nil"/>
              <w:right w:val="nil"/>
            </w:tcBorders>
            <w:shd w:val="clear" w:color="000000" w:fill="FFFFFF"/>
            <w:noWrap/>
            <w:vAlign w:val="center"/>
            <w:hideMark/>
          </w:tcPr>
          <w:p w14:paraId="2C98F72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52 (36, 67)</w:t>
            </w:r>
          </w:p>
        </w:tc>
        <w:tc>
          <w:tcPr>
            <w:tcW w:w="2160" w:type="dxa"/>
            <w:tcBorders>
              <w:top w:val="nil"/>
              <w:left w:val="nil"/>
              <w:bottom w:val="nil"/>
              <w:right w:val="nil"/>
            </w:tcBorders>
            <w:shd w:val="clear" w:color="000000" w:fill="FFFFFF"/>
            <w:noWrap/>
            <w:vAlign w:val="center"/>
            <w:hideMark/>
          </w:tcPr>
          <w:p w14:paraId="034E37B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0.43 (0.31, 0.56)</w:t>
            </w:r>
          </w:p>
        </w:tc>
      </w:tr>
      <w:tr w:rsidR="00CD340B" w:rsidRPr="00CD340B" w14:paraId="0EA2286B" w14:textId="77777777" w:rsidTr="00CD340B">
        <w:trPr>
          <w:trHeight w:val="300"/>
        </w:trPr>
        <w:tc>
          <w:tcPr>
            <w:tcW w:w="4243" w:type="dxa"/>
            <w:tcBorders>
              <w:top w:val="nil"/>
              <w:left w:val="nil"/>
              <w:bottom w:val="nil"/>
              <w:right w:val="nil"/>
            </w:tcBorders>
            <w:shd w:val="clear" w:color="000000" w:fill="FFFFFF"/>
            <w:noWrap/>
            <w:vAlign w:val="center"/>
            <w:hideMark/>
          </w:tcPr>
          <w:p w14:paraId="6DD0852F"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73924379"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4.05 (2.58, 6.12)</w:t>
            </w:r>
          </w:p>
        </w:tc>
        <w:tc>
          <w:tcPr>
            <w:tcW w:w="1530" w:type="dxa"/>
            <w:tcBorders>
              <w:top w:val="nil"/>
              <w:left w:val="nil"/>
              <w:bottom w:val="nil"/>
              <w:right w:val="nil"/>
            </w:tcBorders>
            <w:shd w:val="clear" w:color="000000" w:fill="FFFFFF"/>
            <w:noWrap/>
            <w:vAlign w:val="center"/>
            <w:hideMark/>
          </w:tcPr>
          <w:p w14:paraId="4D336C4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0.06 (-0.41, 0.33)</w:t>
            </w:r>
          </w:p>
        </w:tc>
        <w:tc>
          <w:tcPr>
            <w:tcW w:w="1350" w:type="dxa"/>
            <w:tcBorders>
              <w:top w:val="nil"/>
              <w:left w:val="nil"/>
              <w:bottom w:val="nil"/>
              <w:right w:val="nil"/>
            </w:tcBorders>
            <w:shd w:val="clear" w:color="000000" w:fill="FFFFFF"/>
            <w:noWrap/>
            <w:vAlign w:val="center"/>
            <w:hideMark/>
          </w:tcPr>
          <w:p w14:paraId="48CD81E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99 (76, 130)</w:t>
            </w:r>
          </w:p>
        </w:tc>
        <w:tc>
          <w:tcPr>
            <w:tcW w:w="2160" w:type="dxa"/>
            <w:tcBorders>
              <w:top w:val="nil"/>
              <w:left w:val="nil"/>
              <w:bottom w:val="nil"/>
              <w:right w:val="nil"/>
            </w:tcBorders>
            <w:shd w:val="clear" w:color="000000" w:fill="FFFFFF"/>
            <w:noWrap/>
            <w:vAlign w:val="center"/>
            <w:hideMark/>
          </w:tcPr>
          <w:p w14:paraId="0EFCADBF"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0.45 (0.33, 0.57)</w:t>
            </w:r>
          </w:p>
        </w:tc>
      </w:tr>
      <w:tr w:rsidR="00CD340B" w:rsidRPr="00CD340B" w14:paraId="28AFA9ED" w14:textId="77777777" w:rsidTr="00CD340B">
        <w:trPr>
          <w:trHeight w:val="300"/>
        </w:trPr>
        <w:tc>
          <w:tcPr>
            <w:tcW w:w="4243" w:type="dxa"/>
            <w:tcBorders>
              <w:top w:val="nil"/>
              <w:left w:val="nil"/>
              <w:bottom w:val="nil"/>
              <w:right w:val="nil"/>
            </w:tcBorders>
            <w:shd w:val="clear" w:color="000000" w:fill="FFFFFF"/>
            <w:noWrap/>
            <w:vAlign w:val="center"/>
            <w:hideMark/>
          </w:tcPr>
          <w:p w14:paraId="7DF554E7"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47C71F6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3.98 (2.52, 5.61)</w:t>
            </w:r>
          </w:p>
        </w:tc>
        <w:tc>
          <w:tcPr>
            <w:tcW w:w="1530" w:type="dxa"/>
            <w:tcBorders>
              <w:top w:val="nil"/>
              <w:left w:val="nil"/>
              <w:bottom w:val="nil"/>
              <w:right w:val="nil"/>
            </w:tcBorders>
            <w:shd w:val="clear" w:color="000000" w:fill="FFFFFF"/>
            <w:noWrap/>
            <w:vAlign w:val="center"/>
            <w:hideMark/>
          </w:tcPr>
          <w:p w14:paraId="3D0D55A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0.10 (-0.33, 0.36)</w:t>
            </w:r>
          </w:p>
        </w:tc>
        <w:tc>
          <w:tcPr>
            <w:tcW w:w="1350" w:type="dxa"/>
            <w:tcBorders>
              <w:top w:val="nil"/>
              <w:left w:val="nil"/>
              <w:bottom w:val="nil"/>
              <w:right w:val="nil"/>
            </w:tcBorders>
            <w:shd w:val="clear" w:color="000000" w:fill="FFFFFF"/>
            <w:noWrap/>
            <w:vAlign w:val="center"/>
            <w:hideMark/>
          </w:tcPr>
          <w:p w14:paraId="439C360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130 (104, 164)</w:t>
            </w:r>
          </w:p>
        </w:tc>
        <w:tc>
          <w:tcPr>
            <w:tcW w:w="2160" w:type="dxa"/>
            <w:tcBorders>
              <w:top w:val="nil"/>
              <w:left w:val="nil"/>
              <w:bottom w:val="nil"/>
              <w:right w:val="nil"/>
            </w:tcBorders>
            <w:shd w:val="clear" w:color="000000" w:fill="FFFFFF"/>
            <w:noWrap/>
            <w:vAlign w:val="center"/>
            <w:hideMark/>
          </w:tcPr>
          <w:p w14:paraId="5AD140C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0.42 (0.33, 0.51)</w:t>
            </w:r>
          </w:p>
        </w:tc>
      </w:tr>
      <w:tr w:rsidR="00CD340B" w:rsidRPr="00CD340B" w14:paraId="65579F36" w14:textId="77777777" w:rsidTr="00CD340B">
        <w:trPr>
          <w:trHeight w:val="300"/>
        </w:trPr>
        <w:tc>
          <w:tcPr>
            <w:tcW w:w="4243" w:type="dxa"/>
            <w:tcBorders>
              <w:top w:val="nil"/>
              <w:left w:val="nil"/>
              <w:bottom w:val="nil"/>
              <w:right w:val="nil"/>
            </w:tcBorders>
            <w:shd w:val="clear" w:color="000000" w:fill="FFFFFF"/>
            <w:noWrap/>
            <w:vAlign w:val="center"/>
            <w:hideMark/>
          </w:tcPr>
          <w:p w14:paraId="7616BE70"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6194CA9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4.08 (2.45, 6.13)</w:t>
            </w:r>
          </w:p>
        </w:tc>
        <w:tc>
          <w:tcPr>
            <w:tcW w:w="1530" w:type="dxa"/>
            <w:tcBorders>
              <w:top w:val="nil"/>
              <w:left w:val="nil"/>
              <w:bottom w:val="nil"/>
              <w:right w:val="nil"/>
            </w:tcBorders>
            <w:shd w:val="clear" w:color="000000" w:fill="FFFFFF"/>
            <w:noWrap/>
            <w:vAlign w:val="center"/>
            <w:hideMark/>
          </w:tcPr>
          <w:p w14:paraId="242DFA06"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0.05 (-0.40, 0.35)</w:t>
            </w:r>
          </w:p>
        </w:tc>
        <w:tc>
          <w:tcPr>
            <w:tcW w:w="1350" w:type="dxa"/>
            <w:tcBorders>
              <w:top w:val="nil"/>
              <w:left w:val="nil"/>
              <w:bottom w:val="nil"/>
              <w:right w:val="nil"/>
            </w:tcBorders>
            <w:shd w:val="clear" w:color="000000" w:fill="FFFFFF"/>
            <w:noWrap/>
            <w:vAlign w:val="center"/>
            <w:hideMark/>
          </w:tcPr>
          <w:p w14:paraId="12DD7DDE"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174 (134, 221)</w:t>
            </w:r>
          </w:p>
        </w:tc>
        <w:tc>
          <w:tcPr>
            <w:tcW w:w="2160" w:type="dxa"/>
            <w:tcBorders>
              <w:top w:val="nil"/>
              <w:left w:val="nil"/>
              <w:bottom w:val="nil"/>
              <w:right w:val="nil"/>
            </w:tcBorders>
            <w:shd w:val="clear" w:color="000000" w:fill="FFFFFF"/>
            <w:noWrap/>
            <w:vAlign w:val="center"/>
            <w:hideMark/>
          </w:tcPr>
          <w:p w14:paraId="56325E4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0.43 (0.33, 0.56)</w:t>
            </w:r>
          </w:p>
        </w:tc>
      </w:tr>
      <w:tr w:rsidR="00CD340B" w:rsidRPr="00CD340B" w14:paraId="7899441E" w14:textId="77777777" w:rsidTr="00CD340B">
        <w:trPr>
          <w:trHeight w:val="300"/>
        </w:trPr>
        <w:tc>
          <w:tcPr>
            <w:tcW w:w="4243" w:type="dxa"/>
            <w:tcBorders>
              <w:top w:val="nil"/>
              <w:left w:val="nil"/>
              <w:bottom w:val="nil"/>
              <w:right w:val="nil"/>
            </w:tcBorders>
            <w:shd w:val="clear" w:color="000000" w:fill="FFFFFF"/>
            <w:noWrap/>
            <w:vAlign w:val="center"/>
            <w:hideMark/>
          </w:tcPr>
          <w:p w14:paraId="6D83B727"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71163984"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4.12 (2.21, 5.81)</w:t>
            </w:r>
          </w:p>
        </w:tc>
        <w:tc>
          <w:tcPr>
            <w:tcW w:w="1530" w:type="dxa"/>
            <w:tcBorders>
              <w:top w:val="nil"/>
              <w:left w:val="nil"/>
              <w:bottom w:val="nil"/>
              <w:right w:val="nil"/>
            </w:tcBorders>
            <w:shd w:val="clear" w:color="000000" w:fill="FFFFFF"/>
            <w:noWrap/>
            <w:vAlign w:val="center"/>
            <w:hideMark/>
          </w:tcPr>
          <w:p w14:paraId="7CA981F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0.05 (-0.26, 0.34)</w:t>
            </w:r>
          </w:p>
        </w:tc>
        <w:tc>
          <w:tcPr>
            <w:tcW w:w="1350" w:type="dxa"/>
            <w:tcBorders>
              <w:top w:val="nil"/>
              <w:left w:val="nil"/>
              <w:bottom w:val="nil"/>
              <w:right w:val="nil"/>
            </w:tcBorders>
            <w:shd w:val="clear" w:color="000000" w:fill="FFFFFF"/>
            <w:noWrap/>
            <w:vAlign w:val="center"/>
            <w:hideMark/>
          </w:tcPr>
          <w:p w14:paraId="0DEB3101"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212 (162, 264)</w:t>
            </w:r>
          </w:p>
        </w:tc>
        <w:tc>
          <w:tcPr>
            <w:tcW w:w="2160" w:type="dxa"/>
            <w:tcBorders>
              <w:top w:val="nil"/>
              <w:left w:val="nil"/>
              <w:bottom w:val="nil"/>
              <w:right w:val="nil"/>
            </w:tcBorders>
            <w:shd w:val="clear" w:color="000000" w:fill="FFFFFF"/>
            <w:noWrap/>
            <w:vAlign w:val="center"/>
            <w:hideMark/>
          </w:tcPr>
          <w:p w14:paraId="12C3B23B"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0.45 (0.33, 0.55)</w:t>
            </w:r>
          </w:p>
        </w:tc>
      </w:tr>
      <w:tr w:rsidR="00CD340B" w:rsidRPr="00CD340B" w14:paraId="36E8B9B9" w14:textId="77777777" w:rsidTr="00CD340B">
        <w:trPr>
          <w:trHeight w:val="300"/>
        </w:trPr>
        <w:tc>
          <w:tcPr>
            <w:tcW w:w="4243" w:type="dxa"/>
            <w:tcBorders>
              <w:top w:val="nil"/>
              <w:left w:val="nil"/>
              <w:bottom w:val="nil"/>
              <w:right w:val="nil"/>
            </w:tcBorders>
            <w:shd w:val="clear" w:color="000000" w:fill="FFFFFF"/>
            <w:noWrap/>
            <w:vAlign w:val="center"/>
            <w:hideMark/>
          </w:tcPr>
          <w:p w14:paraId="2AD72611"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1ADC14B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3.82 (2.00, 5.69)</w:t>
            </w:r>
          </w:p>
        </w:tc>
        <w:tc>
          <w:tcPr>
            <w:tcW w:w="1530" w:type="dxa"/>
            <w:tcBorders>
              <w:top w:val="nil"/>
              <w:left w:val="nil"/>
              <w:bottom w:val="nil"/>
              <w:right w:val="nil"/>
            </w:tcBorders>
            <w:shd w:val="clear" w:color="000000" w:fill="FFFFFF"/>
            <w:noWrap/>
            <w:vAlign w:val="center"/>
            <w:hideMark/>
          </w:tcPr>
          <w:p w14:paraId="0812C53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0.10 (-0.37, 0.36)</w:t>
            </w:r>
          </w:p>
        </w:tc>
        <w:tc>
          <w:tcPr>
            <w:tcW w:w="1350" w:type="dxa"/>
            <w:tcBorders>
              <w:top w:val="nil"/>
              <w:left w:val="nil"/>
              <w:bottom w:val="nil"/>
              <w:right w:val="nil"/>
            </w:tcBorders>
            <w:shd w:val="clear" w:color="000000" w:fill="FFFFFF"/>
            <w:noWrap/>
            <w:vAlign w:val="center"/>
            <w:hideMark/>
          </w:tcPr>
          <w:p w14:paraId="532371B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234 (178, 301)</w:t>
            </w:r>
          </w:p>
        </w:tc>
        <w:tc>
          <w:tcPr>
            <w:tcW w:w="2160" w:type="dxa"/>
            <w:tcBorders>
              <w:top w:val="nil"/>
              <w:left w:val="nil"/>
              <w:bottom w:val="nil"/>
              <w:right w:val="nil"/>
            </w:tcBorders>
            <w:shd w:val="clear" w:color="000000" w:fill="FFFFFF"/>
            <w:noWrap/>
            <w:vAlign w:val="center"/>
            <w:hideMark/>
          </w:tcPr>
          <w:p w14:paraId="11CE6AED"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0.42 (0.32, 0.54)</w:t>
            </w:r>
          </w:p>
        </w:tc>
      </w:tr>
      <w:tr w:rsidR="00CD340B" w:rsidRPr="00CD340B" w14:paraId="7F69EBB0" w14:textId="77777777" w:rsidTr="00CD340B">
        <w:trPr>
          <w:trHeight w:val="300"/>
        </w:trPr>
        <w:tc>
          <w:tcPr>
            <w:tcW w:w="4243" w:type="dxa"/>
            <w:tcBorders>
              <w:top w:val="nil"/>
              <w:left w:val="nil"/>
              <w:bottom w:val="nil"/>
              <w:right w:val="nil"/>
            </w:tcBorders>
            <w:shd w:val="clear" w:color="000000" w:fill="FFFFFF"/>
            <w:noWrap/>
            <w:vAlign w:val="center"/>
            <w:hideMark/>
          </w:tcPr>
          <w:p w14:paraId="1929CDD1"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73C99C12" w14:textId="7DA728A9" w:rsidR="00CD340B" w:rsidRPr="00CD340B" w:rsidRDefault="00CD340B" w:rsidP="00CD340B">
            <w:pPr>
              <w:rPr>
                <w:rFonts w:ascii="Helvetica Neue" w:hAnsi="Helvetica Neue"/>
                <w:sz w:val="18"/>
                <w:szCs w:val="18"/>
              </w:rPr>
            </w:pPr>
            <w:r w:rsidRPr="00CD340B">
              <w:rPr>
                <w:rFonts w:ascii="Helvetica Neue" w:hAnsi="Helvetica Neue"/>
                <w:sz w:val="18"/>
                <w:szCs w:val="18"/>
              </w:rPr>
              <w:t>4.29 (2.42, 5.8</w:t>
            </w:r>
            <w:r>
              <w:rPr>
                <w:rFonts w:ascii="Helvetica Neue" w:hAnsi="Helvetica Neue"/>
                <w:sz w:val="18"/>
                <w:szCs w:val="18"/>
              </w:rPr>
              <w:t>0</w:t>
            </w:r>
            <w:r w:rsidRPr="00CD340B">
              <w:rPr>
                <w:rFonts w:ascii="Helvetica Neue" w:hAnsi="Helvetica Neue"/>
                <w:sz w:val="18"/>
                <w:szCs w:val="18"/>
              </w:rPr>
              <w:t>)</w:t>
            </w:r>
          </w:p>
        </w:tc>
        <w:tc>
          <w:tcPr>
            <w:tcW w:w="1530" w:type="dxa"/>
            <w:tcBorders>
              <w:top w:val="nil"/>
              <w:left w:val="nil"/>
              <w:bottom w:val="nil"/>
              <w:right w:val="nil"/>
            </w:tcBorders>
            <w:shd w:val="clear" w:color="000000" w:fill="FFFFFF"/>
            <w:noWrap/>
            <w:vAlign w:val="center"/>
            <w:hideMark/>
          </w:tcPr>
          <w:p w14:paraId="187553E1"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0.04 (-0.30, 0.38)</w:t>
            </w:r>
          </w:p>
        </w:tc>
        <w:tc>
          <w:tcPr>
            <w:tcW w:w="1350" w:type="dxa"/>
            <w:tcBorders>
              <w:top w:val="nil"/>
              <w:left w:val="nil"/>
              <w:bottom w:val="nil"/>
              <w:right w:val="nil"/>
            </w:tcBorders>
            <w:shd w:val="clear" w:color="000000" w:fill="FFFFFF"/>
            <w:noWrap/>
            <w:vAlign w:val="center"/>
            <w:hideMark/>
          </w:tcPr>
          <w:p w14:paraId="681FA398"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269 (201, 337)</w:t>
            </w:r>
          </w:p>
        </w:tc>
        <w:tc>
          <w:tcPr>
            <w:tcW w:w="2160" w:type="dxa"/>
            <w:tcBorders>
              <w:top w:val="nil"/>
              <w:left w:val="nil"/>
              <w:bottom w:val="nil"/>
              <w:right w:val="nil"/>
            </w:tcBorders>
            <w:shd w:val="clear" w:color="000000" w:fill="FFFFFF"/>
            <w:noWrap/>
            <w:vAlign w:val="center"/>
            <w:hideMark/>
          </w:tcPr>
          <w:p w14:paraId="20D3FBA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0.45 (0.33, 0.55)</w:t>
            </w:r>
          </w:p>
        </w:tc>
      </w:tr>
      <w:tr w:rsidR="00CD340B" w:rsidRPr="00CD340B" w14:paraId="1F93621D" w14:textId="77777777" w:rsidTr="00CD340B">
        <w:trPr>
          <w:trHeight w:val="300"/>
        </w:trPr>
        <w:tc>
          <w:tcPr>
            <w:tcW w:w="4243" w:type="dxa"/>
            <w:tcBorders>
              <w:top w:val="nil"/>
              <w:left w:val="nil"/>
              <w:bottom w:val="nil"/>
              <w:right w:val="nil"/>
            </w:tcBorders>
            <w:shd w:val="clear" w:color="000000" w:fill="FFFFFF"/>
            <w:noWrap/>
            <w:vAlign w:val="center"/>
            <w:hideMark/>
          </w:tcPr>
          <w:p w14:paraId="1D83BDB8"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6211FC3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4.06 (2.28, 5.48)</w:t>
            </w:r>
          </w:p>
        </w:tc>
        <w:tc>
          <w:tcPr>
            <w:tcW w:w="1530" w:type="dxa"/>
            <w:tcBorders>
              <w:top w:val="nil"/>
              <w:left w:val="nil"/>
              <w:bottom w:val="nil"/>
              <w:right w:val="nil"/>
            </w:tcBorders>
            <w:shd w:val="clear" w:color="000000" w:fill="FFFFFF"/>
            <w:noWrap/>
            <w:vAlign w:val="center"/>
            <w:hideMark/>
          </w:tcPr>
          <w:p w14:paraId="6705583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0.14 (-0.27, 0.41)</w:t>
            </w:r>
          </w:p>
        </w:tc>
        <w:tc>
          <w:tcPr>
            <w:tcW w:w="1350" w:type="dxa"/>
            <w:tcBorders>
              <w:top w:val="nil"/>
              <w:left w:val="nil"/>
              <w:bottom w:val="nil"/>
              <w:right w:val="nil"/>
            </w:tcBorders>
            <w:shd w:val="clear" w:color="000000" w:fill="FFFFFF"/>
            <w:noWrap/>
            <w:vAlign w:val="center"/>
            <w:hideMark/>
          </w:tcPr>
          <w:p w14:paraId="5316237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280 (216, 345)</w:t>
            </w:r>
          </w:p>
        </w:tc>
        <w:tc>
          <w:tcPr>
            <w:tcW w:w="2160" w:type="dxa"/>
            <w:tcBorders>
              <w:top w:val="nil"/>
              <w:left w:val="nil"/>
              <w:bottom w:val="nil"/>
              <w:right w:val="nil"/>
            </w:tcBorders>
            <w:shd w:val="clear" w:color="000000" w:fill="FFFFFF"/>
            <w:noWrap/>
            <w:vAlign w:val="center"/>
            <w:hideMark/>
          </w:tcPr>
          <w:p w14:paraId="135ADB15"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0.41 (0.31, 0.52)</w:t>
            </w:r>
          </w:p>
        </w:tc>
      </w:tr>
      <w:tr w:rsidR="00CD340B" w:rsidRPr="00CD340B" w14:paraId="2CA566BB" w14:textId="77777777" w:rsidTr="00CD340B">
        <w:trPr>
          <w:trHeight w:val="300"/>
        </w:trPr>
        <w:tc>
          <w:tcPr>
            <w:tcW w:w="4243" w:type="dxa"/>
            <w:tcBorders>
              <w:top w:val="nil"/>
              <w:left w:val="nil"/>
              <w:bottom w:val="nil"/>
              <w:right w:val="nil"/>
            </w:tcBorders>
            <w:shd w:val="clear" w:color="000000" w:fill="FFFFFF"/>
            <w:noWrap/>
            <w:vAlign w:val="center"/>
            <w:hideMark/>
          </w:tcPr>
          <w:p w14:paraId="7427AFD3"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319121D2"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3.66 (1.99, 5.61)</w:t>
            </w:r>
          </w:p>
        </w:tc>
        <w:tc>
          <w:tcPr>
            <w:tcW w:w="1530" w:type="dxa"/>
            <w:tcBorders>
              <w:top w:val="nil"/>
              <w:left w:val="nil"/>
              <w:bottom w:val="nil"/>
              <w:right w:val="nil"/>
            </w:tcBorders>
            <w:shd w:val="clear" w:color="000000" w:fill="FFFFFF"/>
            <w:noWrap/>
            <w:vAlign w:val="center"/>
            <w:hideMark/>
          </w:tcPr>
          <w:p w14:paraId="27CB4BF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0.10 (-0.25, 0.38)</w:t>
            </w:r>
          </w:p>
        </w:tc>
        <w:tc>
          <w:tcPr>
            <w:tcW w:w="1350" w:type="dxa"/>
            <w:tcBorders>
              <w:top w:val="nil"/>
              <w:left w:val="nil"/>
              <w:bottom w:val="nil"/>
              <w:right w:val="nil"/>
            </w:tcBorders>
            <w:shd w:val="clear" w:color="000000" w:fill="FFFFFF"/>
            <w:noWrap/>
            <w:vAlign w:val="center"/>
            <w:hideMark/>
          </w:tcPr>
          <w:p w14:paraId="3D2EBC18"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296 (227, 388)</w:t>
            </w:r>
          </w:p>
        </w:tc>
        <w:tc>
          <w:tcPr>
            <w:tcW w:w="2160" w:type="dxa"/>
            <w:tcBorders>
              <w:top w:val="nil"/>
              <w:left w:val="nil"/>
              <w:bottom w:val="nil"/>
              <w:right w:val="nil"/>
            </w:tcBorders>
            <w:shd w:val="clear" w:color="000000" w:fill="FFFFFF"/>
            <w:noWrap/>
            <w:vAlign w:val="center"/>
            <w:hideMark/>
          </w:tcPr>
          <w:p w14:paraId="44F2AB60"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0.40 (0.31, 0.53)</w:t>
            </w:r>
          </w:p>
        </w:tc>
      </w:tr>
      <w:tr w:rsidR="00CD340B" w:rsidRPr="00CD340B" w14:paraId="0980C391" w14:textId="77777777" w:rsidTr="00CD340B">
        <w:trPr>
          <w:trHeight w:val="315"/>
        </w:trPr>
        <w:tc>
          <w:tcPr>
            <w:tcW w:w="4243" w:type="dxa"/>
            <w:tcBorders>
              <w:top w:val="nil"/>
              <w:left w:val="nil"/>
              <w:bottom w:val="double" w:sz="6" w:space="0" w:color="auto"/>
              <w:right w:val="nil"/>
            </w:tcBorders>
            <w:shd w:val="clear" w:color="000000" w:fill="FFFFFF"/>
            <w:noWrap/>
            <w:vAlign w:val="center"/>
            <w:hideMark/>
          </w:tcPr>
          <w:p w14:paraId="6062DA24" w14:textId="77777777" w:rsidR="00CD340B" w:rsidRPr="00CD340B" w:rsidRDefault="00CD340B" w:rsidP="00CD340B">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double" w:sz="6" w:space="0" w:color="auto"/>
              <w:right w:val="nil"/>
            </w:tcBorders>
            <w:shd w:val="clear" w:color="000000" w:fill="FFFFFF"/>
            <w:noWrap/>
            <w:vAlign w:val="center"/>
            <w:hideMark/>
          </w:tcPr>
          <w:p w14:paraId="4B57787C"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3.53 (2.02, 5.56)</w:t>
            </w:r>
          </w:p>
        </w:tc>
        <w:tc>
          <w:tcPr>
            <w:tcW w:w="1530" w:type="dxa"/>
            <w:tcBorders>
              <w:top w:val="nil"/>
              <w:left w:val="nil"/>
              <w:bottom w:val="double" w:sz="6" w:space="0" w:color="auto"/>
              <w:right w:val="nil"/>
            </w:tcBorders>
            <w:shd w:val="clear" w:color="000000" w:fill="FFFFFF"/>
            <w:noWrap/>
            <w:vAlign w:val="center"/>
            <w:hideMark/>
          </w:tcPr>
          <w:p w14:paraId="75B60BFA"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0.10 (-0.25, 0.37)</w:t>
            </w:r>
          </w:p>
        </w:tc>
        <w:tc>
          <w:tcPr>
            <w:tcW w:w="1350" w:type="dxa"/>
            <w:tcBorders>
              <w:top w:val="nil"/>
              <w:left w:val="nil"/>
              <w:bottom w:val="double" w:sz="6" w:space="0" w:color="auto"/>
              <w:right w:val="nil"/>
            </w:tcBorders>
            <w:shd w:val="clear" w:color="000000" w:fill="FFFFFF"/>
            <w:noWrap/>
            <w:vAlign w:val="center"/>
            <w:hideMark/>
          </w:tcPr>
          <w:p w14:paraId="63F67B57"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310 (243, 410)</w:t>
            </w:r>
          </w:p>
        </w:tc>
        <w:tc>
          <w:tcPr>
            <w:tcW w:w="2160" w:type="dxa"/>
            <w:tcBorders>
              <w:top w:val="nil"/>
              <w:left w:val="nil"/>
              <w:bottom w:val="double" w:sz="6" w:space="0" w:color="auto"/>
              <w:right w:val="nil"/>
            </w:tcBorders>
            <w:shd w:val="clear" w:color="000000" w:fill="FFFFFF"/>
            <w:noWrap/>
            <w:vAlign w:val="center"/>
            <w:hideMark/>
          </w:tcPr>
          <w:p w14:paraId="01E6ACD3" w14:textId="77777777" w:rsidR="00CD340B" w:rsidRPr="00CD340B" w:rsidRDefault="00CD340B" w:rsidP="00CD340B">
            <w:pPr>
              <w:rPr>
                <w:rFonts w:ascii="Helvetica Neue" w:hAnsi="Helvetica Neue"/>
                <w:sz w:val="18"/>
                <w:szCs w:val="18"/>
              </w:rPr>
            </w:pPr>
            <w:r w:rsidRPr="00CD340B">
              <w:rPr>
                <w:rFonts w:ascii="Helvetica Neue" w:hAnsi="Helvetica Neue"/>
                <w:sz w:val="18"/>
                <w:szCs w:val="18"/>
              </w:rPr>
              <w:t>0.40 (0.31, 0.53)</w:t>
            </w:r>
          </w:p>
        </w:tc>
      </w:tr>
      <w:tr w:rsidR="00CD340B" w:rsidRPr="00CD340B" w14:paraId="4A57F9FA" w14:textId="77777777" w:rsidTr="00CD340B">
        <w:trPr>
          <w:trHeight w:val="555"/>
        </w:trPr>
        <w:tc>
          <w:tcPr>
            <w:tcW w:w="10800" w:type="dxa"/>
            <w:gridSpan w:val="5"/>
            <w:tcBorders>
              <w:top w:val="nil"/>
              <w:left w:val="nil"/>
              <w:bottom w:val="nil"/>
              <w:right w:val="nil"/>
            </w:tcBorders>
            <w:shd w:val="clear" w:color="000000" w:fill="FFFFFF"/>
            <w:vAlign w:val="center"/>
            <w:hideMark/>
          </w:tcPr>
          <w:p w14:paraId="16FB8632" w14:textId="39EFEE8F" w:rsidR="00CD340B" w:rsidRPr="00CD340B" w:rsidRDefault="00CD340B" w:rsidP="00CD340B">
            <w:pPr>
              <w:rPr>
                <w:rFonts w:ascii="Helvetica Neue" w:hAnsi="Helvetica Neue"/>
                <w:sz w:val="18"/>
                <w:szCs w:val="18"/>
              </w:rPr>
            </w:pPr>
            <w:r w:rsidRPr="00CD340B">
              <w:rPr>
                <w:rFonts w:ascii="Helvetica Neue" w:hAnsi="Helvetica Neue"/>
                <w:sz w:val="18"/>
                <w:szCs w:val="18"/>
              </w:rPr>
              <w:t>IQR: interquartile range (25% and 75% percentiles) of the simulation outcomes; Incidence expressed per 100 person-years at risk at final year of simulation; All outcomes are compared to the reference model.* 0% Provision to Other Partnership Types</w:t>
            </w:r>
          </w:p>
        </w:tc>
      </w:tr>
    </w:tbl>
    <w:p w14:paraId="3B55542C" w14:textId="2EFF25EA" w:rsidR="008F739B" w:rsidRDefault="008F739B" w:rsidP="007751E4">
      <w:pPr>
        <w:spacing w:line="360" w:lineRule="auto"/>
        <w:rPr>
          <w:rFonts w:ascii="Helvetica Neue" w:hAnsi="Helvetica Neue"/>
          <w:sz w:val="20"/>
        </w:rPr>
      </w:pPr>
    </w:p>
    <w:p w14:paraId="0D5E44EC" w14:textId="45495BB8" w:rsidR="008F739B" w:rsidRDefault="008F739B" w:rsidP="007751E4">
      <w:pPr>
        <w:spacing w:line="360" w:lineRule="auto"/>
        <w:rPr>
          <w:rFonts w:ascii="Helvetica Neue" w:hAnsi="Helvetica Neue"/>
          <w:sz w:val="20"/>
        </w:rPr>
      </w:pPr>
    </w:p>
    <w:tbl>
      <w:tblPr>
        <w:tblW w:w="10800" w:type="dxa"/>
        <w:tblLook w:val="04A0" w:firstRow="1" w:lastRow="0" w:firstColumn="1" w:lastColumn="0" w:noHBand="0" w:noVBand="1"/>
      </w:tblPr>
      <w:tblGrid>
        <w:gridCol w:w="4243"/>
        <w:gridCol w:w="1517"/>
        <w:gridCol w:w="1530"/>
        <w:gridCol w:w="1350"/>
        <w:gridCol w:w="2160"/>
      </w:tblGrid>
      <w:tr w:rsidR="00511627" w:rsidRPr="00CD340B" w14:paraId="35C12641" w14:textId="77777777" w:rsidTr="00502835">
        <w:trPr>
          <w:trHeight w:val="679"/>
        </w:trPr>
        <w:tc>
          <w:tcPr>
            <w:tcW w:w="10800" w:type="dxa"/>
            <w:gridSpan w:val="5"/>
            <w:tcBorders>
              <w:top w:val="nil"/>
              <w:left w:val="nil"/>
              <w:bottom w:val="nil"/>
              <w:right w:val="nil"/>
            </w:tcBorders>
            <w:shd w:val="clear" w:color="000000" w:fill="FFFFFF"/>
            <w:vAlign w:val="center"/>
            <w:hideMark/>
          </w:tcPr>
          <w:p w14:paraId="252C763F" w14:textId="5DC05839" w:rsidR="00511627" w:rsidRPr="00CD340B" w:rsidRDefault="00511627" w:rsidP="00FE6CB3">
            <w:pPr>
              <w:rPr>
                <w:rFonts w:ascii="Helvetica Neue" w:hAnsi="Helvetica Neue"/>
                <w:sz w:val="18"/>
                <w:szCs w:val="18"/>
              </w:rPr>
            </w:pPr>
            <w:r w:rsidRPr="00CD340B">
              <w:rPr>
                <w:rFonts w:ascii="Helvetica Neue" w:hAnsi="Helvetica Neue"/>
                <w:b/>
                <w:bCs/>
                <w:sz w:val="18"/>
                <w:szCs w:val="18"/>
              </w:rPr>
              <w:lastRenderedPageBreak/>
              <w:t xml:space="preserve">Supplementary Table </w:t>
            </w:r>
            <w:r w:rsidR="00FE6CB3" w:rsidRPr="00FC3939">
              <w:rPr>
                <w:rFonts w:ascii="Helvetica Neue" w:hAnsi="Helvetica Neue"/>
                <w:b/>
                <w:bCs/>
                <w:sz w:val="18"/>
                <w:szCs w:val="18"/>
                <w:highlight w:val="yellow"/>
              </w:rPr>
              <w:t>10</w:t>
            </w:r>
            <w:r w:rsidRPr="00CD340B">
              <w:rPr>
                <w:rFonts w:ascii="Helvetica Neue" w:hAnsi="Helvetica Neue"/>
                <w:b/>
                <w:bCs/>
                <w:sz w:val="18"/>
                <w:szCs w:val="18"/>
              </w:rPr>
              <w:t>.</w:t>
            </w:r>
            <w:r w:rsidRPr="00CD340B">
              <w:rPr>
                <w:rFonts w:ascii="Helvetica Neue" w:hAnsi="Helvetica Neue"/>
                <w:sz w:val="18"/>
                <w:szCs w:val="18"/>
              </w:rPr>
              <w:t xml:space="preserve"> </w:t>
            </w:r>
            <w:r>
              <w:rPr>
                <w:rFonts w:ascii="Helvetica Neue" w:hAnsi="Helvetica Neue"/>
                <w:sz w:val="18"/>
                <w:szCs w:val="18"/>
              </w:rPr>
              <w:t>Chlamydia</w:t>
            </w:r>
            <w:r w:rsidRPr="00CD340B">
              <w:rPr>
                <w:rFonts w:ascii="Helvetica Neue" w:hAnsi="Helvetica Neue"/>
                <w:sz w:val="18"/>
                <w:szCs w:val="18"/>
              </w:rPr>
              <w:t xml:space="preserve"> (</w:t>
            </w:r>
            <w:r>
              <w:rPr>
                <w:rFonts w:ascii="Helvetica Neue" w:hAnsi="Helvetica Neue"/>
                <w:sz w:val="18"/>
                <w:szCs w:val="18"/>
              </w:rPr>
              <w:t>CT</w:t>
            </w:r>
            <w:r w:rsidRPr="00CD340B">
              <w:rPr>
                <w:rFonts w:ascii="Helvetica Neue" w:hAnsi="Helvetica Neue"/>
                <w:sz w:val="18"/>
                <w:szCs w:val="18"/>
              </w:rPr>
              <w:t>) Incidence, Percent of Infections Averted (PIA), Expedited Partner Therapy (EPT) Doses Taken by Partners, and Per-Capita Number of Times Infected Across EPT Coverage (Provision to Index) Levels, Limited by Partnership Type, among Men Who Have Sex with Men</w:t>
            </w:r>
          </w:p>
        </w:tc>
      </w:tr>
      <w:tr w:rsidR="00511627" w:rsidRPr="00CD340B" w14:paraId="4E02C734" w14:textId="77777777" w:rsidTr="00502835">
        <w:trPr>
          <w:trHeight w:val="720"/>
        </w:trPr>
        <w:tc>
          <w:tcPr>
            <w:tcW w:w="4243" w:type="dxa"/>
            <w:tcBorders>
              <w:top w:val="single" w:sz="4" w:space="0" w:color="auto"/>
              <w:left w:val="nil"/>
              <w:bottom w:val="single" w:sz="4" w:space="0" w:color="auto"/>
              <w:right w:val="nil"/>
            </w:tcBorders>
            <w:shd w:val="clear" w:color="000000" w:fill="FFFFFF"/>
            <w:noWrap/>
            <w:vAlign w:val="center"/>
            <w:hideMark/>
          </w:tcPr>
          <w:p w14:paraId="4DE55D82" w14:textId="77777777" w:rsidR="00511627" w:rsidRPr="00CD340B" w:rsidRDefault="00511627" w:rsidP="00502835">
            <w:pPr>
              <w:rPr>
                <w:rFonts w:ascii="Helvetica Neue" w:hAnsi="Helvetica Neue"/>
                <w:b/>
                <w:bCs/>
                <w:sz w:val="18"/>
                <w:szCs w:val="18"/>
              </w:rPr>
            </w:pPr>
            <w:r w:rsidRPr="00CD340B">
              <w:rPr>
                <w:rFonts w:ascii="Helvetica Neue" w:hAnsi="Helvetica Neue"/>
                <w:b/>
                <w:bCs/>
                <w:sz w:val="18"/>
                <w:szCs w:val="18"/>
              </w:rPr>
              <w:t> </w:t>
            </w:r>
          </w:p>
        </w:tc>
        <w:tc>
          <w:tcPr>
            <w:tcW w:w="1517" w:type="dxa"/>
            <w:tcBorders>
              <w:top w:val="single" w:sz="4" w:space="0" w:color="auto"/>
              <w:left w:val="nil"/>
              <w:bottom w:val="single" w:sz="4" w:space="0" w:color="auto"/>
              <w:right w:val="nil"/>
            </w:tcBorders>
            <w:shd w:val="clear" w:color="auto" w:fill="auto"/>
            <w:vAlign w:val="center"/>
            <w:hideMark/>
          </w:tcPr>
          <w:p w14:paraId="73413285" w14:textId="77777777" w:rsidR="00511627" w:rsidRPr="00CD340B" w:rsidRDefault="00511627" w:rsidP="00502835">
            <w:pPr>
              <w:rPr>
                <w:rFonts w:ascii="Helvetica Neue" w:hAnsi="Helvetica Neue"/>
                <w:i/>
                <w:iCs/>
                <w:sz w:val="18"/>
                <w:szCs w:val="18"/>
              </w:rPr>
            </w:pPr>
            <w:r w:rsidRPr="00CD340B">
              <w:rPr>
                <w:rFonts w:ascii="Helvetica Neue" w:hAnsi="Helvetica Neue"/>
                <w:b/>
                <w:bCs/>
                <w:sz w:val="18"/>
                <w:szCs w:val="18"/>
              </w:rPr>
              <w:t xml:space="preserve">Incidence </w:t>
            </w:r>
            <w:r w:rsidRPr="00CD340B">
              <w:rPr>
                <w:rFonts w:ascii="Helvetica Neue" w:hAnsi="Helvetica Neue"/>
                <w:i/>
                <w:iCs/>
                <w:sz w:val="18"/>
                <w:szCs w:val="18"/>
              </w:rPr>
              <w:br/>
              <w:t>(Median, IQR)</w:t>
            </w:r>
          </w:p>
        </w:tc>
        <w:tc>
          <w:tcPr>
            <w:tcW w:w="1530" w:type="dxa"/>
            <w:tcBorders>
              <w:top w:val="single" w:sz="4" w:space="0" w:color="auto"/>
              <w:left w:val="nil"/>
              <w:bottom w:val="single" w:sz="4" w:space="0" w:color="auto"/>
              <w:right w:val="nil"/>
            </w:tcBorders>
            <w:shd w:val="clear" w:color="auto" w:fill="auto"/>
            <w:vAlign w:val="center"/>
            <w:hideMark/>
          </w:tcPr>
          <w:p w14:paraId="273C008B" w14:textId="77777777" w:rsidR="00511627" w:rsidRPr="00CD340B" w:rsidRDefault="00511627" w:rsidP="00502835">
            <w:pPr>
              <w:rPr>
                <w:rFonts w:ascii="Helvetica Neue" w:hAnsi="Helvetica Neue"/>
                <w:i/>
                <w:iCs/>
                <w:sz w:val="18"/>
                <w:szCs w:val="18"/>
              </w:rPr>
            </w:pPr>
            <w:r w:rsidRPr="00CD340B">
              <w:rPr>
                <w:rFonts w:ascii="Helvetica Neue" w:hAnsi="Helvetica Neue"/>
                <w:b/>
                <w:bCs/>
                <w:sz w:val="18"/>
                <w:szCs w:val="18"/>
              </w:rPr>
              <w:t>Cumulative PIA</w:t>
            </w:r>
            <w:r w:rsidRPr="00CD340B">
              <w:rPr>
                <w:rFonts w:ascii="Helvetica Neue" w:hAnsi="Helvetica Neue"/>
                <w:i/>
                <w:iCs/>
                <w:sz w:val="18"/>
                <w:szCs w:val="18"/>
              </w:rPr>
              <w:t xml:space="preserve"> (Median, IQR)</w:t>
            </w:r>
          </w:p>
        </w:tc>
        <w:tc>
          <w:tcPr>
            <w:tcW w:w="1350" w:type="dxa"/>
            <w:tcBorders>
              <w:top w:val="single" w:sz="4" w:space="0" w:color="auto"/>
              <w:left w:val="nil"/>
              <w:bottom w:val="single" w:sz="4" w:space="0" w:color="auto"/>
              <w:right w:val="nil"/>
            </w:tcBorders>
            <w:shd w:val="clear" w:color="auto" w:fill="auto"/>
            <w:vAlign w:val="center"/>
            <w:hideMark/>
          </w:tcPr>
          <w:p w14:paraId="43EDA173" w14:textId="77777777" w:rsidR="00511627" w:rsidRPr="00CD340B" w:rsidRDefault="00511627" w:rsidP="00502835">
            <w:pPr>
              <w:rPr>
                <w:rFonts w:ascii="Helvetica Neue" w:hAnsi="Helvetica Neue"/>
                <w:i/>
                <w:iCs/>
                <w:sz w:val="18"/>
                <w:szCs w:val="18"/>
              </w:rPr>
            </w:pPr>
            <w:r w:rsidRPr="00CD340B">
              <w:rPr>
                <w:rFonts w:ascii="Helvetica Neue" w:hAnsi="Helvetica Neue"/>
                <w:b/>
                <w:bCs/>
                <w:sz w:val="18"/>
                <w:szCs w:val="18"/>
              </w:rPr>
              <w:t>Total EPT Doses</w:t>
            </w:r>
            <w:r w:rsidRPr="00CD340B">
              <w:rPr>
                <w:rFonts w:ascii="Helvetica Neue" w:hAnsi="Helvetica Neue"/>
                <w:i/>
                <w:iCs/>
                <w:sz w:val="18"/>
                <w:szCs w:val="18"/>
              </w:rPr>
              <w:t xml:space="preserve"> </w:t>
            </w:r>
            <w:r w:rsidRPr="00CD340B">
              <w:rPr>
                <w:rFonts w:ascii="Helvetica Neue" w:hAnsi="Helvetica Neue"/>
                <w:b/>
                <w:bCs/>
                <w:sz w:val="18"/>
                <w:szCs w:val="18"/>
              </w:rPr>
              <w:t>Taken</w:t>
            </w:r>
            <w:r w:rsidRPr="00CD340B">
              <w:rPr>
                <w:rFonts w:ascii="Helvetica Neue" w:hAnsi="Helvetica Neue"/>
                <w:i/>
                <w:iCs/>
                <w:sz w:val="18"/>
                <w:szCs w:val="18"/>
              </w:rPr>
              <w:t xml:space="preserve"> (Median, IQR)</w:t>
            </w:r>
          </w:p>
        </w:tc>
        <w:tc>
          <w:tcPr>
            <w:tcW w:w="2160" w:type="dxa"/>
            <w:tcBorders>
              <w:top w:val="single" w:sz="4" w:space="0" w:color="auto"/>
              <w:left w:val="nil"/>
              <w:bottom w:val="single" w:sz="4" w:space="0" w:color="auto"/>
              <w:right w:val="nil"/>
            </w:tcBorders>
            <w:shd w:val="clear" w:color="auto" w:fill="auto"/>
            <w:vAlign w:val="center"/>
            <w:hideMark/>
          </w:tcPr>
          <w:p w14:paraId="0E578129" w14:textId="77777777" w:rsidR="00511627" w:rsidRPr="00CD340B" w:rsidRDefault="00511627" w:rsidP="00502835">
            <w:pPr>
              <w:rPr>
                <w:rFonts w:ascii="Helvetica Neue" w:hAnsi="Helvetica Neue"/>
                <w:i/>
                <w:iCs/>
                <w:sz w:val="18"/>
                <w:szCs w:val="18"/>
              </w:rPr>
            </w:pPr>
            <w:r w:rsidRPr="00CD340B">
              <w:rPr>
                <w:rFonts w:ascii="Helvetica Neue" w:hAnsi="Helvetica Neue"/>
                <w:b/>
                <w:bCs/>
                <w:sz w:val="18"/>
                <w:szCs w:val="18"/>
              </w:rPr>
              <w:t xml:space="preserve">Per-Capita Times Infected </w:t>
            </w:r>
            <w:r w:rsidRPr="00CD340B">
              <w:rPr>
                <w:rFonts w:ascii="Helvetica Neue" w:hAnsi="Helvetica Neue"/>
                <w:i/>
                <w:iCs/>
                <w:sz w:val="18"/>
                <w:szCs w:val="18"/>
              </w:rPr>
              <w:br/>
              <w:t>(Median, IQR)</w:t>
            </w:r>
          </w:p>
        </w:tc>
      </w:tr>
      <w:tr w:rsidR="00511627" w:rsidRPr="00CD340B" w14:paraId="591C7327" w14:textId="77777777" w:rsidTr="00502835">
        <w:trPr>
          <w:trHeight w:val="300"/>
        </w:trPr>
        <w:tc>
          <w:tcPr>
            <w:tcW w:w="4243" w:type="dxa"/>
            <w:tcBorders>
              <w:top w:val="nil"/>
              <w:left w:val="nil"/>
              <w:bottom w:val="nil"/>
              <w:right w:val="nil"/>
            </w:tcBorders>
            <w:shd w:val="clear" w:color="000000" w:fill="FFFFFF"/>
            <w:vAlign w:val="center"/>
            <w:hideMark/>
          </w:tcPr>
          <w:p w14:paraId="5BA0F067" w14:textId="77777777" w:rsidR="00511627" w:rsidRPr="00CD340B" w:rsidRDefault="00511627" w:rsidP="00511627">
            <w:pPr>
              <w:rPr>
                <w:rFonts w:ascii="Helvetica Neue" w:hAnsi="Helvetica Neue"/>
                <w:b/>
                <w:bCs/>
                <w:sz w:val="18"/>
                <w:szCs w:val="18"/>
              </w:rPr>
            </w:pPr>
            <w:r w:rsidRPr="00CD340B">
              <w:rPr>
                <w:rFonts w:ascii="Helvetica Neue" w:hAnsi="Helvetica Neue"/>
                <w:b/>
                <w:bCs/>
                <w:sz w:val="18"/>
                <w:szCs w:val="18"/>
              </w:rPr>
              <w:t>Base Model</w:t>
            </w:r>
          </w:p>
        </w:tc>
        <w:tc>
          <w:tcPr>
            <w:tcW w:w="1517" w:type="dxa"/>
            <w:tcBorders>
              <w:top w:val="nil"/>
              <w:left w:val="nil"/>
              <w:bottom w:val="nil"/>
              <w:right w:val="nil"/>
            </w:tcBorders>
            <w:shd w:val="clear" w:color="000000" w:fill="FFFFFF"/>
            <w:noWrap/>
            <w:vAlign w:val="center"/>
            <w:hideMark/>
          </w:tcPr>
          <w:p w14:paraId="48338971" w14:textId="72D0EA0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6.85 (5.94, 7.85)</w:t>
            </w:r>
          </w:p>
        </w:tc>
        <w:tc>
          <w:tcPr>
            <w:tcW w:w="1530" w:type="dxa"/>
            <w:tcBorders>
              <w:top w:val="nil"/>
              <w:left w:val="nil"/>
              <w:bottom w:val="nil"/>
              <w:right w:val="nil"/>
            </w:tcBorders>
            <w:shd w:val="clear" w:color="000000" w:fill="FFFFFF"/>
            <w:noWrap/>
            <w:vAlign w:val="center"/>
            <w:hideMark/>
          </w:tcPr>
          <w:p w14:paraId="7C2C8EB6" w14:textId="0AFB8FC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w:t>
            </w:r>
          </w:p>
        </w:tc>
        <w:tc>
          <w:tcPr>
            <w:tcW w:w="1350" w:type="dxa"/>
            <w:tcBorders>
              <w:top w:val="nil"/>
              <w:left w:val="nil"/>
              <w:bottom w:val="nil"/>
              <w:right w:val="nil"/>
            </w:tcBorders>
            <w:shd w:val="clear" w:color="000000" w:fill="FFFFFF"/>
            <w:noWrap/>
            <w:vAlign w:val="center"/>
            <w:hideMark/>
          </w:tcPr>
          <w:p w14:paraId="546BD414" w14:textId="4A2A6E8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w:t>
            </w:r>
          </w:p>
        </w:tc>
        <w:tc>
          <w:tcPr>
            <w:tcW w:w="2160" w:type="dxa"/>
            <w:tcBorders>
              <w:top w:val="nil"/>
              <w:left w:val="nil"/>
              <w:bottom w:val="nil"/>
              <w:right w:val="nil"/>
            </w:tcBorders>
            <w:shd w:val="clear" w:color="000000" w:fill="FFFFFF"/>
            <w:noWrap/>
            <w:vAlign w:val="center"/>
            <w:hideMark/>
          </w:tcPr>
          <w:p w14:paraId="47B3D5C3" w14:textId="231B79E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0.72 (0.65, 0.79)</w:t>
            </w:r>
          </w:p>
        </w:tc>
      </w:tr>
      <w:tr w:rsidR="00511627" w:rsidRPr="00CD340B" w14:paraId="4FB2DD0C" w14:textId="77777777" w:rsidTr="00502835">
        <w:trPr>
          <w:trHeight w:val="300"/>
        </w:trPr>
        <w:tc>
          <w:tcPr>
            <w:tcW w:w="4243" w:type="dxa"/>
            <w:tcBorders>
              <w:top w:val="nil"/>
              <w:left w:val="nil"/>
              <w:bottom w:val="nil"/>
              <w:right w:val="nil"/>
            </w:tcBorders>
            <w:shd w:val="clear" w:color="000000" w:fill="FFFFFF"/>
            <w:noWrap/>
            <w:vAlign w:val="center"/>
            <w:hideMark/>
          </w:tcPr>
          <w:p w14:paraId="337A8CCA" w14:textId="77777777" w:rsidR="00511627" w:rsidRPr="00CD340B" w:rsidRDefault="00511627" w:rsidP="00511627">
            <w:pPr>
              <w:rPr>
                <w:rFonts w:ascii="Helvetica Neue" w:hAnsi="Helvetica Neue"/>
                <w:b/>
                <w:bCs/>
                <w:sz w:val="18"/>
                <w:szCs w:val="18"/>
              </w:rPr>
            </w:pPr>
            <w:r w:rsidRPr="00CD340B">
              <w:rPr>
                <w:rFonts w:ascii="Helvetica Neue" w:hAnsi="Helvetica Neue"/>
                <w:b/>
                <w:bCs/>
                <w:sz w:val="18"/>
                <w:szCs w:val="18"/>
              </w:rPr>
              <w:t>Coverage for Index Patients (Provision to Main Partners Only)*</w:t>
            </w:r>
          </w:p>
        </w:tc>
        <w:tc>
          <w:tcPr>
            <w:tcW w:w="1517" w:type="dxa"/>
            <w:tcBorders>
              <w:top w:val="nil"/>
              <w:left w:val="nil"/>
              <w:bottom w:val="nil"/>
              <w:right w:val="nil"/>
            </w:tcBorders>
            <w:shd w:val="clear" w:color="000000" w:fill="FFFFFF"/>
            <w:noWrap/>
            <w:vAlign w:val="center"/>
            <w:hideMark/>
          </w:tcPr>
          <w:p w14:paraId="7F77F141" w14:textId="0583218B"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530" w:type="dxa"/>
            <w:tcBorders>
              <w:top w:val="nil"/>
              <w:left w:val="nil"/>
              <w:bottom w:val="nil"/>
              <w:right w:val="nil"/>
            </w:tcBorders>
            <w:shd w:val="clear" w:color="000000" w:fill="FFFFFF"/>
            <w:noWrap/>
            <w:vAlign w:val="center"/>
            <w:hideMark/>
          </w:tcPr>
          <w:p w14:paraId="376F3C94" w14:textId="335D0EE3"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350" w:type="dxa"/>
            <w:tcBorders>
              <w:top w:val="nil"/>
              <w:left w:val="nil"/>
              <w:bottom w:val="nil"/>
              <w:right w:val="nil"/>
            </w:tcBorders>
            <w:shd w:val="clear" w:color="000000" w:fill="FFFFFF"/>
            <w:noWrap/>
            <w:vAlign w:val="center"/>
            <w:hideMark/>
          </w:tcPr>
          <w:p w14:paraId="4173DE3F" w14:textId="6950E7D1"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2160" w:type="dxa"/>
            <w:tcBorders>
              <w:top w:val="nil"/>
              <w:left w:val="nil"/>
              <w:bottom w:val="nil"/>
              <w:right w:val="nil"/>
            </w:tcBorders>
            <w:shd w:val="clear" w:color="000000" w:fill="FFFFFF"/>
            <w:noWrap/>
            <w:vAlign w:val="center"/>
            <w:hideMark/>
          </w:tcPr>
          <w:p w14:paraId="1521E09E" w14:textId="4F7C8E49"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r>
      <w:tr w:rsidR="00511627" w:rsidRPr="00CD340B" w14:paraId="2BD81833" w14:textId="77777777" w:rsidTr="00502835">
        <w:trPr>
          <w:trHeight w:val="300"/>
        </w:trPr>
        <w:tc>
          <w:tcPr>
            <w:tcW w:w="4243" w:type="dxa"/>
            <w:tcBorders>
              <w:top w:val="nil"/>
              <w:left w:val="nil"/>
              <w:bottom w:val="nil"/>
              <w:right w:val="nil"/>
            </w:tcBorders>
            <w:shd w:val="clear" w:color="000000" w:fill="FFFFFF"/>
            <w:noWrap/>
            <w:vAlign w:val="center"/>
            <w:hideMark/>
          </w:tcPr>
          <w:p w14:paraId="1BD6F26C"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201EE3A4" w14:textId="49E3C086"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6.22 (5.29, 7.49)</w:t>
            </w:r>
          </w:p>
        </w:tc>
        <w:tc>
          <w:tcPr>
            <w:tcW w:w="1530" w:type="dxa"/>
            <w:tcBorders>
              <w:top w:val="nil"/>
              <w:left w:val="nil"/>
              <w:bottom w:val="nil"/>
              <w:right w:val="nil"/>
            </w:tcBorders>
            <w:shd w:val="clear" w:color="000000" w:fill="FFFFFF"/>
            <w:noWrap/>
            <w:vAlign w:val="center"/>
            <w:hideMark/>
          </w:tcPr>
          <w:p w14:paraId="5C0FCC37" w14:textId="44DCD4E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0.03 (-0.12, 0.16)</w:t>
            </w:r>
          </w:p>
        </w:tc>
        <w:tc>
          <w:tcPr>
            <w:tcW w:w="1350" w:type="dxa"/>
            <w:tcBorders>
              <w:top w:val="nil"/>
              <w:left w:val="nil"/>
              <w:bottom w:val="nil"/>
              <w:right w:val="nil"/>
            </w:tcBorders>
            <w:shd w:val="clear" w:color="000000" w:fill="FFFFFF"/>
            <w:noWrap/>
            <w:vAlign w:val="center"/>
            <w:hideMark/>
          </w:tcPr>
          <w:p w14:paraId="651A3850" w14:textId="2D48C01C"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64 (56, 72)</w:t>
            </w:r>
          </w:p>
        </w:tc>
        <w:tc>
          <w:tcPr>
            <w:tcW w:w="2160" w:type="dxa"/>
            <w:tcBorders>
              <w:top w:val="nil"/>
              <w:left w:val="nil"/>
              <w:bottom w:val="nil"/>
              <w:right w:val="nil"/>
            </w:tcBorders>
            <w:shd w:val="clear" w:color="000000" w:fill="FFFFFF"/>
            <w:noWrap/>
            <w:vAlign w:val="center"/>
            <w:hideMark/>
          </w:tcPr>
          <w:p w14:paraId="39EF4934" w14:textId="76E91A2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0.70 (0.63, 0.76)</w:t>
            </w:r>
          </w:p>
        </w:tc>
      </w:tr>
      <w:tr w:rsidR="00511627" w:rsidRPr="00CD340B" w14:paraId="4706675D" w14:textId="77777777" w:rsidTr="00502835">
        <w:trPr>
          <w:trHeight w:val="300"/>
        </w:trPr>
        <w:tc>
          <w:tcPr>
            <w:tcW w:w="4243" w:type="dxa"/>
            <w:tcBorders>
              <w:top w:val="nil"/>
              <w:left w:val="nil"/>
              <w:bottom w:val="nil"/>
              <w:right w:val="nil"/>
            </w:tcBorders>
            <w:shd w:val="clear" w:color="000000" w:fill="FFFFFF"/>
            <w:noWrap/>
            <w:vAlign w:val="center"/>
            <w:hideMark/>
          </w:tcPr>
          <w:p w14:paraId="1C251ADF"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56849548" w14:textId="3EA775B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6.05 (4.99, 7.22)</w:t>
            </w:r>
          </w:p>
        </w:tc>
        <w:tc>
          <w:tcPr>
            <w:tcW w:w="1530" w:type="dxa"/>
            <w:tcBorders>
              <w:top w:val="nil"/>
              <w:left w:val="nil"/>
              <w:bottom w:val="nil"/>
              <w:right w:val="nil"/>
            </w:tcBorders>
            <w:shd w:val="clear" w:color="000000" w:fill="FFFFFF"/>
            <w:noWrap/>
            <w:vAlign w:val="center"/>
            <w:hideMark/>
          </w:tcPr>
          <w:p w14:paraId="375FD4CE" w14:textId="0305673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0.07 (-0.06, 0.18)</w:t>
            </w:r>
          </w:p>
        </w:tc>
        <w:tc>
          <w:tcPr>
            <w:tcW w:w="1350" w:type="dxa"/>
            <w:tcBorders>
              <w:top w:val="nil"/>
              <w:left w:val="nil"/>
              <w:bottom w:val="nil"/>
              <w:right w:val="nil"/>
            </w:tcBorders>
            <w:shd w:val="clear" w:color="000000" w:fill="FFFFFF"/>
            <w:noWrap/>
            <w:vAlign w:val="center"/>
            <w:hideMark/>
          </w:tcPr>
          <w:p w14:paraId="7273C105" w14:textId="45BCC42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117 (104, 130)</w:t>
            </w:r>
          </w:p>
        </w:tc>
        <w:tc>
          <w:tcPr>
            <w:tcW w:w="2160" w:type="dxa"/>
            <w:tcBorders>
              <w:top w:val="nil"/>
              <w:left w:val="nil"/>
              <w:bottom w:val="nil"/>
              <w:right w:val="nil"/>
            </w:tcBorders>
            <w:shd w:val="clear" w:color="000000" w:fill="FFFFFF"/>
            <w:noWrap/>
            <w:vAlign w:val="center"/>
            <w:hideMark/>
          </w:tcPr>
          <w:p w14:paraId="5DC0C304" w14:textId="245B160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0.68 (0.62, 0.75)</w:t>
            </w:r>
          </w:p>
        </w:tc>
      </w:tr>
      <w:tr w:rsidR="00511627" w:rsidRPr="00CD340B" w14:paraId="20377580" w14:textId="77777777" w:rsidTr="00502835">
        <w:trPr>
          <w:trHeight w:val="300"/>
        </w:trPr>
        <w:tc>
          <w:tcPr>
            <w:tcW w:w="4243" w:type="dxa"/>
            <w:tcBorders>
              <w:top w:val="nil"/>
              <w:left w:val="nil"/>
              <w:bottom w:val="nil"/>
              <w:right w:val="nil"/>
            </w:tcBorders>
            <w:shd w:val="clear" w:color="000000" w:fill="FFFFFF"/>
            <w:noWrap/>
            <w:vAlign w:val="center"/>
            <w:hideMark/>
          </w:tcPr>
          <w:p w14:paraId="5BB83EBD"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464BBE56" w14:textId="466D01B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5.61 (4.50, 6.87)</w:t>
            </w:r>
          </w:p>
        </w:tc>
        <w:tc>
          <w:tcPr>
            <w:tcW w:w="1530" w:type="dxa"/>
            <w:tcBorders>
              <w:top w:val="nil"/>
              <w:left w:val="nil"/>
              <w:bottom w:val="nil"/>
              <w:right w:val="nil"/>
            </w:tcBorders>
            <w:shd w:val="clear" w:color="000000" w:fill="FFFFFF"/>
            <w:noWrap/>
            <w:vAlign w:val="center"/>
            <w:hideMark/>
          </w:tcPr>
          <w:p w14:paraId="62D1D5BD" w14:textId="5C1CCD3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0.08 (-0.05, 0.22)</w:t>
            </w:r>
          </w:p>
        </w:tc>
        <w:tc>
          <w:tcPr>
            <w:tcW w:w="1350" w:type="dxa"/>
            <w:tcBorders>
              <w:top w:val="nil"/>
              <w:left w:val="nil"/>
              <w:bottom w:val="nil"/>
              <w:right w:val="nil"/>
            </w:tcBorders>
            <w:shd w:val="clear" w:color="000000" w:fill="FFFFFF"/>
            <w:noWrap/>
            <w:vAlign w:val="center"/>
            <w:hideMark/>
          </w:tcPr>
          <w:p w14:paraId="27018E1A" w14:textId="414EEEA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160 (144, 178)</w:t>
            </w:r>
          </w:p>
        </w:tc>
        <w:tc>
          <w:tcPr>
            <w:tcW w:w="2160" w:type="dxa"/>
            <w:tcBorders>
              <w:top w:val="nil"/>
              <w:left w:val="nil"/>
              <w:bottom w:val="nil"/>
              <w:right w:val="nil"/>
            </w:tcBorders>
            <w:shd w:val="clear" w:color="000000" w:fill="FFFFFF"/>
            <w:noWrap/>
            <w:vAlign w:val="center"/>
            <w:hideMark/>
          </w:tcPr>
          <w:p w14:paraId="01B53824" w14:textId="4D323DA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0.65 (0.59, 0.73)</w:t>
            </w:r>
          </w:p>
        </w:tc>
      </w:tr>
      <w:tr w:rsidR="00511627" w:rsidRPr="00CD340B" w14:paraId="2CB23697" w14:textId="77777777" w:rsidTr="00502835">
        <w:trPr>
          <w:trHeight w:val="300"/>
        </w:trPr>
        <w:tc>
          <w:tcPr>
            <w:tcW w:w="4243" w:type="dxa"/>
            <w:tcBorders>
              <w:top w:val="nil"/>
              <w:left w:val="nil"/>
              <w:bottom w:val="nil"/>
              <w:right w:val="nil"/>
            </w:tcBorders>
            <w:shd w:val="clear" w:color="000000" w:fill="FFFFFF"/>
            <w:noWrap/>
            <w:vAlign w:val="center"/>
            <w:hideMark/>
          </w:tcPr>
          <w:p w14:paraId="0AA380BA"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3D8E2627" w14:textId="3E4CC24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5.46 (4.53, 6.44)</w:t>
            </w:r>
          </w:p>
        </w:tc>
        <w:tc>
          <w:tcPr>
            <w:tcW w:w="1530" w:type="dxa"/>
            <w:tcBorders>
              <w:top w:val="nil"/>
              <w:left w:val="nil"/>
              <w:bottom w:val="nil"/>
              <w:right w:val="nil"/>
            </w:tcBorders>
            <w:shd w:val="clear" w:color="000000" w:fill="FFFFFF"/>
            <w:noWrap/>
            <w:vAlign w:val="center"/>
            <w:hideMark/>
          </w:tcPr>
          <w:p w14:paraId="115A840E" w14:textId="6269A69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0.12 (-0.04, 0.23)</w:t>
            </w:r>
          </w:p>
        </w:tc>
        <w:tc>
          <w:tcPr>
            <w:tcW w:w="1350" w:type="dxa"/>
            <w:tcBorders>
              <w:top w:val="nil"/>
              <w:left w:val="nil"/>
              <w:bottom w:val="nil"/>
              <w:right w:val="nil"/>
            </w:tcBorders>
            <w:shd w:val="clear" w:color="000000" w:fill="FFFFFF"/>
            <w:noWrap/>
            <w:vAlign w:val="center"/>
            <w:hideMark/>
          </w:tcPr>
          <w:p w14:paraId="5888D76A" w14:textId="3643BDF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204 (184, 223)</w:t>
            </w:r>
          </w:p>
        </w:tc>
        <w:tc>
          <w:tcPr>
            <w:tcW w:w="2160" w:type="dxa"/>
            <w:tcBorders>
              <w:top w:val="nil"/>
              <w:left w:val="nil"/>
              <w:bottom w:val="nil"/>
              <w:right w:val="nil"/>
            </w:tcBorders>
            <w:shd w:val="clear" w:color="000000" w:fill="FFFFFF"/>
            <w:noWrap/>
            <w:vAlign w:val="center"/>
            <w:hideMark/>
          </w:tcPr>
          <w:p w14:paraId="14BCDE8B" w14:textId="0CDEB7F6"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0.64 (0.59, 0.71)</w:t>
            </w:r>
          </w:p>
        </w:tc>
      </w:tr>
      <w:tr w:rsidR="00511627" w:rsidRPr="00CD340B" w14:paraId="6748E710" w14:textId="77777777" w:rsidTr="00502835">
        <w:trPr>
          <w:trHeight w:val="300"/>
        </w:trPr>
        <w:tc>
          <w:tcPr>
            <w:tcW w:w="4243" w:type="dxa"/>
            <w:tcBorders>
              <w:top w:val="nil"/>
              <w:left w:val="nil"/>
              <w:bottom w:val="nil"/>
              <w:right w:val="nil"/>
            </w:tcBorders>
            <w:shd w:val="clear" w:color="000000" w:fill="FFFFFF"/>
            <w:noWrap/>
            <w:vAlign w:val="center"/>
            <w:hideMark/>
          </w:tcPr>
          <w:p w14:paraId="4BE50C42"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2D140BCE" w14:textId="6864B0B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5.17 (4.45, 6.12)</w:t>
            </w:r>
          </w:p>
        </w:tc>
        <w:tc>
          <w:tcPr>
            <w:tcW w:w="1530" w:type="dxa"/>
            <w:tcBorders>
              <w:top w:val="nil"/>
              <w:left w:val="nil"/>
              <w:bottom w:val="nil"/>
              <w:right w:val="nil"/>
            </w:tcBorders>
            <w:shd w:val="clear" w:color="000000" w:fill="FFFFFF"/>
            <w:noWrap/>
            <w:vAlign w:val="center"/>
            <w:hideMark/>
          </w:tcPr>
          <w:p w14:paraId="7515B0C7" w14:textId="6F36746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0.14 (0.02, 0.24)</w:t>
            </w:r>
          </w:p>
        </w:tc>
        <w:tc>
          <w:tcPr>
            <w:tcW w:w="1350" w:type="dxa"/>
            <w:tcBorders>
              <w:top w:val="nil"/>
              <w:left w:val="nil"/>
              <w:bottom w:val="nil"/>
              <w:right w:val="nil"/>
            </w:tcBorders>
            <w:shd w:val="clear" w:color="000000" w:fill="FFFFFF"/>
            <w:noWrap/>
            <w:vAlign w:val="center"/>
            <w:hideMark/>
          </w:tcPr>
          <w:p w14:paraId="5C2BC56B" w14:textId="2012692C"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238 (217, 262)</w:t>
            </w:r>
          </w:p>
        </w:tc>
        <w:tc>
          <w:tcPr>
            <w:tcW w:w="2160" w:type="dxa"/>
            <w:tcBorders>
              <w:top w:val="nil"/>
              <w:left w:val="nil"/>
              <w:bottom w:val="nil"/>
              <w:right w:val="nil"/>
            </w:tcBorders>
            <w:shd w:val="clear" w:color="000000" w:fill="FFFFFF"/>
            <w:noWrap/>
            <w:vAlign w:val="center"/>
            <w:hideMark/>
          </w:tcPr>
          <w:p w14:paraId="16416EEB" w14:textId="6FB71CE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0.63 (0.57, 0.69)</w:t>
            </w:r>
          </w:p>
        </w:tc>
      </w:tr>
      <w:tr w:rsidR="00511627" w:rsidRPr="00CD340B" w14:paraId="0B5F0427" w14:textId="77777777" w:rsidTr="00502835">
        <w:trPr>
          <w:trHeight w:val="300"/>
        </w:trPr>
        <w:tc>
          <w:tcPr>
            <w:tcW w:w="4243" w:type="dxa"/>
            <w:tcBorders>
              <w:top w:val="nil"/>
              <w:left w:val="nil"/>
              <w:bottom w:val="nil"/>
              <w:right w:val="nil"/>
            </w:tcBorders>
            <w:shd w:val="clear" w:color="000000" w:fill="FFFFFF"/>
            <w:noWrap/>
            <w:vAlign w:val="center"/>
            <w:hideMark/>
          </w:tcPr>
          <w:p w14:paraId="72D54BC4"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7BC8A12D" w14:textId="05FE7EC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5.21 (4.23, 6.09)</w:t>
            </w:r>
          </w:p>
        </w:tc>
        <w:tc>
          <w:tcPr>
            <w:tcW w:w="1530" w:type="dxa"/>
            <w:tcBorders>
              <w:top w:val="nil"/>
              <w:left w:val="nil"/>
              <w:bottom w:val="nil"/>
              <w:right w:val="nil"/>
            </w:tcBorders>
            <w:shd w:val="clear" w:color="000000" w:fill="FFFFFF"/>
            <w:noWrap/>
            <w:vAlign w:val="center"/>
            <w:hideMark/>
          </w:tcPr>
          <w:p w14:paraId="5ADC28AB" w14:textId="46E8BC0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0.14 (0.00, 0.24)</w:t>
            </w:r>
          </w:p>
        </w:tc>
        <w:tc>
          <w:tcPr>
            <w:tcW w:w="1350" w:type="dxa"/>
            <w:tcBorders>
              <w:top w:val="nil"/>
              <w:left w:val="nil"/>
              <w:bottom w:val="nil"/>
              <w:right w:val="nil"/>
            </w:tcBorders>
            <w:shd w:val="clear" w:color="000000" w:fill="FFFFFF"/>
            <w:noWrap/>
            <w:vAlign w:val="center"/>
            <w:hideMark/>
          </w:tcPr>
          <w:p w14:paraId="4B11028F" w14:textId="29706FA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276 (250, 303)</w:t>
            </w:r>
          </w:p>
        </w:tc>
        <w:tc>
          <w:tcPr>
            <w:tcW w:w="2160" w:type="dxa"/>
            <w:tcBorders>
              <w:top w:val="nil"/>
              <w:left w:val="nil"/>
              <w:bottom w:val="nil"/>
              <w:right w:val="nil"/>
            </w:tcBorders>
            <w:shd w:val="clear" w:color="000000" w:fill="FFFFFF"/>
            <w:noWrap/>
            <w:vAlign w:val="center"/>
            <w:hideMark/>
          </w:tcPr>
          <w:p w14:paraId="669C0B01" w14:textId="1ADA6D1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0.62 (0.57, 0.69)</w:t>
            </w:r>
          </w:p>
        </w:tc>
      </w:tr>
      <w:tr w:rsidR="00511627" w:rsidRPr="00CD340B" w14:paraId="38D1BE85" w14:textId="77777777" w:rsidTr="00502835">
        <w:trPr>
          <w:trHeight w:val="300"/>
        </w:trPr>
        <w:tc>
          <w:tcPr>
            <w:tcW w:w="4243" w:type="dxa"/>
            <w:tcBorders>
              <w:top w:val="nil"/>
              <w:left w:val="nil"/>
              <w:bottom w:val="nil"/>
              <w:right w:val="nil"/>
            </w:tcBorders>
            <w:shd w:val="clear" w:color="000000" w:fill="FFFFFF"/>
            <w:noWrap/>
            <w:vAlign w:val="center"/>
            <w:hideMark/>
          </w:tcPr>
          <w:p w14:paraId="572EF707"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3FC79D7C" w14:textId="5953A64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4.83 (3.95, 5.94)</w:t>
            </w:r>
          </w:p>
        </w:tc>
        <w:tc>
          <w:tcPr>
            <w:tcW w:w="1530" w:type="dxa"/>
            <w:tcBorders>
              <w:top w:val="nil"/>
              <w:left w:val="nil"/>
              <w:bottom w:val="nil"/>
              <w:right w:val="nil"/>
            </w:tcBorders>
            <w:shd w:val="clear" w:color="000000" w:fill="FFFFFF"/>
            <w:noWrap/>
            <w:vAlign w:val="center"/>
            <w:hideMark/>
          </w:tcPr>
          <w:p w14:paraId="67F184FF" w14:textId="20B84A4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0.17 (0.04, 0.27)</w:t>
            </w:r>
          </w:p>
        </w:tc>
        <w:tc>
          <w:tcPr>
            <w:tcW w:w="1350" w:type="dxa"/>
            <w:tcBorders>
              <w:top w:val="nil"/>
              <w:left w:val="nil"/>
              <w:bottom w:val="nil"/>
              <w:right w:val="nil"/>
            </w:tcBorders>
            <w:shd w:val="clear" w:color="000000" w:fill="FFFFFF"/>
            <w:noWrap/>
            <w:vAlign w:val="center"/>
            <w:hideMark/>
          </w:tcPr>
          <w:p w14:paraId="37881A81" w14:textId="120F0F8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296 (271, 324)</w:t>
            </w:r>
          </w:p>
        </w:tc>
        <w:tc>
          <w:tcPr>
            <w:tcW w:w="2160" w:type="dxa"/>
            <w:tcBorders>
              <w:top w:val="nil"/>
              <w:left w:val="nil"/>
              <w:bottom w:val="nil"/>
              <w:right w:val="nil"/>
            </w:tcBorders>
            <w:shd w:val="clear" w:color="000000" w:fill="FFFFFF"/>
            <w:noWrap/>
            <w:vAlign w:val="center"/>
            <w:hideMark/>
          </w:tcPr>
          <w:p w14:paraId="7B6DA7F8" w14:textId="2C6F1F6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0.61 (0.55, 0.66)</w:t>
            </w:r>
          </w:p>
        </w:tc>
      </w:tr>
      <w:tr w:rsidR="00511627" w:rsidRPr="00CD340B" w14:paraId="35DCB09F" w14:textId="77777777" w:rsidTr="00502835">
        <w:trPr>
          <w:trHeight w:val="300"/>
        </w:trPr>
        <w:tc>
          <w:tcPr>
            <w:tcW w:w="4243" w:type="dxa"/>
            <w:tcBorders>
              <w:top w:val="nil"/>
              <w:left w:val="nil"/>
              <w:bottom w:val="nil"/>
              <w:right w:val="nil"/>
            </w:tcBorders>
            <w:shd w:val="clear" w:color="000000" w:fill="FFFFFF"/>
            <w:noWrap/>
            <w:vAlign w:val="center"/>
            <w:hideMark/>
          </w:tcPr>
          <w:p w14:paraId="6186BDAB"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092742A9" w14:textId="0B3476E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4.83 (3.93, 5.79)</w:t>
            </w:r>
          </w:p>
        </w:tc>
        <w:tc>
          <w:tcPr>
            <w:tcW w:w="1530" w:type="dxa"/>
            <w:tcBorders>
              <w:top w:val="nil"/>
              <w:left w:val="nil"/>
              <w:bottom w:val="nil"/>
              <w:right w:val="nil"/>
            </w:tcBorders>
            <w:shd w:val="clear" w:color="000000" w:fill="FFFFFF"/>
            <w:noWrap/>
            <w:vAlign w:val="center"/>
            <w:hideMark/>
          </w:tcPr>
          <w:p w14:paraId="4234F256" w14:textId="7616101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0.18 (0.05, 0.29)</w:t>
            </w:r>
          </w:p>
        </w:tc>
        <w:tc>
          <w:tcPr>
            <w:tcW w:w="1350" w:type="dxa"/>
            <w:tcBorders>
              <w:top w:val="nil"/>
              <w:left w:val="nil"/>
              <w:bottom w:val="nil"/>
              <w:right w:val="nil"/>
            </w:tcBorders>
            <w:shd w:val="clear" w:color="000000" w:fill="FFFFFF"/>
            <w:noWrap/>
            <w:vAlign w:val="center"/>
            <w:hideMark/>
          </w:tcPr>
          <w:p w14:paraId="044195C7" w14:textId="6979AD37"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321 (289, 354)</w:t>
            </w:r>
          </w:p>
        </w:tc>
        <w:tc>
          <w:tcPr>
            <w:tcW w:w="2160" w:type="dxa"/>
            <w:tcBorders>
              <w:top w:val="nil"/>
              <w:left w:val="nil"/>
              <w:bottom w:val="nil"/>
              <w:right w:val="nil"/>
            </w:tcBorders>
            <w:shd w:val="clear" w:color="000000" w:fill="FFFFFF"/>
            <w:noWrap/>
            <w:vAlign w:val="center"/>
            <w:hideMark/>
          </w:tcPr>
          <w:p w14:paraId="631BA02C" w14:textId="4C700F3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0.59 (0.53, 0.66)</w:t>
            </w:r>
          </w:p>
        </w:tc>
      </w:tr>
      <w:tr w:rsidR="00511627" w:rsidRPr="00CD340B" w14:paraId="140E9F3A" w14:textId="77777777" w:rsidTr="00502835">
        <w:trPr>
          <w:trHeight w:val="300"/>
        </w:trPr>
        <w:tc>
          <w:tcPr>
            <w:tcW w:w="4243" w:type="dxa"/>
            <w:tcBorders>
              <w:top w:val="nil"/>
              <w:left w:val="nil"/>
              <w:bottom w:val="nil"/>
              <w:right w:val="nil"/>
            </w:tcBorders>
            <w:shd w:val="clear" w:color="000000" w:fill="FFFFFF"/>
            <w:noWrap/>
            <w:vAlign w:val="center"/>
            <w:hideMark/>
          </w:tcPr>
          <w:p w14:paraId="6E70882B"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6E24D39A" w14:textId="14FAE06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4.79 (3.93, 5.64)</w:t>
            </w:r>
          </w:p>
        </w:tc>
        <w:tc>
          <w:tcPr>
            <w:tcW w:w="1530" w:type="dxa"/>
            <w:tcBorders>
              <w:top w:val="nil"/>
              <w:left w:val="nil"/>
              <w:bottom w:val="nil"/>
              <w:right w:val="nil"/>
            </w:tcBorders>
            <w:shd w:val="clear" w:color="000000" w:fill="FFFFFF"/>
            <w:noWrap/>
            <w:vAlign w:val="center"/>
            <w:hideMark/>
          </w:tcPr>
          <w:p w14:paraId="15D6B010" w14:textId="770337D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0.17 (0.08, 0.29)</w:t>
            </w:r>
          </w:p>
        </w:tc>
        <w:tc>
          <w:tcPr>
            <w:tcW w:w="1350" w:type="dxa"/>
            <w:tcBorders>
              <w:top w:val="nil"/>
              <w:left w:val="nil"/>
              <w:bottom w:val="nil"/>
              <w:right w:val="nil"/>
            </w:tcBorders>
            <w:shd w:val="clear" w:color="000000" w:fill="FFFFFF"/>
            <w:noWrap/>
            <w:vAlign w:val="center"/>
            <w:hideMark/>
          </w:tcPr>
          <w:p w14:paraId="682D05B1" w14:textId="2171EC8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350 (318, 384)</w:t>
            </w:r>
          </w:p>
        </w:tc>
        <w:tc>
          <w:tcPr>
            <w:tcW w:w="2160" w:type="dxa"/>
            <w:tcBorders>
              <w:top w:val="nil"/>
              <w:left w:val="nil"/>
              <w:bottom w:val="nil"/>
              <w:right w:val="nil"/>
            </w:tcBorders>
            <w:shd w:val="clear" w:color="000000" w:fill="FFFFFF"/>
            <w:noWrap/>
            <w:vAlign w:val="center"/>
            <w:hideMark/>
          </w:tcPr>
          <w:p w14:paraId="224033C4" w14:textId="5CFC93F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0.59 (0.54, 0.65)</w:t>
            </w:r>
          </w:p>
        </w:tc>
      </w:tr>
      <w:tr w:rsidR="00511627" w:rsidRPr="00CD340B" w14:paraId="1182F5AC" w14:textId="77777777" w:rsidTr="00502835">
        <w:trPr>
          <w:trHeight w:val="300"/>
        </w:trPr>
        <w:tc>
          <w:tcPr>
            <w:tcW w:w="4243" w:type="dxa"/>
            <w:tcBorders>
              <w:top w:val="nil"/>
              <w:left w:val="nil"/>
              <w:bottom w:val="nil"/>
              <w:right w:val="nil"/>
            </w:tcBorders>
            <w:shd w:val="clear" w:color="000000" w:fill="FFFFFF"/>
            <w:noWrap/>
            <w:vAlign w:val="center"/>
            <w:hideMark/>
          </w:tcPr>
          <w:p w14:paraId="0FFF3051"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nil"/>
              <w:right w:val="nil"/>
            </w:tcBorders>
            <w:shd w:val="clear" w:color="000000" w:fill="FFFFFF"/>
            <w:noWrap/>
            <w:vAlign w:val="center"/>
            <w:hideMark/>
          </w:tcPr>
          <w:p w14:paraId="4BED4866" w14:textId="159D8B3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4.67 (3.96, 5.66)</w:t>
            </w:r>
          </w:p>
        </w:tc>
        <w:tc>
          <w:tcPr>
            <w:tcW w:w="1530" w:type="dxa"/>
            <w:tcBorders>
              <w:top w:val="nil"/>
              <w:left w:val="nil"/>
              <w:bottom w:val="nil"/>
              <w:right w:val="nil"/>
            </w:tcBorders>
            <w:shd w:val="clear" w:color="000000" w:fill="FFFFFF"/>
            <w:noWrap/>
            <w:vAlign w:val="center"/>
            <w:hideMark/>
          </w:tcPr>
          <w:p w14:paraId="68FF5B00" w14:textId="019ED41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0.18 (0.05, 0.29)</w:t>
            </w:r>
          </w:p>
        </w:tc>
        <w:tc>
          <w:tcPr>
            <w:tcW w:w="1350" w:type="dxa"/>
            <w:tcBorders>
              <w:top w:val="nil"/>
              <w:left w:val="nil"/>
              <w:bottom w:val="nil"/>
              <w:right w:val="nil"/>
            </w:tcBorders>
            <w:shd w:val="clear" w:color="000000" w:fill="FFFFFF"/>
            <w:noWrap/>
            <w:vAlign w:val="center"/>
            <w:hideMark/>
          </w:tcPr>
          <w:p w14:paraId="2753090F" w14:textId="150F3FD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382 (347, 416)</w:t>
            </w:r>
          </w:p>
        </w:tc>
        <w:tc>
          <w:tcPr>
            <w:tcW w:w="2160" w:type="dxa"/>
            <w:tcBorders>
              <w:top w:val="nil"/>
              <w:left w:val="nil"/>
              <w:bottom w:val="nil"/>
              <w:right w:val="nil"/>
            </w:tcBorders>
            <w:shd w:val="clear" w:color="000000" w:fill="FFFFFF"/>
            <w:noWrap/>
            <w:vAlign w:val="center"/>
            <w:hideMark/>
          </w:tcPr>
          <w:p w14:paraId="378F5A2B" w14:textId="5A79BD2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0.60 (0.54, 0.66)</w:t>
            </w:r>
          </w:p>
        </w:tc>
      </w:tr>
      <w:tr w:rsidR="00511627" w:rsidRPr="00CD340B" w14:paraId="056D98B6" w14:textId="77777777" w:rsidTr="00502835">
        <w:trPr>
          <w:trHeight w:val="300"/>
        </w:trPr>
        <w:tc>
          <w:tcPr>
            <w:tcW w:w="4243" w:type="dxa"/>
            <w:tcBorders>
              <w:top w:val="nil"/>
              <w:left w:val="nil"/>
              <w:bottom w:val="nil"/>
              <w:right w:val="nil"/>
            </w:tcBorders>
            <w:shd w:val="clear" w:color="000000" w:fill="FFFFFF"/>
            <w:noWrap/>
            <w:vAlign w:val="center"/>
            <w:hideMark/>
          </w:tcPr>
          <w:p w14:paraId="681776FD" w14:textId="77777777" w:rsidR="00511627" w:rsidRPr="00CD340B" w:rsidRDefault="00511627" w:rsidP="00511627">
            <w:pPr>
              <w:rPr>
                <w:rFonts w:ascii="Helvetica Neue" w:hAnsi="Helvetica Neue"/>
                <w:b/>
                <w:bCs/>
                <w:sz w:val="18"/>
                <w:szCs w:val="18"/>
              </w:rPr>
            </w:pPr>
            <w:r w:rsidRPr="00CD340B">
              <w:rPr>
                <w:rFonts w:ascii="Helvetica Neue" w:hAnsi="Helvetica Neue"/>
                <w:b/>
                <w:bCs/>
                <w:sz w:val="18"/>
                <w:szCs w:val="18"/>
              </w:rPr>
              <w:t>Coverage for Index Patients (Provision to Casual Partners Only)*</w:t>
            </w:r>
          </w:p>
        </w:tc>
        <w:tc>
          <w:tcPr>
            <w:tcW w:w="1517" w:type="dxa"/>
            <w:tcBorders>
              <w:top w:val="nil"/>
              <w:left w:val="nil"/>
              <w:bottom w:val="nil"/>
              <w:right w:val="nil"/>
            </w:tcBorders>
            <w:shd w:val="clear" w:color="000000" w:fill="FFFFFF"/>
            <w:noWrap/>
            <w:vAlign w:val="center"/>
            <w:hideMark/>
          </w:tcPr>
          <w:p w14:paraId="673CA7E4" w14:textId="2E7D3902"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530" w:type="dxa"/>
            <w:tcBorders>
              <w:top w:val="nil"/>
              <w:left w:val="nil"/>
              <w:bottom w:val="nil"/>
              <w:right w:val="nil"/>
            </w:tcBorders>
            <w:shd w:val="clear" w:color="000000" w:fill="FFFFFF"/>
            <w:noWrap/>
            <w:vAlign w:val="center"/>
            <w:hideMark/>
          </w:tcPr>
          <w:p w14:paraId="1D01C9D2" w14:textId="58FA8921"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350" w:type="dxa"/>
            <w:tcBorders>
              <w:top w:val="nil"/>
              <w:left w:val="nil"/>
              <w:bottom w:val="nil"/>
              <w:right w:val="nil"/>
            </w:tcBorders>
            <w:shd w:val="clear" w:color="000000" w:fill="FFFFFF"/>
            <w:noWrap/>
            <w:vAlign w:val="center"/>
            <w:hideMark/>
          </w:tcPr>
          <w:p w14:paraId="68A837A8" w14:textId="1FB6E5A8"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2160" w:type="dxa"/>
            <w:tcBorders>
              <w:top w:val="nil"/>
              <w:left w:val="nil"/>
              <w:bottom w:val="nil"/>
              <w:right w:val="nil"/>
            </w:tcBorders>
            <w:shd w:val="clear" w:color="000000" w:fill="FFFFFF"/>
            <w:noWrap/>
            <w:vAlign w:val="center"/>
            <w:hideMark/>
          </w:tcPr>
          <w:p w14:paraId="186C14FB" w14:textId="608B315C"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r>
      <w:tr w:rsidR="00511627" w:rsidRPr="00CD340B" w14:paraId="770A38DE" w14:textId="77777777" w:rsidTr="00502835">
        <w:trPr>
          <w:trHeight w:val="300"/>
        </w:trPr>
        <w:tc>
          <w:tcPr>
            <w:tcW w:w="4243" w:type="dxa"/>
            <w:tcBorders>
              <w:top w:val="nil"/>
              <w:left w:val="nil"/>
              <w:bottom w:val="nil"/>
              <w:right w:val="nil"/>
            </w:tcBorders>
            <w:shd w:val="clear" w:color="000000" w:fill="FFFFFF"/>
            <w:noWrap/>
            <w:vAlign w:val="center"/>
            <w:hideMark/>
          </w:tcPr>
          <w:p w14:paraId="58882215"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799060A8" w14:textId="0C96D086"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5.99 (5.00, 6.96)</w:t>
            </w:r>
          </w:p>
        </w:tc>
        <w:tc>
          <w:tcPr>
            <w:tcW w:w="1530" w:type="dxa"/>
            <w:tcBorders>
              <w:top w:val="nil"/>
              <w:left w:val="nil"/>
              <w:bottom w:val="nil"/>
              <w:right w:val="nil"/>
            </w:tcBorders>
            <w:shd w:val="clear" w:color="000000" w:fill="FFFFFF"/>
            <w:noWrap/>
            <w:vAlign w:val="center"/>
            <w:hideMark/>
          </w:tcPr>
          <w:p w14:paraId="32D915DA" w14:textId="40F1E22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0.07 (-0.06, 0.19)</w:t>
            </w:r>
          </w:p>
        </w:tc>
        <w:tc>
          <w:tcPr>
            <w:tcW w:w="1350" w:type="dxa"/>
            <w:tcBorders>
              <w:top w:val="nil"/>
              <w:left w:val="nil"/>
              <w:bottom w:val="nil"/>
              <w:right w:val="nil"/>
            </w:tcBorders>
            <w:shd w:val="clear" w:color="000000" w:fill="FFFFFF"/>
            <w:noWrap/>
            <w:vAlign w:val="center"/>
            <w:hideMark/>
          </w:tcPr>
          <w:p w14:paraId="4D2819BF" w14:textId="119C4FF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174 (155, 186)</w:t>
            </w:r>
          </w:p>
        </w:tc>
        <w:tc>
          <w:tcPr>
            <w:tcW w:w="2160" w:type="dxa"/>
            <w:tcBorders>
              <w:top w:val="nil"/>
              <w:left w:val="nil"/>
              <w:bottom w:val="nil"/>
              <w:right w:val="nil"/>
            </w:tcBorders>
            <w:shd w:val="clear" w:color="000000" w:fill="FFFFFF"/>
            <w:noWrap/>
            <w:vAlign w:val="center"/>
            <w:hideMark/>
          </w:tcPr>
          <w:p w14:paraId="16708E27" w14:textId="3A0DC88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0.67 (0.62, 0.74)</w:t>
            </w:r>
          </w:p>
        </w:tc>
      </w:tr>
      <w:tr w:rsidR="00511627" w:rsidRPr="00CD340B" w14:paraId="0900113F" w14:textId="77777777" w:rsidTr="00502835">
        <w:trPr>
          <w:trHeight w:val="300"/>
        </w:trPr>
        <w:tc>
          <w:tcPr>
            <w:tcW w:w="4243" w:type="dxa"/>
            <w:tcBorders>
              <w:top w:val="nil"/>
              <w:left w:val="nil"/>
              <w:bottom w:val="nil"/>
              <w:right w:val="nil"/>
            </w:tcBorders>
            <w:shd w:val="clear" w:color="000000" w:fill="FFFFFF"/>
            <w:noWrap/>
            <w:vAlign w:val="center"/>
            <w:hideMark/>
          </w:tcPr>
          <w:p w14:paraId="5E34A085"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23FF0288" w14:textId="5BBE581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5.12 (4.14, 6.21)</w:t>
            </w:r>
          </w:p>
        </w:tc>
        <w:tc>
          <w:tcPr>
            <w:tcW w:w="1530" w:type="dxa"/>
            <w:tcBorders>
              <w:top w:val="nil"/>
              <w:left w:val="nil"/>
              <w:bottom w:val="nil"/>
              <w:right w:val="nil"/>
            </w:tcBorders>
            <w:shd w:val="clear" w:color="000000" w:fill="FFFFFF"/>
            <w:noWrap/>
            <w:vAlign w:val="center"/>
            <w:hideMark/>
          </w:tcPr>
          <w:p w14:paraId="0910EAAF" w14:textId="0367F3F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0.13 (-0.01, 0.24)</w:t>
            </w:r>
          </w:p>
        </w:tc>
        <w:tc>
          <w:tcPr>
            <w:tcW w:w="1350" w:type="dxa"/>
            <w:tcBorders>
              <w:top w:val="nil"/>
              <w:left w:val="nil"/>
              <w:bottom w:val="nil"/>
              <w:right w:val="nil"/>
            </w:tcBorders>
            <w:shd w:val="clear" w:color="000000" w:fill="FFFFFF"/>
            <w:noWrap/>
            <w:vAlign w:val="center"/>
            <w:hideMark/>
          </w:tcPr>
          <w:p w14:paraId="6907F5CB" w14:textId="2E06EC6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306 (278, 346)</w:t>
            </w:r>
          </w:p>
        </w:tc>
        <w:tc>
          <w:tcPr>
            <w:tcW w:w="2160" w:type="dxa"/>
            <w:tcBorders>
              <w:top w:val="nil"/>
              <w:left w:val="nil"/>
              <w:bottom w:val="nil"/>
              <w:right w:val="nil"/>
            </w:tcBorders>
            <w:shd w:val="clear" w:color="000000" w:fill="FFFFFF"/>
            <w:noWrap/>
            <w:vAlign w:val="center"/>
            <w:hideMark/>
          </w:tcPr>
          <w:p w14:paraId="716D4BC1" w14:textId="0469D8B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0.63 (0.57, 0.69)</w:t>
            </w:r>
          </w:p>
        </w:tc>
      </w:tr>
      <w:tr w:rsidR="00511627" w:rsidRPr="00CD340B" w14:paraId="354F2050" w14:textId="77777777" w:rsidTr="00502835">
        <w:trPr>
          <w:trHeight w:val="300"/>
        </w:trPr>
        <w:tc>
          <w:tcPr>
            <w:tcW w:w="4243" w:type="dxa"/>
            <w:tcBorders>
              <w:top w:val="nil"/>
              <w:left w:val="nil"/>
              <w:bottom w:val="nil"/>
              <w:right w:val="nil"/>
            </w:tcBorders>
            <w:shd w:val="clear" w:color="000000" w:fill="FFFFFF"/>
            <w:noWrap/>
            <w:vAlign w:val="center"/>
            <w:hideMark/>
          </w:tcPr>
          <w:p w14:paraId="62A2412D"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05AB4A65" w14:textId="4059323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4.60 (3.74, 5.59)</w:t>
            </w:r>
          </w:p>
        </w:tc>
        <w:tc>
          <w:tcPr>
            <w:tcW w:w="1530" w:type="dxa"/>
            <w:tcBorders>
              <w:top w:val="nil"/>
              <w:left w:val="nil"/>
              <w:bottom w:val="nil"/>
              <w:right w:val="nil"/>
            </w:tcBorders>
            <w:shd w:val="clear" w:color="000000" w:fill="FFFFFF"/>
            <w:noWrap/>
            <w:vAlign w:val="center"/>
            <w:hideMark/>
          </w:tcPr>
          <w:p w14:paraId="1751BF83" w14:textId="6731315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0.17 (0.05, 0.29)</w:t>
            </w:r>
          </w:p>
        </w:tc>
        <w:tc>
          <w:tcPr>
            <w:tcW w:w="1350" w:type="dxa"/>
            <w:tcBorders>
              <w:top w:val="nil"/>
              <w:left w:val="nil"/>
              <w:bottom w:val="nil"/>
              <w:right w:val="nil"/>
            </w:tcBorders>
            <w:shd w:val="clear" w:color="000000" w:fill="FFFFFF"/>
            <w:noWrap/>
            <w:vAlign w:val="center"/>
            <w:hideMark/>
          </w:tcPr>
          <w:p w14:paraId="362CCE9F" w14:textId="16FCC2D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424 (370, 465)</w:t>
            </w:r>
          </w:p>
        </w:tc>
        <w:tc>
          <w:tcPr>
            <w:tcW w:w="2160" w:type="dxa"/>
            <w:tcBorders>
              <w:top w:val="nil"/>
              <w:left w:val="nil"/>
              <w:bottom w:val="nil"/>
              <w:right w:val="nil"/>
            </w:tcBorders>
            <w:shd w:val="clear" w:color="000000" w:fill="FFFFFF"/>
            <w:noWrap/>
            <w:vAlign w:val="center"/>
            <w:hideMark/>
          </w:tcPr>
          <w:p w14:paraId="6FFF6EEB" w14:textId="333787D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0.60 (0.52, 0.67)</w:t>
            </w:r>
          </w:p>
        </w:tc>
      </w:tr>
      <w:tr w:rsidR="00511627" w:rsidRPr="00CD340B" w14:paraId="7E689612" w14:textId="77777777" w:rsidTr="00502835">
        <w:trPr>
          <w:trHeight w:val="300"/>
        </w:trPr>
        <w:tc>
          <w:tcPr>
            <w:tcW w:w="4243" w:type="dxa"/>
            <w:tcBorders>
              <w:top w:val="nil"/>
              <w:left w:val="nil"/>
              <w:bottom w:val="nil"/>
              <w:right w:val="nil"/>
            </w:tcBorders>
            <w:shd w:val="clear" w:color="000000" w:fill="FFFFFF"/>
            <w:noWrap/>
            <w:vAlign w:val="center"/>
            <w:hideMark/>
          </w:tcPr>
          <w:p w14:paraId="3797691E"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46A86563" w14:textId="7388F527"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4.20 (3.26, 4.96)</w:t>
            </w:r>
          </w:p>
        </w:tc>
        <w:tc>
          <w:tcPr>
            <w:tcW w:w="1530" w:type="dxa"/>
            <w:tcBorders>
              <w:top w:val="nil"/>
              <w:left w:val="nil"/>
              <w:bottom w:val="nil"/>
              <w:right w:val="nil"/>
            </w:tcBorders>
            <w:shd w:val="clear" w:color="000000" w:fill="FFFFFF"/>
            <w:noWrap/>
            <w:vAlign w:val="center"/>
            <w:hideMark/>
          </w:tcPr>
          <w:p w14:paraId="4546575D" w14:textId="5A36713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0.23 (0.12, 0.34)</w:t>
            </w:r>
          </w:p>
        </w:tc>
        <w:tc>
          <w:tcPr>
            <w:tcW w:w="1350" w:type="dxa"/>
            <w:tcBorders>
              <w:top w:val="nil"/>
              <w:left w:val="nil"/>
              <w:bottom w:val="nil"/>
              <w:right w:val="nil"/>
            </w:tcBorders>
            <w:shd w:val="clear" w:color="000000" w:fill="FFFFFF"/>
            <w:noWrap/>
            <w:vAlign w:val="center"/>
            <w:hideMark/>
          </w:tcPr>
          <w:p w14:paraId="369260CE" w14:textId="785A467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505 (452, 560)</w:t>
            </w:r>
          </w:p>
        </w:tc>
        <w:tc>
          <w:tcPr>
            <w:tcW w:w="2160" w:type="dxa"/>
            <w:tcBorders>
              <w:top w:val="nil"/>
              <w:left w:val="nil"/>
              <w:bottom w:val="nil"/>
              <w:right w:val="nil"/>
            </w:tcBorders>
            <w:shd w:val="clear" w:color="000000" w:fill="FFFFFF"/>
            <w:noWrap/>
            <w:vAlign w:val="center"/>
            <w:hideMark/>
          </w:tcPr>
          <w:p w14:paraId="28988665" w14:textId="4835735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0.56 (0.50, 0.62)</w:t>
            </w:r>
          </w:p>
        </w:tc>
      </w:tr>
      <w:tr w:rsidR="00511627" w:rsidRPr="00CD340B" w14:paraId="4CC4FC99" w14:textId="77777777" w:rsidTr="00502835">
        <w:trPr>
          <w:trHeight w:val="300"/>
        </w:trPr>
        <w:tc>
          <w:tcPr>
            <w:tcW w:w="4243" w:type="dxa"/>
            <w:tcBorders>
              <w:top w:val="nil"/>
              <w:left w:val="nil"/>
              <w:bottom w:val="nil"/>
              <w:right w:val="nil"/>
            </w:tcBorders>
            <w:shd w:val="clear" w:color="000000" w:fill="FFFFFF"/>
            <w:noWrap/>
            <w:vAlign w:val="center"/>
            <w:hideMark/>
          </w:tcPr>
          <w:p w14:paraId="0D523863"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2649ED95" w14:textId="70A5D9C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3.91 (3.13, 4.71)</w:t>
            </w:r>
          </w:p>
        </w:tc>
        <w:tc>
          <w:tcPr>
            <w:tcW w:w="1530" w:type="dxa"/>
            <w:tcBorders>
              <w:top w:val="nil"/>
              <w:left w:val="nil"/>
              <w:bottom w:val="nil"/>
              <w:right w:val="nil"/>
            </w:tcBorders>
            <w:shd w:val="clear" w:color="000000" w:fill="FFFFFF"/>
            <w:noWrap/>
            <w:vAlign w:val="center"/>
            <w:hideMark/>
          </w:tcPr>
          <w:p w14:paraId="7D2C28C5" w14:textId="73849CF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0.24 (0.13, 0.36)</w:t>
            </w:r>
          </w:p>
        </w:tc>
        <w:tc>
          <w:tcPr>
            <w:tcW w:w="1350" w:type="dxa"/>
            <w:tcBorders>
              <w:top w:val="nil"/>
              <w:left w:val="nil"/>
              <w:bottom w:val="nil"/>
              <w:right w:val="nil"/>
            </w:tcBorders>
            <w:shd w:val="clear" w:color="000000" w:fill="FFFFFF"/>
            <w:noWrap/>
            <w:vAlign w:val="center"/>
            <w:hideMark/>
          </w:tcPr>
          <w:p w14:paraId="2224FDE3" w14:textId="3EB4A6D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598 (542, 661)</w:t>
            </w:r>
          </w:p>
        </w:tc>
        <w:tc>
          <w:tcPr>
            <w:tcW w:w="2160" w:type="dxa"/>
            <w:tcBorders>
              <w:top w:val="nil"/>
              <w:left w:val="nil"/>
              <w:bottom w:val="nil"/>
              <w:right w:val="nil"/>
            </w:tcBorders>
            <w:shd w:val="clear" w:color="000000" w:fill="FFFFFF"/>
            <w:noWrap/>
            <w:vAlign w:val="center"/>
            <w:hideMark/>
          </w:tcPr>
          <w:p w14:paraId="002CABBC" w14:textId="12884DB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0.54 (0.50, 0.61)</w:t>
            </w:r>
          </w:p>
        </w:tc>
      </w:tr>
      <w:tr w:rsidR="00511627" w:rsidRPr="00CD340B" w14:paraId="69A9043F" w14:textId="77777777" w:rsidTr="00502835">
        <w:trPr>
          <w:trHeight w:val="300"/>
        </w:trPr>
        <w:tc>
          <w:tcPr>
            <w:tcW w:w="4243" w:type="dxa"/>
            <w:tcBorders>
              <w:top w:val="nil"/>
              <w:left w:val="nil"/>
              <w:bottom w:val="nil"/>
              <w:right w:val="nil"/>
            </w:tcBorders>
            <w:shd w:val="clear" w:color="000000" w:fill="FFFFFF"/>
            <w:noWrap/>
            <w:vAlign w:val="center"/>
            <w:hideMark/>
          </w:tcPr>
          <w:p w14:paraId="3C1B675B"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0258D3E5" w14:textId="7C19F18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3.57 (2.82, 4.36)</w:t>
            </w:r>
          </w:p>
        </w:tc>
        <w:tc>
          <w:tcPr>
            <w:tcW w:w="1530" w:type="dxa"/>
            <w:tcBorders>
              <w:top w:val="nil"/>
              <w:left w:val="nil"/>
              <w:bottom w:val="nil"/>
              <w:right w:val="nil"/>
            </w:tcBorders>
            <w:shd w:val="clear" w:color="000000" w:fill="FFFFFF"/>
            <w:noWrap/>
            <w:vAlign w:val="center"/>
            <w:hideMark/>
          </w:tcPr>
          <w:p w14:paraId="24C5B6C2" w14:textId="53B0291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0.28 (0.16, 0.37)</w:t>
            </w:r>
          </w:p>
        </w:tc>
        <w:tc>
          <w:tcPr>
            <w:tcW w:w="1350" w:type="dxa"/>
            <w:tcBorders>
              <w:top w:val="nil"/>
              <w:left w:val="nil"/>
              <w:bottom w:val="nil"/>
              <w:right w:val="nil"/>
            </w:tcBorders>
            <w:shd w:val="clear" w:color="000000" w:fill="FFFFFF"/>
            <w:noWrap/>
            <w:vAlign w:val="center"/>
            <w:hideMark/>
          </w:tcPr>
          <w:p w14:paraId="5000FDA8" w14:textId="14CBB9B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668 (604, 740)</w:t>
            </w:r>
          </w:p>
        </w:tc>
        <w:tc>
          <w:tcPr>
            <w:tcW w:w="2160" w:type="dxa"/>
            <w:tcBorders>
              <w:top w:val="nil"/>
              <w:left w:val="nil"/>
              <w:bottom w:val="nil"/>
              <w:right w:val="nil"/>
            </w:tcBorders>
            <w:shd w:val="clear" w:color="000000" w:fill="FFFFFF"/>
            <w:noWrap/>
            <w:vAlign w:val="center"/>
            <w:hideMark/>
          </w:tcPr>
          <w:p w14:paraId="510FE3F5" w14:textId="20A59C6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0.53 (0.48, 0.58)</w:t>
            </w:r>
          </w:p>
        </w:tc>
      </w:tr>
      <w:tr w:rsidR="00511627" w:rsidRPr="00CD340B" w14:paraId="730B24CB" w14:textId="77777777" w:rsidTr="00502835">
        <w:trPr>
          <w:trHeight w:val="300"/>
        </w:trPr>
        <w:tc>
          <w:tcPr>
            <w:tcW w:w="4243" w:type="dxa"/>
            <w:tcBorders>
              <w:top w:val="nil"/>
              <w:left w:val="nil"/>
              <w:bottom w:val="nil"/>
              <w:right w:val="nil"/>
            </w:tcBorders>
            <w:shd w:val="clear" w:color="000000" w:fill="FFFFFF"/>
            <w:noWrap/>
            <w:vAlign w:val="center"/>
            <w:hideMark/>
          </w:tcPr>
          <w:p w14:paraId="1414C15A"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7B4A52B6" w14:textId="197F88D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3.24 (2.64, 3.95)</w:t>
            </w:r>
          </w:p>
        </w:tc>
        <w:tc>
          <w:tcPr>
            <w:tcW w:w="1530" w:type="dxa"/>
            <w:tcBorders>
              <w:top w:val="nil"/>
              <w:left w:val="nil"/>
              <w:bottom w:val="nil"/>
              <w:right w:val="nil"/>
            </w:tcBorders>
            <w:shd w:val="clear" w:color="000000" w:fill="FFFFFF"/>
            <w:noWrap/>
            <w:vAlign w:val="center"/>
            <w:hideMark/>
          </w:tcPr>
          <w:p w14:paraId="6D541915" w14:textId="3AD759F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0.33 (0.21, 0.41)</w:t>
            </w:r>
          </w:p>
        </w:tc>
        <w:tc>
          <w:tcPr>
            <w:tcW w:w="1350" w:type="dxa"/>
            <w:tcBorders>
              <w:top w:val="nil"/>
              <w:left w:val="nil"/>
              <w:bottom w:val="nil"/>
              <w:right w:val="nil"/>
            </w:tcBorders>
            <w:shd w:val="clear" w:color="000000" w:fill="FFFFFF"/>
            <w:noWrap/>
            <w:vAlign w:val="center"/>
            <w:hideMark/>
          </w:tcPr>
          <w:p w14:paraId="4E533C54" w14:textId="7E97C60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718 (650, 793)</w:t>
            </w:r>
          </w:p>
        </w:tc>
        <w:tc>
          <w:tcPr>
            <w:tcW w:w="2160" w:type="dxa"/>
            <w:tcBorders>
              <w:top w:val="nil"/>
              <w:left w:val="nil"/>
              <w:bottom w:val="nil"/>
              <w:right w:val="nil"/>
            </w:tcBorders>
            <w:shd w:val="clear" w:color="000000" w:fill="FFFFFF"/>
            <w:noWrap/>
            <w:vAlign w:val="center"/>
            <w:hideMark/>
          </w:tcPr>
          <w:p w14:paraId="6A3E4C89" w14:textId="0C50AE2C"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0.50 (0.45, 0.55)</w:t>
            </w:r>
          </w:p>
        </w:tc>
      </w:tr>
      <w:tr w:rsidR="00511627" w:rsidRPr="00CD340B" w14:paraId="6205F4A1" w14:textId="77777777" w:rsidTr="00502835">
        <w:trPr>
          <w:trHeight w:val="300"/>
        </w:trPr>
        <w:tc>
          <w:tcPr>
            <w:tcW w:w="4243" w:type="dxa"/>
            <w:tcBorders>
              <w:top w:val="nil"/>
              <w:left w:val="nil"/>
              <w:bottom w:val="nil"/>
              <w:right w:val="nil"/>
            </w:tcBorders>
            <w:shd w:val="clear" w:color="000000" w:fill="FFFFFF"/>
            <w:noWrap/>
            <w:vAlign w:val="center"/>
            <w:hideMark/>
          </w:tcPr>
          <w:p w14:paraId="0D8F77B6"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53F02D40" w14:textId="5B5C45A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3.18 (2.52, 3.85)</w:t>
            </w:r>
          </w:p>
        </w:tc>
        <w:tc>
          <w:tcPr>
            <w:tcW w:w="1530" w:type="dxa"/>
            <w:tcBorders>
              <w:top w:val="nil"/>
              <w:left w:val="nil"/>
              <w:bottom w:val="nil"/>
              <w:right w:val="nil"/>
            </w:tcBorders>
            <w:shd w:val="clear" w:color="000000" w:fill="FFFFFF"/>
            <w:noWrap/>
            <w:vAlign w:val="center"/>
            <w:hideMark/>
          </w:tcPr>
          <w:p w14:paraId="4004C991" w14:textId="1EDC362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0.32 (0.22, 0.41)</w:t>
            </w:r>
          </w:p>
        </w:tc>
        <w:tc>
          <w:tcPr>
            <w:tcW w:w="1350" w:type="dxa"/>
            <w:tcBorders>
              <w:top w:val="nil"/>
              <w:left w:val="nil"/>
              <w:bottom w:val="nil"/>
              <w:right w:val="nil"/>
            </w:tcBorders>
            <w:shd w:val="clear" w:color="000000" w:fill="FFFFFF"/>
            <w:noWrap/>
            <w:vAlign w:val="center"/>
            <w:hideMark/>
          </w:tcPr>
          <w:p w14:paraId="12B586F0" w14:textId="2FF0E00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786 (718, 863)</w:t>
            </w:r>
          </w:p>
        </w:tc>
        <w:tc>
          <w:tcPr>
            <w:tcW w:w="2160" w:type="dxa"/>
            <w:tcBorders>
              <w:top w:val="nil"/>
              <w:left w:val="nil"/>
              <w:bottom w:val="nil"/>
              <w:right w:val="nil"/>
            </w:tcBorders>
            <w:shd w:val="clear" w:color="000000" w:fill="FFFFFF"/>
            <w:noWrap/>
            <w:vAlign w:val="center"/>
            <w:hideMark/>
          </w:tcPr>
          <w:p w14:paraId="59064EB2" w14:textId="01CD03A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0.50 (0.45, 0.55)</w:t>
            </w:r>
          </w:p>
        </w:tc>
      </w:tr>
      <w:tr w:rsidR="00511627" w:rsidRPr="00CD340B" w14:paraId="2CAD1294" w14:textId="77777777" w:rsidTr="00502835">
        <w:trPr>
          <w:trHeight w:val="300"/>
        </w:trPr>
        <w:tc>
          <w:tcPr>
            <w:tcW w:w="4243" w:type="dxa"/>
            <w:tcBorders>
              <w:top w:val="nil"/>
              <w:left w:val="nil"/>
              <w:bottom w:val="nil"/>
              <w:right w:val="nil"/>
            </w:tcBorders>
            <w:shd w:val="clear" w:color="000000" w:fill="FFFFFF"/>
            <w:noWrap/>
            <w:vAlign w:val="center"/>
            <w:hideMark/>
          </w:tcPr>
          <w:p w14:paraId="1986A8E5"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5E0A1BF3" w14:textId="7EB19A87"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2.98 (2.35, 3.56)</w:t>
            </w:r>
          </w:p>
        </w:tc>
        <w:tc>
          <w:tcPr>
            <w:tcW w:w="1530" w:type="dxa"/>
            <w:tcBorders>
              <w:top w:val="nil"/>
              <w:left w:val="nil"/>
              <w:bottom w:val="nil"/>
              <w:right w:val="nil"/>
            </w:tcBorders>
            <w:shd w:val="clear" w:color="000000" w:fill="FFFFFF"/>
            <w:noWrap/>
            <w:vAlign w:val="center"/>
            <w:hideMark/>
          </w:tcPr>
          <w:p w14:paraId="44DF3369" w14:textId="64B248C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0.34 (0.22, 0.41)</w:t>
            </w:r>
          </w:p>
        </w:tc>
        <w:tc>
          <w:tcPr>
            <w:tcW w:w="1350" w:type="dxa"/>
            <w:tcBorders>
              <w:top w:val="nil"/>
              <w:left w:val="nil"/>
              <w:bottom w:val="nil"/>
              <w:right w:val="nil"/>
            </w:tcBorders>
            <w:shd w:val="clear" w:color="000000" w:fill="FFFFFF"/>
            <w:noWrap/>
            <w:vAlign w:val="center"/>
            <w:hideMark/>
          </w:tcPr>
          <w:p w14:paraId="41C41FD5" w14:textId="10CD5D3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850 (779, 916)</w:t>
            </w:r>
          </w:p>
        </w:tc>
        <w:tc>
          <w:tcPr>
            <w:tcW w:w="2160" w:type="dxa"/>
            <w:tcBorders>
              <w:top w:val="nil"/>
              <w:left w:val="nil"/>
              <w:bottom w:val="nil"/>
              <w:right w:val="nil"/>
            </w:tcBorders>
            <w:shd w:val="clear" w:color="000000" w:fill="FFFFFF"/>
            <w:noWrap/>
            <w:vAlign w:val="center"/>
            <w:hideMark/>
          </w:tcPr>
          <w:p w14:paraId="1C05FC4F" w14:textId="292B6C3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0.49 (0.44, 0.53)</w:t>
            </w:r>
          </w:p>
        </w:tc>
      </w:tr>
      <w:tr w:rsidR="00511627" w:rsidRPr="00CD340B" w14:paraId="783BBB39" w14:textId="77777777" w:rsidTr="00502835">
        <w:trPr>
          <w:trHeight w:val="300"/>
        </w:trPr>
        <w:tc>
          <w:tcPr>
            <w:tcW w:w="4243" w:type="dxa"/>
            <w:tcBorders>
              <w:top w:val="nil"/>
              <w:left w:val="nil"/>
              <w:bottom w:val="nil"/>
              <w:right w:val="nil"/>
            </w:tcBorders>
            <w:shd w:val="clear" w:color="000000" w:fill="FFFFFF"/>
            <w:noWrap/>
            <w:vAlign w:val="center"/>
            <w:hideMark/>
          </w:tcPr>
          <w:p w14:paraId="06AE943B"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nil"/>
              <w:right w:val="nil"/>
            </w:tcBorders>
            <w:shd w:val="clear" w:color="000000" w:fill="FFFFFF"/>
            <w:noWrap/>
            <w:vAlign w:val="center"/>
            <w:hideMark/>
          </w:tcPr>
          <w:p w14:paraId="72795474" w14:textId="2F7FF66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2.99 (2.21, 3.70)</w:t>
            </w:r>
          </w:p>
        </w:tc>
        <w:tc>
          <w:tcPr>
            <w:tcW w:w="1530" w:type="dxa"/>
            <w:tcBorders>
              <w:top w:val="nil"/>
              <w:left w:val="nil"/>
              <w:bottom w:val="nil"/>
              <w:right w:val="nil"/>
            </w:tcBorders>
            <w:shd w:val="clear" w:color="000000" w:fill="FFFFFF"/>
            <w:noWrap/>
            <w:vAlign w:val="center"/>
            <w:hideMark/>
          </w:tcPr>
          <w:p w14:paraId="33A9C8BF" w14:textId="7D481B9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0.36 (0.25, 0.45)</w:t>
            </w:r>
          </w:p>
        </w:tc>
        <w:tc>
          <w:tcPr>
            <w:tcW w:w="1350" w:type="dxa"/>
            <w:tcBorders>
              <w:top w:val="nil"/>
              <w:left w:val="nil"/>
              <w:bottom w:val="nil"/>
              <w:right w:val="nil"/>
            </w:tcBorders>
            <w:shd w:val="clear" w:color="000000" w:fill="FFFFFF"/>
            <w:noWrap/>
            <w:vAlign w:val="center"/>
            <w:hideMark/>
          </w:tcPr>
          <w:p w14:paraId="138722BA" w14:textId="5E7E1CB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888 (801, 998)</w:t>
            </w:r>
          </w:p>
        </w:tc>
        <w:tc>
          <w:tcPr>
            <w:tcW w:w="2160" w:type="dxa"/>
            <w:tcBorders>
              <w:top w:val="nil"/>
              <w:left w:val="nil"/>
              <w:bottom w:val="nil"/>
              <w:right w:val="nil"/>
            </w:tcBorders>
            <w:shd w:val="clear" w:color="000000" w:fill="FFFFFF"/>
            <w:noWrap/>
            <w:vAlign w:val="center"/>
            <w:hideMark/>
          </w:tcPr>
          <w:p w14:paraId="424BFD28" w14:textId="01DFA0C7"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0.48 (0.42, 0.53)</w:t>
            </w:r>
          </w:p>
        </w:tc>
      </w:tr>
      <w:tr w:rsidR="00511627" w:rsidRPr="00CD340B" w14:paraId="347B8DDC" w14:textId="77777777" w:rsidTr="00502835">
        <w:trPr>
          <w:trHeight w:val="300"/>
        </w:trPr>
        <w:tc>
          <w:tcPr>
            <w:tcW w:w="4243" w:type="dxa"/>
            <w:tcBorders>
              <w:top w:val="nil"/>
              <w:left w:val="nil"/>
              <w:bottom w:val="nil"/>
              <w:right w:val="nil"/>
            </w:tcBorders>
            <w:shd w:val="clear" w:color="000000" w:fill="FFFFFF"/>
            <w:noWrap/>
            <w:vAlign w:val="center"/>
            <w:hideMark/>
          </w:tcPr>
          <w:p w14:paraId="268A75CA" w14:textId="77777777" w:rsidR="00511627" w:rsidRPr="00CD340B" w:rsidRDefault="00511627" w:rsidP="00511627">
            <w:pPr>
              <w:rPr>
                <w:rFonts w:ascii="Helvetica Neue" w:hAnsi="Helvetica Neue"/>
                <w:b/>
                <w:bCs/>
                <w:sz w:val="18"/>
                <w:szCs w:val="18"/>
              </w:rPr>
            </w:pPr>
            <w:r w:rsidRPr="00CD340B">
              <w:rPr>
                <w:rFonts w:ascii="Helvetica Neue" w:hAnsi="Helvetica Neue"/>
                <w:b/>
                <w:bCs/>
                <w:sz w:val="18"/>
                <w:szCs w:val="18"/>
              </w:rPr>
              <w:t>Coverage for Index Patients (Provision to One-Time Partners Only)*</w:t>
            </w:r>
          </w:p>
        </w:tc>
        <w:tc>
          <w:tcPr>
            <w:tcW w:w="1517" w:type="dxa"/>
            <w:tcBorders>
              <w:top w:val="nil"/>
              <w:left w:val="nil"/>
              <w:bottom w:val="nil"/>
              <w:right w:val="nil"/>
            </w:tcBorders>
            <w:shd w:val="clear" w:color="000000" w:fill="FFFFFF"/>
            <w:noWrap/>
            <w:vAlign w:val="center"/>
            <w:hideMark/>
          </w:tcPr>
          <w:p w14:paraId="28D5986E" w14:textId="3B62A47E"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530" w:type="dxa"/>
            <w:tcBorders>
              <w:top w:val="nil"/>
              <w:left w:val="nil"/>
              <w:bottom w:val="nil"/>
              <w:right w:val="nil"/>
            </w:tcBorders>
            <w:shd w:val="clear" w:color="000000" w:fill="FFFFFF"/>
            <w:noWrap/>
            <w:vAlign w:val="center"/>
            <w:hideMark/>
          </w:tcPr>
          <w:p w14:paraId="254589D5" w14:textId="77EBEE9F"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1350" w:type="dxa"/>
            <w:tcBorders>
              <w:top w:val="nil"/>
              <w:left w:val="nil"/>
              <w:bottom w:val="nil"/>
              <w:right w:val="nil"/>
            </w:tcBorders>
            <w:shd w:val="clear" w:color="000000" w:fill="FFFFFF"/>
            <w:noWrap/>
            <w:vAlign w:val="center"/>
            <w:hideMark/>
          </w:tcPr>
          <w:p w14:paraId="77C569FF" w14:textId="57CCDAFE"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c>
          <w:tcPr>
            <w:tcW w:w="2160" w:type="dxa"/>
            <w:tcBorders>
              <w:top w:val="nil"/>
              <w:left w:val="nil"/>
              <w:bottom w:val="nil"/>
              <w:right w:val="nil"/>
            </w:tcBorders>
            <w:shd w:val="clear" w:color="000000" w:fill="FFFFFF"/>
            <w:noWrap/>
            <w:vAlign w:val="center"/>
            <w:hideMark/>
          </w:tcPr>
          <w:p w14:paraId="6B804FA0" w14:textId="6187CE81" w:rsidR="00511627" w:rsidRPr="00CD340B" w:rsidRDefault="00511627" w:rsidP="00511627">
            <w:pPr>
              <w:rPr>
                <w:rFonts w:ascii="Helvetica Neue" w:hAnsi="Helvetica Neue"/>
                <w:b/>
                <w:bCs/>
                <w:sz w:val="18"/>
                <w:szCs w:val="18"/>
              </w:rPr>
            </w:pPr>
            <w:r w:rsidRPr="00511627">
              <w:rPr>
                <w:rFonts w:ascii="Helvetica Neue" w:hAnsi="Helvetica Neue" w:cs="Arial"/>
                <w:b/>
                <w:bCs/>
                <w:sz w:val="18"/>
                <w:szCs w:val="18"/>
              </w:rPr>
              <w:t> </w:t>
            </w:r>
          </w:p>
        </w:tc>
      </w:tr>
      <w:tr w:rsidR="00511627" w:rsidRPr="00CD340B" w14:paraId="5E2B33EA" w14:textId="77777777" w:rsidTr="00502835">
        <w:trPr>
          <w:trHeight w:val="300"/>
        </w:trPr>
        <w:tc>
          <w:tcPr>
            <w:tcW w:w="4243" w:type="dxa"/>
            <w:tcBorders>
              <w:top w:val="nil"/>
              <w:left w:val="nil"/>
              <w:bottom w:val="nil"/>
              <w:right w:val="nil"/>
            </w:tcBorders>
            <w:shd w:val="clear" w:color="000000" w:fill="FFFFFF"/>
            <w:noWrap/>
            <w:vAlign w:val="center"/>
            <w:hideMark/>
          </w:tcPr>
          <w:p w14:paraId="02FDF795"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w:t>
            </w:r>
          </w:p>
        </w:tc>
        <w:tc>
          <w:tcPr>
            <w:tcW w:w="1517" w:type="dxa"/>
            <w:tcBorders>
              <w:top w:val="nil"/>
              <w:left w:val="nil"/>
              <w:bottom w:val="nil"/>
              <w:right w:val="nil"/>
            </w:tcBorders>
            <w:shd w:val="clear" w:color="000000" w:fill="FFFFFF"/>
            <w:noWrap/>
            <w:vAlign w:val="center"/>
            <w:hideMark/>
          </w:tcPr>
          <w:p w14:paraId="640FCD9E" w14:textId="45719E6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6.62 (5.72, 7.73)</w:t>
            </w:r>
          </w:p>
        </w:tc>
        <w:tc>
          <w:tcPr>
            <w:tcW w:w="1530" w:type="dxa"/>
            <w:tcBorders>
              <w:top w:val="nil"/>
              <w:left w:val="nil"/>
              <w:bottom w:val="nil"/>
              <w:right w:val="nil"/>
            </w:tcBorders>
            <w:shd w:val="clear" w:color="000000" w:fill="FFFFFF"/>
            <w:noWrap/>
            <w:vAlign w:val="center"/>
            <w:hideMark/>
          </w:tcPr>
          <w:p w14:paraId="4D5012F9" w14:textId="04E5842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0.01 (-0.12, 0.13)</w:t>
            </w:r>
          </w:p>
        </w:tc>
        <w:tc>
          <w:tcPr>
            <w:tcW w:w="1350" w:type="dxa"/>
            <w:tcBorders>
              <w:top w:val="nil"/>
              <w:left w:val="nil"/>
              <w:bottom w:val="nil"/>
              <w:right w:val="nil"/>
            </w:tcBorders>
            <w:shd w:val="clear" w:color="000000" w:fill="FFFFFF"/>
            <w:noWrap/>
            <w:vAlign w:val="center"/>
            <w:hideMark/>
          </w:tcPr>
          <w:p w14:paraId="13F4AC82" w14:textId="5C6DCE2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65 (56, 72)</w:t>
            </w:r>
          </w:p>
        </w:tc>
        <w:tc>
          <w:tcPr>
            <w:tcW w:w="2160" w:type="dxa"/>
            <w:tcBorders>
              <w:top w:val="nil"/>
              <w:left w:val="nil"/>
              <w:bottom w:val="nil"/>
              <w:right w:val="nil"/>
            </w:tcBorders>
            <w:shd w:val="clear" w:color="000000" w:fill="FFFFFF"/>
            <w:noWrap/>
            <w:vAlign w:val="center"/>
            <w:hideMark/>
          </w:tcPr>
          <w:p w14:paraId="2C8AA6BC" w14:textId="31875CA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0.71 (0.65, 0.78)</w:t>
            </w:r>
          </w:p>
        </w:tc>
      </w:tr>
      <w:tr w:rsidR="00511627" w:rsidRPr="00CD340B" w14:paraId="4C4EA0E6" w14:textId="77777777" w:rsidTr="00502835">
        <w:trPr>
          <w:trHeight w:val="300"/>
        </w:trPr>
        <w:tc>
          <w:tcPr>
            <w:tcW w:w="4243" w:type="dxa"/>
            <w:tcBorders>
              <w:top w:val="nil"/>
              <w:left w:val="nil"/>
              <w:bottom w:val="nil"/>
              <w:right w:val="nil"/>
            </w:tcBorders>
            <w:shd w:val="clear" w:color="000000" w:fill="FFFFFF"/>
            <w:noWrap/>
            <w:vAlign w:val="center"/>
            <w:hideMark/>
          </w:tcPr>
          <w:p w14:paraId="3A738BFF"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20%</w:t>
            </w:r>
          </w:p>
        </w:tc>
        <w:tc>
          <w:tcPr>
            <w:tcW w:w="1517" w:type="dxa"/>
            <w:tcBorders>
              <w:top w:val="nil"/>
              <w:left w:val="nil"/>
              <w:bottom w:val="nil"/>
              <w:right w:val="nil"/>
            </w:tcBorders>
            <w:shd w:val="clear" w:color="000000" w:fill="FFFFFF"/>
            <w:noWrap/>
            <w:vAlign w:val="center"/>
            <w:hideMark/>
          </w:tcPr>
          <w:p w14:paraId="7DCE965E" w14:textId="15268EE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6.72 (5.72, 7.80)</w:t>
            </w:r>
          </w:p>
        </w:tc>
        <w:tc>
          <w:tcPr>
            <w:tcW w:w="1530" w:type="dxa"/>
            <w:tcBorders>
              <w:top w:val="nil"/>
              <w:left w:val="nil"/>
              <w:bottom w:val="nil"/>
              <w:right w:val="nil"/>
            </w:tcBorders>
            <w:shd w:val="clear" w:color="000000" w:fill="FFFFFF"/>
            <w:noWrap/>
            <w:vAlign w:val="center"/>
            <w:hideMark/>
          </w:tcPr>
          <w:p w14:paraId="796B8117" w14:textId="7576574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0.03 (-0.11, 0.13)</w:t>
            </w:r>
          </w:p>
        </w:tc>
        <w:tc>
          <w:tcPr>
            <w:tcW w:w="1350" w:type="dxa"/>
            <w:tcBorders>
              <w:top w:val="nil"/>
              <w:left w:val="nil"/>
              <w:bottom w:val="nil"/>
              <w:right w:val="nil"/>
            </w:tcBorders>
            <w:shd w:val="clear" w:color="000000" w:fill="FFFFFF"/>
            <w:noWrap/>
            <w:vAlign w:val="center"/>
            <w:hideMark/>
          </w:tcPr>
          <w:p w14:paraId="2C4453C1" w14:textId="5DA63F3E" w:rsidR="00511627" w:rsidRPr="00CD340B" w:rsidRDefault="00511627" w:rsidP="00511627">
            <w:pPr>
              <w:rPr>
                <w:rFonts w:ascii="Helvetica Neue" w:hAnsi="Helvetica Neue"/>
                <w:sz w:val="18"/>
                <w:szCs w:val="18"/>
              </w:rPr>
            </w:pPr>
            <w:r w:rsidRPr="00511627">
              <w:rPr>
                <w:rFonts w:ascii="Helvetica Neue" w:hAnsi="Helvetica Neue" w:cs="Arial"/>
                <w:sz w:val="18"/>
                <w:szCs w:val="18"/>
              </w:rPr>
              <w:t>121 (109, 135)</w:t>
            </w:r>
          </w:p>
        </w:tc>
        <w:tc>
          <w:tcPr>
            <w:tcW w:w="2160" w:type="dxa"/>
            <w:tcBorders>
              <w:top w:val="nil"/>
              <w:left w:val="nil"/>
              <w:bottom w:val="nil"/>
              <w:right w:val="nil"/>
            </w:tcBorders>
            <w:shd w:val="clear" w:color="000000" w:fill="FFFFFF"/>
            <w:noWrap/>
            <w:vAlign w:val="center"/>
            <w:hideMark/>
          </w:tcPr>
          <w:p w14:paraId="544DEB74" w14:textId="0023B0F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0.72 (0.66, 0.77)</w:t>
            </w:r>
          </w:p>
        </w:tc>
      </w:tr>
      <w:tr w:rsidR="00511627" w:rsidRPr="00CD340B" w14:paraId="013A670A" w14:textId="77777777" w:rsidTr="00502835">
        <w:trPr>
          <w:trHeight w:val="300"/>
        </w:trPr>
        <w:tc>
          <w:tcPr>
            <w:tcW w:w="4243" w:type="dxa"/>
            <w:tcBorders>
              <w:top w:val="nil"/>
              <w:left w:val="nil"/>
              <w:bottom w:val="nil"/>
              <w:right w:val="nil"/>
            </w:tcBorders>
            <w:shd w:val="clear" w:color="000000" w:fill="FFFFFF"/>
            <w:noWrap/>
            <w:vAlign w:val="center"/>
            <w:hideMark/>
          </w:tcPr>
          <w:p w14:paraId="7F7F76A3"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30%</w:t>
            </w:r>
          </w:p>
        </w:tc>
        <w:tc>
          <w:tcPr>
            <w:tcW w:w="1517" w:type="dxa"/>
            <w:tcBorders>
              <w:top w:val="nil"/>
              <w:left w:val="nil"/>
              <w:bottom w:val="nil"/>
              <w:right w:val="nil"/>
            </w:tcBorders>
            <w:shd w:val="clear" w:color="000000" w:fill="FFFFFF"/>
            <w:noWrap/>
            <w:vAlign w:val="center"/>
            <w:hideMark/>
          </w:tcPr>
          <w:p w14:paraId="57F7384F" w14:textId="434F115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6.50 (5.45, 7.42)</w:t>
            </w:r>
          </w:p>
        </w:tc>
        <w:tc>
          <w:tcPr>
            <w:tcW w:w="1530" w:type="dxa"/>
            <w:tcBorders>
              <w:top w:val="nil"/>
              <w:left w:val="nil"/>
              <w:bottom w:val="nil"/>
              <w:right w:val="nil"/>
            </w:tcBorders>
            <w:shd w:val="clear" w:color="000000" w:fill="FFFFFF"/>
            <w:noWrap/>
            <w:vAlign w:val="center"/>
            <w:hideMark/>
          </w:tcPr>
          <w:p w14:paraId="42381A85" w14:textId="1761B36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0.01 (-0.13, 0.16)</w:t>
            </w:r>
          </w:p>
        </w:tc>
        <w:tc>
          <w:tcPr>
            <w:tcW w:w="1350" w:type="dxa"/>
            <w:tcBorders>
              <w:top w:val="nil"/>
              <w:left w:val="nil"/>
              <w:bottom w:val="nil"/>
              <w:right w:val="nil"/>
            </w:tcBorders>
            <w:shd w:val="clear" w:color="000000" w:fill="FFFFFF"/>
            <w:noWrap/>
            <w:vAlign w:val="center"/>
            <w:hideMark/>
          </w:tcPr>
          <w:p w14:paraId="7D5E48C3" w14:textId="46934DDC" w:rsidR="00511627" w:rsidRPr="00CD340B" w:rsidRDefault="00511627" w:rsidP="00511627">
            <w:pPr>
              <w:rPr>
                <w:rFonts w:ascii="Helvetica Neue" w:hAnsi="Helvetica Neue"/>
                <w:sz w:val="18"/>
                <w:szCs w:val="18"/>
              </w:rPr>
            </w:pPr>
            <w:r w:rsidRPr="00511627">
              <w:rPr>
                <w:rFonts w:ascii="Helvetica Neue" w:hAnsi="Helvetica Neue" w:cs="Arial"/>
                <w:sz w:val="18"/>
                <w:szCs w:val="18"/>
              </w:rPr>
              <w:t>174 (156, 188)</w:t>
            </w:r>
          </w:p>
        </w:tc>
        <w:tc>
          <w:tcPr>
            <w:tcW w:w="2160" w:type="dxa"/>
            <w:tcBorders>
              <w:top w:val="nil"/>
              <w:left w:val="nil"/>
              <w:bottom w:val="nil"/>
              <w:right w:val="nil"/>
            </w:tcBorders>
            <w:shd w:val="clear" w:color="000000" w:fill="FFFFFF"/>
            <w:noWrap/>
            <w:vAlign w:val="center"/>
            <w:hideMark/>
          </w:tcPr>
          <w:p w14:paraId="251A68FD" w14:textId="654CA16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0.71 (0.65, 0.77)</w:t>
            </w:r>
          </w:p>
        </w:tc>
      </w:tr>
      <w:tr w:rsidR="00511627" w:rsidRPr="00CD340B" w14:paraId="48041B19" w14:textId="77777777" w:rsidTr="00502835">
        <w:trPr>
          <w:trHeight w:val="300"/>
        </w:trPr>
        <w:tc>
          <w:tcPr>
            <w:tcW w:w="4243" w:type="dxa"/>
            <w:tcBorders>
              <w:top w:val="nil"/>
              <w:left w:val="nil"/>
              <w:bottom w:val="nil"/>
              <w:right w:val="nil"/>
            </w:tcBorders>
            <w:shd w:val="clear" w:color="000000" w:fill="FFFFFF"/>
            <w:noWrap/>
            <w:vAlign w:val="center"/>
            <w:hideMark/>
          </w:tcPr>
          <w:p w14:paraId="388F95CB"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40%</w:t>
            </w:r>
          </w:p>
        </w:tc>
        <w:tc>
          <w:tcPr>
            <w:tcW w:w="1517" w:type="dxa"/>
            <w:tcBorders>
              <w:top w:val="nil"/>
              <w:left w:val="nil"/>
              <w:bottom w:val="nil"/>
              <w:right w:val="nil"/>
            </w:tcBorders>
            <w:shd w:val="clear" w:color="000000" w:fill="FFFFFF"/>
            <w:noWrap/>
            <w:vAlign w:val="center"/>
            <w:hideMark/>
          </w:tcPr>
          <w:p w14:paraId="77725832" w14:textId="4F8B7AD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6.35 (5.22, 7.57)</w:t>
            </w:r>
          </w:p>
        </w:tc>
        <w:tc>
          <w:tcPr>
            <w:tcW w:w="1530" w:type="dxa"/>
            <w:tcBorders>
              <w:top w:val="nil"/>
              <w:left w:val="nil"/>
              <w:bottom w:val="nil"/>
              <w:right w:val="nil"/>
            </w:tcBorders>
            <w:shd w:val="clear" w:color="000000" w:fill="FFFFFF"/>
            <w:noWrap/>
            <w:vAlign w:val="center"/>
            <w:hideMark/>
          </w:tcPr>
          <w:p w14:paraId="78AE7E75" w14:textId="28A9597D"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0.04 (-0.09, 0.15)</w:t>
            </w:r>
          </w:p>
        </w:tc>
        <w:tc>
          <w:tcPr>
            <w:tcW w:w="1350" w:type="dxa"/>
            <w:tcBorders>
              <w:top w:val="nil"/>
              <w:left w:val="nil"/>
              <w:bottom w:val="nil"/>
              <w:right w:val="nil"/>
            </w:tcBorders>
            <w:shd w:val="clear" w:color="000000" w:fill="FFFFFF"/>
            <w:noWrap/>
            <w:vAlign w:val="center"/>
            <w:hideMark/>
          </w:tcPr>
          <w:p w14:paraId="593637ED" w14:textId="7CCD13C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219 (199, 246)</w:t>
            </w:r>
          </w:p>
        </w:tc>
        <w:tc>
          <w:tcPr>
            <w:tcW w:w="2160" w:type="dxa"/>
            <w:tcBorders>
              <w:top w:val="nil"/>
              <w:left w:val="nil"/>
              <w:bottom w:val="nil"/>
              <w:right w:val="nil"/>
            </w:tcBorders>
            <w:shd w:val="clear" w:color="000000" w:fill="FFFFFF"/>
            <w:noWrap/>
            <w:vAlign w:val="center"/>
            <w:hideMark/>
          </w:tcPr>
          <w:p w14:paraId="100C6ED2" w14:textId="7102CED9"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0.69 (0.63, 0.76)</w:t>
            </w:r>
          </w:p>
        </w:tc>
      </w:tr>
      <w:tr w:rsidR="00511627" w:rsidRPr="00CD340B" w14:paraId="0046C6A5" w14:textId="77777777" w:rsidTr="00502835">
        <w:trPr>
          <w:trHeight w:val="300"/>
        </w:trPr>
        <w:tc>
          <w:tcPr>
            <w:tcW w:w="4243" w:type="dxa"/>
            <w:tcBorders>
              <w:top w:val="nil"/>
              <w:left w:val="nil"/>
              <w:bottom w:val="nil"/>
              <w:right w:val="nil"/>
            </w:tcBorders>
            <w:shd w:val="clear" w:color="000000" w:fill="FFFFFF"/>
            <w:noWrap/>
            <w:vAlign w:val="center"/>
            <w:hideMark/>
          </w:tcPr>
          <w:p w14:paraId="60905962"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50%</w:t>
            </w:r>
          </w:p>
        </w:tc>
        <w:tc>
          <w:tcPr>
            <w:tcW w:w="1517" w:type="dxa"/>
            <w:tcBorders>
              <w:top w:val="nil"/>
              <w:left w:val="nil"/>
              <w:bottom w:val="nil"/>
              <w:right w:val="nil"/>
            </w:tcBorders>
            <w:shd w:val="clear" w:color="000000" w:fill="FFFFFF"/>
            <w:noWrap/>
            <w:vAlign w:val="center"/>
            <w:hideMark/>
          </w:tcPr>
          <w:p w14:paraId="1CC1F37F" w14:textId="3A99A5B6"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6.45 (5.59, 7.46)</w:t>
            </w:r>
          </w:p>
        </w:tc>
        <w:tc>
          <w:tcPr>
            <w:tcW w:w="1530" w:type="dxa"/>
            <w:tcBorders>
              <w:top w:val="nil"/>
              <w:left w:val="nil"/>
              <w:bottom w:val="nil"/>
              <w:right w:val="nil"/>
            </w:tcBorders>
            <w:shd w:val="clear" w:color="000000" w:fill="FFFFFF"/>
            <w:noWrap/>
            <w:vAlign w:val="center"/>
            <w:hideMark/>
          </w:tcPr>
          <w:p w14:paraId="57A72262" w14:textId="7876885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0.00 (-0.11, 0.14)</w:t>
            </w:r>
          </w:p>
        </w:tc>
        <w:tc>
          <w:tcPr>
            <w:tcW w:w="1350" w:type="dxa"/>
            <w:tcBorders>
              <w:top w:val="nil"/>
              <w:left w:val="nil"/>
              <w:bottom w:val="nil"/>
              <w:right w:val="nil"/>
            </w:tcBorders>
            <w:shd w:val="clear" w:color="000000" w:fill="FFFFFF"/>
            <w:noWrap/>
            <w:vAlign w:val="center"/>
            <w:hideMark/>
          </w:tcPr>
          <w:p w14:paraId="41DEDBDF" w14:textId="439D0FD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272 (248, 292)</w:t>
            </w:r>
          </w:p>
        </w:tc>
        <w:tc>
          <w:tcPr>
            <w:tcW w:w="2160" w:type="dxa"/>
            <w:tcBorders>
              <w:top w:val="nil"/>
              <w:left w:val="nil"/>
              <w:bottom w:val="nil"/>
              <w:right w:val="nil"/>
            </w:tcBorders>
            <w:shd w:val="clear" w:color="000000" w:fill="FFFFFF"/>
            <w:noWrap/>
            <w:vAlign w:val="center"/>
            <w:hideMark/>
          </w:tcPr>
          <w:p w14:paraId="1DA5E4C9" w14:textId="763DD402"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0.72 (0.63, 0.77)</w:t>
            </w:r>
          </w:p>
        </w:tc>
      </w:tr>
      <w:tr w:rsidR="00511627" w:rsidRPr="00CD340B" w14:paraId="08FDA3D8" w14:textId="77777777" w:rsidTr="00502835">
        <w:trPr>
          <w:trHeight w:val="300"/>
        </w:trPr>
        <w:tc>
          <w:tcPr>
            <w:tcW w:w="4243" w:type="dxa"/>
            <w:tcBorders>
              <w:top w:val="nil"/>
              <w:left w:val="nil"/>
              <w:bottom w:val="nil"/>
              <w:right w:val="nil"/>
            </w:tcBorders>
            <w:shd w:val="clear" w:color="000000" w:fill="FFFFFF"/>
            <w:noWrap/>
            <w:vAlign w:val="center"/>
            <w:hideMark/>
          </w:tcPr>
          <w:p w14:paraId="363F5054"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60%</w:t>
            </w:r>
          </w:p>
        </w:tc>
        <w:tc>
          <w:tcPr>
            <w:tcW w:w="1517" w:type="dxa"/>
            <w:tcBorders>
              <w:top w:val="nil"/>
              <w:left w:val="nil"/>
              <w:bottom w:val="nil"/>
              <w:right w:val="nil"/>
            </w:tcBorders>
            <w:shd w:val="clear" w:color="000000" w:fill="FFFFFF"/>
            <w:noWrap/>
            <w:vAlign w:val="center"/>
            <w:hideMark/>
          </w:tcPr>
          <w:p w14:paraId="35F97CB0" w14:textId="115980D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6.29 (5.23, 7.41)</w:t>
            </w:r>
          </w:p>
        </w:tc>
        <w:tc>
          <w:tcPr>
            <w:tcW w:w="1530" w:type="dxa"/>
            <w:tcBorders>
              <w:top w:val="nil"/>
              <w:left w:val="nil"/>
              <w:bottom w:val="nil"/>
              <w:right w:val="nil"/>
            </w:tcBorders>
            <w:shd w:val="clear" w:color="000000" w:fill="FFFFFF"/>
            <w:noWrap/>
            <w:vAlign w:val="center"/>
            <w:hideMark/>
          </w:tcPr>
          <w:p w14:paraId="3F312974" w14:textId="4AFBBBF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0.05 (-0.11, 0.18)</w:t>
            </w:r>
          </w:p>
        </w:tc>
        <w:tc>
          <w:tcPr>
            <w:tcW w:w="1350" w:type="dxa"/>
            <w:tcBorders>
              <w:top w:val="nil"/>
              <w:left w:val="nil"/>
              <w:bottom w:val="nil"/>
              <w:right w:val="nil"/>
            </w:tcBorders>
            <w:shd w:val="clear" w:color="000000" w:fill="FFFFFF"/>
            <w:noWrap/>
            <w:vAlign w:val="center"/>
            <w:hideMark/>
          </w:tcPr>
          <w:p w14:paraId="5C1025D9" w14:textId="3B00807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308 (275, 338)</w:t>
            </w:r>
          </w:p>
        </w:tc>
        <w:tc>
          <w:tcPr>
            <w:tcW w:w="2160" w:type="dxa"/>
            <w:tcBorders>
              <w:top w:val="nil"/>
              <w:left w:val="nil"/>
              <w:bottom w:val="nil"/>
              <w:right w:val="nil"/>
            </w:tcBorders>
            <w:shd w:val="clear" w:color="000000" w:fill="FFFFFF"/>
            <w:noWrap/>
            <w:vAlign w:val="center"/>
            <w:hideMark/>
          </w:tcPr>
          <w:p w14:paraId="7288E672" w14:textId="45FF745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0.69 (0.62, 0.76)</w:t>
            </w:r>
          </w:p>
        </w:tc>
      </w:tr>
      <w:tr w:rsidR="00511627" w:rsidRPr="00CD340B" w14:paraId="0CA928F4" w14:textId="77777777" w:rsidTr="00502835">
        <w:trPr>
          <w:trHeight w:val="300"/>
        </w:trPr>
        <w:tc>
          <w:tcPr>
            <w:tcW w:w="4243" w:type="dxa"/>
            <w:tcBorders>
              <w:top w:val="nil"/>
              <w:left w:val="nil"/>
              <w:bottom w:val="nil"/>
              <w:right w:val="nil"/>
            </w:tcBorders>
            <w:shd w:val="clear" w:color="000000" w:fill="FFFFFF"/>
            <w:noWrap/>
            <w:vAlign w:val="center"/>
            <w:hideMark/>
          </w:tcPr>
          <w:p w14:paraId="058355D6"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70%</w:t>
            </w:r>
          </w:p>
        </w:tc>
        <w:tc>
          <w:tcPr>
            <w:tcW w:w="1517" w:type="dxa"/>
            <w:tcBorders>
              <w:top w:val="nil"/>
              <w:left w:val="nil"/>
              <w:bottom w:val="nil"/>
              <w:right w:val="nil"/>
            </w:tcBorders>
            <w:shd w:val="clear" w:color="000000" w:fill="FFFFFF"/>
            <w:noWrap/>
            <w:vAlign w:val="center"/>
            <w:hideMark/>
          </w:tcPr>
          <w:p w14:paraId="1A80A758" w14:textId="43875885"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6.19 (5.20, 7.38)</w:t>
            </w:r>
          </w:p>
        </w:tc>
        <w:tc>
          <w:tcPr>
            <w:tcW w:w="1530" w:type="dxa"/>
            <w:tcBorders>
              <w:top w:val="nil"/>
              <w:left w:val="nil"/>
              <w:bottom w:val="nil"/>
              <w:right w:val="nil"/>
            </w:tcBorders>
            <w:shd w:val="clear" w:color="000000" w:fill="FFFFFF"/>
            <w:noWrap/>
            <w:vAlign w:val="center"/>
            <w:hideMark/>
          </w:tcPr>
          <w:p w14:paraId="54A0A213" w14:textId="6E9C7C8B"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0.04 (-0.09, 0.16)</w:t>
            </w:r>
          </w:p>
        </w:tc>
        <w:tc>
          <w:tcPr>
            <w:tcW w:w="1350" w:type="dxa"/>
            <w:tcBorders>
              <w:top w:val="nil"/>
              <w:left w:val="nil"/>
              <w:bottom w:val="nil"/>
              <w:right w:val="nil"/>
            </w:tcBorders>
            <w:shd w:val="clear" w:color="000000" w:fill="FFFFFF"/>
            <w:noWrap/>
            <w:vAlign w:val="center"/>
            <w:hideMark/>
          </w:tcPr>
          <w:p w14:paraId="31769B34" w14:textId="5E5EDB46"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349 (317, 380)</w:t>
            </w:r>
          </w:p>
        </w:tc>
        <w:tc>
          <w:tcPr>
            <w:tcW w:w="2160" w:type="dxa"/>
            <w:tcBorders>
              <w:top w:val="nil"/>
              <w:left w:val="nil"/>
              <w:bottom w:val="nil"/>
              <w:right w:val="nil"/>
            </w:tcBorders>
            <w:shd w:val="clear" w:color="000000" w:fill="FFFFFF"/>
            <w:noWrap/>
            <w:vAlign w:val="center"/>
            <w:hideMark/>
          </w:tcPr>
          <w:p w14:paraId="2E2CEDBD" w14:textId="73985DB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0.70 (0.62, 0.76)</w:t>
            </w:r>
          </w:p>
        </w:tc>
      </w:tr>
      <w:tr w:rsidR="00511627" w:rsidRPr="00CD340B" w14:paraId="4CB740CA" w14:textId="77777777" w:rsidTr="00502835">
        <w:trPr>
          <w:trHeight w:val="300"/>
        </w:trPr>
        <w:tc>
          <w:tcPr>
            <w:tcW w:w="4243" w:type="dxa"/>
            <w:tcBorders>
              <w:top w:val="nil"/>
              <w:left w:val="nil"/>
              <w:bottom w:val="nil"/>
              <w:right w:val="nil"/>
            </w:tcBorders>
            <w:shd w:val="clear" w:color="000000" w:fill="FFFFFF"/>
            <w:noWrap/>
            <w:vAlign w:val="center"/>
            <w:hideMark/>
          </w:tcPr>
          <w:p w14:paraId="5094E272"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80%</w:t>
            </w:r>
          </w:p>
        </w:tc>
        <w:tc>
          <w:tcPr>
            <w:tcW w:w="1517" w:type="dxa"/>
            <w:tcBorders>
              <w:top w:val="nil"/>
              <w:left w:val="nil"/>
              <w:bottom w:val="nil"/>
              <w:right w:val="nil"/>
            </w:tcBorders>
            <w:shd w:val="clear" w:color="000000" w:fill="FFFFFF"/>
            <w:noWrap/>
            <w:vAlign w:val="center"/>
            <w:hideMark/>
          </w:tcPr>
          <w:p w14:paraId="7AC00607" w14:textId="07B5AC5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6.11 (5.02, 7.06)</w:t>
            </w:r>
          </w:p>
        </w:tc>
        <w:tc>
          <w:tcPr>
            <w:tcW w:w="1530" w:type="dxa"/>
            <w:tcBorders>
              <w:top w:val="nil"/>
              <w:left w:val="nil"/>
              <w:bottom w:val="nil"/>
              <w:right w:val="nil"/>
            </w:tcBorders>
            <w:shd w:val="clear" w:color="000000" w:fill="FFFFFF"/>
            <w:noWrap/>
            <w:vAlign w:val="center"/>
            <w:hideMark/>
          </w:tcPr>
          <w:p w14:paraId="33B439D9" w14:textId="25E3CAB8"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0.08 (-0.07, 0.17)</w:t>
            </w:r>
          </w:p>
        </w:tc>
        <w:tc>
          <w:tcPr>
            <w:tcW w:w="1350" w:type="dxa"/>
            <w:tcBorders>
              <w:top w:val="nil"/>
              <w:left w:val="nil"/>
              <w:bottom w:val="nil"/>
              <w:right w:val="nil"/>
            </w:tcBorders>
            <w:shd w:val="clear" w:color="000000" w:fill="FFFFFF"/>
            <w:noWrap/>
            <w:vAlign w:val="center"/>
            <w:hideMark/>
          </w:tcPr>
          <w:p w14:paraId="241C04B0" w14:textId="18C0596F" w:rsidR="00511627" w:rsidRPr="00CD340B" w:rsidRDefault="00511627" w:rsidP="00511627">
            <w:pPr>
              <w:rPr>
                <w:rFonts w:ascii="Helvetica Neue" w:hAnsi="Helvetica Neue"/>
                <w:sz w:val="18"/>
                <w:szCs w:val="18"/>
              </w:rPr>
            </w:pPr>
            <w:r w:rsidRPr="00511627">
              <w:rPr>
                <w:rFonts w:ascii="Helvetica Neue" w:hAnsi="Helvetica Neue" w:cs="Arial"/>
                <w:sz w:val="18"/>
                <w:szCs w:val="18"/>
              </w:rPr>
              <w:t>374 (347, 416)</w:t>
            </w:r>
          </w:p>
        </w:tc>
        <w:tc>
          <w:tcPr>
            <w:tcW w:w="2160" w:type="dxa"/>
            <w:tcBorders>
              <w:top w:val="nil"/>
              <w:left w:val="nil"/>
              <w:bottom w:val="nil"/>
              <w:right w:val="nil"/>
            </w:tcBorders>
            <w:shd w:val="clear" w:color="000000" w:fill="FFFFFF"/>
            <w:noWrap/>
            <w:vAlign w:val="center"/>
            <w:hideMark/>
          </w:tcPr>
          <w:p w14:paraId="61EC9905" w14:textId="279C671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0.67 (0.61, 0.74)</w:t>
            </w:r>
          </w:p>
        </w:tc>
      </w:tr>
      <w:tr w:rsidR="00511627" w:rsidRPr="00CD340B" w14:paraId="7684BC07" w14:textId="77777777" w:rsidTr="00502835">
        <w:trPr>
          <w:trHeight w:val="300"/>
        </w:trPr>
        <w:tc>
          <w:tcPr>
            <w:tcW w:w="4243" w:type="dxa"/>
            <w:tcBorders>
              <w:top w:val="nil"/>
              <w:left w:val="nil"/>
              <w:bottom w:val="nil"/>
              <w:right w:val="nil"/>
            </w:tcBorders>
            <w:shd w:val="clear" w:color="000000" w:fill="FFFFFF"/>
            <w:noWrap/>
            <w:vAlign w:val="center"/>
            <w:hideMark/>
          </w:tcPr>
          <w:p w14:paraId="2D3D5568"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90%</w:t>
            </w:r>
          </w:p>
        </w:tc>
        <w:tc>
          <w:tcPr>
            <w:tcW w:w="1517" w:type="dxa"/>
            <w:tcBorders>
              <w:top w:val="nil"/>
              <w:left w:val="nil"/>
              <w:bottom w:val="nil"/>
              <w:right w:val="nil"/>
            </w:tcBorders>
            <w:shd w:val="clear" w:color="000000" w:fill="FFFFFF"/>
            <w:noWrap/>
            <w:vAlign w:val="center"/>
            <w:hideMark/>
          </w:tcPr>
          <w:p w14:paraId="25025053" w14:textId="5636F18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6.39 (5.32, 7.47)</w:t>
            </w:r>
          </w:p>
        </w:tc>
        <w:tc>
          <w:tcPr>
            <w:tcW w:w="1530" w:type="dxa"/>
            <w:tcBorders>
              <w:top w:val="nil"/>
              <w:left w:val="nil"/>
              <w:bottom w:val="nil"/>
              <w:right w:val="nil"/>
            </w:tcBorders>
            <w:shd w:val="clear" w:color="000000" w:fill="FFFFFF"/>
            <w:noWrap/>
            <w:vAlign w:val="center"/>
            <w:hideMark/>
          </w:tcPr>
          <w:p w14:paraId="64D035F3" w14:textId="5889D224"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0.03 (-0.11, 0.15)</w:t>
            </w:r>
          </w:p>
        </w:tc>
        <w:tc>
          <w:tcPr>
            <w:tcW w:w="1350" w:type="dxa"/>
            <w:tcBorders>
              <w:top w:val="nil"/>
              <w:left w:val="nil"/>
              <w:bottom w:val="nil"/>
              <w:right w:val="nil"/>
            </w:tcBorders>
            <w:shd w:val="clear" w:color="000000" w:fill="FFFFFF"/>
            <w:noWrap/>
            <w:vAlign w:val="center"/>
            <w:hideMark/>
          </w:tcPr>
          <w:p w14:paraId="22B29527" w14:textId="18C5CB3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424 (392, 467)</w:t>
            </w:r>
          </w:p>
        </w:tc>
        <w:tc>
          <w:tcPr>
            <w:tcW w:w="2160" w:type="dxa"/>
            <w:tcBorders>
              <w:top w:val="nil"/>
              <w:left w:val="nil"/>
              <w:bottom w:val="nil"/>
              <w:right w:val="nil"/>
            </w:tcBorders>
            <w:shd w:val="clear" w:color="000000" w:fill="FFFFFF"/>
            <w:noWrap/>
            <w:vAlign w:val="center"/>
            <w:hideMark/>
          </w:tcPr>
          <w:p w14:paraId="3810C5E5" w14:textId="0ECD995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0.69 (0.64, 0.77)</w:t>
            </w:r>
          </w:p>
        </w:tc>
      </w:tr>
      <w:tr w:rsidR="00511627" w:rsidRPr="00CD340B" w14:paraId="34F993C4" w14:textId="77777777" w:rsidTr="00502835">
        <w:trPr>
          <w:trHeight w:val="315"/>
        </w:trPr>
        <w:tc>
          <w:tcPr>
            <w:tcW w:w="4243" w:type="dxa"/>
            <w:tcBorders>
              <w:top w:val="nil"/>
              <w:left w:val="nil"/>
              <w:bottom w:val="double" w:sz="6" w:space="0" w:color="auto"/>
              <w:right w:val="nil"/>
            </w:tcBorders>
            <w:shd w:val="clear" w:color="000000" w:fill="FFFFFF"/>
            <w:noWrap/>
            <w:vAlign w:val="center"/>
            <w:hideMark/>
          </w:tcPr>
          <w:p w14:paraId="5D2E5094" w14:textId="77777777" w:rsidR="00511627" w:rsidRPr="00CD340B" w:rsidRDefault="00511627" w:rsidP="00511627">
            <w:pPr>
              <w:ind w:firstLineChars="100" w:firstLine="180"/>
              <w:rPr>
                <w:rFonts w:ascii="Helvetica Neue" w:hAnsi="Helvetica Neue"/>
                <w:sz w:val="18"/>
                <w:szCs w:val="18"/>
              </w:rPr>
            </w:pPr>
            <w:r w:rsidRPr="00CD340B">
              <w:rPr>
                <w:rFonts w:ascii="Helvetica Neue" w:hAnsi="Helvetica Neue"/>
                <w:sz w:val="18"/>
                <w:szCs w:val="18"/>
              </w:rPr>
              <w:t>100%</w:t>
            </w:r>
          </w:p>
        </w:tc>
        <w:tc>
          <w:tcPr>
            <w:tcW w:w="1517" w:type="dxa"/>
            <w:tcBorders>
              <w:top w:val="nil"/>
              <w:left w:val="nil"/>
              <w:bottom w:val="double" w:sz="6" w:space="0" w:color="auto"/>
              <w:right w:val="nil"/>
            </w:tcBorders>
            <w:shd w:val="clear" w:color="000000" w:fill="FFFFFF"/>
            <w:noWrap/>
            <w:vAlign w:val="center"/>
            <w:hideMark/>
          </w:tcPr>
          <w:p w14:paraId="54D6174E" w14:textId="3640ED3A" w:rsidR="00511627" w:rsidRPr="00CD340B" w:rsidRDefault="00511627" w:rsidP="00511627">
            <w:pPr>
              <w:rPr>
                <w:rFonts w:ascii="Helvetica Neue" w:hAnsi="Helvetica Neue"/>
                <w:sz w:val="18"/>
                <w:szCs w:val="18"/>
              </w:rPr>
            </w:pPr>
            <w:r w:rsidRPr="00511627">
              <w:rPr>
                <w:rFonts w:ascii="Helvetica Neue" w:hAnsi="Helvetica Neue" w:cs="Arial"/>
                <w:sz w:val="18"/>
                <w:szCs w:val="18"/>
              </w:rPr>
              <w:t>6.31 (5.15, 7.10)</w:t>
            </w:r>
          </w:p>
        </w:tc>
        <w:tc>
          <w:tcPr>
            <w:tcW w:w="1530" w:type="dxa"/>
            <w:tcBorders>
              <w:top w:val="nil"/>
              <w:left w:val="nil"/>
              <w:bottom w:val="double" w:sz="6" w:space="0" w:color="auto"/>
              <w:right w:val="nil"/>
            </w:tcBorders>
            <w:shd w:val="clear" w:color="000000" w:fill="FFFFFF"/>
            <w:noWrap/>
            <w:vAlign w:val="center"/>
            <w:hideMark/>
          </w:tcPr>
          <w:p w14:paraId="3448E780" w14:textId="7B44AEE3"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0.06 (-0.11, 0.16)</w:t>
            </w:r>
          </w:p>
        </w:tc>
        <w:tc>
          <w:tcPr>
            <w:tcW w:w="1350" w:type="dxa"/>
            <w:tcBorders>
              <w:top w:val="nil"/>
              <w:left w:val="nil"/>
              <w:bottom w:val="double" w:sz="6" w:space="0" w:color="auto"/>
              <w:right w:val="nil"/>
            </w:tcBorders>
            <w:shd w:val="clear" w:color="000000" w:fill="FFFFFF"/>
            <w:noWrap/>
            <w:vAlign w:val="center"/>
            <w:hideMark/>
          </w:tcPr>
          <w:p w14:paraId="6BE5DD02" w14:textId="43BA14F0" w:rsidR="00511627" w:rsidRPr="00CD340B" w:rsidRDefault="00511627" w:rsidP="00511627">
            <w:pPr>
              <w:rPr>
                <w:rFonts w:ascii="Helvetica Neue" w:hAnsi="Helvetica Neue"/>
                <w:sz w:val="18"/>
                <w:szCs w:val="18"/>
              </w:rPr>
            </w:pPr>
            <w:r w:rsidRPr="00511627">
              <w:rPr>
                <w:rFonts w:ascii="Helvetica Neue" w:hAnsi="Helvetica Neue" w:cs="Arial"/>
                <w:sz w:val="18"/>
                <w:szCs w:val="18"/>
              </w:rPr>
              <w:t>454 (418, 492)</w:t>
            </w:r>
          </w:p>
        </w:tc>
        <w:tc>
          <w:tcPr>
            <w:tcW w:w="2160" w:type="dxa"/>
            <w:tcBorders>
              <w:top w:val="nil"/>
              <w:left w:val="nil"/>
              <w:bottom w:val="double" w:sz="6" w:space="0" w:color="auto"/>
              <w:right w:val="nil"/>
            </w:tcBorders>
            <w:shd w:val="clear" w:color="000000" w:fill="FFFFFF"/>
            <w:noWrap/>
            <w:vAlign w:val="center"/>
            <w:hideMark/>
          </w:tcPr>
          <w:p w14:paraId="6C5C88D0" w14:textId="36B00811" w:rsidR="00511627" w:rsidRPr="00CD340B" w:rsidRDefault="00511627" w:rsidP="00511627">
            <w:pPr>
              <w:rPr>
                <w:rFonts w:ascii="Helvetica Neue" w:hAnsi="Helvetica Neue"/>
                <w:sz w:val="18"/>
                <w:szCs w:val="18"/>
              </w:rPr>
            </w:pPr>
            <w:r w:rsidRPr="00511627">
              <w:rPr>
                <w:rFonts w:ascii="Helvetica Neue" w:hAnsi="Helvetica Neue" w:cs="Arial"/>
                <w:sz w:val="18"/>
                <w:szCs w:val="18"/>
              </w:rPr>
              <w:t>0.69 (0.62, 0.75)</w:t>
            </w:r>
          </w:p>
        </w:tc>
      </w:tr>
      <w:tr w:rsidR="00511627" w:rsidRPr="00CD340B" w14:paraId="432025A3" w14:textId="77777777" w:rsidTr="00502835">
        <w:trPr>
          <w:trHeight w:val="555"/>
        </w:trPr>
        <w:tc>
          <w:tcPr>
            <w:tcW w:w="10800" w:type="dxa"/>
            <w:gridSpan w:val="5"/>
            <w:tcBorders>
              <w:top w:val="nil"/>
              <w:left w:val="nil"/>
              <w:bottom w:val="nil"/>
              <w:right w:val="nil"/>
            </w:tcBorders>
            <w:shd w:val="clear" w:color="000000" w:fill="FFFFFF"/>
            <w:vAlign w:val="center"/>
            <w:hideMark/>
          </w:tcPr>
          <w:p w14:paraId="65A697F3" w14:textId="77777777" w:rsidR="00511627" w:rsidRPr="00CD340B" w:rsidRDefault="00511627" w:rsidP="00502835">
            <w:pPr>
              <w:rPr>
                <w:rFonts w:ascii="Helvetica Neue" w:hAnsi="Helvetica Neue"/>
                <w:sz w:val="18"/>
                <w:szCs w:val="18"/>
              </w:rPr>
            </w:pPr>
            <w:r w:rsidRPr="00CD340B">
              <w:rPr>
                <w:rFonts w:ascii="Helvetica Neue" w:hAnsi="Helvetica Neue"/>
                <w:sz w:val="18"/>
                <w:szCs w:val="18"/>
              </w:rPr>
              <w:t>IQR: interquartile range (25% and 75% percentiles) of the simulation outcomes; Incidence expressed per 100 person-years at risk at final year of simulation; All outcomes are compared to the reference model.* 0% Provision to Other Partnership Types</w:t>
            </w:r>
          </w:p>
        </w:tc>
      </w:tr>
    </w:tbl>
    <w:p w14:paraId="2A5085BA" w14:textId="7C94B6F4" w:rsidR="008F739B" w:rsidRDefault="008F739B" w:rsidP="007751E4">
      <w:pPr>
        <w:spacing w:line="360" w:lineRule="auto"/>
        <w:rPr>
          <w:rFonts w:ascii="Helvetica Neue" w:hAnsi="Helvetica Neue"/>
          <w:sz w:val="20"/>
        </w:rPr>
      </w:pPr>
    </w:p>
    <w:p w14:paraId="703B9F41" w14:textId="6B018B6D" w:rsidR="008F739B" w:rsidRDefault="008F739B" w:rsidP="007751E4">
      <w:pPr>
        <w:spacing w:line="360" w:lineRule="auto"/>
        <w:rPr>
          <w:rFonts w:ascii="Helvetica Neue" w:hAnsi="Helvetica Neue"/>
          <w:sz w:val="20"/>
        </w:rPr>
      </w:pPr>
    </w:p>
    <w:p w14:paraId="354EC5BE" w14:textId="21F38452" w:rsidR="008F739B" w:rsidRDefault="008F739B" w:rsidP="007751E4">
      <w:pPr>
        <w:spacing w:line="360" w:lineRule="auto"/>
        <w:rPr>
          <w:rFonts w:ascii="Helvetica Neue" w:hAnsi="Helvetica Neue"/>
          <w:sz w:val="20"/>
        </w:rPr>
      </w:pPr>
    </w:p>
    <w:p w14:paraId="16280BDE" w14:textId="16B26E7A" w:rsidR="008F739B" w:rsidRDefault="008F739B" w:rsidP="007751E4">
      <w:pPr>
        <w:spacing w:line="360" w:lineRule="auto"/>
        <w:rPr>
          <w:rFonts w:ascii="Helvetica Neue" w:hAnsi="Helvetica Neue"/>
          <w:sz w:val="20"/>
        </w:rPr>
      </w:pPr>
    </w:p>
    <w:p w14:paraId="5644FA56" w14:textId="75697970" w:rsidR="008F739B" w:rsidRDefault="008F739B" w:rsidP="007751E4">
      <w:pPr>
        <w:spacing w:line="360" w:lineRule="auto"/>
        <w:rPr>
          <w:rFonts w:ascii="Helvetica Neue" w:hAnsi="Helvetica Neue"/>
          <w:sz w:val="20"/>
        </w:rPr>
      </w:pPr>
    </w:p>
    <w:tbl>
      <w:tblPr>
        <w:tblW w:w="10440" w:type="dxa"/>
        <w:tblLook w:val="04A0" w:firstRow="1" w:lastRow="0" w:firstColumn="1" w:lastColumn="0" w:noHBand="0" w:noVBand="1"/>
      </w:tblPr>
      <w:tblGrid>
        <w:gridCol w:w="2700"/>
        <w:gridCol w:w="1530"/>
        <w:gridCol w:w="1890"/>
        <w:gridCol w:w="1980"/>
        <w:gridCol w:w="2340"/>
      </w:tblGrid>
      <w:tr w:rsidR="00EC6330" w:rsidRPr="00EC6330" w14:paraId="4B4E1F50" w14:textId="77777777" w:rsidTr="00EC6330">
        <w:trPr>
          <w:trHeight w:val="679"/>
        </w:trPr>
        <w:tc>
          <w:tcPr>
            <w:tcW w:w="10440" w:type="dxa"/>
            <w:gridSpan w:val="5"/>
            <w:tcBorders>
              <w:top w:val="nil"/>
              <w:left w:val="nil"/>
              <w:bottom w:val="nil"/>
              <w:right w:val="nil"/>
            </w:tcBorders>
            <w:shd w:val="clear" w:color="000000" w:fill="FFFFFF"/>
            <w:vAlign w:val="center"/>
            <w:hideMark/>
          </w:tcPr>
          <w:p w14:paraId="0707A4E8" w14:textId="37056025" w:rsidR="00EC6330" w:rsidRPr="00EC6330" w:rsidRDefault="00EC6330">
            <w:pPr>
              <w:rPr>
                <w:rFonts w:ascii="Helvetica Neue" w:hAnsi="Helvetica Neue" w:cs="Arial"/>
                <w:sz w:val="18"/>
                <w:szCs w:val="18"/>
              </w:rPr>
            </w:pPr>
            <w:r w:rsidRPr="00EC6330">
              <w:rPr>
                <w:rFonts w:ascii="Helvetica Neue" w:hAnsi="Helvetica Neue" w:cs="Arial"/>
                <w:b/>
                <w:bCs/>
                <w:sz w:val="18"/>
                <w:szCs w:val="18"/>
              </w:rPr>
              <w:t xml:space="preserve">Supplementary Table </w:t>
            </w:r>
            <w:r w:rsidRPr="00FC3939">
              <w:rPr>
                <w:rFonts w:ascii="Helvetica Neue" w:hAnsi="Helvetica Neue" w:cs="Arial"/>
                <w:b/>
                <w:bCs/>
                <w:sz w:val="18"/>
                <w:szCs w:val="18"/>
                <w:highlight w:val="yellow"/>
              </w:rPr>
              <w:t>1</w:t>
            </w:r>
            <w:r w:rsidR="00FE6CB3" w:rsidRPr="00FC3939">
              <w:rPr>
                <w:rFonts w:ascii="Helvetica Neue" w:hAnsi="Helvetica Neue" w:cs="Arial"/>
                <w:b/>
                <w:bCs/>
                <w:sz w:val="18"/>
                <w:szCs w:val="18"/>
                <w:highlight w:val="yellow"/>
              </w:rPr>
              <w:t>1</w:t>
            </w:r>
            <w:r w:rsidRPr="00EC6330">
              <w:rPr>
                <w:rFonts w:ascii="Helvetica Neue" w:hAnsi="Helvetica Neue" w:cs="Arial"/>
                <w:b/>
                <w:bCs/>
                <w:sz w:val="18"/>
                <w:szCs w:val="18"/>
              </w:rPr>
              <w:t>.</w:t>
            </w:r>
            <w:r w:rsidRPr="00EC6330">
              <w:rPr>
                <w:rFonts w:ascii="Helvetica Neue" w:hAnsi="Helvetica Neue" w:cs="Arial"/>
                <w:sz w:val="18"/>
                <w:szCs w:val="18"/>
              </w:rPr>
              <w:t xml:space="preserve"> Gonorrhea (NG) Incidence, Percent of Infections Averted (PIA), Expedited Partner Therapy (EPT) Doses Taken by Partners, and Per-Capita Number of Times Infected Across EPT Pr</w:t>
            </w:r>
            <w:r w:rsidR="00FC3939">
              <w:rPr>
                <w:rFonts w:ascii="Helvetica Neue" w:hAnsi="Helvetica Neue" w:cs="Arial"/>
                <w:sz w:val="18"/>
                <w:szCs w:val="18"/>
              </w:rPr>
              <w:t>o</w:t>
            </w:r>
            <w:r w:rsidRPr="00EC6330">
              <w:rPr>
                <w:rFonts w:ascii="Helvetica Neue" w:hAnsi="Helvetica Neue" w:cs="Arial"/>
                <w:sz w:val="18"/>
                <w:szCs w:val="18"/>
              </w:rPr>
              <w:t>vision (Distribution to Partner) Levels, Limited by Partnership Type, among Men Who Have Sex with Men</w:t>
            </w:r>
          </w:p>
        </w:tc>
      </w:tr>
      <w:tr w:rsidR="00EC6330" w:rsidRPr="00EC6330" w14:paraId="1FF1B682" w14:textId="77777777" w:rsidTr="00EC6330">
        <w:trPr>
          <w:trHeight w:val="720"/>
        </w:trPr>
        <w:tc>
          <w:tcPr>
            <w:tcW w:w="2700" w:type="dxa"/>
            <w:tcBorders>
              <w:top w:val="single" w:sz="4" w:space="0" w:color="auto"/>
              <w:left w:val="nil"/>
              <w:bottom w:val="single" w:sz="4" w:space="0" w:color="auto"/>
              <w:right w:val="nil"/>
            </w:tcBorders>
            <w:shd w:val="clear" w:color="000000" w:fill="FFFFFF"/>
            <w:noWrap/>
            <w:vAlign w:val="center"/>
            <w:hideMark/>
          </w:tcPr>
          <w:p w14:paraId="0F142166"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1530" w:type="dxa"/>
            <w:tcBorders>
              <w:top w:val="single" w:sz="4" w:space="0" w:color="auto"/>
              <w:left w:val="nil"/>
              <w:bottom w:val="single" w:sz="4" w:space="0" w:color="auto"/>
              <w:right w:val="nil"/>
            </w:tcBorders>
            <w:shd w:val="clear" w:color="auto" w:fill="auto"/>
            <w:vAlign w:val="center"/>
            <w:hideMark/>
          </w:tcPr>
          <w:p w14:paraId="1251F7A9" w14:textId="77777777" w:rsidR="00EC6330" w:rsidRPr="00EC6330" w:rsidRDefault="00EC6330">
            <w:pPr>
              <w:rPr>
                <w:rFonts w:ascii="Helvetica Neue" w:hAnsi="Helvetica Neue" w:cs="Arial"/>
                <w:i/>
                <w:iCs/>
                <w:sz w:val="18"/>
                <w:szCs w:val="18"/>
              </w:rPr>
            </w:pPr>
            <w:r w:rsidRPr="00EC6330">
              <w:rPr>
                <w:rFonts w:ascii="Helvetica Neue" w:hAnsi="Helvetica Neue" w:cs="Arial"/>
                <w:b/>
                <w:bCs/>
                <w:sz w:val="18"/>
                <w:szCs w:val="18"/>
              </w:rPr>
              <w:t xml:space="preserve">Incidence </w:t>
            </w:r>
            <w:r w:rsidRPr="00EC6330">
              <w:rPr>
                <w:rFonts w:ascii="Helvetica Neue" w:hAnsi="Helvetica Neue" w:cs="Arial"/>
                <w:i/>
                <w:iCs/>
                <w:sz w:val="18"/>
                <w:szCs w:val="18"/>
              </w:rPr>
              <w:br/>
              <w:t>(Median, IQR)</w:t>
            </w:r>
          </w:p>
        </w:tc>
        <w:tc>
          <w:tcPr>
            <w:tcW w:w="1890" w:type="dxa"/>
            <w:tcBorders>
              <w:top w:val="single" w:sz="4" w:space="0" w:color="auto"/>
              <w:left w:val="nil"/>
              <w:bottom w:val="single" w:sz="4" w:space="0" w:color="auto"/>
              <w:right w:val="nil"/>
            </w:tcBorders>
            <w:shd w:val="clear" w:color="auto" w:fill="auto"/>
            <w:vAlign w:val="center"/>
            <w:hideMark/>
          </w:tcPr>
          <w:p w14:paraId="6D96CB4F" w14:textId="77777777" w:rsidR="00EC6330" w:rsidRPr="00EC6330" w:rsidRDefault="00EC6330">
            <w:pPr>
              <w:rPr>
                <w:rFonts w:ascii="Helvetica Neue" w:hAnsi="Helvetica Neue" w:cs="Arial"/>
                <w:i/>
                <w:iCs/>
                <w:sz w:val="18"/>
                <w:szCs w:val="18"/>
              </w:rPr>
            </w:pPr>
            <w:r w:rsidRPr="00EC6330">
              <w:rPr>
                <w:rFonts w:ascii="Helvetica Neue" w:hAnsi="Helvetica Neue" w:cs="Arial"/>
                <w:b/>
                <w:bCs/>
                <w:sz w:val="18"/>
                <w:szCs w:val="18"/>
              </w:rPr>
              <w:t>Cumulative PIA</w:t>
            </w:r>
            <w:r w:rsidRPr="00EC6330">
              <w:rPr>
                <w:rFonts w:ascii="Helvetica Neue" w:hAnsi="Helvetica Neue" w:cs="Arial"/>
                <w:i/>
                <w:iCs/>
                <w:sz w:val="18"/>
                <w:szCs w:val="18"/>
              </w:rPr>
              <w:t xml:space="preserve"> (Median, IQR)</w:t>
            </w:r>
          </w:p>
        </w:tc>
        <w:tc>
          <w:tcPr>
            <w:tcW w:w="1980" w:type="dxa"/>
            <w:tcBorders>
              <w:top w:val="single" w:sz="4" w:space="0" w:color="auto"/>
              <w:left w:val="nil"/>
              <w:bottom w:val="single" w:sz="4" w:space="0" w:color="auto"/>
              <w:right w:val="nil"/>
            </w:tcBorders>
            <w:shd w:val="clear" w:color="auto" w:fill="auto"/>
            <w:vAlign w:val="center"/>
            <w:hideMark/>
          </w:tcPr>
          <w:p w14:paraId="4D028963" w14:textId="77777777" w:rsidR="00EC6330" w:rsidRPr="00EC6330" w:rsidRDefault="00EC6330">
            <w:pPr>
              <w:rPr>
                <w:rFonts w:ascii="Helvetica Neue" w:hAnsi="Helvetica Neue" w:cs="Arial"/>
                <w:i/>
                <w:iCs/>
                <w:sz w:val="18"/>
                <w:szCs w:val="18"/>
              </w:rPr>
            </w:pPr>
            <w:r w:rsidRPr="00EC6330">
              <w:rPr>
                <w:rFonts w:ascii="Helvetica Neue" w:hAnsi="Helvetica Neue" w:cs="Arial"/>
                <w:b/>
                <w:bCs/>
                <w:sz w:val="18"/>
                <w:szCs w:val="18"/>
              </w:rPr>
              <w:t>Total EPT Doses Taken</w:t>
            </w:r>
            <w:r w:rsidRPr="00EC6330">
              <w:rPr>
                <w:rFonts w:ascii="Helvetica Neue" w:hAnsi="Helvetica Neue" w:cs="Arial"/>
                <w:i/>
                <w:iCs/>
                <w:sz w:val="18"/>
                <w:szCs w:val="18"/>
              </w:rPr>
              <w:t xml:space="preserve"> (Median, IQR)</w:t>
            </w:r>
          </w:p>
        </w:tc>
        <w:tc>
          <w:tcPr>
            <w:tcW w:w="2340" w:type="dxa"/>
            <w:tcBorders>
              <w:top w:val="single" w:sz="4" w:space="0" w:color="auto"/>
              <w:left w:val="nil"/>
              <w:bottom w:val="single" w:sz="4" w:space="0" w:color="auto"/>
              <w:right w:val="nil"/>
            </w:tcBorders>
            <w:shd w:val="clear" w:color="auto" w:fill="auto"/>
            <w:vAlign w:val="center"/>
            <w:hideMark/>
          </w:tcPr>
          <w:p w14:paraId="755D862F" w14:textId="77777777" w:rsidR="00EC6330" w:rsidRPr="00EC6330" w:rsidRDefault="00EC6330" w:rsidP="00EC6330">
            <w:pPr>
              <w:ind w:right="-735"/>
              <w:rPr>
                <w:rFonts w:ascii="Helvetica Neue" w:hAnsi="Helvetica Neue" w:cs="Arial"/>
                <w:i/>
                <w:iCs/>
                <w:sz w:val="18"/>
                <w:szCs w:val="18"/>
              </w:rPr>
            </w:pPr>
            <w:r w:rsidRPr="00EC6330">
              <w:rPr>
                <w:rFonts w:ascii="Helvetica Neue" w:hAnsi="Helvetica Neue" w:cs="Arial"/>
                <w:b/>
                <w:bCs/>
                <w:sz w:val="18"/>
                <w:szCs w:val="18"/>
              </w:rPr>
              <w:t xml:space="preserve">Per-Capita Times Infected </w:t>
            </w:r>
            <w:r w:rsidRPr="00EC6330">
              <w:rPr>
                <w:rFonts w:ascii="Helvetica Neue" w:hAnsi="Helvetica Neue" w:cs="Arial"/>
                <w:i/>
                <w:iCs/>
                <w:sz w:val="18"/>
                <w:szCs w:val="18"/>
              </w:rPr>
              <w:br/>
              <w:t>(Median, IQR)</w:t>
            </w:r>
          </w:p>
        </w:tc>
      </w:tr>
      <w:tr w:rsidR="00EC6330" w:rsidRPr="00EC6330" w14:paraId="4DA7905A" w14:textId="77777777" w:rsidTr="00EC6330">
        <w:trPr>
          <w:trHeight w:val="360"/>
        </w:trPr>
        <w:tc>
          <w:tcPr>
            <w:tcW w:w="2700" w:type="dxa"/>
            <w:tcBorders>
              <w:top w:val="nil"/>
              <w:left w:val="nil"/>
              <w:bottom w:val="nil"/>
              <w:right w:val="nil"/>
            </w:tcBorders>
            <w:shd w:val="clear" w:color="000000" w:fill="FFFFFF"/>
            <w:vAlign w:val="center"/>
            <w:hideMark/>
          </w:tcPr>
          <w:p w14:paraId="16F34F67"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Reference Model</w:t>
            </w:r>
          </w:p>
        </w:tc>
        <w:tc>
          <w:tcPr>
            <w:tcW w:w="1530" w:type="dxa"/>
            <w:tcBorders>
              <w:top w:val="nil"/>
              <w:left w:val="nil"/>
              <w:bottom w:val="nil"/>
              <w:right w:val="nil"/>
            </w:tcBorders>
            <w:shd w:val="clear" w:color="000000" w:fill="FFFFFF"/>
            <w:noWrap/>
            <w:vAlign w:val="center"/>
            <w:hideMark/>
          </w:tcPr>
          <w:p w14:paraId="0F39E26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4.64 (2.66, 6.95)</w:t>
            </w:r>
          </w:p>
        </w:tc>
        <w:tc>
          <w:tcPr>
            <w:tcW w:w="1890" w:type="dxa"/>
            <w:tcBorders>
              <w:top w:val="nil"/>
              <w:left w:val="nil"/>
              <w:bottom w:val="nil"/>
              <w:right w:val="nil"/>
            </w:tcBorders>
            <w:shd w:val="clear" w:color="000000" w:fill="FFFFFF"/>
            <w:noWrap/>
            <w:vAlign w:val="center"/>
            <w:hideMark/>
          </w:tcPr>
          <w:p w14:paraId="3AAF8E44"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w:t>
            </w:r>
          </w:p>
        </w:tc>
        <w:tc>
          <w:tcPr>
            <w:tcW w:w="1980" w:type="dxa"/>
            <w:tcBorders>
              <w:top w:val="nil"/>
              <w:left w:val="nil"/>
              <w:bottom w:val="nil"/>
              <w:right w:val="nil"/>
            </w:tcBorders>
            <w:shd w:val="clear" w:color="000000" w:fill="FFFFFF"/>
            <w:noWrap/>
            <w:vAlign w:val="center"/>
            <w:hideMark/>
          </w:tcPr>
          <w:p w14:paraId="7BF1A26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w:t>
            </w:r>
          </w:p>
        </w:tc>
        <w:tc>
          <w:tcPr>
            <w:tcW w:w="2340" w:type="dxa"/>
            <w:tcBorders>
              <w:top w:val="nil"/>
              <w:left w:val="nil"/>
              <w:bottom w:val="nil"/>
              <w:right w:val="nil"/>
            </w:tcBorders>
            <w:shd w:val="clear" w:color="000000" w:fill="FFFFFF"/>
            <w:noWrap/>
            <w:vAlign w:val="center"/>
            <w:hideMark/>
          </w:tcPr>
          <w:p w14:paraId="7FF0A2EE"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0.47 (0.34, 0.59)</w:t>
            </w:r>
          </w:p>
        </w:tc>
      </w:tr>
      <w:tr w:rsidR="00EC6330" w:rsidRPr="00EC6330" w14:paraId="789FC19B" w14:textId="77777777" w:rsidTr="00EC6330">
        <w:trPr>
          <w:trHeight w:val="330"/>
        </w:trPr>
        <w:tc>
          <w:tcPr>
            <w:tcW w:w="2700" w:type="dxa"/>
            <w:tcBorders>
              <w:top w:val="nil"/>
              <w:left w:val="nil"/>
              <w:bottom w:val="nil"/>
              <w:right w:val="nil"/>
            </w:tcBorders>
            <w:shd w:val="clear" w:color="000000" w:fill="FFFFFF"/>
            <w:vAlign w:val="center"/>
            <w:hideMark/>
          </w:tcPr>
          <w:p w14:paraId="3059AB55"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Provision to Main Partners*</w:t>
            </w:r>
          </w:p>
        </w:tc>
        <w:tc>
          <w:tcPr>
            <w:tcW w:w="1530" w:type="dxa"/>
            <w:tcBorders>
              <w:top w:val="nil"/>
              <w:left w:val="nil"/>
              <w:bottom w:val="nil"/>
              <w:right w:val="nil"/>
            </w:tcBorders>
            <w:shd w:val="clear" w:color="000000" w:fill="FFFFFF"/>
            <w:vAlign w:val="center"/>
            <w:hideMark/>
          </w:tcPr>
          <w:p w14:paraId="7B0E9F29"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1890" w:type="dxa"/>
            <w:tcBorders>
              <w:top w:val="nil"/>
              <w:left w:val="nil"/>
              <w:bottom w:val="nil"/>
              <w:right w:val="nil"/>
            </w:tcBorders>
            <w:shd w:val="clear" w:color="000000" w:fill="FFFFFF"/>
            <w:vAlign w:val="center"/>
            <w:hideMark/>
          </w:tcPr>
          <w:p w14:paraId="7AFCEC70"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1980" w:type="dxa"/>
            <w:tcBorders>
              <w:top w:val="nil"/>
              <w:left w:val="nil"/>
              <w:bottom w:val="nil"/>
              <w:right w:val="nil"/>
            </w:tcBorders>
            <w:shd w:val="clear" w:color="000000" w:fill="FFFFFF"/>
            <w:vAlign w:val="center"/>
            <w:hideMark/>
          </w:tcPr>
          <w:p w14:paraId="54079154"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2340" w:type="dxa"/>
            <w:tcBorders>
              <w:top w:val="nil"/>
              <w:left w:val="nil"/>
              <w:bottom w:val="nil"/>
              <w:right w:val="nil"/>
            </w:tcBorders>
            <w:shd w:val="clear" w:color="000000" w:fill="FFFFFF"/>
            <w:vAlign w:val="center"/>
            <w:hideMark/>
          </w:tcPr>
          <w:p w14:paraId="415F1B1B"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r>
      <w:tr w:rsidR="00EC6330" w:rsidRPr="00EC6330" w14:paraId="68A41253" w14:textId="77777777" w:rsidTr="00EC6330">
        <w:trPr>
          <w:trHeight w:val="300"/>
        </w:trPr>
        <w:tc>
          <w:tcPr>
            <w:tcW w:w="2700" w:type="dxa"/>
            <w:tcBorders>
              <w:top w:val="nil"/>
              <w:left w:val="nil"/>
              <w:bottom w:val="nil"/>
              <w:right w:val="nil"/>
            </w:tcBorders>
            <w:shd w:val="clear" w:color="000000" w:fill="FFFFFF"/>
            <w:noWrap/>
            <w:vAlign w:val="center"/>
            <w:hideMark/>
          </w:tcPr>
          <w:p w14:paraId="23D35F9B"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50%</w:t>
            </w:r>
          </w:p>
        </w:tc>
        <w:tc>
          <w:tcPr>
            <w:tcW w:w="1530" w:type="dxa"/>
            <w:tcBorders>
              <w:top w:val="nil"/>
              <w:left w:val="nil"/>
              <w:bottom w:val="nil"/>
              <w:right w:val="nil"/>
            </w:tcBorders>
            <w:shd w:val="clear" w:color="000000" w:fill="FFFFFF"/>
            <w:noWrap/>
            <w:vAlign w:val="center"/>
            <w:hideMark/>
          </w:tcPr>
          <w:p w14:paraId="7F07805E"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3.16 (1.68, 5.07)</w:t>
            </w:r>
          </w:p>
        </w:tc>
        <w:tc>
          <w:tcPr>
            <w:tcW w:w="1890" w:type="dxa"/>
            <w:tcBorders>
              <w:top w:val="nil"/>
              <w:left w:val="nil"/>
              <w:bottom w:val="nil"/>
              <w:right w:val="nil"/>
            </w:tcBorders>
            <w:shd w:val="clear" w:color="000000" w:fill="FFFFFF"/>
            <w:noWrap/>
            <w:vAlign w:val="center"/>
            <w:hideMark/>
          </w:tcPr>
          <w:p w14:paraId="5DD485CA"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0.13 (-0.23, 0.46)</w:t>
            </w:r>
          </w:p>
        </w:tc>
        <w:tc>
          <w:tcPr>
            <w:tcW w:w="1980" w:type="dxa"/>
            <w:tcBorders>
              <w:top w:val="nil"/>
              <w:left w:val="nil"/>
              <w:bottom w:val="nil"/>
              <w:right w:val="nil"/>
            </w:tcBorders>
            <w:shd w:val="clear" w:color="000000" w:fill="FFFFFF"/>
            <w:noWrap/>
            <w:vAlign w:val="center"/>
            <w:hideMark/>
          </w:tcPr>
          <w:p w14:paraId="3D1D891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85 (69, 108)</w:t>
            </w:r>
          </w:p>
        </w:tc>
        <w:tc>
          <w:tcPr>
            <w:tcW w:w="2340" w:type="dxa"/>
            <w:tcBorders>
              <w:top w:val="nil"/>
              <w:left w:val="nil"/>
              <w:bottom w:val="nil"/>
              <w:right w:val="nil"/>
            </w:tcBorders>
            <w:shd w:val="clear" w:color="000000" w:fill="FFFFFF"/>
            <w:noWrap/>
            <w:vAlign w:val="center"/>
            <w:hideMark/>
          </w:tcPr>
          <w:p w14:paraId="3121617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0.37 (0.30, 0.49)</w:t>
            </w:r>
          </w:p>
        </w:tc>
      </w:tr>
      <w:tr w:rsidR="00EC6330" w:rsidRPr="00EC6330" w14:paraId="291C2F3F" w14:textId="77777777" w:rsidTr="00EC6330">
        <w:trPr>
          <w:trHeight w:val="300"/>
        </w:trPr>
        <w:tc>
          <w:tcPr>
            <w:tcW w:w="2700" w:type="dxa"/>
            <w:tcBorders>
              <w:top w:val="nil"/>
              <w:left w:val="nil"/>
              <w:bottom w:val="nil"/>
              <w:right w:val="nil"/>
            </w:tcBorders>
            <w:shd w:val="clear" w:color="000000" w:fill="FFFFFF"/>
            <w:noWrap/>
            <w:vAlign w:val="center"/>
            <w:hideMark/>
          </w:tcPr>
          <w:p w14:paraId="795FF807"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60%</w:t>
            </w:r>
          </w:p>
        </w:tc>
        <w:tc>
          <w:tcPr>
            <w:tcW w:w="1530" w:type="dxa"/>
            <w:tcBorders>
              <w:top w:val="nil"/>
              <w:left w:val="nil"/>
              <w:bottom w:val="nil"/>
              <w:right w:val="nil"/>
            </w:tcBorders>
            <w:shd w:val="clear" w:color="000000" w:fill="FFFFFF"/>
            <w:noWrap/>
            <w:vAlign w:val="center"/>
            <w:hideMark/>
          </w:tcPr>
          <w:p w14:paraId="71BB2ABD"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3.44 (2.08, 5.34)</w:t>
            </w:r>
          </w:p>
        </w:tc>
        <w:tc>
          <w:tcPr>
            <w:tcW w:w="1890" w:type="dxa"/>
            <w:tcBorders>
              <w:top w:val="nil"/>
              <w:left w:val="nil"/>
              <w:bottom w:val="nil"/>
              <w:right w:val="nil"/>
            </w:tcBorders>
            <w:shd w:val="clear" w:color="000000" w:fill="FFFFFF"/>
            <w:noWrap/>
            <w:vAlign w:val="center"/>
            <w:hideMark/>
          </w:tcPr>
          <w:p w14:paraId="34637ACA"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0.14 (-0.26, 0.38)</w:t>
            </w:r>
          </w:p>
        </w:tc>
        <w:tc>
          <w:tcPr>
            <w:tcW w:w="1980" w:type="dxa"/>
            <w:tcBorders>
              <w:top w:val="nil"/>
              <w:left w:val="nil"/>
              <w:bottom w:val="nil"/>
              <w:right w:val="nil"/>
            </w:tcBorders>
            <w:shd w:val="clear" w:color="000000" w:fill="FFFFFF"/>
            <w:noWrap/>
            <w:vAlign w:val="center"/>
            <w:hideMark/>
          </w:tcPr>
          <w:p w14:paraId="676A610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114 (81, 147)</w:t>
            </w:r>
          </w:p>
        </w:tc>
        <w:tc>
          <w:tcPr>
            <w:tcW w:w="2340" w:type="dxa"/>
            <w:tcBorders>
              <w:top w:val="nil"/>
              <w:left w:val="nil"/>
              <w:bottom w:val="nil"/>
              <w:right w:val="nil"/>
            </w:tcBorders>
            <w:shd w:val="clear" w:color="000000" w:fill="FFFFFF"/>
            <w:noWrap/>
            <w:vAlign w:val="center"/>
            <w:hideMark/>
          </w:tcPr>
          <w:p w14:paraId="7719854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0.41 (0.30, 0.53)</w:t>
            </w:r>
          </w:p>
        </w:tc>
      </w:tr>
      <w:tr w:rsidR="00EC6330" w:rsidRPr="00EC6330" w14:paraId="45596FD9" w14:textId="77777777" w:rsidTr="00EC6330">
        <w:trPr>
          <w:trHeight w:val="300"/>
        </w:trPr>
        <w:tc>
          <w:tcPr>
            <w:tcW w:w="2700" w:type="dxa"/>
            <w:tcBorders>
              <w:top w:val="nil"/>
              <w:left w:val="nil"/>
              <w:bottom w:val="nil"/>
              <w:right w:val="nil"/>
            </w:tcBorders>
            <w:shd w:val="clear" w:color="000000" w:fill="FFFFFF"/>
            <w:noWrap/>
            <w:vAlign w:val="center"/>
            <w:hideMark/>
          </w:tcPr>
          <w:p w14:paraId="394D4DFE"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70%</w:t>
            </w:r>
          </w:p>
        </w:tc>
        <w:tc>
          <w:tcPr>
            <w:tcW w:w="1530" w:type="dxa"/>
            <w:tcBorders>
              <w:top w:val="nil"/>
              <w:left w:val="nil"/>
              <w:bottom w:val="nil"/>
              <w:right w:val="nil"/>
            </w:tcBorders>
            <w:shd w:val="clear" w:color="000000" w:fill="FFFFFF"/>
            <w:noWrap/>
            <w:vAlign w:val="center"/>
            <w:hideMark/>
          </w:tcPr>
          <w:p w14:paraId="65B5D566"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3.24 (1.66, 4.79)</w:t>
            </w:r>
          </w:p>
        </w:tc>
        <w:tc>
          <w:tcPr>
            <w:tcW w:w="1890" w:type="dxa"/>
            <w:tcBorders>
              <w:top w:val="nil"/>
              <w:left w:val="nil"/>
              <w:bottom w:val="nil"/>
              <w:right w:val="nil"/>
            </w:tcBorders>
            <w:shd w:val="clear" w:color="000000" w:fill="FFFFFF"/>
            <w:noWrap/>
            <w:vAlign w:val="center"/>
            <w:hideMark/>
          </w:tcPr>
          <w:p w14:paraId="0BC898E1"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0.19 (-0.18, 0.42)</w:t>
            </w:r>
          </w:p>
        </w:tc>
        <w:tc>
          <w:tcPr>
            <w:tcW w:w="1980" w:type="dxa"/>
            <w:tcBorders>
              <w:top w:val="nil"/>
              <w:left w:val="nil"/>
              <w:bottom w:val="nil"/>
              <w:right w:val="nil"/>
            </w:tcBorders>
            <w:shd w:val="clear" w:color="000000" w:fill="FFFFFF"/>
            <w:noWrap/>
            <w:vAlign w:val="center"/>
            <w:hideMark/>
          </w:tcPr>
          <w:p w14:paraId="299D95A7"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123 (91, 158)</w:t>
            </w:r>
          </w:p>
        </w:tc>
        <w:tc>
          <w:tcPr>
            <w:tcW w:w="2340" w:type="dxa"/>
            <w:tcBorders>
              <w:top w:val="nil"/>
              <w:left w:val="nil"/>
              <w:bottom w:val="nil"/>
              <w:right w:val="nil"/>
            </w:tcBorders>
            <w:shd w:val="clear" w:color="000000" w:fill="FFFFFF"/>
            <w:noWrap/>
            <w:vAlign w:val="center"/>
            <w:hideMark/>
          </w:tcPr>
          <w:p w14:paraId="1D82FE1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0.38 (0.28, 0.49)</w:t>
            </w:r>
          </w:p>
        </w:tc>
      </w:tr>
      <w:tr w:rsidR="00EC6330" w:rsidRPr="00EC6330" w14:paraId="4B0D24D2" w14:textId="77777777" w:rsidTr="00EC6330">
        <w:trPr>
          <w:trHeight w:val="300"/>
        </w:trPr>
        <w:tc>
          <w:tcPr>
            <w:tcW w:w="2700" w:type="dxa"/>
            <w:tcBorders>
              <w:top w:val="nil"/>
              <w:left w:val="nil"/>
              <w:bottom w:val="nil"/>
              <w:right w:val="nil"/>
            </w:tcBorders>
            <w:shd w:val="clear" w:color="000000" w:fill="FFFFFF"/>
            <w:noWrap/>
            <w:vAlign w:val="center"/>
            <w:hideMark/>
          </w:tcPr>
          <w:p w14:paraId="1324AEFA"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80%</w:t>
            </w:r>
          </w:p>
        </w:tc>
        <w:tc>
          <w:tcPr>
            <w:tcW w:w="1530" w:type="dxa"/>
            <w:tcBorders>
              <w:top w:val="nil"/>
              <w:left w:val="nil"/>
              <w:bottom w:val="nil"/>
              <w:right w:val="nil"/>
            </w:tcBorders>
            <w:shd w:val="clear" w:color="000000" w:fill="FFFFFF"/>
            <w:noWrap/>
            <w:vAlign w:val="center"/>
            <w:hideMark/>
          </w:tcPr>
          <w:p w14:paraId="015969D1"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2.98 (1.40, 4.77)</w:t>
            </w:r>
          </w:p>
        </w:tc>
        <w:tc>
          <w:tcPr>
            <w:tcW w:w="1890" w:type="dxa"/>
            <w:tcBorders>
              <w:top w:val="nil"/>
              <w:left w:val="nil"/>
              <w:bottom w:val="nil"/>
              <w:right w:val="nil"/>
            </w:tcBorders>
            <w:shd w:val="clear" w:color="000000" w:fill="FFFFFF"/>
            <w:noWrap/>
            <w:vAlign w:val="center"/>
            <w:hideMark/>
          </w:tcPr>
          <w:p w14:paraId="5E3D24DB"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0.23 (-0.13, 0.48)</w:t>
            </w:r>
          </w:p>
        </w:tc>
        <w:tc>
          <w:tcPr>
            <w:tcW w:w="1980" w:type="dxa"/>
            <w:tcBorders>
              <w:top w:val="nil"/>
              <w:left w:val="nil"/>
              <w:bottom w:val="nil"/>
              <w:right w:val="nil"/>
            </w:tcBorders>
            <w:shd w:val="clear" w:color="000000" w:fill="FFFFFF"/>
            <w:noWrap/>
            <w:vAlign w:val="center"/>
            <w:hideMark/>
          </w:tcPr>
          <w:p w14:paraId="6ABBCCA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134 (102, 174)</w:t>
            </w:r>
          </w:p>
        </w:tc>
        <w:tc>
          <w:tcPr>
            <w:tcW w:w="2340" w:type="dxa"/>
            <w:tcBorders>
              <w:top w:val="nil"/>
              <w:left w:val="nil"/>
              <w:bottom w:val="nil"/>
              <w:right w:val="nil"/>
            </w:tcBorders>
            <w:shd w:val="clear" w:color="000000" w:fill="FFFFFF"/>
            <w:noWrap/>
            <w:vAlign w:val="center"/>
            <w:hideMark/>
          </w:tcPr>
          <w:p w14:paraId="41A7524D"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0.37 (0.27, 0.48)</w:t>
            </w:r>
          </w:p>
        </w:tc>
      </w:tr>
      <w:tr w:rsidR="00EC6330" w:rsidRPr="00EC6330" w14:paraId="10AB6F07" w14:textId="77777777" w:rsidTr="00EC6330">
        <w:trPr>
          <w:trHeight w:val="300"/>
        </w:trPr>
        <w:tc>
          <w:tcPr>
            <w:tcW w:w="2700" w:type="dxa"/>
            <w:tcBorders>
              <w:top w:val="nil"/>
              <w:left w:val="nil"/>
              <w:bottom w:val="nil"/>
              <w:right w:val="nil"/>
            </w:tcBorders>
            <w:shd w:val="clear" w:color="000000" w:fill="FFFFFF"/>
            <w:noWrap/>
            <w:vAlign w:val="center"/>
            <w:hideMark/>
          </w:tcPr>
          <w:p w14:paraId="524A65C1"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90%</w:t>
            </w:r>
          </w:p>
        </w:tc>
        <w:tc>
          <w:tcPr>
            <w:tcW w:w="1530" w:type="dxa"/>
            <w:tcBorders>
              <w:top w:val="nil"/>
              <w:left w:val="nil"/>
              <w:bottom w:val="nil"/>
              <w:right w:val="nil"/>
            </w:tcBorders>
            <w:shd w:val="clear" w:color="000000" w:fill="FFFFFF"/>
            <w:noWrap/>
            <w:vAlign w:val="center"/>
            <w:hideMark/>
          </w:tcPr>
          <w:p w14:paraId="0B2E724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2.65 (1.37, 4.48)</w:t>
            </w:r>
          </w:p>
        </w:tc>
        <w:tc>
          <w:tcPr>
            <w:tcW w:w="1890" w:type="dxa"/>
            <w:tcBorders>
              <w:top w:val="nil"/>
              <w:left w:val="nil"/>
              <w:bottom w:val="nil"/>
              <w:right w:val="nil"/>
            </w:tcBorders>
            <w:shd w:val="clear" w:color="000000" w:fill="FFFFFF"/>
            <w:noWrap/>
            <w:vAlign w:val="center"/>
            <w:hideMark/>
          </w:tcPr>
          <w:p w14:paraId="0FE4085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0.24 (-0.09, 0.47)</w:t>
            </w:r>
          </w:p>
        </w:tc>
        <w:tc>
          <w:tcPr>
            <w:tcW w:w="1980" w:type="dxa"/>
            <w:tcBorders>
              <w:top w:val="nil"/>
              <w:left w:val="nil"/>
              <w:bottom w:val="nil"/>
              <w:right w:val="nil"/>
            </w:tcBorders>
            <w:shd w:val="clear" w:color="000000" w:fill="FFFFFF"/>
            <w:noWrap/>
            <w:vAlign w:val="center"/>
            <w:hideMark/>
          </w:tcPr>
          <w:p w14:paraId="3A20713B"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147 (118, 193)</w:t>
            </w:r>
          </w:p>
        </w:tc>
        <w:tc>
          <w:tcPr>
            <w:tcW w:w="2340" w:type="dxa"/>
            <w:tcBorders>
              <w:top w:val="nil"/>
              <w:left w:val="nil"/>
              <w:bottom w:val="nil"/>
              <w:right w:val="nil"/>
            </w:tcBorders>
            <w:shd w:val="clear" w:color="000000" w:fill="FFFFFF"/>
            <w:noWrap/>
            <w:vAlign w:val="center"/>
            <w:hideMark/>
          </w:tcPr>
          <w:p w14:paraId="09A4C1CC"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0.34 (0.27, 0.47)</w:t>
            </w:r>
          </w:p>
        </w:tc>
      </w:tr>
      <w:tr w:rsidR="00EC6330" w:rsidRPr="00EC6330" w14:paraId="789BD62F" w14:textId="77777777" w:rsidTr="00EC6330">
        <w:trPr>
          <w:trHeight w:val="300"/>
        </w:trPr>
        <w:tc>
          <w:tcPr>
            <w:tcW w:w="2700" w:type="dxa"/>
            <w:tcBorders>
              <w:top w:val="nil"/>
              <w:left w:val="nil"/>
              <w:bottom w:val="nil"/>
              <w:right w:val="nil"/>
            </w:tcBorders>
            <w:shd w:val="clear" w:color="000000" w:fill="FFFFFF"/>
            <w:noWrap/>
            <w:vAlign w:val="center"/>
            <w:hideMark/>
          </w:tcPr>
          <w:p w14:paraId="1BCF10B3"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100%</w:t>
            </w:r>
          </w:p>
        </w:tc>
        <w:tc>
          <w:tcPr>
            <w:tcW w:w="1530" w:type="dxa"/>
            <w:tcBorders>
              <w:top w:val="nil"/>
              <w:left w:val="nil"/>
              <w:bottom w:val="nil"/>
              <w:right w:val="nil"/>
            </w:tcBorders>
            <w:shd w:val="clear" w:color="000000" w:fill="FFFFFF"/>
            <w:noWrap/>
            <w:vAlign w:val="center"/>
            <w:hideMark/>
          </w:tcPr>
          <w:p w14:paraId="71C05C7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2.67 (1.43, 4.27)</w:t>
            </w:r>
          </w:p>
        </w:tc>
        <w:tc>
          <w:tcPr>
            <w:tcW w:w="1890" w:type="dxa"/>
            <w:tcBorders>
              <w:top w:val="nil"/>
              <w:left w:val="nil"/>
              <w:bottom w:val="nil"/>
              <w:right w:val="nil"/>
            </w:tcBorders>
            <w:shd w:val="clear" w:color="000000" w:fill="FFFFFF"/>
            <w:noWrap/>
            <w:vAlign w:val="center"/>
            <w:hideMark/>
          </w:tcPr>
          <w:p w14:paraId="7BA95A3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0.22 (-0.20, 0.49)</w:t>
            </w:r>
          </w:p>
        </w:tc>
        <w:tc>
          <w:tcPr>
            <w:tcW w:w="1980" w:type="dxa"/>
            <w:tcBorders>
              <w:top w:val="nil"/>
              <w:left w:val="nil"/>
              <w:bottom w:val="nil"/>
              <w:right w:val="nil"/>
            </w:tcBorders>
            <w:shd w:val="clear" w:color="000000" w:fill="FFFFFF"/>
            <w:noWrap/>
            <w:vAlign w:val="center"/>
            <w:hideMark/>
          </w:tcPr>
          <w:p w14:paraId="2AF5CC9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164 (129, 213)</w:t>
            </w:r>
          </w:p>
        </w:tc>
        <w:tc>
          <w:tcPr>
            <w:tcW w:w="2340" w:type="dxa"/>
            <w:tcBorders>
              <w:top w:val="nil"/>
              <w:left w:val="nil"/>
              <w:bottom w:val="nil"/>
              <w:right w:val="nil"/>
            </w:tcBorders>
            <w:shd w:val="clear" w:color="000000" w:fill="FFFFFF"/>
            <w:noWrap/>
            <w:vAlign w:val="center"/>
            <w:hideMark/>
          </w:tcPr>
          <w:p w14:paraId="32B5842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0.35 (0.27, 0.46)</w:t>
            </w:r>
          </w:p>
        </w:tc>
      </w:tr>
      <w:tr w:rsidR="00EC6330" w:rsidRPr="00EC6330" w14:paraId="6CB438FE" w14:textId="77777777" w:rsidTr="00EC6330">
        <w:trPr>
          <w:trHeight w:val="585"/>
        </w:trPr>
        <w:tc>
          <w:tcPr>
            <w:tcW w:w="2700" w:type="dxa"/>
            <w:tcBorders>
              <w:top w:val="nil"/>
              <w:left w:val="nil"/>
              <w:bottom w:val="nil"/>
              <w:right w:val="nil"/>
            </w:tcBorders>
            <w:shd w:val="clear" w:color="000000" w:fill="FFFFFF"/>
            <w:vAlign w:val="center"/>
            <w:hideMark/>
          </w:tcPr>
          <w:p w14:paraId="0D74B93F"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Provision to Casual Partners*</w:t>
            </w:r>
          </w:p>
        </w:tc>
        <w:tc>
          <w:tcPr>
            <w:tcW w:w="1530" w:type="dxa"/>
            <w:tcBorders>
              <w:top w:val="nil"/>
              <w:left w:val="nil"/>
              <w:bottom w:val="nil"/>
              <w:right w:val="nil"/>
            </w:tcBorders>
            <w:shd w:val="clear" w:color="000000" w:fill="FFFFFF"/>
            <w:vAlign w:val="center"/>
            <w:hideMark/>
          </w:tcPr>
          <w:p w14:paraId="51F35637"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1890" w:type="dxa"/>
            <w:tcBorders>
              <w:top w:val="nil"/>
              <w:left w:val="nil"/>
              <w:bottom w:val="nil"/>
              <w:right w:val="nil"/>
            </w:tcBorders>
            <w:shd w:val="clear" w:color="000000" w:fill="FFFFFF"/>
            <w:vAlign w:val="center"/>
            <w:hideMark/>
          </w:tcPr>
          <w:p w14:paraId="7F3F5BE3"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1980" w:type="dxa"/>
            <w:tcBorders>
              <w:top w:val="nil"/>
              <w:left w:val="nil"/>
              <w:bottom w:val="nil"/>
              <w:right w:val="nil"/>
            </w:tcBorders>
            <w:shd w:val="clear" w:color="000000" w:fill="FFFFFF"/>
            <w:vAlign w:val="center"/>
            <w:hideMark/>
          </w:tcPr>
          <w:p w14:paraId="3CB5007C"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c>
          <w:tcPr>
            <w:tcW w:w="2340" w:type="dxa"/>
            <w:tcBorders>
              <w:top w:val="nil"/>
              <w:left w:val="nil"/>
              <w:bottom w:val="nil"/>
              <w:right w:val="nil"/>
            </w:tcBorders>
            <w:shd w:val="clear" w:color="000000" w:fill="FFFFFF"/>
            <w:vAlign w:val="center"/>
            <w:hideMark/>
          </w:tcPr>
          <w:p w14:paraId="06E079FB"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 </w:t>
            </w:r>
          </w:p>
        </w:tc>
      </w:tr>
      <w:tr w:rsidR="00EC6330" w:rsidRPr="00EC6330" w14:paraId="64C502E2" w14:textId="77777777" w:rsidTr="00EC6330">
        <w:trPr>
          <w:trHeight w:val="300"/>
        </w:trPr>
        <w:tc>
          <w:tcPr>
            <w:tcW w:w="2700" w:type="dxa"/>
            <w:tcBorders>
              <w:top w:val="nil"/>
              <w:left w:val="nil"/>
              <w:bottom w:val="nil"/>
              <w:right w:val="nil"/>
            </w:tcBorders>
            <w:shd w:val="clear" w:color="000000" w:fill="FFFFFF"/>
            <w:noWrap/>
            <w:vAlign w:val="center"/>
            <w:hideMark/>
          </w:tcPr>
          <w:p w14:paraId="58FB6BEC"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50%</w:t>
            </w:r>
          </w:p>
        </w:tc>
        <w:tc>
          <w:tcPr>
            <w:tcW w:w="1530" w:type="dxa"/>
            <w:tcBorders>
              <w:top w:val="nil"/>
              <w:left w:val="nil"/>
              <w:bottom w:val="nil"/>
              <w:right w:val="nil"/>
            </w:tcBorders>
            <w:shd w:val="clear" w:color="000000" w:fill="FFFFFF"/>
            <w:noWrap/>
            <w:vAlign w:val="center"/>
            <w:hideMark/>
          </w:tcPr>
          <w:p w14:paraId="40681C1E"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1.79 (0.94, 3.14)</w:t>
            </w:r>
          </w:p>
        </w:tc>
        <w:tc>
          <w:tcPr>
            <w:tcW w:w="1890" w:type="dxa"/>
            <w:tcBorders>
              <w:top w:val="nil"/>
              <w:left w:val="nil"/>
              <w:bottom w:val="nil"/>
              <w:right w:val="nil"/>
            </w:tcBorders>
            <w:shd w:val="clear" w:color="000000" w:fill="FFFFFF"/>
            <w:noWrap/>
            <w:vAlign w:val="center"/>
            <w:hideMark/>
          </w:tcPr>
          <w:p w14:paraId="750B8D8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0.35 (0.06, 0.56)</w:t>
            </w:r>
          </w:p>
        </w:tc>
        <w:tc>
          <w:tcPr>
            <w:tcW w:w="1980" w:type="dxa"/>
            <w:tcBorders>
              <w:top w:val="nil"/>
              <w:left w:val="nil"/>
              <w:bottom w:val="nil"/>
              <w:right w:val="nil"/>
            </w:tcBorders>
            <w:shd w:val="clear" w:color="000000" w:fill="FFFFFF"/>
            <w:noWrap/>
            <w:vAlign w:val="center"/>
            <w:hideMark/>
          </w:tcPr>
          <w:p w14:paraId="57406933"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252 (186, 333)</w:t>
            </w:r>
          </w:p>
        </w:tc>
        <w:tc>
          <w:tcPr>
            <w:tcW w:w="2340" w:type="dxa"/>
            <w:tcBorders>
              <w:top w:val="nil"/>
              <w:left w:val="nil"/>
              <w:bottom w:val="nil"/>
              <w:right w:val="nil"/>
            </w:tcBorders>
            <w:shd w:val="clear" w:color="000000" w:fill="FFFFFF"/>
            <w:noWrap/>
            <w:vAlign w:val="center"/>
            <w:hideMark/>
          </w:tcPr>
          <w:p w14:paraId="5D10B38D"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0.29 (0.22, 0.40)</w:t>
            </w:r>
          </w:p>
        </w:tc>
      </w:tr>
      <w:tr w:rsidR="00EC6330" w:rsidRPr="00EC6330" w14:paraId="1F37E766" w14:textId="77777777" w:rsidTr="00EC6330">
        <w:trPr>
          <w:trHeight w:val="300"/>
        </w:trPr>
        <w:tc>
          <w:tcPr>
            <w:tcW w:w="2700" w:type="dxa"/>
            <w:tcBorders>
              <w:top w:val="nil"/>
              <w:left w:val="nil"/>
              <w:bottom w:val="nil"/>
              <w:right w:val="nil"/>
            </w:tcBorders>
            <w:shd w:val="clear" w:color="000000" w:fill="FFFFFF"/>
            <w:noWrap/>
            <w:vAlign w:val="center"/>
            <w:hideMark/>
          </w:tcPr>
          <w:p w14:paraId="750C900F"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60%</w:t>
            </w:r>
          </w:p>
        </w:tc>
        <w:tc>
          <w:tcPr>
            <w:tcW w:w="1530" w:type="dxa"/>
            <w:tcBorders>
              <w:top w:val="nil"/>
              <w:left w:val="nil"/>
              <w:bottom w:val="nil"/>
              <w:right w:val="nil"/>
            </w:tcBorders>
            <w:shd w:val="clear" w:color="000000" w:fill="FFFFFF"/>
            <w:noWrap/>
            <w:vAlign w:val="center"/>
            <w:hideMark/>
          </w:tcPr>
          <w:p w14:paraId="7DFF883B"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1.50 (0.64, 2.84)</w:t>
            </w:r>
          </w:p>
        </w:tc>
        <w:tc>
          <w:tcPr>
            <w:tcW w:w="1890" w:type="dxa"/>
            <w:tcBorders>
              <w:top w:val="nil"/>
              <w:left w:val="nil"/>
              <w:bottom w:val="nil"/>
              <w:right w:val="nil"/>
            </w:tcBorders>
            <w:shd w:val="clear" w:color="000000" w:fill="FFFFFF"/>
            <w:noWrap/>
            <w:vAlign w:val="center"/>
            <w:hideMark/>
          </w:tcPr>
          <w:p w14:paraId="4F1A3824"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0.40 (0.11, 0.59)</w:t>
            </w:r>
          </w:p>
        </w:tc>
        <w:tc>
          <w:tcPr>
            <w:tcW w:w="1980" w:type="dxa"/>
            <w:tcBorders>
              <w:top w:val="nil"/>
              <w:left w:val="nil"/>
              <w:bottom w:val="nil"/>
              <w:right w:val="nil"/>
            </w:tcBorders>
            <w:shd w:val="clear" w:color="000000" w:fill="FFFFFF"/>
            <w:noWrap/>
            <w:vAlign w:val="center"/>
            <w:hideMark/>
          </w:tcPr>
          <w:p w14:paraId="3BE8AEE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288 (218, 367)</w:t>
            </w:r>
          </w:p>
        </w:tc>
        <w:tc>
          <w:tcPr>
            <w:tcW w:w="2340" w:type="dxa"/>
            <w:tcBorders>
              <w:top w:val="nil"/>
              <w:left w:val="nil"/>
              <w:bottom w:val="nil"/>
              <w:right w:val="nil"/>
            </w:tcBorders>
            <w:shd w:val="clear" w:color="000000" w:fill="FFFFFF"/>
            <w:noWrap/>
            <w:vAlign w:val="center"/>
            <w:hideMark/>
          </w:tcPr>
          <w:p w14:paraId="688A5DA8"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0.29 (0.22, 0.37)</w:t>
            </w:r>
          </w:p>
        </w:tc>
      </w:tr>
      <w:tr w:rsidR="00EC6330" w:rsidRPr="00EC6330" w14:paraId="3B7A3586" w14:textId="77777777" w:rsidTr="00EC6330">
        <w:trPr>
          <w:trHeight w:val="300"/>
        </w:trPr>
        <w:tc>
          <w:tcPr>
            <w:tcW w:w="2700" w:type="dxa"/>
            <w:tcBorders>
              <w:top w:val="nil"/>
              <w:left w:val="nil"/>
              <w:bottom w:val="nil"/>
              <w:right w:val="nil"/>
            </w:tcBorders>
            <w:shd w:val="clear" w:color="000000" w:fill="FFFFFF"/>
            <w:noWrap/>
            <w:vAlign w:val="center"/>
            <w:hideMark/>
          </w:tcPr>
          <w:p w14:paraId="3EB50713"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70%</w:t>
            </w:r>
          </w:p>
        </w:tc>
        <w:tc>
          <w:tcPr>
            <w:tcW w:w="1530" w:type="dxa"/>
            <w:tcBorders>
              <w:top w:val="nil"/>
              <w:left w:val="nil"/>
              <w:bottom w:val="nil"/>
              <w:right w:val="nil"/>
            </w:tcBorders>
            <w:shd w:val="clear" w:color="000000" w:fill="FFFFFF"/>
            <w:noWrap/>
            <w:vAlign w:val="center"/>
            <w:hideMark/>
          </w:tcPr>
          <w:p w14:paraId="41DD47A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1.43 (0.57, 2.64)</w:t>
            </w:r>
          </w:p>
        </w:tc>
        <w:tc>
          <w:tcPr>
            <w:tcW w:w="1890" w:type="dxa"/>
            <w:tcBorders>
              <w:top w:val="nil"/>
              <w:left w:val="nil"/>
              <w:bottom w:val="nil"/>
              <w:right w:val="nil"/>
            </w:tcBorders>
            <w:shd w:val="clear" w:color="000000" w:fill="FFFFFF"/>
            <w:noWrap/>
            <w:vAlign w:val="center"/>
            <w:hideMark/>
          </w:tcPr>
          <w:p w14:paraId="6111E29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0.42 (0.13, 0.60)</w:t>
            </w:r>
          </w:p>
        </w:tc>
        <w:tc>
          <w:tcPr>
            <w:tcW w:w="1980" w:type="dxa"/>
            <w:tcBorders>
              <w:top w:val="nil"/>
              <w:left w:val="nil"/>
              <w:bottom w:val="nil"/>
              <w:right w:val="nil"/>
            </w:tcBorders>
            <w:shd w:val="clear" w:color="000000" w:fill="FFFFFF"/>
            <w:noWrap/>
            <w:vAlign w:val="center"/>
            <w:hideMark/>
          </w:tcPr>
          <w:p w14:paraId="062FE6A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324 (236, 426)</w:t>
            </w:r>
          </w:p>
        </w:tc>
        <w:tc>
          <w:tcPr>
            <w:tcW w:w="2340" w:type="dxa"/>
            <w:tcBorders>
              <w:top w:val="nil"/>
              <w:left w:val="nil"/>
              <w:bottom w:val="nil"/>
              <w:right w:val="nil"/>
            </w:tcBorders>
            <w:shd w:val="clear" w:color="000000" w:fill="FFFFFF"/>
            <w:noWrap/>
            <w:vAlign w:val="center"/>
            <w:hideMark/>
          </w:tcPr>
          <w:p w14:paraId="76AF3B13"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0.27 (0.19, 0.36)</w:t>
            </w:r>
          </w:p>
        </w:tc>
      </w:tr>
      <w:tr w:rsidR="00EC6330" w:rsidRPr="00EC6330" w14:paraId="5BAD1F7B" w14:textId="77777777" w:rsidTr="00EC6330">
        <w:trPr>
          <w:trHeight w:val="300"/>
        </w:trPr>
        <w:tc>
          <w:tcPr>
            <w:tcW w:w="2700" w:type="dxa"/>
            <w:tcBorders>
              <w:top w:val="nil"/>
              <w:left w:val="nil"/>
              <w:bottom w:val="nil"/>
              <w:right w:val="nil"/>
            </w:tcBorders>
            <w:shd w:val="clear" w:color="000000" w:fill="FFFFFF"/>
            <w:noWrap/>
            <w:vAlign w:val="center"/>
            <w:hideMark/>
          </w:tcPr>
          <w:p w14:paraId="5A6425A0"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80%</w:t>
            </w:r>
          </w:p>
        </w:tc>
        <w:tc>
          <w:tcPr>
            <w:tcW w:w="1530" w:type="dxa"/>
            <w:tcBorders>
              <w:top w:val="nil"/>
              <w:left w:val="nil"/>
              <w:bottom w:val="nil"/>
              <w:right w:val="nil"/>
            </w:tcBorders>
            <w:shd w:val="clear" w:color="000000" w:fill="FFFFFF"/>
            <w:noWrap/>
            <w:vAlign w:val="center"/>
            <w:hideMark/>
          </w:tcPr>
          <w:p w14:paraId="4F04640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1.06 (0.37, 1.91)</w:t>
            </w:r>
          </w:p>
        </w:tc>
        <w:tc>
          <w:tcPr>
            <w:tcW w:w="1890" w:type="dxa"/>
            <w:tcBorders>
              <w:top w:val="nil"/>
              <w:left w:val="nil"/>
              <w:bottom w:val="nil"/>
              <w:right w:val="nil"/>
            </w:tcBorders>
            <w:shd w:val="clear" w:color="000000" w:fill="FFFFFF"/>
            <w:noWrap/>
            <w:vAlign w:val="center"/>
            <w:hideMark/>
          </w:tcPr>
          <w:p w14:paraId="767F73BB"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0.45 (0.26, 0.64)</w:t>
            </w:r>
          </w:p>
        </w:tc>
        <w:tc>
          <w:tcPr>
            <w:tcW w:w="1980" w:type="dxa"/>
            <w:tcBorders>
              <w:top w:val="nil"/>
              <w:left w:val="nil"/>
              <w:bottom w:val="nil"/>
              <w:right w:val="nil"/>
            </w:tcBorders>
            <w:shd w:val="clear" w:color="000000" w:fill="FFFFFF"/>
            <w:noWrap/>
            <w:vAlign w:val="center"/>
            <w:hideMark/>
          </w:tcPr>
          <w:p w14:paraId="1287B67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325 (248, 435)</w:t>
            </w:r>
          </w:p>
        </w:tc>
        <w:tc>
          <w:tcPr>
            <w:tcW w:w="2340" w:type="dxa"/>
            <w:tcBorders>
              <w:top w:val="nil"/>
              <w:left w:val="nil"/>
              <w:bottom w:val="nil"/>
              <w:right w:val="nil"/>
            </w:tcBorders>
            <w:shd w:val="clear" w:color="000000" w:fill="FFFFFF"/>
            <w:noWrap/>
            <w:vAlign w:val="center"/>
            <w:hideMark/>
          </w:tcPr>
          <w:p w14:paraId="7B6E909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0.24 (0.18, 0.32)</w:t>
            </w:r>
          </w:p>
        </w:tc>
      </w:tr>
      <w:tr w:rsidR="00EC6330" w:rsidRPr="00EC6330" w14:paraId="738BD881" w14:textId="77777777" w:rsidTr="00EC6330">
        <w:trPr>
          <w:trHeight w:val="300"/>
        </w:trPr>
        <w:tc>
          <w:tcPr>
            <w:tcW w:w="2700" w:type="dxa"/>
            <w:tcBorders>
              <w:top w:val="nil"/>
              <w:left w:val="nil"/>
              <w:bottom w:val="nil"/>
              <w:right w:val="nil"/>
            </w:tcBorders>
            <w:shd w:val="clear" w:color="000000" w:fill="FFFFFF"/>
            <w:noWrap/>
            <w:vAlign w:val="center"/>
            <w:hideMark/>
          </w:tcPr>
          <w:p w14:paraId="1B9DA7FF"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90%</w:t>
            </w:r>
          </w:p>
        </w:tc>
        <w:tc>
          <w:tcPr>
            <w:tcW w:w="1530" w:type="dxa"/>
            <w:tcBorders>
              <w:top w:val="nil"/>
              <w:left w:val="nil"/>
              <w:bottom w:val="nil"/>
              <w:right w:val="nil"/>
            </w:tcBorders>
            <w:shd w:val="clear" w:color="000000" w:fill="FFFFFF"/>
            <w:noWrap/>
            <w:vAlign w:val="center"/>
            <w:hideMark/>
          </w:tcPr>
          <w:p w14:paraId="0A42B436"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0.91 (0.26, 1.91)</w:t>
            </w:r>
          </w:p>
        </w:tc>
        <w:tc>
          <w:tcPr>
            <w:tcW w:w="1890" w:type="dxa"/>
            <w:tcBorders>
              <w:top w:val="nil"/>
              <w:left w:val="nil"/>
              <w:bottom w:val="nil"/>
              <w:right w:val="nil"/>
            </w:tcBorders>
            <w:shd w:val="clear" w:color="000000" w:fill="FFFFFF"/>
            <w:noWrap/>
            <w:vAlign w:val="center"/>
            <w:hideMark/>
          </w:tcPr>
          <w:p w14:paraId="3C08358A"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0.51 (0.30, 0.65)</w:t>
            </w:r>
          </w:p>
        </w:tc>
        <w:tc>
          <w:tcPr>
            <w:tcW w:w="1980" w:type="dxa"/>
            <w:tcBorders>
              <w:top w:val="nil"/>
              <w:left w:val="nil"/>
              <w:bottom w:val="nil"/>
              <w:right w:val="nil"/>
            </w:tcBorders>
            <w:shd w:val="clear" w:color="000000" w:fill="FFFFFF"/>
            <w:noWrap/>
            <w:vAlign w:val="center"/>
            <w:hideMark/>
          </w:tcPr>
          <w:p w14:paraId="21FAB24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371 (263, 447)</w:t>
            </w:r>
          </w:p>
        </w:tc>
        <w:tc>
          <w:tcPr>
            <w:tcW w:w="2340" w:type="dxa"/>
            <w:tcBorders>
              <w:top w:val="nil"/>
              <w:left w:val="nil"/>
              <w:bottom w:val="nil"/>
              <w:right w:val="nil"/>
            </w:tcBorders>
            <w:shd w:val="clear" w:color="000000" w:fill="FFFFFF"/>
            <w:noWrap/>
            <w:vAlign w:val="center"/>
            <w:hideMark/>
          </w:tcPr>
          <w:p w14:paraId="2995D151"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0.24 (0.17, 0.29)</w:t>
            </w:r>
          </w:p>
        </w:tc>
      </w:tr>
      <w:tr w:rsidR="00EC6330" w:rsidRPr="00EC6330" w14:paraId="1C931BA7" w14:textId="77777777" w:rsidTr="00EC6330">
        <w:trPr>
          <w:trHeight w:val="300"/>
        </w:trPr>
        <w:tc>
          <w:tcPr>
            <w:tcW w:w="2700" w:type="dxa"/>
            <w:tcBorders>
              <w:top w:val="nil"/>
              <w:left w:val="nil"/>
              <w:bottom w:val="nil"/>
              <w:right w:val="nil"/>
            </w:tcBorders>
            <w:shd w:val="clear" w:color="000000" w:fill="FFFFFF"/>
            <w:noWrap/>
            <w:vAlign w:val="center"/>
            <w:hideMark/>
          </w:tcPr>
          <w:p w14:paraId="56FDC306"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100%</w:t>
            </w:r>
          </w:p>
        </w:tc>
        <w:tc>
          <w:tcPr>
            <w:tcW w:w="1530" w:type="dxa"/>
            <w:tcBorders>
              <w:top w:val="nil"/>
              <w:left w:val="nil"/>
              <w:bottom w:val="nil"/>
              <w:right w:val="nil"/>
            </w:tcBorders>
            <w:shd w:val="clear" w:color="000000" w:fill="FFFFFF"/>
            <w:noWrap/>
            <w:vAlign w:val="center"/>
            <w:hideMark/>
          </w:tcPr>
          <w:p w14:paraId="602FA84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0.77 (0.20, 1.58)</w:t>
            </w:r>
          </w:p>
        </w:tc>
        <w:tc>
          <w:tcPr>
            <w:tcW w:w="1890" w:type="dxa"/>
            <w:tcBorders>
              <w:top w:val="nil"/>
              <w:left w:val="nil"/>
              <w:bottom w:val="nil"/>
              <w:right w:val="nil"/>
            </w:tcBorders>
            <w:shd w:val="clear" w:color="000000" w:fill="FFFFFF"/>
            <w:noWrap/>
            <w:vAlign w:val="center"/>
            <w:hideMark/>
          </w:tcPr>
          <w:p w14:paraId="1F568EBF"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0.54 (0.32, 0.68)</w:t>
            </w:r>
          </w:p>
        </w:tc>
        <w:tc>
          <w:tcPr>
            <w:tcW w:w="1980" w:type="dxa"/>
            <w:tcBorders>
              <w:top w:val="nil"/>
              <w:left w:val="nil"/>
              <w:bottom w:val="nil"/>
              <w:right w:val="nil"/>
            </w:tcBorders>
            <w:shd w:val="clear" w:color="000000" w:fill="FFFFFF"/>
            <w:noWrap/>
            <w:vAlign w:val="center"/>
            <w:hideMark/>
          </w:tcPr>
          <w:p w14:paraId="56AEF3A7"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358 (281, 470)</w:t>
            </w:r>
          </w:p>
        </w:tc>
        <w:tc>
          <w:tcPr>
            <w:tcW w:w="2340" w:type="dxa"/>
            <w:tcBorders>
              <w:top w:val="nil"/>
              <w:left w:val="nil"/>
              <w:bottom w:val="nil"/>
              <w:right w:val="nil"/>
            </w:tcBorders>
            <w:shd w:val="clear" w:color="000000" w:fill="FFFFFF"/>
            <w:noWrap/>
            <w:vAlign w:val="center"/>
            <w:hideMark/>
          </w:tcPr>
          <w:p w14:paraId="10C62556"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0.20 (0.16, 0.28)</w:t>
            </w:r>
          </w:p>
        </w:tc>
      </w:tr>
      <w:tr w:rsidR="00EC6330" w:rsidRPr="00EC6330" w14:paraId="729BF24C" w14:textId="77777777" w:rsidTr="00EC6330">
        <w:trPr>
          <w:trHeight w:val="480"/>
        </w:trPr>
        <w:tc>
          <w:tcPr>
            <w:tcW w:w="2700" w:type="dxa"/>
            <w:tcBorders>
              <w:top w:val="nil"/>
              <w:left w:val="nil"/>
              <w:bottom w:val="nil"/>
              <w:right w:val="nil"/>
            </w:tcBorders>
            <w:shd w:val="clear" w:color="000000" w:fill="FFFFFF"/>
            <w:vAlign w:val="center"/>
            <w:hideMark/>
          </w:tcPr>
          <w:p w14:paraId="52988D1D" w14:textId="77777777" w:rsidR="00EC6330" w:rsidRPr="00EC6330" w:rsidRDefault="00EC6330">
            <w:pPr>
              <w:rPr>
                <w:rFonts w:ascii="Helvetica Neue" w:hAnsi="Helvetica Neue" w:cs="Arial"/>
                <w:b/>
                <w:bCs/>
                <w:sz w:val="18"/>
                <w:szCs w:val="18"/>
              </w:rPr>
            </w:pPr>
            <w:r w:rsidRPr="00EC6330">
              <w:rPr>
                <w:rFonts w:ascii="Helvetica Neue" w:hAnsi="Helvetica Neue" w:cs="Arial"/>
                <w:b/>
                <w:bCs/>
                <w:sz w:val="18"/>
                <w:szCs w:val="18"/>
              </w:rPr>
              <w:t>Provision to One-Time Partners*</w:t>
            </w:r>
          </w:p>
        </w:tc>
        <w:tc>
          <w:tcPr>
            <w:tcW w:w="1530" w:type="dxa"/>
            <w:tcBorders>
              <w:top w:val="nil"/>
              <w:left w:val="nil"/>
              <w:bottom w:val="nil"/>
              <w:right w:val="nil"/>
            </w:tcBorders>
            <w:shd w:val="clear" w:color="000000" w:fill="FFFFFF"/>
            <w:noWrap/>
            <w:vAlign w:val="center"/>
            <w:hideMark/>
          </w:tcPr>
          <w:p w14:paraId="416A7B4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 </w:t>
            </w:r>
          </w:p>
        </w:tc>
        <w:tc>
          <w:tcPr>
            <w:tcW w:w="1890" w:type="dxa"/>
            <w:tcBorders>
              <w:top w:val="nil"/>
              <w:left w:val="nil"/>
              <w:bottom w:val="nil"/>
              <w:right w:val="nil"/>
            </w:tcBorders>
            <w:shd w:val="clear" w:color="000000" w:fill="FFFFFF"/>
            <w:noWrap/>
            <w:vAlign w:val="center"/>
            <w:hideMark/>
          </w:tcPr>
          <w:p w14:paraId="2D07782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 </w:t>
            </w:r>
          </w:p>
        </w:tc>
        <w:tc>
          <w:tcPr>
            <w:tcW w:w="1980" w:type="dxa"/>
            <w:tcBorders>
              <w:top w:val="nil"/>
              <w:left w:val="nil"/>
              <w:bottom w:val="nil"/>
              <w:right w:val="nil"/>
            </w:tcBorders>
            <w:shd w:val="clear" w:color="000000" w:fill="FFFFFF"/>
            <w:noWrap/>
            <w:vAlign w:val="center"/>
            <w:hideMark/>
          </w:tcPr>
          <w:p w14:paraId="12986C13"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 </w:t>
            </w:r>
          </w:p>
        </w:tc>
        <w:tc>
          <w:tcPr>
            <w:tcW w:w="2340" w:type="dxa"/>
            <w:tcBorders>
              <w:top w:val="nil"/>
              <w:left w:val="nil"/>
              <w:bottom w:val="nil"/>
              <w:right w:val="nil"/>
            </w:tcBorders>
            <w:shd w:val="clear" w:color="000000" w:fill="FFFFFF"/>
            <w:noWrap/>
            <w:vAlign w:val="center"/>
            <w:hideMark/>
          </w:tcPr>
          <w:p w14:paraId="7C76BF7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 </w:t>
            </w:r>
          </w:p>
        </w:tc>
      </w:tr>
      <w:tr w:rsidR="00EC6330" w:rsidRPr="00EC6330" w14:paraId="5BC244CA" w14:textId="77777777" w:rsidTr="00EC6330">
        <w:trPr>
          <w:trHeight w:val="300"/>
        </w:trPr>
        <w:tc>
          <w:tcPr>
            <w:tcW w:w="2700" w:type="dxa"/>
            <w:tcBorders>
              <w:top w:val="nil"/>
              <w:left w:val="nil"/>
              <w:bottom w:val="nil"/>
              <w:right w:val="nil"/>
            </w:tcBorders>
            <w:shd w:val="clear" w:color="000000" w:fill="FFFFFF"/>
            <w:noWrap/>
            <w:vAlign w:val="center"/>
            <w:hideMark/>
          </w:tcPr>
          <w:p w14:paraId="63AB451E"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50%</w:t>
            </w:r>
          </w:p>
        </w:tc>
        <w:tc>
          <w:tcPr>
            <w:tcW w:w="1530" w:type="dxa"/>
            <w:tcBorders>
              <w:top w:val="nil"/>
              <w:left w:val="nil"/>
              <w:bottom w:val="nil"/>
              <w:right w:val="nil"/>
            </w:tcBorders>
            <w:shd w:val="clear" w:color="000000" w:fill="FFFFFF"/>
            <w:noWrap/>
            <w:vAlign w:val="center"/>
            <w:hideMark/>
          </w:tcPr>
          <w:p w14:paraId="3C87855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3.42 (1.92, 5.19)</w:t>
            </w:r>
          </w:p>
        </w:tc>
        <w:tc>
          <w:tcPr>
            <w:tcW w:w="1890" w:type="dxa"/>
            <w:tcBorders>
              <w:top w:val="nil"/>
              <w:left w:val="nil"/>
              <w:bottom w:val="nil"/>
              <w:right w:val="nil"/>
            </w:tcBorders>
            <w:shd w:val="clear" w:color="000000" w:fill="FFFFFF"/>
            <w:noWrap/>
            <w:vAlign w:val="center"/>
            <w:hideMark/>
          </w:tcPr>
          <w:p w14:paraId="361219BE"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0.12 (-0.32, 0.41)</w:t>
            </w:r>
          </w:p>
        </w:tc>
        <w:tc>
          <w:tcPr>
            <w:tcW w:w="1980" w:type="dxa"/>
            <w:tcBorders>
              <w:top w:val="nil"/>
              <w:left w:val="nil"/>
              <w:bottom w:val="nil"/>
              <w:right w:val="nil"/>
            </w:tcBorders>
            <w:shd w:val="clear" w:color="000000" w:fill="FFFFFF"/>
            <w:noWrap/>
            <w:vAlign w:val="center"/>
            <w:hideMark/>
          </w:tcPr>
          <w:p w14:paraId="6F725308"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226 (175, 283)</w:t>
            </w:r>
          </w:p>
        </w:tc>
        <w:tc>
          <w:tcPr>
            <w:tcW w:w="2340" w:type="dxa"/>
            <w:tcBorders>
              <w:top w:val="nil"/>
              <w:left w:val="nil"/>
              <w:bottom w:val="nil"/>
              <w:right w:val="nil"/>
            </w:tcBorders>
            <w:shd w:val="clear" w:color="000000" w:fill="FFFFFF"/>
            <w:noWrap/>
            <w:vAlign w:val="center"/>
            <w:hideMark/>
          </w:tcPr>
          <w:p w14:paraId="0FE83EEA"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0.41 (0.31, 0.52)</w:t>
            </w:r>
          </w:p>
        </w:tc>
      </w:tr>
      <w:tr w:rsidR="00EC6330" w:rsidRPr="00EC6330" w14:paraId="769402C3" w14:textId="77777777" w:rsidTr="00EC6330">
        <w:trPr>
          <w:trHeight w:val="300"/>
        </w:trPr>
        <w:tc>
          <w:tcPr>
            <w:tcW w:w="2700" w:type="dxa"/>
            <w:tcBorders>
              <w:top w:val="nil"/>
              <w:left w:val="nil"/>
              <w:bottom w:val="nil"/>
              <w:right w:val="nil"/>
            </w:tcBorders>
            <w:shd w:val="clear" w:color="000000" w:fill="FFFFFF"/>
            <w:noWrap/>
            <w:vAlign w:val="center"/>
            <w:hideMark/>
          </w:tcPr>
          <w:p w14:paraId="46D5D28C"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60%</w:t>
            </w:r>
          </w:p>
        </w:tc>
        <w:tc>
          <w:tcPr>
            <w:tcW w:w="1530" w:type="dxa"/>
            <w:tcBorders>
              <w:top w:val="nil"/>
              <w:left w:val="nil"/>
              <w:bottom w:val="nil"/>
              <w:right w:val="nil"/>
            </w:tcBorders>
            <w:shd w:val="clear" w:color="000000" w:fill="FFFFFF"/>
            <w:noWrap/>
            <w:vAlign w:val="center"/>
            <w:hideMark/>
          </w:tcPr>
          <w:p w14:paraId="13FB248C"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3.13 (1.91, 5.02)</w:t>
            </w:r>
          </w:p>
        </w:tc>
        <w:tc>
          <w:tcPr>
            <w:tcW w:w="1890" w:type="dxa"/>
            <w:tcBorders>
              <w:top w:val="nil"/>
              <w:left w:val="nil"/>
              <w:bottom w:val="nil"/>
              <w:right w:val="nil"/>
            </w:tcBorders>
            <w:shd w:val="clear" w:color="000000" w:fill="FFFFFF"/>
            <w:noWrap/>
            <w:vAlign w:val="center"/>
            <w:hideMark/>
          </w:tcPr>
          <w:p w14:paraId="24B5C09D"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0.14 (-0.22, 0.45)</w:t>
            </w:r>
          </w:p>
        </w:tc>
        <w:tc>
          <w:tcPr>
            <w:tcW w:w="1980" w:type="dxa"/>
            <w:tcBorders>
              <w:top w:val="nil"/>
              <w:left w:val="nil"/>
              <w:bottom w:val="nil"/>
              <w:right w:val="nil"/>
            </w:tcBorders>
            <w:shd w:val="clear" w:color="000000" w:fill="FFFFFF"/>
            <w:noWrap/>
            <w:vAlign w:val="center"/>
            <w:hideMark/>
          </w:tcPr>
          <w:p w14:paraId="6BAB11E3"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258 (189, 331)</w:t>
            </w:r>
          </w:p>
        </w:tc>
        <w:tc>
          <w:tcPr>
            <w:tcW w:w="2340" w:type="dxa"/>
            <w:tcBorders>
              <w:top w:val="nil"/>
              <w:left w:val="nil"/>
              <w:bottom w:val="nil"/>
              <w:right w:val="nil"/>
            </w:tcBorders>
            <w:shd w:val="clear" w:color="000000" w:fill="FFFFFF"/>
            <w:noWrap/>
            <w:vAlign w:val="center"/>
            <w:hideMark/>
          </w:tcPr>
          <w:p w14:paraId="1CDA1CEA"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0.39 (0.29, 0.49)</w:t>
            </w:r>
          </w:p>
        </w:tc>
      </w:tr>
      <w:tr w:rsidR="00EC6330" w:rsidRPr="00EC6330" w14:paraId="111F18C9" w14:textId="77777777" w:rsidTr="00EC6330">
        <w:trPr>
          <w:trHeight w:val="300"/>
        </w:trPr>
        <w:tc>
          <w:tcPr>
            <w:tcW w:w="2700" w:type="dxa"/>
            <w:tcBorders>
              <w:top w:val="nil"/>
              <w:left w:val="nil"/>
              <w:bottom w:val="nil"/>
              <w:right w:val="nil"/>
            </w:tcBorders>
            <w:shd w:val="clear" w:color="000000" w:fill="FFFFFF"/>
            <w:noWrap/>
            <w:vAlign w:val="center"/>
            <w:hideMark/>
          </w:tcPr>
          <w:p w14:paraId="273AF72A"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70%</w:t>
            </w:r>
          </w:p>
        </w:tc>
        <w:tc>
          <w:tcPr>
            <w:tcW w:w="1530" w:type="dxa"/>
            <w:tcBorders>
              <w:top w:val="nil"/>
              <w:left w:val="nil"/>
              <w:bottom w:val="nil"/>
              <w:right w:val="nil"/>
            </w:tcBorders>
            <w:shd w:val="clear" w:color="000000" w:fill="FFFFFF"/>
            <w:noWrap/>
            <w:vAlign w:val="center"/>
            <w:hideMark/>
          </w:tcPr>
          <w:p w14:paraId="1C28D7B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3.37 (2.08, 5.34)</w:t>
            </w:r>
          </w:p>
        </w:tc>
        <w:tc>
          <w:tcPr>
            <w:tcW w:w="1890" w:type="dxa"/>
            <w:tcBorders>
              <w:top w:val="nil"/>
              <w:left w:val="nil"/>
              <w:bottom w:val="nil"/>
              <w:right w:val="nil"/>
            </w:tcBorders>
            <w:shd w:val="clear" w:color="000000" w:fill="FFFFFF"/>
            <w:noWrap/>
            <w:vAlign w:val="center"/>
            <w:hideMark/>
          </w:tcPr>
          <w:p w14:paraId="65E7FF3D"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0.13 (-0.29, 0.36)</w:t>
            </w:r>
          </w:p>
        </w:tc>
        <w:tc>
          <w:tcPr>
            <w:tcW w:w="1980" w:type="dxa"/>
            <w:tcBorders>
              <w:top w:val="nil"/>
              <w:left w:val="nil"/>
              <w:bottom w:val="nil"/>
              <w:right w:val="nil"/>
            </w:tcBorders>
            <w:shd w:val="clear" w:color="000000" w:fill="FFFFFF"/>
            <w:noWrap/>
            <w:vAlign w:val="center"/>
            <w:hideMark/>
          </w:tcPr>
          <w:p w14:paraId="1037A1C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320 (257, 405)</w:t>
            </w:r>
          </w:p>
        </w:tc>
        <w:tc>
          <w:tcPr>
            <w:tcW w:w="2340" w:type="dxa"/>
            <w:tcBorders>
              <w:top w:val="nil"/>
              <w:left w:val="nil"/>
              <w:bottom w:val="nil"/>
              <w:right w:val="nil"/>
            </w:tcBorders>
            <w:shd w:val="clear" w:color="000000" w:fill="FFFFFF"/>
            <w:noWrap/>
            <w:vAlign w:val="center"/>
            <w:hideMark/>
          </w:tcPr>
          <w:p w14:paraId="41450D61"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0.41 (0.33, 0.51)</w:t>
            </w:r>
          </w:p>
        </w:tc>
      </w:tr>
      <w:tr w:rsidR="00EC6330" w:rsidRPr="00EC6330" w14:paraId="00CC4F9C" w14:textId="77777777" w:rsidTr="00EC6330">
        <w:trPr>
          <w:trHeight w:val="300"/>
        </w:trPr>
        <w:tc>
          <w:tcPr>
            <w:tcW w:w="2700" w:type="dxa"/>
            <w:tcBorders>
              <w:top w:val="nil"/>
              <w:left w:val="nil"/>
              <w:bottom w:val="nil"/>
              <w:right w:val="nil"/>
            </w:tcBorders>
            <w:shd w:val="clear" w:color="000000" w:fill="FFFFFF"/>
            <w:noWrap/>
            <w:vAlign w:val="center"/>
            <w:hideMark/>
          </w:tcPr>
          <w:p w14:paraId="710682A0"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80%</w:t>
            </w:r>
          </w:p>
        </w:tc>
        <w:tc>
          <w:tcPr>
            <w:tcW w:w="1530" w:type="dxa"/>
            <w:tcBorders>
              <w:top w:val="nil"/>
              <w:left w:val="nil"/>
              <w:bottom w:val="nil"/>
              <w:right w:val="nil"/>
            </w:tcBorders>
            <w:shd w:val="clear" w:color="000000" w:fill="FFFFFF"/>
            <w:noWrap/>
            <w:vAlign w:val="center"/>
            <w:hideMark/>
          </w:tcPr>
          <w:p w14:paraId="21CE2964"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3.00 (1.80, 4.67)</w:t>
            </w:r>
          </w:p>
        </w:tc>
        <w:tc>
          <w:tcPr>
            <w:tcW w:w="1890" w:type="dxa"/>
            <w:tcBorders>
              <w:top w:val="nil"/>
              <w:left w:val="nil"/>
              <w:bottom w:val="nil"/>
              <w:right w:val="nil"/>
            </w:tcBorders>
            <w:shd w:val="clear" w:color="000000" w:fill="FFFFFF"/>
            <w:noWrap/>
            <w:vAlign w:val="center"/>
            <w:hideMark/>
          </w:tcPr>
          <w:p w14:paraId="7D169F24"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0.16 (-0.21, 0.42)</w:t>
            </w:r>
          </w:p>
        </w:tc>
        <w:tc>
          <w:tcPr>
            <w:tcW w:w="1980" w:type="dxa"/>
            <w:tcBorders>
              <w:top w:val="nil"/>
              <w:left w:val="nil"/>
              <w:bottom w:val="nil"/>
              <w:right w:val="nil"/>
            </w:tcBorders>
            <w:shd w:val="clear" w:color="000000" w:fill="FFFFFF"/>
            <w:noWrap/>
            <w:vAlign w:val="center"/>
            <w:hideMark/>
          </w:tcPr>
          <w:p w14:paraId="67E422A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346 (269, 440)</w:t>
            </w:r>
          </w:p>
        </w:tc>
        <w:tc>
          <w:tcPr>
            <w:tcW w:w="2340" w:type="dxa"/>
            <w:tcBorders>
              <w:top w:val="nil"/>
              <w:left w:val="nil"/>
              <w:bottom w:val="nil"/>
              <w:right w:val="nil"/>
            </w:tcBorders>
            <w:shd w:val="clear" w:color="000000" w:fill="FFFFFF"/>
            <w:noWrap/>
            <w:vAlign w:val="center"/>
            <w:hideMark/>
          </w:tcPr>
          <w:p w14:paraId="36128D87"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0.39 (0.30, 0.49)</w:t>
            </w:r>
          </w:p>
        </w:tc>
      </w:tr>
      <w:tr w:rsidR="00EC6330" w:rsidRPr="00EC6330" w14:paraId="54F1760A" w14:textId="77777777" w:rsidTr="00EC6330">
        <w:trPr>
          <w:trHeight w:val="300"/>
        </w:trPr>
        <w:tc>
          <w:tcPr>
            <w:tcW w:w="2700" w:type="dxa"/>
            <w:tcBorders>
              <w:top w:val="nil"/>
              <w:left w:val="nil"/>
              <w:bottom w:val="nil"/>
              <w:right w:val="nil"/>
            </w:tcBorders>
            <w:shd w:val="clear" w:color="000000" w:fill="FFFFFF"/>
            <w:noWrap/>
            <w:vAlign w:val="center"/>
            <w:hideMark/>
          </w:tcPr>
          <w:p w14:paraId="3916C5CD"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90%</w:t>
            </w:r>
          </w:p>
        </w:tc>
        <w:tc>
          <w:tcPr>
            <w:tcW w:w="1530" w:type="dxa"/>
            <w:tcBorders>
              <w:top w:val="nil"/>
              <w:left w:val="nil"/>
              <w:bottom w:val="nil"/>
              <w:right w:val="nil"/>
            </w:tcBorders>
            <w:shd w:val="clear" w:color="000000" w:fill="FFFFFF"/>
            <w:noWrap/>
            <w:vAlign w:val="center"/>
            <w:hideMark/>
          </w:tcPr>
          <w:p w14:paraId="39AF10CE"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2.99 (1.72, 4.81)</w:t>
            </w:r>
          </w:p>
        </w:tc>
        <w:tc>
          <w:tcPr>
            <w:tcW w:w="1890" w:type="dxa"/>
            <w:tcBorders>
              <w:top w:val="nil"/>
              <w:left w:val="nil"/>
              <w:bottom w:val="nil"/>
              <w:right w:val="nil"/>
            </w:tcBorders>
            <w:shd w:val="clear" w:color="000000" w:fill="FFFFFF"/>
            <w:noWrap/>
            <w:vAlign w:val="center"/>
            <w:hideMark/>
          </w:tcPr>
          <w:p w14:paraId="0C24912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0.15 (-0.19, 0.44)</w:t>
            </w:r>
          </w:p>
        </w:tc>
        <w:tc>
          <w:tcPr>
            <w:tcW w:w="1980" w:type="dxa"/>
            <w:tcBorders>
              <w:top w:val="nil"/>
              <w:left w:val="nil"/>
              <w:bottom w:val="nil"/>
              <w:right w:val="nil"/>
            </w:tcBorders>
            <w:shd w:val="clear" w:color="000000" w:fill="FFFFFF"/>
            <w:noWrap/>
            <w:vAlign w:val="center"/>
            <w:hideMark/>
          </w:tcPr>
          <w:p w14:paraId="71E0F7E7"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400 (286, 501)</w:t>
            </w:r>
          </w:p>
        </w:tc>
        <w:tc>
          <w:tcPr>
            <w:tcW w:w="2340" w:type="dxa"/>
            <w:tcBorders>
              <w:top w:val="nil"/>
              <w:left w:val="nil"/>
              <w:bottom w:val="nil"/>
              <w:right w:val="nil"/>
            </w:tcBorders>
            <w:shd w:val="clear" w:color="000000" w:fill="FFFFFF"/>
            <w:noWrap/>
            <w:vAlign w:val="center"/>
            <w:hideMark/>
          </w:tcPr>
          <w:p w14:paraId="5E935359"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0.40 (0.29, 0.50)</w:t>
            </w:r>
          </w:p>
        </w:tc>
      </w:tr>
      <w:tr w:rsidR="00EC6330" w:rsidRPr="00EC6330" w14:paraId="7D798B2D" w14:textId="77777777" w:rsidTr="00EC6330">
        <w:trPr>
          <w:trHeight w:val="300"/>
        </w:trPr>
        <w:tc>
          <w:tcPr>
            <w:tcW w:w="2700" w:type="dxa"/>
            <w:tcBorders>
              <w:top w:val="nil"/>
              <w:left w:val="nil"/>
              <w:bottom w:val="double" w:sz="6" w:space="0" w:color="auto"/>
              <w:right w:val="nil"/>
            </w:tcBorders>
            <w:shd w:val="clear" w:color="000000" w:fill="FFFFFF"/>
            <w:noWrap/>
            <w:vAlign w:val="center"/>
            <w:hideMark/>
          </w:tcPr>
          <w:p w14:paraId="4E4A4F60" w14:textId="77777777" w:rsidR="00EC6330" w:rsidRPr="00EC6330" w:rsidRDefault="00EC6330">
            <w:pPr>
              <w:ind w:firstLineChars="100" w:firstLine="180"/>
              <w:rPr>
                <w:rFonts w:ascii="Helvetica Neue" w:hAnsi="Helvetica Neue" w:cs="Arial"/>
                <w:sz w:val="18"/>
                <w:szCs w:val="18"/>
              </w:rPr>
            </w:pPr>
            <w:r w:rsidRPr="00EC6330">
              <w:rPr>
                <w:rFonts w:ascii="Helvetica Neue" w:hAnsi="Helvetica Neue" w:cs="Arial"/>
                <w:sz w:val="18"/>
                <w:szCs w:val="18"/>
              </w:rPr>
              <w:t>100%</w:t>
            </w:r>
          </w:p>
        </w:tc>
        <w:tc>
          <w:tcPr>
            <w:tcW w:w="1530" w:type="dxa"/>
            <w:tcBorders>
              <w:top w:val="nil"/>
              <w:left w:val="nil"/>
              <w:bottom w:val="double" w:sz="6" w:space="0" w:color="auto"/>
              <w:right w:val="nil"/>
            </w:tcBorders>
            <w:shd w:val="clear" w:color="000000" w:fill="FFFFFF"/>
            <w:noWrap/>
            <w:vAlign w:val="center"/>
            <w:hideMark/>
          </w:tcPr>
          <w:p w14:paraId="13D3E56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2.77 (1.51, 4.36)</w:t>
            </w:r>
          </w:p>
        </w:tc>
        <w:tc>
          <w:tcPr>
            <w:tcW w:w="1890" w:type="dxa"/>
            <w:tcBorders>
              <w:top w:val="nil"/>
              <w:left w:val="nil"/>
              <w:bottom w:val="double" w:sz="6" w:space="0" w:color="auto"/>
              <w:right w:val="nil"/>
            </w:tcBorders>
            <w:shd w:val="clear" w:color="000000" w:fill="FFFFFF"/>
            <w:noWrap/>
            <w:vAlign w:val="center"/>
            <w:hideMark/>
          </w:tcPr>
          <w:p w14:paraId="43136300"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0.23 (-0.11, 0.46)</w:t>
            </w:r>
          </w:p>
        </w:tc>
        <w:tc>
          <w:tcPr>
            <w:tcW w:w="1980" w:type="dxa"/>
            <w:tcBorders>
              <w:top w:val="nil"/>
              <w:left w:val="nil"/>
              <w:bottom w:val="double" w:sz="6" w:space="0" w:color="auto"/>
              <w:right w:val="nil"/>
            </w:tcBorders>
            <w:shd w:val="clear" w:color="000000" w:fill="FFFFFF"/>
            <w:noWrap/>
            <w:vAlign w:val="center"/>
            <w:hideMark/>
          </w:tcPr>
          <w:p w14:paraId="59C9C9A5"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409 (312, 514)</w:t>
            </w:r>
          </w:p>
        </w:tc>
        <w:tc>
          <w:tcPr>
            <w:tcW w:w="2340" w:type="dxa"/>
            <w:tcBorders>
              <w:top w:val="nil"/>
              <w:left w:val="nil"/>
              <w:bottom w:val="double" w:sz="6" w:space="0" w:color="auto"/>
              <w:right w:val="nil"/>
            </w:tcBorders>
            <w:shd w:val="clear" w:color="000000" w:fill="FFFFFF"/>
            <w:noWrap/>
            <w:vAlign w:val="center"/>
            <w:hideMark/>
          </w:tcPr>
          <w:p w14:paraId="2D49A632" w14:textId="77777777" w:rsidR="00EC6330" w:rsidRPr="00EC6330" w:rsidRDefault="00EC6330">
            <w:pPr>
              <w:rPr>
                <w:rFonts w:ascii="Helvetica Neue" w:hAnsi="Helvetica Neue" w:cs="Arial"/>
                <w:sz w:val="18"/>
                <w:szCs w:val="18"/>
              </w:rPr>
            </w:pPr>
            <w:r w:rsidRPr="00EC6330">
              <w:rPr>
                <w:rFonts w:ascii="Helvetica Neue" w:hAnsi="Helvetica Neue" w:cs="Arial"/>
                <w:sz w:val="18"/>
                <w:szCs w:val="18"/>
              </w:rPr>
              <w:t>0.36 (0.27, 0.47)</w:t>
            </w:r>
          </w:p>
        </w:tc>
      </w:tr>
      <w:tr w:rsidR="00EC6330" w:rsidRPr="00EC6330" w14:paraId="15591908" w14:textId="77777777" w:rsidTr="00A3449E">
        <w:trPr>
          <w:trHeight w:val="480"/>
        </w:trPr>
        <w:tc>
          <w:tcPr>
            <w:tcW w:w="10440" w:type="dxa"/>
            <w:gridSpan w:val="5"/>
            <w:tcBorders>
              <w:top w:val="nil"/>
              <w:left w:val="nil"/>
              <w:bottom w:val="nil"/>
              <w:right w:val="nil"/>
            </w:tcBorders>
            <w:shd w:val="clear" w:color="000000" w:fill="FFFFFF"/>
            <w:vAlign w:val="center"/>
            <w:hideMark/>
          </w:tcPr>
          <w:p w14:paraId="532D8BCD" w14:textId="2EF38C39" w:rsidR="00EC6330" w:rsidRPr="00EC6330" w:rsidRDefault="00EC6330">
            <w:pPr>
              <w:rPr>
                <w:rFonts w:ascii="Helvetica Neue" w:hAnsi="Helvetica Neue" w:cs="Arial"/>
                <w:sz w:val="18"/>
                <w:szCs w:val="18"/>
              </w:rPr>
            </w:pPr>
            <w:r w:rsidRPr="00EC6330">
              <w:rPr>
                <w:rFonts w:ascii="Helvetica Neue" w:hAnsi="Helvetica Neue" w:cs="Arial"/>
                <w:sz w:val="18"/>
                <w:szCs w:val="18"/>
              </w:rPr>
              <w:t>IQR: interquartile range (25% and 75% percentiles) of the simulation outcomes; Incidence expressed per 100 person-years at risk at final year of simulation; All outcomes are compared to the reference model.* 0% Provision to Other Partnership Types</w:t>
            </w:r>
          </w:p>
        </w:tc>
      </w:tr>
    </w:tbl>
    <w:p w14:paraId="6A64C109" w14:textId="0BAF3874" w:rsidR="008F739B" w:rsidRDefault="008F739B" w:rsidP="007751E4">
      <w:pPr>
        <w:spacing w:line="360" w:lineRule="auto"/>
        <w:rPr>
          <w:rFonts w:ascii="Helvetica Neue" w:hAnsi="Helvetica Neue"/>
          <w:sz w:val="20"/>
        </w:rPr>
      </w:pPr>
    </w:p>
    <w:p w14:paraId="5C156B4B" w14:textId="462A7876" w:rsidR="008F739B" w:rsidRDefault="008F739B" w:rsidP="007751E4">
      <w:pPr>
        <w:spacing w:line="360" w:lineRule="auto"/>
        <w:rPr>
          <w:rFonts w:ascii="Helvetica Neue" w:hAnsi="Helvetica Neue"/>
          <w:sz w:val="20"/>
        </w:rPr>
      </w:pPr>
    </w:p>
    <w:p w14:paraId="33FA6022" w14:textId="7E1B94C7" w:rsidR="008F739B" w:rsidRDefault="008F739B" w:rsidP="007751E4">
      <w:pPr>
        <w:spacing w:line="360" w:lineRule="auto"/>
        <w:rPr>
          <w:rFonts w:ascii="Helvetica Neue" w:hAnsi="Helvetica Neue"/>
          <w:sz w:val="20"/>
        </w:rPr>
      </w:pPr>
    </w:p>
    <w:p w14:paraId="6719308E" w14:textId="1B26C8B2" w:rsidR="008F739B" w:rsidRDefault="008F739B" w:rsidP="007751E4">
      <w:pPr>
        <w:spacing w:line="360" w:lineRule="auto"/>
        <w:rPr>
          <w:rFonts w:ascii="Helvetica Neue" w:hAnsi="Helvetica Neue"/>
          <w:sz w:val="20"/>
        </w:rPr>
      </w:pPr>
    </w:p>
    <w:p w14:paraId="39EE1747" w14:textId="00C07A36" w:rsidR="008F739B" w:rsidRDefault="008F739B" w:rsidP="007751E4">
      <w:pPr>
        <w:spacing w:line="360" w:lineRule="auto"/>
        <w:rPr>
          <w:rFonts w:ascii="Helvetica Neue" w:hAnsi="Helvetica Neue"/>
          <w:sz w:val="20"/>
        </w:rPr>
      </w:pPr>
    </w:p>
    <w:p w14:paraId="5EBEB29D" w14:textId="3FCFA5A9" w:rsidR="008F739B" w:rsidRDefault="008F739B" w:rsidP="007751E4">
      <w:pPr>
        <w:spacing w:line="360" w:lineRule="auto"/>
        <w:rPr>
          <w:rFonts w:ascii="Helvetica Neue" w:hAnsi="Helvetica Neue"/>
          <w:sz w:val="20"/>
        </w:rPr>
      </w:pPr>
    </w:p>
    <w:p w14:paraId="1C1311CC" w14:textId="5275210E" w:rsidR="008F739B" w:rsidRDefault="008F739B" w:rsidP="007751E4">
      <w:pPr>
        <w:spacing w:line="360" w:lineRule="auto"/>
        <w:rPr>
          <w:rFonts w:ascii="Helvetica Neue" w:hAnsi="Helvetica Neue"/>
          <w:sz w:val="20"/>
        </w:rPr>
      </w:pPr>
    </w:p>
    <w:p w14:paraId="7281EE6C" w14:textId="07FC540B" w:rsidR="008F739B" w:rsidRDefault="008F739B" w:rsidP="007751E4">
      <w:pPr>
        <w:spacing w:line="360" w:lineRule="auto"/>
        <w:rPr>
          <w:rFonts w:ascii="Helvetica Neue" w:hAnsi="Helvetica Neue"/>
          <w:sz w:val="20"/>
        </w:rPr>
      </w:pPr>
    </w:p>
    <w:p w14:paraId="7630EE2E" w14:textId="00AD57E3" w:rsidR="008F739B" w:rsidRDefault="008F739B" w:rsidP="007751E4">
      <w:pPr>
        <w:spacing w:line="360" w:lineRule="auto"/>
        <w:rPr>
          <w:rFonts w:ascii="Helvetica Neue" w:hAnsi="Helvetica Neue"/>
          <w:sz w:val="20"/>
        </w:rPr>
      </w:pPr>
    </w:p>
    <w:p w14:paraId="151158CA" w14:textId="21F7A094" w:rsidR="008F739B" w:rsidRDefault="008F739B" w:rsidP="007751E4">
      <w:pPr>
        <w:spacing w:line="360" w:lineRule="auto"/>
        <w:rPr>
          <w:rFonts w:ascii="Helvetica Neue" w:hAnsi="Helvetica Neue"/>
          <w:sz w:val="20"/>
        </w:rPr>
      </w:pPr>
    </w:p>
    <w:tbl>
      <w:tblPr>
        <w:tblW w:w="9540" w:type="dxa"/>
        <w:tblLook w:val="04A0" w:firstRow="1" w:lastRow="0" w:firstColumn="1" w:lastColumn="0" w:noHBand="0" w:noVBand="1"/>
      </w:tblPr>
      <w:tblGrid>
        <w:gridCol w:w="2700"/>
        <w:gridCol w:w="1890"/>
        <w:gridCol w:w="1620"/>
        <w:gridCol w:w="1890"/>
        <w:gridCol w:w="1440"/>
      </w:tblGrid>
      <w:tr w:rsidR="00D019E1" w:rsidRPr="00D019E1" w14:paraId="615DB7D5" w14:textId="77777777" w:rsidTr="00D019E1">
        <w:trPr>
          <w:trHeight w:val="679"/>
        </w:trPr>
        <w:tc>
          <w:tcPr>
            <w:tcW w:w="9540" w:type="dxa"/>
            <w:gridSpan w:val="5"/>
            <w:tcBorders>
              <w:top w:val="nil"/>
              <w:left w:val="nil"/>
              <w:bottom w:val="nil"/>
              <w:right w:val="nil"/>
            </w:tcBorders>
            <w:shd w:val="clear" w:color="000000" w:fill="FFFFFF"/>
            <w:vAlign w:val="center"/>
            <w:hideMark/>
          </w:tcPr>
          <w:p w14:paraId="0F5F982D" w14:textId="64463252" w:rsidR="00D019E1" w:rsidRPr="00D019E1" w:rsidRDefault="00D019E1">
            <w:pPr>
              <w:rPr>
                <w:rFonts w:ascii="Helvetica Neue" w:hAnsi="Helvetica Neue" w:cs="Arial"/>
                <w:sz w:val="18"/>
                <w:szCs w:val="18"/>
              </w:rPr>
            </w:pPr>
            <w:r w:rsidRPr="00D019E1">
              <w:rPr>
                <w:rFonts w:ascii="Helvetica Neue" w:hAnsi="Helvetica Neue" w:cs="Arial"/>
                <w:b/>
                <w:bCs/>
                <w:sz w:val="18"/>
                <w:szCs w:val="18"/>
              </w:rPr>
              <w:lastRenderedPageBreak/>
              <w:t xml:space="preserve">Supplementary Table </w:t>
            </w:r>
            <w:r w:rsidRPr="00E05B64">
              <w:rPr>
                <w:rFonts w:ascii="Helvetica Neue" w:hAnsi="Helvetica Neue" w:cs="Arial"/>
                <w:b/>
                <w:bCs/>
                <w:sz w:val="18"/>
                <w:szCs w:val="18"/>
                <w:highlight w:val="yellow"/>
              </w:rPr>
              <w:t>1</w:t>
            </w:r>
            <w:r w:rsidR="00FE6CB3" w:rsidRPr="00E05B64">
              <w:rPr>
                <w:rFonts w:ascii="Helvetica Neue" w:hAnsi="Helvetica Neue" w:cs="Arial"/>
                <w:b/>
                <w:bCs/>
                <w:sz w:val="18"/>
                <w:szCs w:val="18"/>
                <w:highlight w:val="yellow"/>
              </w:rPr>
              <w:t>2</w:t>
            </w:r>
            <w:r w:rsidRPr="00D019E1">
              <w:rPr>
                <w:rFonts w:ascii="Helvetica Neue" w:hAnsi="Helvetica Neue" w:cs="Arial"/>
                <w:b/>
                <w:bCs/>
                <w:sz w:val="18"/>
                <w:szCs w:val="18"/>
              </w:rPr>
              <w:t>.</w:t>
            </w:r>
            <w:r w:rsidRPr="00D019E1">
              <w:rPr>
                <w:rFonts w:ascii="Helvetica Neue" w:hAnsi="Helvetica Neue" w:cs="Arial"/>
                <w:sz w:val="18"/>
                <w:szCs w:val="18"/>
              </w:rPr>
              <w:t xml:space="preserve"> Chlamydia (CT) Incidence Rates, Percent of Infections Averted (PIA), Expedited Partner Therapy (EPT) Doses Taken by Partners, Number of Infections Averted (NIA), and Mean Number of Times Infected by Provision to Non-Index Partner of Expedited Partner Therapy (EPT) Medication among  Men Who Have Sex with Men in the United States</w:t>
            </w:r>
          </w:p>
        </w:tc>
      </w:tr>
      <w:tr w:rsidR="00D019E1" w:rsidRPr="00D019E1" w14:paraId="0EBB6ABD" w14:textId="77777777" w:rsidTr="00D019E1">
        <w:trPr>
          <w:trHeight w:val="720"/>
        </w:trPr>
        <w:tc>
          <w:tcPr>
            <w:tcW w:w="2700" w:type="dxa"/>
            <w:tcBorders>
              <w:top w:val="single" w:sz="4" w:space="0" w:color="auto"/>
              <w:left w:val="nil"/>
              <w:bottom w:val="single" w:sz="4" w:space="0" w:color="auto"/>
              <w:right w:val="nil"/>
            </w:tcBorders>
            <w:shd w:val="clear" w:color="000000" w:fill="FFFFFF"/>
            <w:noWrap/>
            <w:vAlign w:val="center"/>
            <w:hideMark/>
          </w:tcPr>
          <w:p w14:paraId="63625D23"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890" w:type="dxa"/>
            <w:tcBorders>
              <w:top w:val="single" w:sz="4" w:space="0" w:color="auto"/>
              <w:left w:val="nil"/>
              <w:bottom w:val="single" w:sz="4" w:space="0" w:color="auto"/>
              <w:right w:val="nil"/>
            </w:tcBorders>
            <w:shd w:val="clear" w:color="auto" w:fill="auto"/>
            <w:vAlign w:val="center"/>
            <w:hideMark/>
          </w:tcPr>
          <w:p w14:paraId="4F9C0418" w14:textId="77777777" w:rsidR="00D019E1" w:rsidRPr="00D019E1" w:rsidRDefault="00D019E1">
            <w:pPr>
              <w:rPr>
                <w:rFonts w:ascii="Helvetica Neue" w:hAnsi="Helvetica Neue" w:cs="Arial"/>
                <w:i/>
                <w:iCs/>
                <w:sz w:val="18"/>
                <w:szCs w:val="18"/>
              </w:rPr>
            </w:pPr>
            <w:r w:rsidRPr="00D019E1">
              <w:rPr>
                <w:rFonts w:ascii="Helvetica Neue" w:hAnsi="Helvetica Neue" w:cs="Arial"/>
                <w:b/>
                <w:bCs/>
                <w:sz w:val="18"/>
                <w:szCs w:val="18"/>
              </w:rPr>
              <w:t xml:space="preserve">Incidence </w:t>
            </w:r>
            <w:r w:rsidRPr="00D019E1">
              <w:rPr>
                <w:rFonts w:ascii="Helvetica Neue" w:hAnsi="Helvetica Neue" w:cs="Arial"/>
                <w:i/>
                <w:iCs/>
                <w:sz w:val="18"/>
                <w:szCs w:val="18"/>
              </w:rPr>
              <w:br/>
              <w:t>(Median, IQR)</w:t>
            </w:r>
          </w:p>
        </w:tc>
        <w:tc>
          <w:tcPr>
            <w:tcW w:w="1620" w:type="dxa"/>
            <w:tcBorders>
              <w:top w:val="single" w:sz="4" w:space="0" w:color="auto"/>
              <w:left w:val="nil"/>
              <w:bottom w:val="single" w:sz="4" w:space="0" w:color="auto"/>
              <w:right w:val="nil"/>
            </w:tcBorders>
            <w:shd w:val="clear" w:color="auto" w:fill="auto"/>
            <w:vAlign w:val="center"/>
            <w:hideMark/>
          </w:tcPr>
          <w:p w14:paraId="2F55FAA4" w14:textId="77777777" w:rsidR="00D019E1" w:rsidRPr="00D019E1" w:rsidRDefault="00D019E1">
            <w:pPr>
              <w:rPr>
                <w:rFonts w:ascii="Helvetica Neue" w:hAnsi="Helvetica Neue" w:cs="Arial"/>
                <w:i/>
                <w:iCs/>
                <w:sz w:val="18"/>
                <w:szCs w:val="18"/>
              </w:rPr>
            </w:pPr>
            <w:r w:rsidRPr="00D019E1">
              <w:rPr>
                <w:rFonts w:ascii="Helvetica Neue" w:hAnsi="Helvetica Neue" w:cs="Arial"/>
                <w:b/>
                <w:bCs/>
                <w:sz w:val="18"/>
                <w:szCs w:val="18"/>
              </w:rPr>
              <w:t>Cumulative PIA</w:t>
            </w:r>
            <w:r w:rsidRPr="00D019E1">
              <w:rPr>
                <w:rFonts w:ascii="Helvetica Neue" w:hAnsi="Helvetica Neue" w:cs="Arial"/>
                <w:i/>
                <w:iCs/>
                <w:sz w:val="18"/>
                <w:szCs w:val="18"/>
              </w:rPr>
              <w:t xml:space="preserve"> (Median, IQR)</w:t>
            </w:r>
          </w:p>
        </w:tc>
        <w:tc>
          <w:tcPr>
            <w:tcW w:w="1890" w:type="dxa"/>
            <w:tcBorders>
              <w:top w:val="single" w:sz="4" w:space="0" w:color="auto"/>
              <w:left w:val="nil"/>
              <w:bottom w:val="single" w:sz="4" w:space="0" w:color="auto"/>
              <w:right w:val="nil"/>
            </w:tcBorders>
            <w:shd w:val="clear" w:color="auto" w:fill="auto"/>
            <w:vAlign w:val="center"/>
            <w:hideMark/>
          </w:tcPr>
          <w:p w14:paraId="107D2AF7" w14:textId="77777777" w:rsidR="00D019E1" w:rsidRPr="00D019E1" w:rsidRDefault="00D019E1">
            <w:pPr>
              <w:rPr>
                <w:rFonts w:ascii="Helvetica Neue" w:hAnsi="Helvetica Neue" w:cs="Arial"/>
                <w:i/>
                <w:iCs/>
                <w:sz w:val="18"/>
                <w:szCs w:val="18"/>
              </w:rPr>
            </w:pPr>
            <w:r w:rsidRPr="00D019E1">
              <w:rPr>
                <w:rFonts w:ascii="Helvetica Neue" w:hAnsi="Helvetica Neue" w:cs="Arial"/>
                <w:b/>
                <w:bCs/>
                <w:sz w:val="18"/>
                <w:szCs w:val="18"/>
              </w:rPr>
              <w:t>Total EPT Doses</w:t>
            </w:r>
            <w:r w:rsidRPr="00D019E1">
              <w:rPr>
                <w:rFonts w:ascii="Helvetica Neue" w:hAnsi="Helvetica Neue" w:cs="Arial"/>
                <w:i/>
                <w:iCs/>
                <w:sz w:val="18"/>
                <w:szCs w:val="18"/>
              </w:rPr>
              <w:t xml:space="preserve"> </w:t>
            </w:r>
            <w:r w:rsidRPr="00D019E1">
              <w:rPr>
                <w:rFonts w:ascii="Helvetica Neue" w:hAnsi="Helvetica Neue" w:cs="Arial"/>
                <w:b/>
                <w:bCs/>
                <w:sz w:val="18"/>
                <w:szCs w:val="18"/>
              </w:rPr>
              <w:t xml:space="preserve">Taken </w:t>
            </w:r>
            <w:r w:rsidRPr="00D019E1">
              <w:rPr>
                <w:rFonts w:ascii="Helvetica Neue" w:hAnsi="Helvetica Neue" w:cs="Arial"/>
                <w:i/>
                <w:iCs/>
                <w:sz w:val="18"/>
                <w:szCs w:val="18"/>
              </w:rPr>
              <w:t>(Median, IQR)</w:t>
            </w:r>
          </w:p>
        </w:tc>
        <w:tc>
          <w:tcPr>
            <w:tcW w:w="1440" w:type="dxa"/>
            <w:tcBorders>
              <w:top w:val="single" w:sz="4" w:space="0" w:color="auto"/>
              <w:left w:val="nil"/>
              <w:bottom w:val="single" w:sz="4" w:space="0" w:color="auto"/>
              <w:right w:val="nil"/>
            </w:tcBorders>
            <w:shd w:val="clear" w:color="auto" w:fill="auto"/>
            <w:vAlign w:val="center"/>
            <w:hideMark/>
          </w:tcPr>
          <w:p w14:paraId="2CE600DA" w14:textId="77777777" w:rsidR="00D019E1" w:rsidRPr="00D019E1" w:rsidRDefault="00D019E1">
            <w:pPr>
              <w:rPr>
                <w:rFonts w:ascii="Helvetica Neue" w:hAnsi="Helvetica Neue" w:cs="Arial"/>
                <w:i/>
                <w:iCs/>
                <w:sz w:val="18"/>
                <w:szCs w:val="18"/>
              </w:rPr>
            </w:pPr>
            <w:r w:rsidRPr="00D019E1">
              <w:rPr>
                <w:rFonts w:ascii="Helvetica Neue" w:hAnsi="Helvetica Neue" w:cs="Arial"/>
                <w:b/>
                <w:bCs/>
                <w:sz w:val="18"/>
                <w:szCs w:val="18"/>
              </w:rPr>
              <w:t xml:space="preserve">Per-Capita Times Infected </w:t>
            </w:r>
            <w:r w:rsidRPr="00D019E1">
              <w:rPr>
                <w:rFonts w:ascii="Helvetica Neue" w:hAnsi="Helvetica Neue" w:cs="Arial"/>
                <w:i/>
                <w:iCs/>
                <w:sz w:val="18"/>
                <w:szCs w:val="18"/>
              </w:rPr>
              <w:br/>
              <w:t>(Median, IQR)</w:t>
            </w:r>
          </w:p>
        </w:tc>
      </w:tr>
      <w:tr w:rsidR="00D019E1" w:rsidRPr="00D019E1" w14:paraId="0073DFEA" w14:textId="77777777" w:rsidTr="00D019E1">
        <w:trPr>
          <w:trHeight w:val="300"/>
        </w:trPr>
        <w:tc>
          <w:tcPr>
            <w:tcW w:w="2700" w:type="dxa"/>
            <w:tcBorders>
              <w:top w:val="nil"/>
              <w:left w:val="nil"/>
              <w:bottom w:val="nil"/>
              <w:right w:val="nil"/>
            </w:tcBorders>
            <w:shd w:val="clear" w:color="000000" w:fill="FFFFFF"/>
            <w:vAlign w:val="center"/>
            <w:hideMark/>
          </w:tcPr>
          <w:p w14:paraId="46FA8956"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Reference Model</w:t>
            </w:r>
          </w:p>
        </w:tc>
        <w:tc>
          <w:tcPr>
            <w:tcW w:w="1890" w:type="dxa"/>
            <w:tcBorders>
              <w:top w:val="nil"/>
              <w:left w:val="nil"/>
              <w:bottom w:val="nil"/>
              <w:right w:val="nil"/>
            </w:tcBorders>
            <w:shd w:val="clear" w:color="000000" w:fill="FFFFFF"/>
            <w:noWrap/>
            <w:vAlign w:val="center"/>
            <w:hideMark/>
          </w:tcPr>
          <w:p w14:paraId="1473765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6.85 (5.94, 7.85)</w:t>
            </w:r>
          </w:p>
        </w:tc>
        <w:tc>
          <w:tcPr>
            <w:tcW w:w="1620" w:type="dxa"/>
            <w:tcBorders>
              <w:top w:val="nil"/>
              <w:left w:val="nil"/>
              <w:bottom w:val="nil"/>
              <w:right w:val="nil"/>
            </w:tcBorders>
            <w:shd w:val="clear" w:color="000000" w:fill="FFFFFF"/>
            <w:noWrap/>
            <w:vAlign w:val="center"/>
            <w:hideMark/>
          </w:tcPr>
          <w:p w14:paraId="2C8EE59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w:t>
            </w:r>
          </w:p>
        </w:tc>
        <w:tc>
          <w:tcPr>
            <w:tcW w:w="1890" w:type="dxa"/>
            <w:tcBorders>
              <w:top w:val="nil"/>
              <w:left w:val="nil"/>
              <w:bottom w:val="nil"/>
              <w:right w:val="nil"/>
            </w:tcBorders>
            <w:shd w:val="clear" w:color="000000" w:fill="FFFFFF"/>
            <w:noWrap/>
            <w:vAlign w:val="center"/>
            <w:hideMark/>
          </w:tcPr>
          <w:p w14:paraId="010B3F88"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w:t>
            </w:r>
          </w:p>
        </w:tc>
        <w:tc>
          <w:tcPr>
            <w:tcW w:w="1440" w:type="dxa"/>
            <w:tcBorders>
              <w:top w:val="nil"/>
              <w:left w:val="nil"/>
              <w:bottom w:val="nil"/>
              <w:right w:val="nil"/>
            </w:tcBorders>
            <w:shd w:val="clear" w:color="000000" w:fill="FFFFFF"/>
            <w:noWrap/>
            <w:vAlign w:val="center"/>
            <w:hideMark/>
          </w:tcPr>
          <w:p w14:paraId="2790FE2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0.72 (0.65, 0.79)</w:t>
            </w:r>
          </w:p>
        </w:tc>
      </w:tr>
      <w:tr w:rsidR="00D019E1" w:rsidRPr="00D019E1" w14:paraId="405783F4" w14:textId="77777777" w:rsidTr="00D019E1">
        <w:trPr>
          <w:trHeight w:val="300"/>
        </w:trPr>
        <w:tc>
          <w:tcPr>
            <w:tcW w:w="2700" w:type="dxa"/>
            <w:tcBorders>
              <w:top w:val="nil"/>
              <w:left w:val="nil"/>
              <w:bottom w:val="nil"/>
              <w:right w:val="nil"/>
            </w:tcBorders>
            <w:shd w:val="clear" w:color="000000" w:fill="FFFFFF"/>
            <w:vAlign w:val="center"/>
            <w:hideMark/>
          </w:tcPr>
          <w:p w14:paraId="7861D1A2"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Provision to Main Partners*</w:t>
            </w:r>
          </w:p>
        </w:tc>
        <w:tc>
          <w:tcPr>
            <w:tcW w:w="1890" w:type="dxa"/>
            <w:tcBorders>
              <w:top w:val="nil"/>
              <w:left w:val="nil"/>
              <w:bottom w:val="nil"/>
              <w:right w:val="nil"/>
            </w:tcBorders>
            <w:shd w:val="clear" w:color="000000" w:fill="FFFFFF"/>
            <w:vAlign w:val="center"/>
            <w:hideMark/>
          </w:tcPr>
          <w:p w14:paraId="5BB43032"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620" w:type="dxa"/>
            <w:tcBorders>
              <w:top w:val="nil"/>
              <w:left w:val="nil"/>
              <w:bottom w:val="nil"/>
              <w:right w:val="nil"/>
            </w:tcBorders>
            <w:shd w:val="clear" w:color="000000" w:fill="FFFFFF"/>
            <w:vAlign w:val="center"/>
            <w:hideMark/>
          </w:tcPr>
          <w:p w14:paraId="2AA9D0FF"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890" w:type="dxa"/>
            <w:tcBorders>
              <w:top w:val="nil"/>
              <w:left w:val="nil"/>
              <w:bottom w:val="nil"/>
              <w:right w:val="nil"/>
            </w:tcBorders>
            <w:shd w:val="clear" w:color="000000" w:fill="FFFFFF"/>
            <w:vAlign w:val="center"/>
            <w:hideMark/>
          </w:tcPr>
          <w:p w14:paraId="4FC39084"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440" w:type="dxa"/>
            <w:tcBorders>
              <w:top w:val="nil"/>
              <w:left w:val="nil"/>
              <w:bottom w:val="nil"/>
              <w:right w:val="nil"/>
            </w:tcBorders>
            <w:shd w:val="clear" w:color="000000" w:fill="FFFFFF"/>
            <w:vAlign w:val="center"/>
            <w:hideMark/>
          </w:tcPr>
          <w:p w14:paraId="1C8BF58B"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r>
      <w:tr w:rsidR="00D019E1" w:rsidRPr="00D019E1" w14:paraId="79310E9E" w14:textId="77777777" w:rsidTr="00D019E1">
        <w:trPr>
          <w:trHeight w:val="300"/>
        </w:trPr>
        <w:tc>
          <w:tcPr>
            <w:tcW w:w="2700" w:type="dxa"/>
            <w:tcBorders>
              <w:top w:val="nil"/>
              <w:left w:val="nil"/>
              <w:bottom w:val="nil"/>
              <w:right w:val="nil"/>
            </w:tcBorders>
            <w:shd w:val="clear" w:color="000000" w:fill="FFFFFF"/>
            <w:noWrap/>
            <w:vAlign w:val="center"/>
            <w:hideMark/>
          </w:tcPr>
          <w:p w14:paraId="786DF2CA"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50%</w:t>
            </w:r>
          </w:p>
        </w:tc>
        <w:tc>
          <w:tcPr>
            <w:tcW w:w="1890" w:type="dxa"/>
            <w:tcBorders>
              <w:top w:val="nil"/>
              <w:left w:val="nil"/>
              <w:bottom w:val="nil"/>
              <w:right w:val="nil"/>
            </w:tcBorders>
            <w:shd w:val="clear" w:color="000000" w:fill="FFFFFF"/>
            <w:noWrap/>
            <w:vAlign w:val="center"/>
            <w:hideMark/>
          </w:tcPr>
          <w:p w14:paraId="2D0836B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5.94 (4.82, 7.05)</w:t>
            </w:r>
          </w:p>
        </w:tc>
        <w:tc>
          <w:tcPr>
            <w:tcW w:w="1620" w:type="dxa"/>
            <w:tcBorders>
              <w:top w:val="nil"/>
              <w:left w:val="nil"/>
              <w:bottom w:val="nil"/>
              <w:right w:val="nil"/>
            </w:tcBorders>
            <w:shd w:val="clear" w:color="000000" w:fill="FFFFFF"/>
            <w:noWrap/>
            <w:vAlign w:val="center"/>
            <w:hideMark/>
          </w:tcPr>
          <w:p w14:paraId="2F27730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0.07 (-0.06, 0.19)</w:t>
            </w:r>
          </w:p>
        </w:tc>
        <w:tc>
          <w:tcPr>
            <w:tcW w:w="1890" w:type="dxa"/>
            <w:tcBorders>
              <w:top w:val="nil"/>
              <w:left w:val="nil"/>
              <w:bottom w:val="nil"/>
              <w:right w:val="nil"/>
            </w:tcBorders>
            <w:shd w:val="clear" w:color="000000" w:fill="FFFFFF"/>
            <w:noWrap/>
            <w:vAlign w:val="center"/>
            <w:hideMark/>
          </w:tcPr>
          <w:p w14:paraId="1774B301"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121 (107, 132)</w:t>
            </w:r>
          </w:p>
        </w:tc>
        <w:tc>
          <w:tcPr>
            <w:tcW w:w="1440" w:type="dxa"/>
            <w:tcBorders>
              <w:top w:val="nil"/>
              <w:left w:val="nil"/>
              <w:bottom w:val="nil"/>
              <w:right w:val="nil"/>
            </w:tcBorders>
            <w:shd w:val="clear" w:color="000000" w:fill="FFFFFF"/>
            <w:noWrap/>
            <w:vAlign w:val="center"/>
            <w:hideMark/>
          </w:tcPr>
          <w:p w14:paraId="7303F09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0.68 (0.62, 0.74)</w:t>
            </w:r>
          </w:p>
        </w:tc>
      </w:tr>
      <w:tr w:rsidR="00D019E1" w:rsidRPr="00D019E1" w14:paraId="6FA0A943" w14:textId="77777777" w:rsidTr="00D019E1">
        <w:trPr>
          <w:trHeight w:val="300"/>
        </w:trPr>
        <w:tc>
          <w:tcPr>
            <w:tcW w:w="2700" w:type="dxa"/>
            <w:tcBorders>
              <w:top w:val="nil"/>
              <w:left w:val="nil"/>
              <w:bottom w:val="nil"/>
              <w:right w:val="nil"/>
            </w:tcBorders>
            <w:shd w:val="clear" w:color="000000" w:fill="FFFFFF"/>
            <w:noWrap/>
            <w:vAlign w:val="center"/>
            <w:hideMark/>
          </w:tcPr>
          <w:p w14:paraId="6A0AADB8"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60%</w:t>
            </w:r>
          </w:p>
        </w:tc>
        <w:tc>
          <w:tcPr>
            <w:tcW w:w="1890" w:type="dxa"/>
            <w:tcBorders>
              <w:top w:val="nil"/>
              <w:left w:val="nil"/>
              <w:bottom w:val="nil"/>
              <w:right w:val="nil"/>
            </w:tcBorders>
            <w:shd w:val="clear" w:color="000000" w:fill="FFFFFF"/>
            <w:noWrap/>
            <w:vAlign w:val="center"/>
            <w:hideMark/>
          </w:tcPr>
          <w:p w14:paraId="36B7627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5.89 (4.92, 6.97)</w:t>
            </w:r>
          </w:p>
        </w:tc>
        <w:tc>
          <w:tcPr>
            <w:tcW w:w="1620" w:type="dxa"/>
            <w:tcBorders>
              <w:top w:val="nil"/>
              <w:left w:val="nil"/>
              <w:bottom w:val="nil"/>
              <w:right w:val="nil"/>
            </w:tcBorders>
            <w:shd w:val="clear" w:color="000000" w:fill="FFFFFF"/>
            <w:noWrap/>
            <w:vAlign w:val="center"/>
            <w:hideMark/>
          </w:tcPr>
          <w:p w14:paraId="3448EA96"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0.10 (-0.04, 0.20)</w:t>
            </w:r>
          </w:p>
        </w:tc>
        <w:tc>
          <w:tcPr>
            <w:tcW w:w="1890" w:type="dxa"/>
            <w:tcBorders>
              <w:top w:val="nil"/>
              <w:left w:val="nil"/>
              <w:bottom w:val="nil"/>
              <w:right w:val="nil"/>
            </w:tcBorders>
            <w:shd w:val="clear" w:color="000000" w:fill="FFFFFF"/>
            <w:noWrap/>
            <w:vAlign w:val="center"/>
            <w:hideMark/>
          </w:tcPr>
          <w:p w14:paraId="6C5C4C4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142 (127, 157)</w:t>
            </w:r>
          </w:p>
        </w:tc>
        <w:tc>
          <w:tcPr>
            <w:tcW w:w="1440" w:type="dxa"/>
            <w:tcBorders>
              <w:top w:val="nil"/>
              <w:left w:val="nil"/>
              <w:bottom w:val="nil"/>
              <w:right w:val="nil"/>
            </w:tcBorders>
            <w:shd w:val="clear" w:color="000000" w:fill="FFFFFF"/>
            <w:noWrap/>
            <w:vAlign w:val="center"/>
            <w:hideMark/>
          </w:tcPr>
          <w:p w14:paraId="2BE79DE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0.66 (0.60, 0.74)</w:t>
            </w:r>
          </w:p>
        </w:tc>
      </w:tr>
      <w:tr w:rsidR="00D019E1" w:rsidRPr="00D019E1" w14:paraId="375D1BDD" w14:textId="77777777" w:rsidTr="00D019E1">
        <w:trPr>
          <w:trHeight w:val="300"/>
        </w:trPr>
        <w:tc>
          <w:tcPr>
            <w:tcW w:w="2700" w:type="dxa"/>
            <w:tcBorders>
              <w:top w:val="nil"/>
              <w:left w:val="nil"/>
              <w:bottom w:val="nil"/>
              <w:right w:val="nil"/>
            </w:tcBorders>
            <w:shd w:val="clear" w:color="000000" w:fill="FFFFFF"/>
            <w:noWrap/>
            <w:vAlign w:val="center"/>
            <w:hideMark/>
          </w:tcPr>
          <w:p w14:paraId="018A5818"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70%</w:t>
            </w:r>
          </w:p>
        </w:tc>
        <w:tc>
          <w:tcPr>
            <w:tcW w:w="1890" w:type="dxa"/>
            <w:tcBorders>
              <w:top w:val="nil"/>
              <w:left w:val="nil"/>
              <w:bottom w:val="nil"/>
              <w:right w:val="nil"/>
            </w:tcBorders>
            <w:shd w:val="clear" w:color="000000" w:fill="FFFFFF"/>
            <w:noWrap/>
            <w:vAlign w:val="center"/>
            <w:hideMark/>
          </w:tcPr>
          <w:p w14:paraId="336241C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5.70 (4.58, 6.53)</w:t>
            </w:r>
          </w:p>
        </w:tc>
        <w:tc>
          <w:tcPr>
            <w:tcW w:w="1620" w:type="dxa"/>
            <w:tcBorders>
              <w:top w:val="nil"/>
              <w:left w:val="nil"/>
              <w:bottom w:val="nil"/>
              <w:right w:val="nil"/>
            </w:tcBorders>
            <w:shd w:val="clear" w:color="000000" w:fill="FFFFFF"/>
            <w:noWrap/>
            <w:vAlign w:val="center"/>
            <w:hideMark/>
          </w:tcPr>
          <w:p w14:paraId="5B8307F9"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0.11 (-0.03, 0.22)</w:t>
            </w:r>
          </w:p>
        </w:tc>
        <w:tc>
          <w:tcPr>
            <w:tcW w:w="1890" w:type="dxa"/>
            <w:tcBorders>
              <w:top w:val="nil"/>
              <w:left w:val="nil"/>
              <w:bottom w:val="nil"/>
              <w:right w:val="nil"/>
            </w:tcBorders>
            <w:shd w:val="clear" w:color="000000" w:fill="FFFFFF"/>
            <w:noWrap/>
            <w:vAlign w:val="center"/>
            <w:hideMark/>
          </w:tcPr>
          <w:p w14:paraId="4CD5D12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161 (145, 179)</w:t>
            </w:r>
          </w:p>
        </w:tc>
        <w:tc>
          <w:tcPr>
            <w:tcW w:w="1440" w:type="dxa"/>
            <w:tcBorders>
              <w:top w:val="nil"/>
              <w:left w:val="nil"/>
              <w:bottom w:val="nil"/>
              <w:right w:val="nil"/>
            </w:tcBorders>
            <w:shd w:val="clear" w:color="000000" w:fill="FFFFFF"/>
            <w:noWrap/>
            <w:vAlign w:val="center"/>
            <w:hideMark/>
          </w:tcPr>
          <w:p w14:paraId="41C4D646"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0.65 (0.59, 0.71)</w:t>
            </w:r>
          </w:p>
        </w:tc>
      </w:tr>
      <w:tr w:rsidR="00D019E1" w:rsidRPr="00D019E1" w14:paraId="0D2D3994" w14:textId="77777777" w:rsidTr="00D019E1">
        <w:trPr>
          <w:trHeight w:val="300"/>
        </w:trPr>
        <w:tc>
          <w:tcPr>
            <w:tcW w:w="2700" w:type="dxa"/>
            <w:tcBorders>
              <w:top w:val="nil"/>
              <w:left w:val="nil"/>
              <w:bottom w:val="nil"/>
              <w:right w:val="nil"/>
            </w:tcBorders>
            <w:shd w:val="clear" w:color="000000" w:fill="FFFFFF"/>
            <w:noWrap/>
            <w:vAlign w:val="center"/>
            <w:hideMark/>
          </w:tcPr>
          <w:p w14:paraId="0A02BE5C"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80%</w:t>
            </w:r>
          </w:p>
        </w:tc>
        <w:tc>
          <w:tcPr>
            <w:tcW w:w="1890" w:type="dxa"/>
            <w:tcBorders>
              <w:top w:val="nil"/>
              <w:left w:val="nil"/>
              <w:bottom w:val="nil"/>
              <w:right w:val="nil"/>
            </w:tcBorders>
            <w:shd w:val="clear" w:color="000000" w:fill="FFFFFF"/>
            <w:noWrap/>
            <w:vAlign w:val="center"/>
            <w:hideMark/>
          </w:tcPr>
          <w:p w14:paraId="264D976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5.50 (4.49, 6.54)</w:t>
            </w:r>
          </w:p>
        </w:tc>
        <w:tc>
          <w:tcPr>
            <w:tcW w:w="1620" w:type="dxa"/>
            <w:tcBorders>
              <w:top w:val="nil"/>
              <w:left w:val="nil"/>
              <w:bottom w:val="nil"/>
              <w:right w:val="nil"/>
            </w:tcBorders>
            <w:shd w:val="clear" w:color="000000" w:fill="FFFFFF"/>
            <w:noWrap/>
            <w:vAlign w:val="center"/>
            <w:hideMark/>
          </w:tcPr>
          <w:p w14:paraId="09B71FC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0.09 (-0.03, 0.24)</w:t>
            </w:r>
          </w:p>
        </w:tc>
        <w:tc>
          <w:tcPr>
            <w:tcW w:w="1890" w:type="dxa"/>
            <w:tcBorders>
              <w:top w:val="nil"/>
              <w:left w:val="nil"/>
              <w:bottom w:val="nil"/>
              <w:right w:val="nil"/>
            </w:tcBorders>
            <w:shd w:val="clear" w:color="000000" w:fill="FFFFFF"/>
            <w:noWrap/>
            <w:vAlign w:val="center"/>
            <w:hideMark/>
          </w:tcPr>
          <w:p w14:paraId="514B7780"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184 (167, 205)</w:t>
            </w:r>
          </w:p>
        </w:tc>
        <w:tc>
          <w:tcPr>
            <w:tcW w:w="1440" w:type="dxa"/>
            <w:tcBorders>
              <w:top w:val="nil"/>
              <w:left w:val="nil"/>
              <w:bottom w:val="nil"/>
              <w:right w:val="nil"/>
            </w:tcBorders>
            <w:shd w:val="clear" w:color="000000" w:fill="FFFFFF"/>
            <w:noWrap/>
            <w:vAlign w:val="center"/>
            <w:hideMark/>
          </w:tcPr>
          <w:p w14:paraId="573451A6"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0.65 (0.57, 0.71)</w:t>
            </w:r>
          </w:p>
        </w:tc>
      </w:tr>
      <w:tr w:rsidR="00D019E1" w:rsidRPr="00D019E1" w14:paraId="3D3390DB" w14:textId="77777777" w:rsidTr="00D019E1">
        <w:trPr>
          <w:trHeight w:val="300"/>
        </w:trPr>
        <w:tc>
          <w:tcPr>
            <w:tcW w:w="2700" w:type="dxa"/>
            <w:tcBorders>
              <w:top w:val="nil"/>
              <w:left w:val="nil"/>
              <w:bottom w:val="nil"/>
              <w:right w:val="nil"/>
            </w:tcBorders>
            <w:shd w:val="clear" w:color="000000" w:fill="FFFFFF"/>
            <w:noWrap/>
            <w:vAlign w:val="center"/>
            <w:hideMark/>
          </w:tcPr>
          <w:p w14:paraId="1B06A84D"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90%</w:t>
            </w:r>
          </w:p>
        </w:tc>
        <w:tc>
          <w:tcPr>
            <w:tcW w:w="1890" w:type="dxa"/>
            <w:tcBorders>
              <w:top w:val="nil"/>
              <w:left w:val="nil"/>
              <w:bottom w:val="nil"/>
              <w:right w:val="nil"/>
            </w:tcBorders>
            <w:shd w:val="clear" w:color="000000" w:fill="FFFFFF"/>
            <w:noWrap/>
            <w:vAlign w:val="center"/>
            <w:hideMark/>
          </w:tcPr>
          <w:p w14:paraId="69735B0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5.55 (4.51, 6.54)</w:t>
            </w:r>
          </w:p>
        </w:tc>
        <w:tc>
          <w:tcPr>
            <w:tcW w:w="1620" w:type="dxa"/>
            <w:tcBorders>
              <w:top w:val="nil"/>
              <w:left w:val="nil"/>
              <w:bottom w:val="nil"/>
              <w:right w:val="nil"/>
            </w:tcBorders>
            <w:shd w:val="clear" w:color="000000" w:fill="FFFFFF"/>
            <w:noWrap/>
            <w:vAlign w:val="center"/>
            <w:hideMark/>
          </w:tcPr>
          <w:p w14:paraId="0977F93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0.11 (-0.04, 0.22)</w:t>
            </w:r>
          </w:p>
        </w:tc>
        <w:tc>
          <w:tcPr>
            <w:tcW w:w="1890" w:type="dxa"/>
            <w:tcBorders>
              <w:top w:val="nil"/>
              <w:left w:val="nil"/>
              <w:bottom w:val="nil"/>
              <w:right w:val="nil"/>
            </w:tcBorders>
            <w:shd w:val="clear" w:color="000000" w:fill="FFFFFF"/>
            <w:noWrap/>
            <w:vAlign w:val="center"/>
            <w:hideMark/>
          </w:tcPr>
          <w:p w14:paraId="5AA01BAD"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206 (186, 227)</w:t>
            </w:r>
          </w:p>
        </w:tc>
        <w:tc>
          <w:tcPr>
            <w:tcW w:w="1440" w:type="dxa"/>
            <w:tcBorders>
              <w:top w:val="nil"/>
              <w:left w:val="nil"/>
              <w:bottom w:val="nil"/>
              <w:right w:val="nil"/>
            </w:tcBorders>
            <w:shd w:val="clear" w:color="000000" w:fill="FFFFFF"/>
            <w:noWrap/>
            <w:vAlign w:val="center"/>
            <w:hideMark/>
          </w:tcPr>
          <w:p w14:paraId="4B52A93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0.65 (0.59, 0.72)</w:t>
            </w:r>
          </w:p>
        </w:tc>
      </w:tr>
      <w:tr w:rsidR="00D019E1" w:rsidRPr="00D019E1" w14:paraId="162F620E" w14:textId="77777777" w:rsidTr="00D019E1">
        <w:trPr>
          <w:trHeight w:val="300"/>
        </w:trPr>
        <w:tc>
          <w:tcPr>
            <w:tcW w:w="2700" w:type="dxa"/>
            <w:tcBorders>
              <w:top w:val="nil"/>
              <w:left w:val="nil"/>
              <w:bottom w:val="nil"/>
              <w:right w:val="nil"/>
            </w:tcBorders>
            <w:shd w:val="clear" w:color="000000" w:fill="FFFFFF"/>
            <w:noWrap/>
            <w:vAlign w:val="center"/>
            <w:hideMark/>
          </w:tcPr>
          <w:p w14:paraId="7E48F985"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100%</w:t>
            </w:r>
          </w:p>
        </w:tc>
        <w:tc>
          <w:tcPr>
            <w:tcW w:w="1890" w:type="dxa"/>
            <w:tcBorders>
              <w:top w:val="nil"/>
              <w:left w:val="nil"/>
              <w:bottom w:val="nil"/>
              <w:right w:val="nil"/>
            </w:tcBorders>
            <w:shd w:val="clear" w:color="000000" w:fill="FFFFFF"/>
            <w:noWrap/>
            <w:vAlign w:val="center"/>
            <w:hideMark/>
          </w:tcPr>
          <w:p w14:paraId="50996CF6"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5.23 (4.33, 6.17)</w:t>
            </w:r>
          </w:p>
        </w:tc>
        <w:tc>
          <w:tcPr>
            <w:tcW w:w="1620" w:type="dxa"/>
            <w:tcBorders>
              <w:top w:val="nil"/>
              <w:left w:val="nil"/>
              <w:bottom w:val="nil"/>
              <w:right w:val="nil"/>
            </w:tcBorders>
            <w:shd w:val="clear" w:color="000000" w:fill="FFFFFF"/>
            <w:noWrap/>
            <w:vAlign w:val="center"/>
            <w:hideMark/>
          </w:tcPr>
          <w:p w14:paraId="28F5E6C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0.13 (0.01, 0.24)</w:t>
            </w:r>
          </w:p>
        </w:tc>
        <w:tc>
          <w:tcPr>
            <w:tcW w:w="1890" w:type="dxa"/>
            <w:tcBorders>
              <w:top w:val="nil"/>
              <w:left w:val="nil"/>
              <w:bottom w:val="nil"/>
              <w:right w:val="nil"/>
            </w:tcBorders>
            <w:shd w:val="clear" w:color="000000" w:fill="FFFFFF"/>
            <w:noWrap/>
            <w:vAlign w:val="center"/>
            <w:hideMark/>
          </w:tcPr>
          <w:p w14:paraId="7CA2DF6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226 (204, 248)</w:t>
            </w:r>
          </w:p>
        </w:tc>
        <w:tc>
          <w:tcPr>
            <w:tcW w:w="1440" w:type="dxa"/>
            <w:tcBorders>
              <w:top w:val="nil"/>
              <w:left w:val="nil"/>
              <w:bottom w:val="nil"/>
              <w:right w:val="nil"/>
            </w:tcBorders>
            <w:shd w:val="clear" w:color="000000" w:fill="FFFFFF"/>
            <w:noWrap/>
            <w:vAlign w:val="center"/>
            <w:hideMark/>
          </w:tcPr>
          <w:p w14:paraId="0F60F8A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0.64 (0.58, 0.69)</w:t>
            </w:r>
          </w:p>
        </w:tc>
      </w:tr>
      <w:tr w:rsidR="00D019E1" w:rsidRPr="00D019E1" w14:paraId="1932B6CB" w14:textId="77777777" w:rsidTr="00D019E1">
        <w:trPr>
          <w:trHeight w:val="300"/>
        </w:trPr>
        <w:tc>
          <w:tcPr>
            <w:tcW w:w="2700" w:type="dxa"/>
            <w:tcBorders>
              <w:top w:val="nil"/>
              <w:left w:val="nil"/>
              <w:bottom w:val="nil"/>
              <w:right w:val="nil"/>
            </w:tcBorders>
            <w:shd w:val="clear" w:color="000000" w:fill="FFFFFF"/>
            <w:vAlign w:val="center"/>
            <w:hideMark/>
          </w:tcPr>
          <w:p w14:paraId="32D16896"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Provision to Casual Partners*</w:t>
            </w:r>
          </w:p>
        </w:tc>
        <w:tc>
          <w:tcPr>
            <w:tcW w:w="1890" w:type="dxa"/>
            <w:tcBorders>
              <w:top w:val="nil"/>
              <w:left w:val="nil"/>
              <w:bottom w:val="nil"/>
              <w:right w:val="nil"/>
            </w:tcBorders>
            <w:shd w:val="clear" w:color="000000" w:fill="FFFFFF"/>
            <w:vAlign w:val="center"/>
            <w:hideMark/>
          </w:tcPr>
          <w:p w14:paraId="26A6107F"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620" w:type="dxa"/>
            <w:tcBorders>
              <w:top w:val="nil"/>
              <w:left w:val="nil"/>
              <w:bottom w:val="nil"/>
              <w:right w:val="nil"/>
            </w:tcBorders>
            <w:shd w:val="clear" w:color="000000" w:fill="FFFFFF"/>
            <w:vAlign w:val="center"/>
            <w:hideMark/>
          </w:tcPr>
          <w:p w14:paraId="4BD38EFC"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890" w:type="dxa"/>
            <w:tcBorders>
              <w:top w:val="nil"/>
              <w:left w:val="nil"/>
              <w:bottom w:val="nil"/>
              <w:right w:val="nil"/>
            </w:tcBorders>
            <w:shd w:val="clear" w:color="000000" w:fill="FFFFFF"/>
            <w:vAlign w:val="center"/>
            <w:hideMark/>
          </w:tcPr>
          <w:p w14:paraId="0E2131E4"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c>
          <w:tcPr>
            <w:tcW w:w="1440" w:type="dxa"/>
            <w:tcBorders>
              <w:top w:val="nil"/>
              <w:left w:val="nil"/>
              <w:bottom w:val="nil"/>
              <w:right w:val="nil"/>
            </w:tcBorders>
            <w:shd w:val="clear" w:color="000000" w:fill="FFFFFF"/>
            <w:vAlign w:val="center"/>
            <w:hideMark/>
          </w:tcPr>
          <w:p w14:paraId="2A83B13A"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 </w:t>
            </w:r>
          </w:p>
        </w:tc>
      </w:tr>
      <w:tr w:rsidR="00D019E1" w:rsidRPr="00D019E1" w14:paraId="4770A9BB" w14:textId="77777777" w:rsidTr="00D019E1">
        <w:trPr>
          <w:trHeight w:val="300"/>
        </w:trPr>
        <w:tc>
          <w:tcPr>
            <w:tcW w:w="2700" w:type="dxa"/>
            <w:tcBorders>
              <w:top w:val="nil"/>
              <w:left w:val="nil"/>
              <w:bottom w:val="nil"/>
              <w:right w:val="nil"/>
            </w:tcBorders>
            <w:shd w:val="clear" w:color="000000" w:fill="FFFFFF"/>
            <w:noWrap/>
            <w:vAlign w:val="center"/>
            <w:hideMark/>
          </w:tcPr>
          <w:p w14:paraId="499B507A"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50%</w:t>
            </w:r>
          </w:p>
        </w:tc>
        <w:tc>
          <w:tcPr>
            <w:tcW w:w="1890" w:type="dxa"/>
            <w:tcBorders>
              <w:top w:val="nil"/>
              <w:left w:val="nil"/>
              <w:bottom w:val="nil"/>
              <w:right w:val="nil"/>
            </w:tcBorders>
            <w:shd w:val="clear" w:color="000000" w:fill="FFFFFF"/>
            <w:noWrap/>
            <w:vAlign w:val="center"/>
            <w:hideMark/>
          </w:tcPr>
          <w:p w14:paraId="666B442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4.62 (3.95, 5.65)</w:t>
            </w:r>
          </w:p>
        </w:tc>
        <w:tc>
          <w:tcPr>
            <w:tcW w:w="1620" w:type="dxa"/>
            <w:tcBorders>
              <w:top w:val="nil"/>
              <w:left w:val="nil"/>
              <w:bottom w:val="nil"/>
              <w:right w:val="nil"/>
            </w:tcBorders>
            <w:shd w:val="clear" w:color="000000" w:fill="FFFFFF"/>
            <w:noWrap/>
            <w:vAlign w:val="center"/>
            <w:hideMark/>
          </w:tcPr>
          <w:p w14:paraId="3C22018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0.18 (0.07, 0.29)</w:t>
            </w:r>
          </w:p>
        </w:tc>
        <w:tc>
          <w:tcPr>
            <w:tcW w:w="1890" w:type="dxa"/>
            <w:tcBorders>
              <w:top w:val="nil"/>
              <w:left w:val="nil"/>
              <w:bottom w:val="nil"/>
              <w:right w:val="nil"/>
            </w:tcBorders>
            <w:shd w:val="clear" w:color="000000" w:fill="FFFFFF"/>
            <w:noWrap/>
            <w:vAlign w:val="center"/>
            <w:hideMark/>
          </w:tcPr>
          <w:p w14:paraId="7FA179D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383 (341, 418)</w:t>
            </w:r>
          </w:p>
        </w:tc>
        <w:tc>
          <w:tcPr>
            <w:tcW w:w="1440" w:type="dxa"/>
            <w:tcBorders>
              <w:top w:val="nil"/>
              <w:left w:val="nil"/>
              <w:bottom w:val="nil"/>
              <w:right w:val="nil"/>
            </w:tcBorders>
            <w:shd w:val="clear" w:color="000000" w:fill="FFFFFF"/>
            <w:noWrap/>
            <w:vAlign w:val="center"/>
            <w:hideMark/>
          </w:tcPr>
          <w:p w14:paraId="70CB6F10"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0.59 (0.54, 0.65)</w:t>
            </w:r>
          </w:p>
        </w:tc>
      </w:tr>
      <w:tr w:rsidR="00D019E1" w:rsidRPr="00D019E1" w14:paraId="3F197D09" w14:textId="77777777" w:rsidTr="00D019E1">
        <w:trPr>
          <w:trHeight w:val="300"/>
        </w:trPr>
        <w:tc>
          <w:tcPr>
            <w:tcW w:w="2700" w:type="dxa"/>
            <w:tcBorders>
              <w:top w:val="nil"/>
              <w:left w:val="nil"/>
              <w:bottom w:val="nil"/>
              <w:right w:val="nil"/>
            </w:tcBorders>
            <w:shd w:val="clear" w:color="000000" w:fill="FFFFFF"/>
            <w:noWrap/>
            <w:vAlign w:val="center"/>
            <w:hideMark/>
          </w:tcPr>
          <w:p w14:paraId="482C3A95"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60%</w:t>
            </w:r>
          </w:p>
        </w:tc>
        <w:tc>
          <w:tcPr>
            <w:tcW w:w="1890" w:type="dxa"/>
            <w:tcBorders>
              <w:top w:val="nil"/>
              <w:left w:val="nil"/>
              <w:bottom w:val="nil"/>
              <w:right w:val="nil"/>
            </w:tcBorders>
            <w:shd w:val="clear" w:color="000000" w:fill="FFFFFF"/>
            <w:noWrap/>
            <w:vAlign w:val="center"/>
            <w:hideMark/>
          </w:tcPr>
          <w:p w14:paraId="63D04330"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4.39 (3.74, 5.35)</w:t>
            </w:r>
          </w:p>
        </w:tc>
        <w:tc>
          <w:tcPr>
            <w:tcW w:w="1620" w:type="dxa"/>
            <w:tcBorders>
              <w:top w:val="nil"/>
              <w:left w:val="nil"/>
              <w:bottom w:val="nil"/>
              <w:right w:val="nil"/>
            </w:tcBorders>
            <w:shd w:val="clear" w:color="000000" w:fill="FFFFFF"/>
            <w:noWrap/>
            <w:vAlign w:val="center"/>
            <w:hideMark/>
          </w:tcPr>
          <w:p w14:paraId="47AE793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0.20 (0.07, 0.30)</w:t>
            </w:r>
          </w:p>
        </w:tc>
        <w:tc>
          <w:tcPr>
            <w:tcW w:w="1890" w:type="dxa"/>
            <w:tcBorders>
              <w:top w:val="nil"/>
              <w:left w:val="nil"/>
              <w:bottom w:val="nil"/>
              <w:right w:val="nil"/>
            </w:tcBorders>
            <w:shd w:val="clear" w:color="000000" w:fill="FFFFFF"/>
            <w:noWrap/>
            <w:vAlign w:val="center"/>
            <w:hideMark/>
          </w:tcPr>
          <w:p w14:paraId="0B6CA7E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444 (407, 491)</w:t>
            </w:r>
          </w:p>
        </w:tc>
        <w:tc>
          <w:tcPr>
            <w:tcW w:w="1440" w:type="dxa"/>
            <w:tcBorders>
              <w:top w:val="nil"/>
              <w:left w:val="nil"/>
              <w:bottom w:val="nil"/>
              <w:right w:val="nil"/>
            </w:tcBorders>
            <w:shd w:val="clear" w:color="000000" w:fill="FFFFFF"/>
            <w:noWrap/>
            <w:vAlign w:val="center"/>
            <w:hideMark/>
          </w:tcPr>
          <w:p w14:paraId="6271B429"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0.59 (0.54, 0.64)</w:t>
            </w:r>
          </w:p>
        </w:tc>
      </w:tr>
      <w:tr w:rsidR="00D019E1" w:rsidRPr="00D019E1" w14:paraId="52A5E2D2" w14:textId="77777777" w:rsidTr="00D019E1">
        <w:trPr>
          <w:trHeight w:val="300"/>
        </w:trPr>
        <w:tc>
          <w:tcPr>
            <w:tcW w:w="2700" w:type="dxa"/>
            <w:tcBorders>
              <w:top w:val="nil"/>
              <w:left w:val="nil"/>
              <w:bottom w:val="nil"/>
              <w:right w:val="nil"/>
            </w:tcBorders>
            <w:shd w:val="clear" w:color="000000" w:fill="FFFFFF"/>
            <w:noWrap/>
            <w:vAlign w:val="center"/>
            <w:hideMark/>
          </w:tcPr>
          <w:p w14:paraId="4FDE8A93"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70%</w:t>
            </w:r>
          </w:p>
        </w:tc>
        <w:tc>
          <w:tcPr>
            <w:tcW w:w="1890" w:type="dxa"/>
            <w:tcBorders>
              <w:top w:val="nil"/>
              <w:left w:val="nil"/>
              <w:bottom w:val="nil"/>
              <w:right w:val="nil"/>
            </w:tcBorders>
            <w:shd w:val="clear" w:color="000000" w:fill="FFFFFF"/>
            <w:noWrap/>
            <w:vAlign w:val="center"/>
            <w:hideMark/>
          </w:tcPr>
          <w:p w14:paraId="27770E1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4.18 (3.38, 5.02)</w:t>
            </w:r>
          </w:p>
        </w:tc>
        <w:tc>
          <w:tcPr>
            <w:tcW w:w="1620" w:type="dxa"/>
            <w:tcBorders>
              <w:top w:val="nil"/>
              <w:left w:val="nil"/>
              <w:bottom w:val="nil"/>
              <w:right w:val="nil"/>
            </w:tcBorders>
            <w:shd w:val="clear" w:color="000000" w:fill="FFFFFF"/>
            <w:noWrap/>
            <w:vAlign w:val="center"/>
            <w:hideMark/>
          </w:tcPr>
          <w:p w14:paraId="1D65007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0.23 (0.11, 0.31)</w:t>
            </w:r>
          </w:p>
        </w:tc>
        <w:tc>
          <w:tcPr>
            <w:tcW w:w="1890" w:type="dxa"/>
            <w:tcBorders>
              <w:top w:val="nil"/>
              <w:left w:val="nil"/>
              <w:bottom w:val="nil"/>
              <w:right w:val="nil"/>
            </w:tcBorders>
            <w:shd w:val="clear" w:color="000000" w:fill="FFFFFF"/>
            <w:noWrap/>
            <w:vAlign w:val="center"/>
            <w:hideMark/>
          </w:tcPr>
          <w:p w14:paraId="46CED8B3"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510 (464, 554)</w:t>
            </w:r>
          </w:p>
        </w:tc>
        <w:tc>
          <w:tcPr>
            <w:tcW w:w="1440" w:type="dxa"/>
            <w:tcBorders>
              <w:top w:val="nil"/>
              <w:left w:val="nil"/>
              <w:bottom w:val="nil"/>
              <w:right w:val="nil"/>
            </w:tcBorders>
            <w:shd w:val="clear" w:color="000000" w:fill="FFFFFF"/>
            <w:noWrap/>
            <w:vAlign w:val="center"/>
            <w:hideMark/>
          </w:tcPr>
          <w:p w14:paraId="085C293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0.57 (0.52, 0.61)</w:t>
            </w:r>
          </w:p>
        </w:tc>
      </w:tr>
      <w:tr w:rsidR="00D019E1" w:rsidRPr="00D019E1" w14:paraId="776CE327" w14:textId="77777777" w:rsidTr="00D019E1">
        <w:trPr>
          <w:trHeight w:val="300"/>
        </w:trPr>
        <w:tc>
          <w:tcPr>
            <w:tcW w:w="2700" w:type="dxa"/>
            <w:tcBorders>
              <w:top w:val="nil"/>
              <w:left w:val="nil"/>
              <w:bottom w:val="nil"/>
              <w:right w:val="nil"/>
            </w:tcBorders>
            <w:shd w:val="clear" w:color="000000" w:fill="FFFFFF"/>
            <w:noWrap/>
            <w:vAlign w:val="center"/>
            <w:hideMark/>
          </w:tcPr>
          <w:p w14:paraId="40FB62D6"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80%</w:t>
            </w:r>
          </w:p>
        </w:tc>
        <w:tc>
          <w:tcPr>
            <w:tcW w:w="1890" w:type="dxa"/>
            <w:tcBorders>
              <w:top w:val="nil"/>
              <w:left w:val="nil"/>
              <w:bottom w:val="nil"/>
              <w:right w:val="nil"/>
            </w:tcBorders>
            <w:shd w:val="clear" w:color="000000" w:fill="FFFFFF"/>
            <w:noWrap/>
            <w:vAlign w:val="center"/>
            <w:hideMark/>
          </w:tcPr>
          <w:p w14:paraId="070B8FB3"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4.00 (3.16, 4.68)</w:t>
            </w:r>
          </w:p>
        </w:tc>
        <w:tc>
          <w:tcPr>
            <w:tcW w:w="1620" w:type="dxa"/>
            <w:tcBorders>
              <w:top w:val="nil"/>
              <w:left w:val="nil"/>
              <w:bottom w:val="nil"/>
              <w:right w:val="nil"/>
            </w:tcBorders>
            <w:shd w:val="clear" w:color="000000" w:fill="FFFFFF"/>
            <w:noWrap/>
            <w:vAlign w:val="center"/>
            <w:hideMark/>
          </w:tcPr>
          <w:p w14:paraId="6194855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0.24 (0.13, 0.34)</w:t>
            </w:r>
          </w:p>
        </w:tc>
        <w:tc>
          <w:tcPr>
            <w:tcW w:w="1890" w:type="dxa"/>
            <w:tcBorders>
              <w:top w:val="nil"/>
              <w:left w:val="nil"/>
              <w:bottom w:val="nil"/>
              <w:right w:val="nil"/>
            </w:tcBorders>
            <w:shd w:val="clear" w:color="000000" w:fill="FFFFFF"/>
            <w:noWrap/>
            <w:vAlign w:val="center"/>
            <w:hideMark/>
          </w:tcPr>
          <w:p w14:paraId="19CC471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571 (514, 630)</w:t>
            </w:r>
          </w:p>
        </w:tc>
        <w:tc>
          <w:tcPr>
            <w:tcW w:w="1440" w:type="dxa"/>
            <w:tcBorders>
              <w:top w:val="nil"/>
              <w:left w:val="nil"/>
              <w:bottom w:val="nil"/>
              <w:right w:val="nil"/>
            </w:tcBorders>
            <w:shd w:val="clear" w:color="000000" w:fill="FFFFFF"/>
            <w:noWrap/>
            <w:vAlign w:val="center"/>
            <w:hideMark/>
          </w:tcPr>
          <w:p w14:paraId="4CD08AE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0.56 (0.50, 0.62)</w:t>
            </w:r>
          </w:p>
        </w:tc>
      </w:tr>
      <w:tr w:rsidR="00D019E1" w:rsidRPr="00D019E1" w14:paraId="36564B26" w14:textId="77777777" w:rsidTr="00D019E1">
        <w:trPr>
          <w:trHeight w:val="300"/>
        </w:trPr>
        <w:tc>
          <w:tcPr>
            <w:tcW w:w="2700" w:type="dxa"/>
            <w:tcBorders>
              <w:top w:val="nil"/>
              <w:left w:val="nil"/>
              <w:bottom w:val="nil"/>
              <w:right w:val="nil"/>
            </w:tcBorders>
            <w:shd w:val="clear" w:color="000000" w:fill="FFFFFF"/>
            <w:noWrap/>
            <w:vAlign w:val="center"/>
            <w:hideMark/>
          </w:tcPr>
          <w:p w14:paraId="27535451"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90%</w:t>
            </w:r>
          </w:p>
        </w:tc>
        <w:tc>
          <w:tcPr>
            <w:tcW w:w="1890" w:type="dxa"/>
            <w:tcBorders>
              <w:top w:val="nil"/>
              <w:left w:val="nil"/>
              <w:bottom w:val="nil"/>
              <w:right w:val="nil"/>
            </w:tcBorders>
            <w:shd w:val="clear" w:color="000000" w:fill="FFFFFF"/>
            <w:noWrap/>
            <w:vAlign w:val="center"/>
            <w:hideMark/>
          </w:tcPr>
          <w:p w14:paraId="42D678B9"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3.62 (2.93, 4.34)</w:t>
            </w:r>
          </w:p>
        </w:tc>
        <w:tc>
          <w:tcPr>
            <w:tcW w:w="1620" w:type="dxa"/>
            <w:tcBorders>
              <w:top w:val="nil"/>
              <w:left w:val="nil"/>
              <w:bottom w:val="nil"/>
              <w:right w:val="nil"/>
            </w:tcBorders>
            <w:shd w:val="clear" w:color="000000" w:fill="FFFFFF"/>
            <w:noWrap/>
            <w:vAlign w:val="center"/>
            <w:hideMark/>
          </w:tcPr>
          <w:p w14:paraId="38E22E1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0.28 (0.18, 0.37)</w:t>
            </w:r>
          </w:p>
        </w:tc>
        <w:tc>
          <w:tcPr>
            <w:tcW w:w="1890" w:type="dxa"/>
            <w:tcBorders>
              <w:top w:val="nil"/>
              <w:left w:val="nil"/>
              <w:bottom w:val="nil"/>
              <w:right w:val="nil"/>
            </w:tcBorders>
            <w:shd w:val="clear" w:color="000000" w:fill="FFFFFF"/>
            <w:noWrap/>
            <w:vAlign w:val="center"/>
            <w:hideMark/>
          </w:tcPr>
          <w:p w14:paraId="581017B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616 (558, 670)</w:t>
            </w:r>
          </w:p>
        </w:tc>
        <w:tc>
          <w:tcPr>
            <w:tcW w:w="1440" w:type="dxa"/>
            <w:tcBorders>
              <w:top w:val="nil"/>
              <w:left w:val="nil"/>
              <w:bottom w:val="nil"/>
              <w:right w:val="nil"/>
            </w:tcBorders>
            <w:shd w:val="clear" w:color="000000" w:fill="FFFFFF"/>
            <w:noWrap/>
            <w:vAlign w:val="center"/>
            <w:hideMark/>
          </w:tcPr>
          <w:p w14:paraId="7C6B2ACF"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0.53 (0.48, 0.58)</w:t>
            </w:r>
          </w:p>
        </w:tc>
      </w:tr>
      <w:tr w:rsidR="00D019E1" w:rsidRPr="00D019E1" w14:paraId="133A7BF0" w14:textId="77777777" w:rsidTr="00D019E1">
        <w:trPr>
          <w:trHeight w:val="300"/>
        </w:trPr>
        <w:tc>
          <w:tcPr>
            <w:tcW w:w="2700" w:type="dxa"/>
            <w:tcBorders>
              <w:top w:val="nil"/>
              <w:left w:val="nil"/>
              <w:bottom w:val="nil"/>
              <w:right w:val="nil"/>
            </w:tcBorders>
            <w:shd w:val="clear" w:color="000000" w:fill="FFFFFF"/>
            <w:noWrap/>
            <w:vAlign w:val="center"/>
            <w:hideMark/>
          </w:tcPr>
          <w:p w14:paraId="278DC5B3"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100%</w:t>
            </w:r>
          </w:p>
        </w:tc>
        <w:tc>
          <w:tcPr>
            <w:tcW w:w="1890" w:type="dxa"/>
            <w:tcBorders>
              <w:top w:val="nil"/>
              <w:left w:val="nil"/>
              <w:bottom w:val="nil"/>
              <w:right w:val="nil"/>
            </w:tcBorders>
            <w:shd w:val="clear" w:color="000000" w:fill="FFFFFF"/>
            <w:noWrap/>
            <w:vAlign w:val="center"/>
            <w:hideMark/>
          </w:tcPr>
          <w:p w14:paraId="04E63627"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3.44 (2.67, 4.14)</w:t>
            </w:r>
          </w:p>
        </w:tc>
        <w:tc>
          <w:tcPr>
            <w:tcW w:w="1620" w:type="dxa"/>
            <w:tcBorders>
              <w:top w:val="nil"/>
              <w:left w:val="nil"/>
              <w:bottom w:val="nil"/>
              <w:right w:val="nil"/>
            </w:tcBorders>
            <w:shd w:val="clear" w:color="000000" w:fill="FFFFFF"/>
            <w:noWrap/>
            <w:vAlign w:val="center"/>
            <w:hideMark/>
          </w:tcPr>
          <w:p w14:paraId="0EB82CA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0.30 (0.19, 0.39)</w:t>
            </w:r>
          </w:p>
        </w:tc>
        <w:tc>
          <w:tcPr>
            <w:tcW w:w="1890" w:type="dxa"/>
            <w:tcBorders>
              <w:top w:val="nil"/>
              <w:left w:val="nil"/>
              <w:bottom w:val="nil"/>
              <w:right w:val="nil"/>
            </w:tcBorders>
            <w:shd w:val="clear" w:color="000000" w:fill="FFFFFF"/>
            <w:noWrap/>
            <w:vAlign w:val="center"/>
            <w:hideMark/>
          </w:tcPr>
          <w:p w14:paraId="4A956B71"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663 (599, 742)</w:t>
            </w:r>
          </w:p>
        </w:tc>
        <w:tc>
          <w:tcPr>
            <w:tcW w:w="1440" w:type="dxa"/>
            <w:tcBorders>
              <w:top w:val="nil"/>
              <w:left w:val="nil"/>
              <w:bottom w:val="nil"/>
              <w:right w:val="nil"/>
            </w:tcBorders>
            <w:shd w:val="clear" w:color="000000" w:fill="FFFFFF"/>
            <w:noWrap/>
            <w:vAlign w:val="center"/>
            <w:hideMark/>
          </w:tcPr>
          <w:p w14:paraId="61479C0D"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0.52 (0.46, 0.57)</w:t>
            </w:r>
          </w:p>
        </w:tc>
      </w:tr>
      <w:tr w:rsidR="00D019E1" w:rsidRPr="00D019E1" w14:paraId="13F39543" w14:textId="77777777" w:rsidTr="00D019E1">
        <w:trPr>
          <w:trHeight w:val="300"/>
        </w:trPr>
        <w:tc>
          <w:tcPr>
            <w:tcW w:w="2700" w:type="dxa"/>
            <w:tcBorders>
              <w:top w:val="nil"/>
              <w:left w:val="nil"/>
              <w:bottom w:val="nil"/>
              <w:right w:val="nil"/>
            </w:tcBorders>
            <w:shd w:val="clear" w:color="000000" w:fill="FFFFFF"/>
            <w:vAlign w:val="center"/>
            <w:hideMark/>
          </w:tcPr>
          <w:p w14:paraId="45B1582A" w14:textId="77777777" w:rsidR="00D019E1" w:rsidRPr="00D019E1" w:rsidRDefault="00D019E1">
            <w:pPr>
              <w:rPr>
                <w:rFonts w:ascii="Helvetica Neue" w:hAnsi="Helvetica Neue" w:cs="Arial"/>
                <w:b/>
                <w:bCs/>
                <w:sz w:val="18"/>
                <w:szCs w:val="18"/>
              </w:rPr>
            </w:pPr>
            <w:r w:rsidRPr="00D019E1">
              <w:rPr>
                <w:rFonts w:ascii="Helvetica Neue" w:hAnsi="Helvetica Neue" w:cs="Arial"/>
                <w:b/>
                <w:bCs/>
                <w:sz w:val="18"/>
                <w:szCs w:val="18"/>
              </w:rPr>
              <w:t>Provision to One-Time Partners*</w:t>
            </w:r>
          </w:p>
        </w:tc>
        <w:tc>
          <w:tcPr>
            <w:tcW w:w="1890" w:type="dxa"/>
            <w:tcBorders>
              <w:top w:val="nil"/>
              <w:left w:val="nil"/>
              <w:bottom w:val="nil"/>
              <w:right w:val="nil"/>
            </w:tcBorders>
            <w:shd w:val="clear" w:color="000000" w:fill="FFFFFF"/>
            <w:noWrap/>
            <w:vAlign w:val="center"/>
            <w:hideMark/>
          </w:tcPr>
          <w:p w14:paraId="3F902304"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 </w:t>
            </w:r>
          </w:p>
        </w:tc>
        <w:tc>
          <w:tcPr>
            <w:tcW w:w="1620" w:type="dxa"/>
            <w:tcBorders>
              <w:top w:val="nil"/>
              <w:left w:val="nil"/>
              <w:bottom w:val="nil"/>
              <w:right w:val="nil"/>
            </w:tcBorders>
            <w:shd w:val="clear" w:color="000000" w:fill="FFFFFF"/>
            <w:noWrap/>
            <w:vAlign w:val="center"/>
            <w:hideMark/>
          </w:tcPr>
          <w:p w14:paraId="179C2F8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 </w:t>
            </w:r>
          </w:p>
        </w:tc>
        <w:tc>
          <w:tcPr>
            <w:tcW w:w="1890" w:type="dxa"/>
            <w:tcBorders>
              <w:top w:val="nil"/>
              <w:left w:val="nil"/>
              <w:bottom w:val="nil"/>
              <w:right w:val="nil"/>
            </w:tcBorders>
            <w:shd w:val="clear" w:color="000000" w:fill="FFFFFF"/>
            <w:noWrap/>
            <w:vAlign w:val="center"/>
            <w:hideMark/>
          </w:tcPr>
          <w:p w14:paraId="5DD887DD"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 </w:t>
            </w:r>
          </w:p>
        </w:tc>
        <w:tc>
          <w:tcPr>
            <w:tcW w:w="1440" w:type="dxa"/>
            <w:tcBorders>
              <w:top w:val="nil"/>
              <w:left w:val="nil"/>
              <w:bottom w:val="nil"/>
              <w:right w:val="nil"/>
            </w:tcBorders>
            <w:shd w:val="clear" w:color="000000" w:fill="FFFFFF"/>
            <w:noWrap/>
            <w:vAlign w:val="center"/>
            <w:hideMark/>
          </w:tcPr>
          <w:p w14:paraId="56E1151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 </w:t>
            </w:r>
          </w:p>
        </w:tc>
      </w:tr>
      <w:tr w:rsidR="00D019E1" w:rsidRPr="00D019E1" w14:paraId="377F6903" w14:textId="77777777" w:rsidTr="00D019E1">
        <w:trPr>
          <w:trHeight w:val="300"/>
        </w:trPr>
        <w:tc>
          <w:tcPr>
            <w:tcW w:w="2700" w:type="dxa"/>
            <w:tcBorders>
              <w:top w:val="nil"/>
              <w:left w:val="nil"/>
              <w:bottom w:val="nil"/>
              <w:right w:val="nil"/>
            </w:tcBorders>
            <w:shd w:val="clear" w:color="000000" w:fill="FFFFFF"/>
            <w:noWrap/>
            <w:vAlign w:val="center"/>
            <w:hideMark/>
          </w:tcPr>
          <w:p w14:paraId="02B1E6C3"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50%</w:t>
            </w:r>
          </w:p>
        </w:tc>
        <w:tc>
          <w:tcPr>
            <w:tcW w:w="1890" w:type="dxa"/>
            <w:tcBorders>
              <w:top w:val="nil"/>
              <w:left w:val="nil"/>
              <w:bottom w:val="nil"/>
              <w:right w:val="nil"/>
            </w:tcBorders>
            <w:shd w:val="clear" w:color="000000" w:fill="FFFFFF"/>
            <w:noWrap/>
            <w:vAlign w:val="center"/>
            <w:hideMark/>
          </w:tcPr>
          <w:p w14:paraId="7DEE7BE3"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6.24 (5.20, 7.33)</w:t>
            </w:r>
          </w:p>
        </w:tc>
        <w:tc>
          <w:tcPr>
            <w:tcW w:w="1620" w:type="dxa"/>
            <w:tcBorders>
              <w:top w:val="nil"/>
              <w:left w:val="nil"/>
              <w:bottom w:val="nil"/>
              <w:right w:val="nil"/>
            </w:tcBorders>
            <w:shd w:val="clear" w:color="000000" w:fill="FFFFFF"/>
            <w:noWrap/>
            <w:vAlign w:val="center"/>
            <w:hideMark/>
          </w:tcPr>
          <w:p w14:paraId="4113A462"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0.04 (-0.09, 0.16)</w:t>
            </w:r>
          </w:p>
        </w:tc>
        <w:tc>
          <w:tcPr>
            <w:tcW w:w="1890" w:type="dxa"/>
            <w:tcBorders>
              <w:top w:val="nil"/>
              <w:left w:val="nil"/>
              <w:bottom w:val="nil"/>
              <w:right w:val="nil"/>
            </w:tcBorders>
            <w:shd w:val="clear" w:color="000000" w:fill="FFFFFF"/>
            <w:noWrap/>
            <w:vAlign w:val="center"/>
            <w:hideMark/>
          </w:tcPr>
          <w:p w14:paraId="29962A2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296 (260, 328)</w:t>
            </w:r>
          </w:p>
        </w:tc>
        <w:tc>
          <w:tcPr>
            <w:tcW w:w="1440" w:type="dxa"/>
            <w:tcBorders>
              <w:top w:val="nil"/>
              <w:left w:val="nil"/>
              <w:bottom w:val="nil"/>
              <w:right w:val="nil"/>
            </w:tcBorders>
            <w:shd w:val="clear" w:color="000000" w:fill="FFFFFF"/>
            <w:noWrap/>
            <w:vAlign w:val="center"/>
            <w:hideMark/>
          </w:tcPr>
          <w:p w14:paraId="00DCF3B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0.70 (0.61, 0.77)</w:t>
            </w:r>
          </w:p>
        </w:tc>
      </w:tr>
      <w:tr w:rsidR="00D019E1" w:rsidRPr="00D019E1" w14:paraId="4D64F194" w14:textId="77777777" w:rsidTr="00D019E1">
        <w:trPr>
          <w:trHeight w:val="300"/>
        </w:trPr>
        <w:tc>
          <w:tcPr>
            <w:tcW w:w="2700" w:type="dxa"/>
            <w:tcBorders>
              <w:top w:val="nil"/>
              <w:left w:val="nil"/>
              <w:bottom w:val="nil"/>
              <w:right w:val="nil"/>
            </w:tcBorders>
            <w:shd w:val="clear" w:color="000000" w:fill="FFFFFF"/>
            <w:noWrap/>
            <w:vAlign w:val="center"/>
            <w:hideMark/>
          </w:tcPr>
          <w:p w14:paraId="2DEC5948"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60%</w:t>
            </w:r>
          </w:p>
        </w:tc>
        <w:tc>
          <w:tcPr>
            <w:tcW w:w="1890" w:type="dxa"/>
            <w:tcBorders>
              <w:top w:val="nil"/>
              <w:left w:val="nil"/>
              <w:bottom w:val="nil"/>
              <w:right w:val="nil"/>
            </w:tcBorders>
            <w:shd w:val="clear" w:color="000000" w:fill="FFFFFF"/>
            <w:noWrap/>
            <w:vAlign w:val="center"/>
            <w:hideMark/>
          </w:tcPr>
          <w:p w14:paraId="5F29DF25"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6.12 (5.11, 7.10)</w:t>
            </w:r>
          </w:p>
        </w:tc>
        <w:tc>
          <w:tcPr>
            <w:tcW w:w="1620" w:type="dxa"/>
            <w:tcBorders>
              <w:top w:val="nil"/>
              <w:left w:val="nil"/>
              <w:bottom w:val="nil"/>
              <w:right w:val="nil"/>
            </w:tcBorders>
            <w:shd w:val="clear" w:color="000000" w:fill="FFFFFF"/>
            <w:noWrap/>
            <w:vAlign w:val="center"/>
            <w:hideMark/>
          </w:tcPr>
          <w:p w14:paraId="64626CED"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0.06 (-0.09, 0.18)</w:t>
            </w:r>
          </w:p>
        </w:tc>
        <w:tc>
          <w:tcPr>
            <w:tcW w:w="1890" w:type="dxa"/>
            <w:tcBorders>
              <w:top w:val="nil"/>
              <w:left w:val="nil"/>
              <w:bottom w:val="nil"/>
              <w:right w:val="nil"/>
            </w:tcBorders>
            <w:shd w:val="clear" w:color="000000" w:fill="FFFFFF"/>
            <w:noWrap/>
            <w:vAlign w:val="center"/>
            <w:hideMark/>
          </w:tcPr>
          <w:p w14:paraId="2EF99BD0"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347 (313, 377)</w:t>
            </w:r>
          </w:p>
        </w:tc>
        <w:tc>
          <w:tcPr>
            <w:tcW w:w="1440" w:type="dxa"/>
            <w:tcBorders>
              <w:top w:val="nil"/>
              <w:left w:val="nil"/>
              <w:bottom w:val="nil"/>
              <w:right w:val="nil"/>
            </w:tcBorders>
            <w:shd w:val="clear" w:color="000000" w:fill="FFFFFF"/>
            <w:noWrap/>
            <w:vAlign w:val="center"/>
            <w:hideMark/>
          </w:tcPr>
          <w:p w14:paraId="38DB3AA1"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0.68 (0.62, 0.74)</w:t>
            </w:r>
          </w:p>
        </w:tc>
      </w:tr>
      <w:tr w:rsidR="00D019E1" w:rsidRPr="00D019E1" w14:paraId="08698550" w14:textId="77777777" w:rsidTr="00D019E1">
        <w:trPr>
          <w:trHeight w:val="300"/>
        </w:trPr>
        <w:tc>
          <w:tcPr>
            <w:tcW w:w="2700" w:type="dxa"/>
            <w:tcBorders>
              <w:top w:val="nil"/>
              <w:left w:val="nil"/>
              <w:bottom w:val="nil"/>
              <w:right w:val="nil"/>
            </w:tcBorders>
            <w:shd w:val="clear" w:color="000000" w:fill="FFFFFF"/>
            <w:noWrap/>
            <w:vAlign w:val="center"/>
            <w:hideMark/>
          </w:tcPr>
          <w:p w14:paraId="3494925C"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70%</w:t>
            </w:r>
          </w:p>
        </w:tc>
        <w:tc>
          <w:tcPr>
            <w:tcW w:w="1890" w:type="dxa"/>
            <w:tcBorders>
              <w:top w:val="nil"/>
              <w:left w:val="nil"/>
              <w:bottom w:val="nil"/>
              <w:right w:val="nil"/>
            </w:tcBorders>
            <w:shd w:val="clear" w:color="000000" w:fill="FFFFFF"/>
            <w:noWrap/>
            <w:vAlign w:val="center"/>
            <w:hideMark/>
          </w:tcPr>
          <w:p w14:paraId="42BF93D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5.99 (5.03, 7.10)</w:t>
            </w:r>
          </w:p>
        </w:tc>
        <w:tc>
          <w:tcPr>
            <w:tcW w:w="1620" w:type="dxa"/>
            <w:tcBorders>
              <w:top w:val="nil"/>
              <w:left w:val="nil"/>
              <w:bottom w:val="nil"/>
              <w:right w:val="nil"/>
            </w:tcBorders>
            <w:shd w:val="clear" w:color="000000" w:fill="FFFFFF"/>
            <w:noWrap/>
            <w:vAlign w:val="center"/>
            <w:hideMark/>
          </w:tcPr>
          <w:p w14:paraId="4A9840D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0.06 (-0.07, 0.20)</w:t>
            </w:r>
          </w:p>
        </w:tc>
        <w:tc>
          <w:tcPr>
            <w:tcW w:w="1890" w:type="dxa"/>
            <w:tcBorders>
              <w:top w:val="nil"/>
              <w:left w:val="nil"/>
              <w:bottom w:val="nil"/>
              <w:right w:val="nil"/>
            </w:tcBorders>
            <w:shd w:val="clear" w:color="000000" w:fill="FFFFFF"/>
            <w:noWrap/>
            <w:vAlign w:val="center"/>
            <w:hideMark/>
          </w:tcPr>
          <w:p w14:paraId="4DFCD48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404 (363, 444)</w:t>
            </w:r>
          </w:p>
        </w:tc>
        <w:tc>
          <w:tcPr>
            <w:tcW w:w="1440" w:type="dxa"/>
            <w:tcBorders>
              <w:top w:val="nil"/>
              <w:left w:val="nil"/>
              <w:bottom w:val="nil"/>
              <w:right w:val="nil"/>
            </w:tcBorders>
            <w:shd w:val="clear" w:color="000000" w:fill="FFFFFF"/>
            <w:noWrap/>
            <w:vAlign w:val="center"/>
            <w:hideMark/>
          </w:tcPr>
          <w:p w14:paraId="7772C12B"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0.67 (0.61, 0.75)</w:t>
            </w:r>
          </w:p>
        </w:tc>
      </w:tr>
      <w:tr w:rsidR="00D019E1" w:rsidRPr="00D019E1" w14:paraId="0A81173D" w14:textId="77777777" w:rsidTr="00D019E1">
        <w:trPr>
          <w:trHeight w:val="300"/>
        </w:trPr>
        <w:tc>
          <w:tcPr>
            <w:tcW w:w="2700" w:type="dxa"/>
            <w:tcBorders>
              <w:top w:val="nil"/>
              <w:left w:val="nil"/>
              <w:bottom w:val="nil"/>
              <w:right w:val="nil"/>
            </w:tcBorders>
            <w:shd w:val="clear" w:color="000000" w:fill="FFFFFF"/>
            <w:noWrap/>
            <w:vAlign w:val="center"/>
            <w:hideMark/>
          </w:tcPr>
          <w:p w14:paraId="532BF6BF"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80%</w:t>
            </w:r>
          </w:p>
        </w:tc>
        <w:tc>
          <w:tcPr>
            <w:tcW w:w="1890" w:type="dxa"/>
            <w:tcBorders>
              <w:top w:val="nil"/>
              <w:left w:val="nil"/>
              <w:bottom w:val="nil"/>
              <w:right w:val="nil"/>
            </w:tcBorders>
            <w:shd w:val="clear" w:color="000000" w:fill="FFFFFF"/>
            <w:noWrap/>
            <w:vAlign w:val="center"/>
            <w:hideMark/>
          </w:tcPr>
          <w:p w14:paraId="58A5EF6D"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6.26 (5.22, 7.28)</w:t>
            </w:r>
          </w:p>
        </w:tc>
        <w:tc>
          <w:tcPr>
            <w:tcW w:w="1620" w:type="dxa"/>
            <w:tcBorders>
              <w:top w:val="nil"/>
              <w:left w:val="nil"/>
              <w:bottom w:val="nil"/>
              <w:right w:val="nil"/>
            </w:tcBorders>
            <w:shd w:val="clear" w:color="000000" w:fill="FFFFFF"/>
            <w:noWrap/>
            <w:vAlign w:val="center"/>
            <w:hideMark/>
          </w:tcPr>
          <w:p w14:paraId="70DF13F8"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0.04 (-0.12, 0.17)</w:t>
            </w:r>
          </w:p>
        </w:tc>
        <w:tc>
          <w:tcPr>
            <w:tcW w:w="1890" w:type="dxa"/>
            <w:tcBorders>
              <w:top w:val="nil"/>
              <w:left w:val="nil"/>
              <w:bottom w:val="nil"/>
              <w:right w:val="nil"/>
            </w:tcBorders>
            <w:shd w:val="clear" w:color="000000" w:fill="FFFFFF"/>
            <w:noWrap/>
            <w:vAlign w:val="center"/>
            <w:hideMark/>
          </w:tcPr>
          <w:p w14:paraId="390DF619"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470 (428, 524)</w:t>
            </w:r>
          </w:p>
        </w:tc>
        <w:tc>
          <w:tcPr>
            <w:tcW w:w="1440" w:type="dxa"/>
            <w:tcBorders>
              <w:top w:val="nil"/>
              <w:left w:val="nil"/>
              <w:bottom w:val="nil"/>
              <w:right w:val="nil"/>
            </w:tcBorders>
            <w:shd w:val="clear" w:color="000000" w:fill="FFFFFF"/>
            <w:noWrap/>
            <w:vAlign w:val="center"/>
            <w:hideMark/>
          </w:tcPr>
          <w:p w14:paraId="67A6F139"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0.69 (0.63, 0.76)</w:t>
            </w:r>
          </w:p>
        </w:tc>
      </w:tr>
      <w:tr w:rsidR="00D019E1" w:rsidRPr="00D019E1" w14:paraId="5A2DEC9C" w14:textId="77777777" w:rsidTr="00D019E1">
        <w:trPr>
          <w:trHeight w:val="300"/>
        </w:trPr>
        <w:tc>
          <w:tcPr>
            <w:tcW w:w="2700" w:type="dxa"/>
            <w:tcBorders>
              <w:top w:val="nil"/>
              <w:left w:val="nil"/>
              <w:bottom w:val="nil"/>
              <w:right w:val="nil"/>
            </w:tcBorders>
            <w:shd w:val="clear" w:color="000000" w:fill="FFFFFF"/>
            <w:noWrap/>
            <w:vAlign w:val="center"/>
            <w:hideMark/>
          </w:tcPr>
          <w:p w14:paraId="1565387C"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90%</w:t>
            </w:r>
          </w:p>
        </w:tc>
        <w:tc>
          <w:tcPr>
            <w:tcW w:w="1890" w:type="dxa"/>
            <w:tcBorders>
              <w:top w:val="nil"/>
              <w:left w:val="nil"/>
              <w:bottom w:val="nil"/>
              <w:right w:val="nil"/>
            </w:tcBorders>
            <w:shd w:val="clear" w:color="000000" w:fill="FFFFFF"/>
            <w:noWrap/>
            <w:vAlign w:val="center"/>
            <w:hideMark/>
          </w:tcPr>
          <w:p w14:paraId="67349EC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5.85 (4.94, 7.09)</w:t>
            </w:r>
          </w:p>
        </w:tc>
        <w:tc>
          <w:tcPr>
            <w:tcW w:w="1620" w:type="dxa"/>
            <w:tcBorders>
              <w:top w:val="nil"/>
              <w:left w:val="nil"/>
              <w:bottom w:val="nil"/>
              <w:right w:val="nil"/>
            </w:tcBorders>
            <w:shd w:val="clear" w:color="000000" w:fill="FFFFFF"/>
            <w:noWrap/>
            <w:vAlign w:val="center"/>
            <w:hideMark/>
          </w:tcPr>
          <w:p w14:paraId="68BCE953"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0.06 (-0.10, 0.19)</w:t>
            </w:r>
          </w:p>
        </w:tc>
        <w:tc>
          <w:tcPr>
            <w:tcW w:w="1890" w:type="dxa"/>
            <w:tcBorders>
              <w:top w:val="nil"/>
              <w:left w:val="nil"/>
              <w:bottom w:val="nil"/>
              <w:right w:val="nil"/>
            </w:tcBorders>
            <w:shd w:val="clear" w:color="000000" w:fill="FFFFFF"/>
            <w:noWrap/>
            <w:vAlign w:val="center"/>
            <w:hideMark/>
          </w:tcPr>
          <w:p w14:paraId="3250009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514 (462, 566)</w:t>
            </w:r>
          </w:p>
        </w:tc>
        <w:tc>
          <w:tcPr>
            <w:tcW w:w="1440" w:type="dxa"/>
            <w:tcBorders>
              <w:top w:val="nil"/>
              <w:left w:val="nil"/>
              <w:bottom w:val="nil"/>
              <w:right w:val="nil"/>
            </w:tcBorders>
            <w:shd w:val="clear" w:color="000000" w:fill="FFFFFF"/>
            <w:noWrap/>
            <w:vAlign w:val="center"/>
            <w:hideMark/>
          </w:tcPr>
          <w:p w14:paraId="4233D98E"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0.68 (0.61, 0.74)</w:t>
            </w:r>
          </w:p>
        </w:tc>
      </w:tr>
      <w:tr w:rsidR="00D019E1" w:rsidRPr="00D019E1" w14:paraId="398B54A8" w14:textId="77777777" w:rsidTr="00D019E1">
        <w:trPr>
          <w:trHeight w:val="315"/>
        </w:trPr>
        <w:tc>
          <w:tcPr>
            <w:tcW w:w="2700" w:type="dxa"/>
            <w:tcBorders>
              <w:top w:val="nil"/>
              <w:left w:val="nil"/>
              <w:bottom w:val="double" w:sz="6" w:space="0" w:color="auto"/>
              <w:right w:val="nil"/>
            </w:tcBorders>
            <w:shd w:val="clear" w:color="000000" w:fill="FFFFFF"/>
            <w:noWrap/>
            <w:vAlign w:val="center"/>
            <w:hideMark/>
          </w:tcPr>
          <w:p w14:paraId="2EDAF636" w14:textId="77777777" w:rsidR="00D019E1" w:rsidRPr="00D019E1" w:rsidRDefault="00D019E1">
            <w:pPr>
              <w:ind w:firstLineChars="100" w:firstLine="180"/>
              <w:rPr>
                <w:rFonts w:ascii="Helvetica Neue" w:hAnsi="Helvetica Neue" w:cs="Arial"/>
                <w:sz w:val="18"/>
                <w:szCs w:val="18"/>
              </w:rPr>
            </w:pPr>
            <w:r w:rsidRPr="00D019E1">
              <w:rPr>
                <w:rFonts w:ascii="Helvetica Neue" w:hAnsi="Helvetica Neue" w:cs="Arial"/>
                <w:sz w:val="18"/>
                <w:szCs w:val="18"/>
              </w:rPr>
              <w:t>100%</w:t>
            </w:r>
          </w:p>
        </w:tc>
        <w:tc>
          <w:tcPr>
            <w:tcW w:w="1890" w:type="dxa"/>
            <w:tcBorders>
              <w:top w:val="nil"/>
              <w:left w:val="nil"/>
              <w:bottom w:val="double" w:sz="6" w:space="0" w:color="auto"/>
              <w:right w:val="nil"/>
            </w:tcBorders>
            <w:shd w:val="clear" w:color="000000" w:fill="FFFFFF"/>
            <w:noWrap/>
            <w:vAlign w:val="center"/>
            <w:hideMark/>
          </w:tcPr>
          <w:p w14:paraId="212451C8"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6.00 (5.02, 6.90)</w:t>
            </w:r>
          </w:p>
        </w:tc>
        <w:tc>
          <w:tcPr>
            <w:tcW w:w="1620" w:type="dxa"/>
            <w:tcBorders>
              <w:top w:val="nil"/>
              <w:left w:val="nil"/>
              <w:bottom w:val="double" w:sz="6" w:space="0" w:color="auto"/>
              <w:right w:val="nil"/>
            </w:tcBorders>
            <w:shd w:val="clear" w:color="000000" w:fill="FFFFFF"/>
            <w:noWrap/>
            <w:vAlign w:val="center"/>
            <w:hideMark/>
          </w:tcPr>
          <w:p w14:paraId="0962292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0.06 (-0.06, 0.19)</w:t>
            </w:r>
          </w:p>
        </w:tc>
        <w:tc>
          <w:tcPr>
            <w:tcW w:w="1890" w:type="dxa"/>
            <w:tcBorders>
              <w:top w:val="nil"/>
              <w:left w:val="nil"/>
              <w:bottom w:val="double" w:sz="6" w:space="0" w:color="auto"/>
              <w:right w:val="nil"/>
            </w:tcBorders>
            <w:shd w:val="clear" w:color="000000" w:fill="FFFFFF"/>
            <w:noWrap/>
            <w:vAlign w:val="center"/>
            <w:hideMark/>
          </w:tcPr>
          <w:p w14:paraId="15D2235A"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581 (527, 641)</w:t>
            </w:r>
          </w:p>
        </w:tc>
        <w:tc>
          <w:tcPr>
            <w:tcW w:w="1440" w:type="dxa"/>
            <w:tcBorders>
              <w:top w:val="nil"/>
              <w:left w:val="nil"/>
              <w:bottom w:val="double" w:sz="6" w:space="0" w:color="auto"/>
              <w:right w:val="nil"/>
            </w:tcBorders>
            <w:shd w:val="clear" w:color="000000" w:fill="FFFFFF"/>
            <w:noWrap/>
            <w:vAlign w:val="center"/>
            <w:hideMark/>
          </w:tcPr>
          <w:p w14:paraId="39A2E72C" w14:textId="77777777" w:rsidR="00D019E1" w:rsidRPr="00D019E1" w:rsidRDefault="00D019E1">
            <w:pPr>
              <w:rPr>
                <w:rFonts w:ascii="Helvetica Neue" w:hAnsi="Helvetica Neue" w:cs="Arial"/>
                <w:sz w:val="18"/>
                <w:szCs w:val="18"/>
              </w:rPr>
            </w:pPr>
            <w:r w:rsidRPr="00D019E1">
              <w:rPr>
                <w:rFonts w:ascii="Helvetica Neue" w:hAnsi="Helvetica Neue" w:cs="Arial"/>
                <w:sz w:val="18"/>
                <w:szCs w:val="18"/>
              </w:rPr>
              <w:t>0.68 (0.62, 0.74)</w:t>
            </w:r>
          </w:p>
        </w:tc>
      </w:tr>
      <w:tr w:rsidR="00057B02" w:rsidRPr="00D019E1" w14:paraId="54D5BD9E" w14:textId="77777777" w:rsidTr="00A31C71">
        <w:trPr>
          <w:trHeight w:val="555"/>
        </w:trPr>
        <w:tc>
          <w:tcPr>
            <w:tcW w:w="9540" w:type="dxa"/>
            <w:gridSpan w:val="5"/>
            <w:tcBorders>
              <w:top w:val="nil"/>
              <w:left w:val="nil"/>
              <w:bottom w:val="nil"/>
              <w:right w:val="nil"/>
            </w:tcBorders>
            <w:shd w:val="clear" w:color="000000" w:fill="FFFFFF"/>
            <w:vAlign w:val="center"/>
            <w:hideMark/>
          </w:tcPr>
          <w:p w14:paraId="543A1F75" w14:textId="57648F61" w:rsidR="00057B02" w:rsidRPr="00D019E1" w:rsidRDefault="00057B02">
            <w:pPr>
              <w:rPr>
                <w:rFonts w:ascii="Helvetica Neue" w:hAnsi="Helvetica Neue" w:cs="Arial"/>
                <w:sz w:val="18"/>
                <w:szCs w:val="18"/>
              </w:rPr>
            </w:pPr>
            <w:r w:rsidRPr="00D019E1">
              <w:rPr>
                <w:rFonts w:ascii="Helvetica Neue" w:hAnsi="Helvetica Neue" w:cs="Arial"/>
                <w:sz w:val="18"/>
                <w:szCs w:val="18"/>
              </w:rPr>
              <w:t>IQR: interquartile range (25% and 75% percentiles) of the simulation outcomes; Incidence expressed per 100 person-years at risk at final year of simulation; All outcomes are compared to the reference model.* 0% Provision to Other Partnership Types</w:t>
            </w:r>
          </w:p>
        </w:tc>
      </w:tr>
    </w:tbl>
    <w:p w14:paraId="33D81480" w14:textId="09260622" w:rsidR="008F739B" w:rsidRDefault="008F739B" w:rsidP="007751E4">
      <w:pPr>
        <w:spacing w:line="360" w:lineRule="auto"/>
        <w:rPr>
          <w:rFonts w:ascii="Helvetica Neue" w:hAnsi="Helvetica Neue"/>
          <w:sz w:val="20"/>
        </w:rPr>
      </w:pPr>
    </w:p>
    <w:p w14:paraId="12C601D9" w14:textId="5852C0AE" w:rsidR="008F739B" w:rsidRDefault="008F739B" w:rsidP="007751E4">
      <w:pPr>
        <w:spacing w:line="360" w:lineRule="auto"/>
        <w:rPr>
          <w:rFonts w:ascii="Helvetica Neue" w:hAnsi="Helvetica Neue"/>
          <w:sz w:val="20"/>
        </w:rPr>
      </w:pPr>
    </w:p>
    <w:p w14:paraId="79B6C0FA" w14:textId="6ED6C2A2" w:rsidR="008F739B" w:rsidRDefault="008F739B" w:rsidP="007751E4">
      <w:pPr>
        <w:spacing w:line="360" w:lineRule="auto"/>
        <w:rPr>
          <w:rFonts w:ascii="Helvetica Neue" w:hAnsi="Helvetica Neue"/>
          <w:sz w:val="20"/>
        </w:rPr>
      </w:pPr>
    </w:p>
    <w:p w14:paraId="3FF5C4CD" w14:textId="0C2A2346" w:rsidR="008F739B" w:rsidRDefault="008F739B" w:rsidP="007751E4">
      <w:pPr>
        <w:spacing w:line="360" w:lineRule="auto"/>
        <w:rPr>
          <w:rFonts w:ascii="Helvetica Neue" w:hAnsi="Helvetica Neue"/>
          <w:sz w:val="20"/>
        </w:rPr>
      </w:pPr>
    </w:p>
    <w:p w14:paraId="4797EF2C" w14:textId="4DB8CA3C" w:rsidR="004250F1" w:rsidRDefault="004250F1" w:rsidP="007751E4">
      <w:pPr>
        <w:spacing w:line="360" w:lineRule="auto"/>
        <w:rPr>
          <w:rFonts w:ascii="Helvetica Neue" w:hAnsi="Helvetica Neue"/>
          <w:sz w:val="20"/>
        </w:rPr>
      </w:pPr>
    </w:p>
    <w:p w14:paraId="453347B9" w14:textId="1C9207A2" w:rsidR="004250F1" w:rsidRDefault="004250F1" w:rsidP="007751E4">
      <w:pPr>
        <w:spacing w:line="360" w:lineRule="auto"/>
        <w:rPr>
          <w:rFonts w:ascii="Helvetica Neue" w:hAnsi="Helvetica Neue"/>
          <w:sz w:val="20"/>
        </w:rPr>
      </w:pPr>
    </w:p>
    <w:p w14:paraId="293B8853" w14:textId="5B6B7254" w:rsidR="004250F1" w:rsidRDefault="004250F1" w:rsidP="007751E4">
      <w:pPr>
        <w:spacing w:line="360" w:lineRule="auto"/>
        <w:rPr>
          <w:rFonts w:ascii="Helvetica Neue" w:hAnsi="Helvetica Neue"/>
          <w:sz w:val="20"/>
        </w:rPr>
      </w:pPr>
    </w:p>
    <w:p w14:paraId="440DE585" w14:textId="50E3FB5E" w:rsidR="004250F1" w:rsidRDefault="004250F1" w:rsidP="007751E4">
      <w:pPr>
        <w:spacing w:line="360" w:lineRule="auto"/>
        <w:rPr>
          <w:rFonts w:ascii="Helvetica Neue" w:hAnsi="Helvetica Neue"/>
          <w:sz w:val="20"/>
        </w:rPr>
      </w:pPr>
    </w:p>
    <w:p w14:paraId="552F2F05" w14:textId="65CABB9A" w:rsidR="004250F1" w:rsidRDefault="004250F1" w:rsidP="007751E4">
      <w:pPr>
        <w:spacing w:line="360" w:lineRule="auto"/>
        <w:rPr>
          <w:rFonts w:ascii="Helvetica Neue" w:hAnsi="Helvetica Neue"/>
          <w:sz w:val="20"/>
        </w:rPr>
      </w:pPr>
    </w:p>
    <w:p w14:paraId="2D8BF86F" w14:textId="49853407" w:rsidR="004250F1" w:rsidRDefault="004250F1" w:rsidP="007751E4">
      <w:pPr>
        <w:spacing w:line="360" w:lineRule="auto"/>
        <w:rPr>
          <w:rFonts w:ascii="Helvetica Neue" w:hAnsi="Helvetica Neue"/>
          <w:sz w:val="20"/>
        </w:rPr>
      </w:pPr>
    </w:p>
    <w:p w14:paraId="1629DA7F" w14:textId="40C68559" w:rsidR="004250F1" w:rsidRDefault="004250F1" w:rsidP="007751E4">
      <w:pPr>
        <w:spacing w:line="360" w:lineRule="auto"/>
        <w:rPr>
          <w:rFonts w:ascii="Helvetica Neue" w:hAnsi="Helvetica Neue"/>
          <w:sz w:val="20"/>
        </w:rPr>
      </w:pPr>
    </w:p>
    <w:p w14:paraId="1AF68957" w14:textId="0135F9A7" w:rsidR="004250F1" w:rsidRDefault="004250F1" w:rsidP="007751E4">
      <w:pPr>
        <w:spacing w:line="360" w:lineRule="auto"/>
        <w:rPr>
          <w:rFonts w:ascii="Helvetica Neue" w:hAnsi="Helvetica Neue"/>
          <w:sz w:val="20"/>
        </w:rPr>
      </w:pPr>
    </w:p>
    <w:p w14:paraId="0EB73717" w14:textId="43E2ED36" w:rsidR="004250F1" w:rsidRDefault="004250F1" w:rsidP="007751E4">
      <w:pPr>
        <w:spacing w:line="360" w:lineRule="auto"/>
        <w:rPr>
          <w:rFonts w:ascii="Helvetica Neue" w:hAnsi="Helvetica Neue"/>
          <w:sz w:val="20"/>
        </w:rPr>
      </w:pPr>
    </w:p>
    <w:tbl>
      <w:tblPr>
        <w:tblW w:w="11355" w:type="dxa"/>
        <w:tblInd w:w="-555" w:type="dxa"/>
        <w:tblLook w:val="04A0" w:firstRow="1" w:lastRow="0" w:firstColumn="1" w:lastColumn="0" w:noHBand="0" w:noVBand="1"/>
      </w:tblPr>
      <w:tblGrid>
        <w:gridCol w:w="2085"/>
        <w:gridCol w:w="1600"/>
        <w:gridCol w:w="1585"/>
        <w:gridCol w:w="1720"/>
        <w:gridCol w:w="2060"/>
        <w:gridCol w:w="2305"/>
      </w:tblGrid>
      <w:tr w:rsidR="004824DC" w:rsidRPr="00995E68" w14:paraId="206FC2C9" w14:textId="77777777" w:rsidTr="00E2236B">
        <w:trPr>
          <w:trHeight w:val="1215"/>
        </w:trPr>
        <w:tc>
          <w:tcPr>
            <w:tcW w:w="11355" w:type="dxa"/>
            <w:gridSpan w:val="6"/>
            <w:tcBorders>
              <w:top w:val="nil"/>
              <w:left w:val="nil"/>
              <w:bottom w:val="nil"/>
              <w:right w:val="nil"/>
            </w:tcBorders>
            <w:shd w:val="clear" w:color="000000" w:fill="FFFFFF"/>
          </w:tcPr>
          <w:p w14:paraId="52F87365" w14:textId="68AE72DA" w:rsidR="004824DC" w:rsidRPr="00E05B64" w:rsidRDefault="004824DC" w:rsidP="004250F1">
            <w:pPr>
              <w:rPr>
                <w:rFonts w:ascii="Helvetica Neue" w:hAnsi="Helvetica Neue"/>
                <w:sz w:val="18"/>
                <w:szCs w:val="18"/>
                <w:highlight w:val="yellow"/>
              </w:rPr>
            </w:pPr>
            <w:r w:rsidRPr="00E05B64">
              <w:rPr>
                <w:rFonts w:ascii="Helvetica Neue" w:hAnsi="Helvetica Neue"/>
                <w:b/>
                <w:bCs/>
                <w:sz w:val="18"/>
                <w:szCs w:val="18"/>
                <w:highlight w:val="yellow"/>
              </w:rPr>
              <w:t xml:space="preserve">Supplementary Table 13. </w:t>
            </w:r>
            <w:r w:rsidRPr="00E05B64">
              <w:rPr>
                <w:rFonts w:ascii="Helvetica Neue" w:hAnsi="Helvetica Neue"/>
                <w:sz w:val="18"/>
                <w:szCs w:val="18"/>
                <w:highlight w:val="yellow"/>
              </w:rPr>
              <w:t>Combined Gonorrhea and Chlamydia (NG/CT) Incidence, Percent of Infections Averted (PIA), Per-Capita Number of Times Infected, and Percentages of Partners Provided with EPT Medication Who Have a Prevalent Undiagnosed HIV and Do Not Have NG/CT Infection Across Varying EPT Treatment Success among Men Who Have Sex with Men</w:t>
            </w:r>
          </w:p>
        </w:tc>
      </w:tr>
      <w:tr w:rsidR="004824DC" w:rsidRPr="00995E68" w14:paraId="11921BAC" w14:textId="77777777" w:rsidTr="003418A7">
        <w:trPr>
          <w:trHeight w:val="720"/>
        </w:trPr>
        <w:tc>
          <w:tcPr>
            <w:tcW w:w="2085" w:type="dxa"/>
            <w:tcBorders>
              <w:top w:val="single" w:sz="4" w:space="0" w:color="auto"/>
              <w:left w:val="nil"/>
              <w:bottom w:val="single" w:sz="4" w:space="0" w:color="auto"/>
              <w:right w:val="nil"/>
            </w:tcBorders>
            <w:shd w:val="clear" w:color="000000" w:fill="FFFFFF"/>
            <w:noWrap/>
            <w:vAlign w:val="center"/>
            <w:hideMark/>
          </w:tcPr>
          <w:p w14:paraId="7A9056D5" w14:textId="77777777" w:rsidR="004824DC" w:rsidRPr="00E05B64" w:rsidRDefault="004824DC" w:rsidP="004824DC">
            <w:pPr>
              <w:rPr>
                <w:rFonts w:ascii="Helvetica Neue" w:hAnsi="Helvetica Neue"/>
                <w:b/>
                <w:bCs/>
                <w:sz w:val="18"/>
                <w:szCs w:val="18"/>
                <w:highlight w:val="yellow"/>
              </w:rPr>
            </w:pPr>
            <w:r w:rsidRPr="00E05B64">
              <w:rPr>
                <w:rFonts w:ascii="Helvetica Neue" w:hAnsi="Helvetica Neue"/>
                <w:b/>
                <w:bCs/>
                <w:sz w:val="18"/>
                <w:szCs w:val="18"/>
                <w:highlight w:val="yellow"/>
              </w:rPr>
              <w:t> </w:t>
            </w:r>
          </w:p>
        </w:tc>
        <w:tc>
          <w:tcPr>
            <w:tcW w:w="1600" w:type="dxa"/>
            <w:tcBorders>
              <w:top w:val="single" w:sz="4" w:space="0" w:color="auto"/>
              <w:left w:val="nil"/>
              <w:bottom w:val="single" w:sz="4" w:space="0" w:color="auto"/>
              <w:right w:val="nil"/>
            </w:tcBorders>
            <w:shd w:val="clear" w:color="auto" w:fill="auto"/>
            <w:vAlign w:val="center"/>
            <w:hideMark/>
          </w:tcPr>
          <w:p w14:paraId="0E6023F7" w14:textId="227EFB0A" w:rsidR="004824DC" w:rsidRPr="00E05B64" w:rsidRDefault="004824DC" w:rsidP="004824DC">
            <w:pPr>
              <w:rPr>
                <w:rFonts w:ascii="Helvetica Neue" w:hAnsi="Helvetica Neue"/>
                <w:i/>
                <w:iCs/>
                <w:sz w:val="18"/>
                <w:szCs w:val="18"/>
                <w:highlight w:val="yellow"/>
              </w:rPr>
            </w:pPr>
            <w:r w:rsidRPr="00E05B64">
              <w:rPr>
                <w:rFonts w:ascii="Helvetica Neue" w:hAnsi="Helvetica Neue" w:cs="Arial"/>
                <w:b/>
                <w:bCs/>
                <w:sz w:val="18"/>
                <w:szCs w:val="18"/>
                <w:highlight w:val="yellow"/>
              </w:rPr>
              <w:t xml:space="preserve">Incidence </w:t>
            </w:r>
            <w:r w:rsidRPr="00E05B64">
              <w:rPr>
                <w:rFonts w:ascii="Helvetica Neue" w:hAnsi="Helvetica Neue" w:cs="Arial"/>
                <w:i/>
                <w:iCs/>
                <w:sz w:val="18"/>
                <w:szCs w:val="18"/>
                <w:highlight w:val="yellow"/>
              </w:rPr>
              <w:br/>
              <w:t>(Median, IQR)</w:t>
            </w:r>
          </w:p>
        </w:tc>
        <w:tc>
          <w:tcPr>
            <w:tcW w:w="1585" w:type="dxa"/>
            <w:tcBorders>
              <w:top w:val="single" w:sz="4" w:space="0" w:color="auto"/>
              <w:left w:val="nil"/>
              <w:bottom w:val="single" w:sz="4" w:space="0" w:color="auto"/>
              <w:right w:val="nil"/>
            </w:tcBorders>
            <w:vAlign w:val="center"/>
          </w:tcPr>
          <w:p w14:paraId="4392DD4B" w14:textId="7C718313" w:rsidR="004824DC" w:rsidRPr="00E05B64" w:rsidRDefault="004824DC" w:rsidP="004824DC">
            <w:pPr>
              <w:rPr>
                <w:rFonts w:ascii="Helvetica Neue" w:hAnsi="Helvetica Neue" w:cs="Arial"/>
                <w:b/>
                <w:bCs/>
                <w:sz w:val="18"/>
                <w:szCs w:val="18"/>
                <w:highlight w:val="yellow"/>
              </w:rPr>
            </w:pPr>
            <w:r w:rsidRPr="00E05B64">
              <w:rPr>
                <w:rFonts w:ascii="Helvetica Neue" w:hAnsi="Helvetica Neue" w:cs="Arial"/>
                <w:b/>
                <w:bCs/>
                <w:sz w:val="18"/>
                <w:szCs w:val="18"/>
                <w:highlight w:val="yellow"/>
              </w:rPr>
              <w:t>Cumulative PIA</w:t>
            </w:r>
            <w:r w:rsidRPr="00E05B64">
              <w:rPr>
                <w:rFonts w:ascii="Helvetica Neue" w:hAnsi="Helvetica Neue" w:cs="Arial"/>
                <w:i/>
                <w:iCs/>
                <w:sz w:val="18"/>
                <w:szCs w:val="18"/>
                <w:highlight w:val="yellow"/>
              </w:rPr>
              <w:t xml:space="preserve"> (Median, IQR)</w:t>
            </w:r>
          </w:p>
        </w:tc>
        <w:tc>
          <w:tcPr>
            <w:tcW w:w="1720" w:type="dxa"/>
            <w:tcBorders>
              <w:top w:val="single" w:sz="4" w:space="0" w:color="auto"/>
              <w:left w:val="nil"/>
              <w:bottom w:val="single" w:sz="4" w:space="0" w:color="auto"/>
              <w:right w:val="nil"/>
            </w:tcBorders>
            <w:shd w:val="clear" w:color="auto" w:fill="auto"/>
            <w:vAlign w:val="center"/>
            <w:hideMark/>
          </w:tcPr>
          <w:p w14:paraId="19507481" w14:textId="083340E7" w:rsidR="004824DC" w:rsidRPr="00E05B64" w:rsidRDefault="004824DC" w:rsidP="004824DC">
            <w:pPr>
              <w:rPr>
                <w:rFonts w:ascii="Helvetica Neue" w:hAnsi="Helvetica Neue"/>
                <w:i/>
                <w:iCs/>
                <w:sz w:val="18"/>
                <w:szCs w:val="18"/>
                <w:highlight w:val="yellow"/>
              </w:rPr>
            </w:pPr>
            <w:r w:rsidRPr="00E05B64">
              <w:rPr>
                <w:rFonts w:ascii="Helvetica Neue" w:hAnsi="Helvetica Neue" w:cs="Arial"/>
                <w:b/>
                <w:bCs/>
                <w:sz w:val="18"/>
                <w:szCs w:val="18"/>
                <w:highlight w:val="yellow"/>
              </w:rPr>
              <w:t>Per-Capita Times Infected</w:t>
            </w:r>
            <w:r w:rsidRPr="00E05B64">
              <w:rPr>
                <w:rFonts w:ascii="Helvetica Neue" w:hAnsi="Helvetica Neue" w:cs="Arial"/>
                <w:i/>
                <w:iCs/>
                <w:sz w:val="18"/>
                <w:szCs w:val="18"/>
                <w:highlight w:val="yellow"/>
              </w:rPr>
              <w:t xml:space="preserve"> </w:t>
            </w:r>
            <w:r w:rsidRPr="00E05B64">
              <w:rPr>
                <w:rFonts w:ascii="Helvetica Neue" w:hAnsi="Helvetica Neue" w:cs="Arial"/>
                <w:i/>
                <w:iCs/>
                <w:sz w:val="18"/>
                <w:szCs w:val="18"/>
                <w:highlight w:val="yellow"/>
              </w:rPr>
              <w:br/>
              <w:t>(Median, IQR)</w:t>
            </w:r>
          </w:p>
        </w:tc>
        <w:tc>
          <w:tcPr>
            <w:tcW w:w="2060" w:type="dxa"/>
            <w:tcBorders>
              <w:top w:val="single" w:sz="4" w:space="0" w:color="auto"/>
              <w:left w:val="nil"/>
              <w:bottom w:val="single" w:sz="4" w:space="0" w:color="auto"/>
              <w:right w:val="nil"/>
            </w:tcBorders>
            <w:shd w:val="clear" w:color="auto" w:fill="auto"/>
            <w:vAlign w:val="center"/>
            <w:hideMark/>
          </w:tcPr>
          <w:p w14:paraId="3E922E10" w14:textId="09DDA9B3" w:rsidR="004824DC" w:rsidRPr="00E05B64" w:rsidRDefault="004824DC" w:rsidP="004824DC">
            <w:pPr>
              <w:rPr>
                <w:rFonts w:ascii="Helvetica Neue" w:hAnsi="Helvetica Neue"/>
                <w:i/>
                <w:iCs/>
                <w:sz w:val="18"/>
                <w:szCs w:val="18"/>
                <w:highlight w:val="yellow"/>
              </w:rPr>
            </w:pPr>
            <w:r w:rsidRPr="00E05B64">
              <w:rPr>
                <w:rFonts w:ascii="Helvetica Neue" w:hAnsi="Helvetica Neue" w:cs="Arial"/>
                <w:b/>
                <w:bCs/>
                <w:sz w:val="18"/>
                <w:szCs w:val="18"/>
                <w:highlight w:val="yellow"/>
              </w:rPr>
              <w:t xml:space="preserve">Percentage of Partners Provided With Undiagnosed HIV  </w:t>
            </w:r>
            <w:r w:rsidRPr="00E05B64">
              <w:rPr>
                <w:rFonts w:ascii="Helvetica Neue" w:hAnsi="Helvetica Neue" w:cs="Arial"/>
                <w:i/>
                <w:iCs/>
                <w:sz w:val="18"/>
                <w:szCs w:val="18"/>
                <w:highlight w:val="yellow"/>
              </w:rPr>
              <w:br/>
              <w:t>(Median, IQR)</w:t>
            </w:r>
          </w:p>
        </w:tc>
        <w:tc>
          <w:tcPr>
            <w:tcW w:w="2305" w:type="dxa"/>
            <w:tcBorders>
              <w:top w:val="single" w:sz="4" w:space="0" w:color="auto"/>
              <w:left w:val="nil"/>
              <w:bottom w:val="single" w:sz="4" w:space="0" w:color="auto"/>
              <w:right w:val="nil"/>
            </w:tcBorders>
            <w:shd w:val="clear" w:color="auto" w:fill="auto"/>
            <w:vAlign w:val="center"/>
            <w:hideMark/>
          </w:tcPr>
          <w:p w14:paraId="08FDF44E" w14:textId="54144FAE" w:rsidR="004824DC" w:rsidRPr="00E05B64" w:rsidRDefault="004824DC" w:rsidP="004824DC">
            <w:pPr>
              <w:rPr>
                <w:rFonts w:ascii="Helvetica Neue" w:hAnsi="Helvetica Neue"/>
                <w:i/>
                <w:iCs/>
                <w:sz w:val="18"/>
                <w:szCs w:val="18"/>
                <w:highlight w:val="yellow"/>
              </w:rPr>
            </w:pPr>
            <w:r w:rsidRPr="00E05B64">
              <w:rPr>
                <w:rFonts w:ascii="Helvetica Neue" w:hAnsi="Helvetica Neue" w:cs="Arial"/>
                <w:b/>
                <w:bCs/>
                <w:sz w:val="18"/>
                <w:szCs w:val="18"/>
                <w:highlight w:val="yellow"/>
              </w:rPr>
              <w:t xml:space="preserve">Percentage of Partners Provided Without STI </w:t>
            </w:r>
            <w:r w:rsidRPr="00E05B64">
              <w:rPr>
                <w:rFonts w:ascii="Helvetica Neue" w:hAnsi="Helvetica Neue" w:cs="Arial"/>
                <w:i/>
                <w:iCs/>
                <w:sz w:val="18"/>
                <w:szCs w:val="18"/>
                <w:highlight w:val="yellow"/>
              </w:rPr>
              <w:t>(Median, IQR)</w:t>
            </w:r>
          </w:p>
        </w:tc>
      </w:tr>
      <w:tr w:rsidR="004824DC" w:rsidRPr="00995E68" w14:paraId="2F401E62" w14:textId="77777777" w:rsidTr="004824DC">
        <w:trPr>
          <w:trHeight w:val="300"/>
        </w:trPr>
        <w:tc>
          <w:tcPr>
            <w:tcW w:w="2085" w:type="dxa"/>
            <w:tcBorders>
              <w:top w:val="nil"/>
              <w:left w:val="nil"/>
              <w:bottom w:val="nil"/>
              <w:right w:val="nil"/>
            </w:tcBorders>
            <w:shd w:val="clear" w:color="000000" w:fill="FFFFFF"/>
            <w:vAlign w:val="center"/>
            <w:hideMark/>
          </w:tcPr>
          <w:p w14:paraId="2D3C45F7" w14:textId="77777777" w:rsidR="004824DC" w:rsidRPr="00E05B64" w:rsidRDefault="004824DC" w:rsidP="0039283D">
            <w:pPr>
              <w:rPr>
                <w:rFonts w:ascii="Helvetica Neue" w:hAnsi="Helvetica Neue"/>
                <w:b/>
                <w:bCs/>
                <w:sz w:val="18"/>
                <w:szCs w:val="18"/>
                <w:highlight w:val="yellow"/>
              </w:rPr>
            </w:pPr>
            <w:r w:rsidRPr="00E05B64">
              <w:rPr>
                <w:rFonts w:ascii="Helvetica Neue" w:hAnsi="Helvetica Neue"/>
                <w:b/>
                <w:bCs/>
                <w:sz w:val="18"/>
                <w:szCs w:val="18"/>
                <w:highlight w:val="yellow"/>
              </w:rPr>
              <w:t>Reference Model</w:t>
            </w:r>
          </w:p>
        </w:tc>
        <w:tc>
          <w:tcPr>
            <w:tcW w:w="1600" w:type="dxa"/>
            <w:tcBorders>
              <w:top w:val="nil"/>
              <w:left w:val="nil"/>
              <w:bottom w:val="nil"/>
              <w:right w:val="nil"/>
            </w:tcBorders>
            <w:shd w:val="clear" w:color="000000" w:fill="FFFFFF"/>
            <w:noWrap/>
            <w:vAlign w:val="center"/>
            <w:hideMark/>
          </w:tcPr>
          <w:p w14:paraId="7C54DC35" w14:textId="100D9CF2" w:rsidR="004824DC" w:rsidRPr="00E05B64" w:rsidRDefault="002314FD" w:rsidP="0039283D">
            <w:pPr>
              <w:rPr>
                <w:rFonts w:ascii="Helvetica Neue" w:hAnsi="Helvetica Neue"/>
                <w:sz w:val="18"/>
                <w:szCs w:val="18"/>
                <w:highlight w:val="yellow"/>
              </w:rPr>
            </w:pPr>
            <w:r w:rsidRPr="00E05B64">
              <w:rPr>
                <w:rFonts w:ascii="Helvetica Neue" w:hAnsi="Helvetica Neue" w:cs="Arial"/>
                <w:sz w:val="18"/>
                <w:szCs w:val="18"/>
                <w:highlight w:val="yellow"/>
              </w:rPr>
              <w:t>11.46 (9.55, 14.17)</w:t>
            </w:r>
          </w:p>
        </w:tc>
        <w:tc>
          <w:tcPr>
            <w:tcW w:w="1585" w:type="dxa"/>
            <w:tcBorders>
              <w:top w:val="nil"/>
              <w:left w:val="nil"/>
              <w:bottom w:val="nil"/>
              <w:right w:val="nil"/>
            </w:tcBorders>
            <w:shd w:val="clear" w:color="000000" w:fill="FFFFFF"/>
          </w:tcPr>
          <w:p w14:paraId="6268980B" w14:textId="5CB7A8B2" w:rsidR="004824DC" w:rsidRPr="00E05B64" w:rsidRDefault="002314FD" w:rsidP="0039283D">
            <w:pPr>
              <w:rPr>
                <w:rFonts w:ascii="Helvetica Neue" w:hAnsi="Helvetica Neue" w:cs="Arial"/>
                <w:sz w:val="18"/>
                <w:szCs w:val="18"/>
                <w:highlight w:val="yellow"/>
              </w:rPr>
            </w:pPr>
            <w:r w:rsidRPr="00E05B64">
              <w:rPr>
                <w:rFonts w:ascii="Helvetica Neue" w:hAnsi="Helvetica Neue" w:cs="Arial"/>
                <w:sz w:val="18"/>
                <w:szCs w:val="18"/>
                <w:highlight w:val="yellow"/>
              </w:rPr>
              <w:t>---</w:t>
            </w:r>
          </w:p>
        </w:tc>
        <w:tc>
          <w:tcPr>
            <w:tcW w:w="1720" w:type="dxa"/>
            <w:tcBorders>
              <w:top w:val="nil"/>
              <w:left w:val="nil"/>
              <w:bottom w:val="nil"/>
              <w:right w:val="nil"/>
            </w:tcBorders>
            <w:shd w:val="clear" w:color="000000" w:fill="FFFFFF"/>
            <w:noWrap/>
            <w:vAlign w:val="center"/>
            <w:hideMark/>
          </w:tcPr>
          <w:p w14:paraId="5E90E865" w14:textId="73A0FA38" w:rsidR="004824DC" w:rsidRPr="00E05B64" w:rsidRDefault="002314FD" w:rsidP="0039283D">
            <w:pPr>
              <w:rPr>
                <w:rFonts w:ascii="Helvetica Neue" w:hAnsi="Helvetica Neue"/>
                <w:sz w:val="18"/>
                <w:szCs w:val="18"/>
                <w:highlight w:val="yellow"/>
              </w:rPr>
            </w:pPr>
            <w:r w:rsidRPr="00E05B64">
              <w:rPr>
                <w:rFonts w:ascii="Helvetica Neue" w:hAnsi="Helvetica Neue" w:cs="Arial"/>
                <w:sz w:val="18"/>
                <w:szCs w:val="18"/>
                <w:highlight w:val="yellow"/>
              </w:rPr>
              <w:t>1.18 (1.05, 1.34)</w:t>
            </w:r>
          </w:p>
        </w:tc>
        <w:tc>
          <w:tcPr>
            <w:tcW w:w="2060" w:type="dxa"/>
            <w:tcBorders>
              <w:top w:val="nil"/>
              <w:left w:val="nil"/>
              <w:bottom w:val="nil"/>
              <w:right w:val="nil"/>
            </w:tcBorders>
            <w:shd w:val="clear" w:color="000000" w:fill="FFFFFF"/>
            <w:noWrap/>
            <w:vAlign w:val="center"/>
            <w:hideMark/>
          </w:tcPr>
          <w:p w14:paraId="7830505E" w14:textId="77777777"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w:t>
            </w:r>
          </w:p>
        </w:tc>
        <w:tc>
          <w:tcPr>
            <w:tcW w:w="2305" w:type="dxa"/>
            <w:tcBorders>
              <w:top w:val="nil"/>
              <w:left w:val="nil"/>
              <w:bottom w:val="nil"/>
              <w:right w:val="nil"/>
            </w:tcBorders>
            <w:shd w:val="clear" w:color="000000" w:fill="FFFFFF"/>
            <w:noWrap/>
            <w:vAlign w:val="center"/>
            <w:hideMark/>
          </w:tcPr>
          <w:p w14:paraId="708812A4" w14:textId="77777777"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w:t>
            </w:r>
          </w:p>
        </w:tc>
      </w:tr>
      <w:tr w:rsidR="004824DC" w:rsidRPr="00995E68" w14:paraId="5B3CB4EB" w14:textId="77777777" w:rsidTr="004824DC">
        <w:trPr>
          <w:trHeight w:val="300"/>
        </w:trPr>
        <w:tc>
          <w:tcPr>
            <w:tcW w:w="2085" w:type="dxa"/>
            <w:tcBorders>
              <w:top w:val="nil"/>
              <w:left w:val="nil"/>
              <w:bottom w:val="nil"/>
              <w:right w:val="nil"/>
            </w:tcBorders>
            <w:shd w:val="clear" w:color="000000" w:fill="FFFFFF"/>
            <w:vAlign w:val="center"/>
            <w:hideMark/>
          </w:tcPr>
          <w:p w14:paraId="49DA525E" w14:textId="578F9EE7" w:rsidR="004824DC" w:rsidRPr="00E05B64" w:rsidRDefault="004824DC" w:rsidP="001D1B4A">
            <w:pPr>
              <w:rPr>
                <w:rFonts w:ascii="Helvetica Neue" w:hAnsi="Helvetica Neue"/>
                <w:b/>
                <w:bCs/>
                <w:sz w:val="18"/>
                <w:szCs w:val="18"/>
                <w:highlight w:val="yellow"/>
              </w:rPr>
            </w:pPr>
            <w:r w:rsidRPr="00E05B64">
              <w:rPr>
                <w:rFonts w:ascii="Helvetica Neue" w:hAnsi="Helvetica Neue"/>
                <w:b/>
                <w:bCs/>
                <w:sz w:val="18"/>
                <w:szCs w:val="18"/>
                <w:highlight w:val="yellow"/>
              </w:rPr>
              <w:t>EPT Treatment Success</w:t>
            </w:r>
          </w:p>
        </w:tc>
        <w:tc>
          <w:tcPr>
            <w:tcW w:w="1600" w:type="dxa"/>
            <w:tcBorders>
              <w:top w:val="nil"/>
              <w:left w:val="nil"/>
              <w:bottom w:val="nil"/>
              <w:right w:val="nil"/>
            </w:tcBorders>
            <w:shd w:val="clear" w:color="000000" w:fill="FFFFFF"/>
            <w:noWrap/>
            <w:vAlign w:val="center"/>
            <w:hideMark/>
          </w:tcPr>
          <w:p w14:paraId="5796C5E6" w14:textId="77777777"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 </w:t>
            </w:r>
          </w:p>
        </w:tc>
        <w:tc>
          <w:tcPr>
            <w:tcW w:w="1585" w:type="dxa"/>
            <w:tcBorders>
              <w:top w:val="nil"/>
              <w:left w:val="nil"/>
              <w:bottom w:val="nil"/>
              <w:right w:val="nil"/>
            </w:tcBorders>
            <w:shd w:val="clear" w:color="000000" w:fill="FFFFFF"/>
          </w:tcPr>
          <w:p w14:paraId="7FD82267" w14:textId="77777777" w:rsidR="004824DC" w:rsidRPr="00E05B64" w:rsidRDefault="004824DC" w:rsidP="0039283D">
            <w:pPr>
              <w:rPr>
                <w:rFonts w:ascii="Helvetica Neue" w:hAnsi="Helvetica Neue" w:cs="Arial"/>
                <w:sz w:val="18"/>
                <w:szCs w:val="18"/>
                <w:highlight w:val="yellow"/>
              </w:rPr>
            </w:pPr>
          </w:p>
        </w:tc>
        <w:tc>
          <w:tcPr>
            <w:tcW w:w="1720" w:type="dxa"/>
            <w:tcBorders>
              <w:top w:val="nil"/>
              <w:left w:val="nil"/>
              <w:bottom w:val="nil"/>
              <w:right w:val="nil"/>
            </w:tcBorders>
            <w:shd w:val="clear" w:color="000000" w:fill="FFFFFF"/>
            <w:noWrap/>
            <w:vAlign w:val="center"/>
            <w:hideMark/>
          </w:tcPr>
          <w:p w14:paraId="4E32FC05" w14:textId="619DDA9A"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 </w:t>
            </w:r>
          </w:p>
        </w:tc>
        <w:tc>
          <w:tcPr>
            <w:tcW w:w="2060" w:type="dxa"/>
            <w:tcBorders>
              <w:top w:val="nil"/>
              <w:left w:val="nil"/>
              <w:bottom w:val="nil"/>
              <w:right w:val="nil"/>
            </w:tcBorders>
            <w:shd w:val="clear" w:color="000000" w:fill="FFFFFF"/>
            <w:noWrap/>
            <w:vAlign w:val="center"/>
            <w:hideMark/>
          </w:tcPr>
          <w:p w14:paraId="14FB2223" w14:textId="77777777"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 </w:t>
            </w:r>
          </w:p>
        </w:tc>
        <w:tc>
          <w:tcPr>
            <w:tcW w:w="2305" w:type="dxa"/>
            <w:tcBorders>
              <w:top w:val="nil"/>
              <w:left w:val="nil"/>
              <w:bottom w:val="nil"/>
              <w:right w:val="nil"/>
            </w:tcBorders>
            <w:shd w:val="clear" w:color="000000" w:fill="FFFFFF"/>
            <w:noWrap/>
            <w:vAlign w:val="center"/>
            <w:hideMark/>
          </w:tcPr>
          <w:p w14:paraId="015955C9" w14:textId="77777777" w:rsidR="004824DC" w:rsidRPr="00E05B64" w:rsidRDefault="004824DC" w:rsidP="0039283D">
            <w:pPr>
              <w:rPr>
                <w:rFonts w:ascii="Helvetica Neue" w:hAnsi="Helvetica Neue"/>
                <w:sz w:val="18"/>
                <w:szCs w:val="18"/>
                <w:highlight w:val="yellow"/>
              </w:rPr>
            </w:pPr>
            <w:r w:rsidRPr="00E05B64">
              <w:rPr>
                <w:rFonts w:ascii="Helvetica Neue" w:hAnsi="Helvetica Neue" w:cs="Arial"/>
                <w:sz w:val="18"/>
                <w:szCs w:val="18"/>
                <w:highlight w:val="yellow"/>
              </w:rPr>
              <w:t> </w:t>
            </w:r>
          </w:p>
        </w:tc>
      </w:tr>
      <w:tr w:rsidR="00781BD4" w:rsidRPr="00995E68" w14:paraId="743DBA09" w14:textId="77777777" w:rsidTr="005F60F0">
        <w:trPr>
          <w:trHeight w:val="300"/>
        </w:trPr>
        <w:tc>
          <w:tcPr>
            <w:tcW w:w="2085" w:type="dxa"/>
            <w:tcBorders>
              <w:top w:val="nil"/>
              <w:left w:val="nil"/>
              <w:bottom w:val="nil"/>
              <w:right w:val="nil"/>
            </w:tcBorders>
            <w:shd w:val="clear" w:color="000000" w:fill="FFFFFF"/>
            <w:noWrap/>
            <w:vAlign w:val="center"/>
            <w:hideMark/>
          </w:tcPr>
          <w:p w14:paraId="42F57E5A" w14:textId="2CB9F968"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100%</w:t>
            </w:r>
          </w:p>
        </w:tc>
        <w:tc>
          <w:tcPr>
            <w:tcW w:w="1600" w:type="dxa"/>
            <w:tcBorders>
              <w:top w:val="nil"/>
              <w:left w:val="nil"/>
              <w:bottom w:val="nil"/>
              <w:right w:val="nil"/>
            </w:tcBorders>
            <w:shd w:val="clear" w:color="000000" w:fill="FFFFFF"/>
            <w:noWrap/>
            <w:vAlign w:val="center"/>
          </w:tcPr>
          <w:p w14:paraId="5EFD25F9" w14:textId="327C4143"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6.05 (4.79, 7.73)</w:t>
            </w:r>
          </w:p>
        </w:tc>
        <w:tc>
          <w:tcPr>
            <w:tcW w:w="1585" w:type="dxa"/>
            <w:tcBorders>
              <w:top w:val="nil"/>
              <w:left w:val="nil"/>
              <w:bottom w:val="nil"/>
              <w:right w:val="nil"/>
            </w:tcBorders>
            <w:shd w:val="clear" w:color="000000" w:fill="FFFFFF"/>
            <w:vAlign w:val="center"/>
          </w:tcPr>
          <w:p w14:paraId="7D9460EF" w14:textId="63E0695A"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0.27 (0.13, 0.39)</w:t>
            </w:r>
          </w:p>
        </w:tc>
        <w:tc>
          <w:tcPr>
            <w:tcW w:w="1720" w:type="dxa"/>
            <w:tcBorders>
              <w:top w:val="nil"/>
              <w:left w:val="nil"/>
              <w:bottom w:val="nil"/>
              <w:right w:val="nil"/>
            </w:tcBorders>
            <w:shd w:val="clear" w:color="000000" w:fill="FFFFFF"/>
            <w:noWrap/>
            <w:vAlign w:val="center"/>
          </w:tcPr>
          <w:p w14:paraId="30A6B526" w14:textId="33367C82"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0.87 (0.79, 1.00)</w:t>
            </w:r>
          </w:p>
        </w:tc>
        <w:tc>
          <w:tcPr>
            <w:tcW w:w="2060" w:type="dxa"/>
            <w:tcBorders>
              <w:top w:val="nil"/>
              <w:left w:val="nil"/>
              <w:bottom w:val="nil"/>
              <w:right w:val="nil"/>
            </w:tcBorders>
            <w:shd w:val="clear" w:color="000000" w:fill="FFFFFF"/>
            <w:noWrap/>
            <w:vAlign w:val="center"/>
          </w:tcPr>
          <w:p w14:paraId="068037AB" w14:textId="4C5366C2"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4.16 (3.65, 4.66)</w:t>
            </w:r>
          </w:p>
        </w:tc>
        <w:tc>
          <w:tcPr>
            <w:tcW w:w="2305" w:type="dxa"/>
            <w:tcBorders>
              <w:top w:val="nil"/>
              <w:left w:val="nil"/>
              <w:bottom w:val="nil"/>
              <w:right w:val="nil"/>
            </w:tcBorders>
            <w:shd w:val="clear" w:color="000000" w:fill="FFFFFF"/>
            <w:noWrap/>
            <w:vAlign w:val="center"/>
          </w:tcPr>
          <w:p w14:paraId="7FE44BD2" w14:textId="369A1105"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53.57 (52.39, 54.80)</w:t>
            </w:r>
          </w:p>
        </w:tc>
      </w:tr>
      <w:tr w:rsidR="00781BD4" w:rsidRPr="00995E68" w14:paraId="127B4348" w14:textId="77777777" w:rsidTr="005F60F0">
        <w:trPr>
          <w:trHeight w:val="300"/>
        </w:trPr>
        <w:tc>
          <w:tcPr>
            <w:tcW w:w="2085" w:type="dxa"/>
            <w:tcBorders>
              <w:top w:val="nil"/>
              <w:left w:val="nil"/>
              <w:bottom w:val="nil"/>
              <w:right w:val="nil"/>
            </w:tcBorders>
            <w:shd w:val="clear" w:color="000000" w:fill="FFFFFF"/>
            <w:noWrap/>
            <w:vAlign w:val="center"/>
            <w:hideMark/>
          </w:tcPr>
          <w:p w14:paraId="7F16EA1F" w14:textId="7744F839"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90%</w:t>
            </w:r>
          </w:p>
        </w:tc>
        <w:tc>
          <w:tcPr>
            <w:tcW w:w="1600" w:type="dxa"/>
            <w:tcBorders>
              <w:top w:val="nil"/>
              <w:left w:val="nil"/>
              <w:bottom w:val="nil"/>
              <w:right w:val="nil"/>
            </w:tcBorders>
            <w:shd w:val="clear" w:color="000000" w:fill="FFFFFF"/>
            <w:noWrap/>
            <w:vAlign w:val="center"/>
          </w:tcPr>
          <w:p w14:paraId="2D209508" w14:textId="4F8BBFE9"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6.12 (4.85, 7.91)</w:t>
            </w:r>
          </w:p>
        </w:tc>
        <w:tc>
          <w:tcPr>
            <w:tcW w:w="1585" w:type="dxa"/>
            <w:tcBorders>
              <w:top w:val="nil"/>
              <w:left w:val="nil"/>
              <w:bottom w:val="nil"/>
              <w:right w:val="nil"/>
            </w:tcBorders>
            <w:shd w:val="clear" w:color="000000" w:fill="FFFFFF"/>
            <w:vAlign w:val="center"/>
          </w:tcPr>
          <w:p w14:paraId="0073FC9B" w14:textId="3F4E3858"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0.26 (0.14, 0.40)</w:t>
            </w:r>
          </w:p>
        </w:tc>
        <w:tc>
          <w:tcPr>
            <w:tcW w:w="1720" w:type="dxa"/>
            <w:tcBorders>
              <w:top w:val="nil"/>
              <w:left w:val="nil"/>
              <w:bottom w:val="nil"/>
              <w:right w:val="nil"/>
            </w:tcBorders>
            <w:shd w:val="clear" w:color="000000" w:fill="FFFFFF"/>
            <w:noWrap/>
            <w:vAlign w:val="center"/>
          </w:tcPr>
          <w:p w14:paraId="560231CA" w14:textId="36D4549F"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0.88 (0.76, 0.99)</w:t>
            </w:r>
          </w:p>
        </w:tc>
        <w:tc>
          <w:tcPr>
            <w:tcW w:w="2060" w:type="dxa"/>
            <w:tcBorders>
              <w:top w:val="nil"/>
              <w:left w:val="nil"/>
              <w:bottom w:val="nil"/>
              <w:right w:val="nil"/>
            </w:tcBorders>
            <w:shd w:val="clear" w:color="000000" w:fill="FFFFFF"/>
            <w:noWrap/>
            <w:vAlign w:val="center"/>
          </w:tcPr>
          <w:p w14:paraId="2D3D0314" w14:textId="0ABF2AA3"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4.13 (3.56, 4.77)</w:t>
            </w:r>
          </w:p>
        </w:tc>
        <w:tc>
          <w:tcPr>
            <w:tcW w:w="2305" w:type="dxa"/>
            <w:tcBorders>
              <w:top w:val="nil"/>
              <w:left w:val="nil"/>
              <w:bottom w:val="nil"/>
              <w:right w:val="nil"/>
            </w:tcBorders>
            <w:shd w:val="clear" w:color="000000" w:fill="FFFFFF"/>
            <w:noWrap/>
            <w:vAlign w:val="center"/>
          </w:tcPr>
          <w:p w14:paraId="18ABD0F0" w14:textId="62D35EA5"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53.68 (52.44, 55.04)</w:t>
            </w:r>
          </w:p>
        </w:tc>
      </w:tr>
      <w:tr w:rsidR="00781BD4" w:rsidRPr="00995E68" w14:paraId="44709E80" w14:textId="77777777" w:rsidTr="005F60F0">
        <w:trPr>
          <w:trHeight w:val="300"/>
        </w:trPr>
        <w:tc>
          <w:tcPr>
            <w:tcW w:w="2085" w:type="dxa"/>
            <w:tcBorders>
              <w:top w:val="nil"/>
              <w:left w:val="nil"/>
              <w:bottom w:val="nil"/>
              <w:right w:val="nil"/>
            </w:tcBorders>
            <w:shd w:val="clear" w:color="000000" w:fill="FFFFFF"/>
            <w:noWrap/>
            <w:vAlign w:val="center"/>
            <w:hideMark/>
          </w:tcPr>
          <w:p w14:paraId="1DD0EE8F" w14:textId="07937826"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80%</w:t>
            </w:r>
          </w:p>
        </w:tc>
        <w:tc>
          <w:tcPr>
            <w:tcW w:w="1600" w:type="dxa"/>
            <w:tcBorders>
              <w:top w:val="nil"/>
              <w:left w:val="nil"/>
              <w:bottom w:val="nil"/>
              <w:right w:val="nil"/>
            </w:tcBorders>
            <w:shd w:val="clear" w:color="000000" w:fill="FFFFFF"/>
            <w:noWrap/>
            <w:vAlign w:val="center"/>
          </w:tcPr>
          <w:p w14:paraId="735CAFC6" w14:textId="61E2B8F4"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6.97 (5.45, 8.35)</w:t>
            </w:r>
          </w:p>
        </w:tc>
        <w:tc>
          <w:tcPr>
            <w:tcW w:w="1585" w:type="dxa"/>
            <w:tcBorders>
              <w:top w:val="nil"/>
              <w:left w:val="nil"/>
              <w:bottom w:val="nil"/>
              <w:right w:val="nil"/>
            </w:tcBorders>
            <w:shd w:val="clear" w:color="000000" w:fill="FFFFFF"/>
            <w:vAlign w:val="center"/>
          </w:tcPr>
          <w:p w14:paraId="4BA58FA6" w14:textId="51DE60C0"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0.22 (0.09, 0.35)</w:t>
            </w:r>
          </w:p>
        </w:tc>
        <w:tc>
          <w:tcPr>
            <w:tcW w:w="1720" w:type="dxa"/>
            <w:tcBorders>
              <w:top w:val="nil"/>
              <w:left w:val="nil"/>
              <w:bottom w:val="nil"/>
              <w:right w:val="nil"/>
            </w:tcBorders>
            <w:shd w:val="clear" w:color="000000" w:fill="FFFFFF"/>
            <w:noWrap/>
            <w:vAlign w:val="center"/>
          </w:tcPr>
          <w:p w14:paraId="45D0383D" w14:textId="5B32861B"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0.93 (0.81, 1.04)</w:t>
            </w:r>
          </w:p>
        </w:tc>
        <w:tc>
          <w:tcPr>
            <w:tcW w:w="2060" w:type="dxa"/>
            <w:tcBorders>
              <w:top w:val="nil"/>
              <w:left w:val="nil"/>
              <w:bottom w:val="nil"/>
              <w:right w:val="nil"/>
            </w:tcBorders>
            <w:shd w:val="clear" w:color="000000" w:fill="FFFFFF"/>
            <w:noWrap/>
            <w:vAlign w:val="center"/>
          </w:tcPr>
          <w:p w14:paraId="600A58FF" w14:textId="3C4FAA47"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4.15 (3.68, 4.71)</w:t>
            </w:r>
          </w:p>
        </w:tc>
        <w:tc>
          <w:tcPr>
            <w:tcW w:w="2305" w:type="dxa"/>
            <w:tcBorders>
              <w:top w:val="nil"/>
              <w:left w:val="nil"/>
              <w:bottom w:val="nil"/>
              <w:right w:val="nil"/>
            </w:tcBorders>
            <w:shd w:val="clear" w:color="000000" w:fill="FFFFFF"/>
            <w:noWrap/>
            <w:vAlign w:val="center"/>
          </w:tcPr>
          <w:p w14:paraId="08050A81" w14:textId="574431EB"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53.58 (52.48, 54.92)</w:t>
            </w:r>
          </w:p>
        </w:tc>
      </w:tr>
      <w:tr w:rsidR="00781BD4" w:rsidRPr="00995E68" w14:paraId="1E2B961F" w14:textId="77777777" w:rsidTr="005F60F0">
        <w:trPr>
          <w:trHeight w:val="300"/>
        </w:trPr>
        <w:tc>
          <w:tcPr>
            <w:tcW w:w="2085" w:type="dxa"/>
            <w:tcBorders>
              <w:top w:val="nil"/>
              <w:left w:val="nil"/>
              <w:bottom w:val="nil"/>
              <w:right w:val="nil"/>
            </w:tcBorders>
            <w:shd w:val="clear" w:color="000000" w:fill="FFFFFF"/>
            <w:noWrap/>
            <w:vAlign w:val="center"/>
            <w:hideMark/>
          </w:tcPr>
          <w:p w14:paraId="2F7D71B6" w14:textId="54A13B79"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70%</w:t>
            </w:r>
          </w:p>
        </w:tc>
        <w:tc>
          <w:tcPr>
            <w:tcW w:w="1600" w:type="dxa"/>
            <w:tcBorders>
              <w:top w:val="nil"/>
              <w:left w:val="nil"/>
              <w:bottom w:val="nil"/>
              <w:right w:val="nil"/>
            </w:tcBorders>
            <w:shd w:val="clear" w:color="000000" w:fill="FFFFFF"/>
            <w:noWrap/>
            <w:vAlign w:val="center"/>
          </w:tcPr>
          <w:p w14:paraId="7A802B74" w14:textId="6E3BF330"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7.34 (5.87, 8.82)</w:t>
            </w:r>
          </w:p>
        </w:tc>
        <w:tc>
          <w:tcPr>
            <w:tcW w:w="1585" w:type="dxa"/>
            <w:tcBorders>
              <w:top w:val="nil"/>
              <w:left w:val="nil"/>
              <w:bottom w:val="nil"/>
              <w:right w:val="nil"/>
            </w:tcBorders>
            <w:shd w:val="clear" w:color="000000" w:fill="FFFFFF"/>
            <w:vAlign w:val="center"/>
          </w:tcPr>
          <w:p w14:paraId="652F10DE" w14:textId="0CED6B15"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0.21 (0.08, 0.32)</w:t>
            </w:r>
          </w:p>
        </w:tc>
        <w:tc>
          <w:tcPr>
            <w:tcW w:w="1720" w:type="dxa"/>
            <w:tcBorders>
              <w:top w:val="nil"/>
              <w:left w:val="nil"/>
              <w:bottom w:val="nil"/>
              <w:right w:val="nil"/>
            </w:tcBorders>
            <w:shd w:val="clear" w:color="000000" w:fill="FFFFFF"/>
            <w:noWrap/>
            <w:vAlign w:val="center"/>
          </w:tcPr>
          <w:p w14:paraId="22100744" w14:textId="0B31B4D0"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0.95 (0.85, 1.05)</w:t>
            </w:r>
          </w:p>
        </w:tc>
        <w:tc>
          <w:tcPr>
            <w:tcW w:w="2060" w:type="dxa"/>
            <w:tcBorders>
              <w:top w:val="nil"/>
              <w:left w:val="nil"/>
              <w:bottom w:val="nil"/>
              <w:right w:val="nil"/>
            </w:tcBorders>
            <w:shd w:val="clear" w:color="000000" w:fill="FFFFFF"/>
            <w:noWrap/>
            <w:vAlign w:val="center"/>
          </w:tcPr>
          <w:p w14:paraId="5BF37493" w14:textId="0CF23B2D"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4.09 (3.56, 4.62)</w:t>
            </w:r>
          </w:p>
        </w:tc>
        <w:tc>
          <w:tcPr>
            <w:tcW w:w="2305" w:type="dxa"/>
            <w:tcBorders>
              <w:top w:val="nil"/>
              <w:left w:val="nil"/>
              <w:bottom w:val="nil"/>
              <w:right w:val="nil"/>
            </w:tcBorders>
            <w:shd w:val="clear" w:color="000000" w:fill="FFFFFF"/>
            <w:noWrap/>
            <w:vAlign w:val="center"/>
          </w:tcPr>
          <w:p w14:paraId="25CC0013" w14:textId="43D4D5E2"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53.76 (52.62, 54.67)</w:t>
            </w:r>
          </w:p>
        </w:tc>
      </w:tr>
      <w:tr w:rsidR="00781BD4" w:rsidRPr="00995E68" w14:paraId="3B1121CC" w14:textId="77777777" w:rsidTr="005F60F0">
        <w:trPr>
          <w:trHeight w:val="300"/>
        </w:trPr>
        <w:tc>
          <w:tcPr>
            <w:tcW w:w="2085" w:type="dxa"/>
            <w:tcBorders>
              <w:top w:val="nil"/>
              <w:left w:val="nil"/>
              <w:bottom w:val="nil"/>
              <w:right w:val="nil"/>
            </w:tcBorders>
            <w:shd w:val="clear" w:color="000000" w:fill="FFFFFF"/>
            <w:noWrap/>
            <w:vAlign w:val="center"/>
            <w:hideMark/>
          </w:tcPr>
          <w:p w14:paraId="092AE61A" w14:textId="65F8F58A"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60%</w:t>
            </w:r>
          </w:p>
        </w:tc>
        <w:tc>
          <w:tcPr>
            <w:tcW w:w="1600" w:type="dxa"/>
            <w:tcBorders>
              <w:top w:val="nil"/>
              <w:left w:val="nil"/>
              <w:bottom w:val="nil"/>
              <w:right w:val="nil"/>
            </w:tcBorders>
            <w:shd w:val="clear" w:color="000000" w:fill="FFFFFF"/>
            <w:noWrap/>
            <w:vAlign w:val="center"/>
          </w:tcPr>
          <w:p w14:paraId="4DCA27D2" w14:textId="571E2334"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7.69 (6.34, 9.34)</w:t>
            </w:r>
          </w:p>
        </w:tc>
        <w:tc>
          <w:tcPr>
            <w:tcW w:w="1585" w:type="dxa"/>
            <w:tcBorders>
              <w:top w:val="nil"/>
              <w:left w:val="nil"/>
              <w:bottom w:val="nil"/>
              <w:right w:val="nil"/>
            </w:tcBorders>
            <w:shd w:val="clear" w:color="000000" w:fill="FFFFFF"/>
            <w:vAlign w:val="center"/>
          </w:tcPr>
          <w:p w14:paraId="7462BFB7" w14:textId="3A397581"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0.20 (0.05, 0.31)</w:t>
            </w:r>
          </w:p>
        </w:tc>
        <w:tc>
          <w:tcPr>
            <w:tcW w:w="1720" w:type="dxa"/>
            <w:tcBorders>
              <w:top w:val="nil"/>
              <w:left w:val="nil"/>
              <w:bottom w:val="nil"/>
              <w:right w:val="nil"/>
            </w:tcBorders>
            <w:shd w:val="clear" w:color="000000" w:fill="FFFFFF"/>
            <w:noWrap/>
            <w:vAlign w:val="center"/>
          </w:tcPr>
          <w:p w14:paraId="5F667BDA" w14:textId="495DBA1E"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0.98 (0.86, 1.08)</w:t>
            </w:r>
          </w:p>
        </w:tc>
        <w:tc>
          <w:tcPr>
            <w:tcW w:w="2060" w:type="dxa"/>
            <w:tcBorders>
              <w:top w:val="nil"/>
              <w:left w:val="nil"/>
              <w:bottom w:val="nil"/>
              <w:right w:val="nil"/>
            </w:tcBorders>
            <w:shd w:val="clear" w:color="000000" w:fill="FFFFFF"/>
            <w:noWrap/>
            <w:vAlign w:val="center"/>
          </w:tcPr>
          <w:p w14:paraId="79AA4EDB" w14:textId="2BB9EC16"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4.21 (3.69, 4.74)</w:t>
            </w:r>
          </w:p>
        </w:tc>
        <w:tc>
          <w:tcPr>
            <w:tcW w:w="2305" w:type="dxa"/>
            <w:tcBorders>
              <w:top w:val="nil"/>
              <w:left w:val="nil"/>
              <w:bottom w:val="nil"/>
              <w:right w:val="nil"/>
            </w:tcBorders>
            <w:shd w:val="clear" w:color="000000" w:fill="FFFFFF"/>
            <w:noWrap/>
            <w:vAlign w:val="center"/>
          </w:tcPr>
          <w:p w14:paraId="15A020A5" w14:textId="16A2E402"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53.80 (52.81, 54.80)</w:t>
            </w:r>
          </w:p>
        </w:tc>
      </w:tr>
      <w:tr w:rsidR="00781BD4" w:rsidRPr="00995E68" w14:paraId="4E0771B5" w14:textId="77777777" w:rsidTr="005F60F0">
        <w:trPr>
          <w:trHeight w:val="300"/>
        </w:trPr>
        <w:tc>
          <w:tcPr>
            <w:tcW w:w="2085" w:type="dxa"/>
            <w:tcBorders>
              <w:top w:val="nil"/>
              <w:left w:val="nil"/>
              <w:bottom w:val="nil"/>
              <w:right w:val="nil"/>
            </w:tcBorders>
            <w:shd w:val="clear" w:color="000000" w:fill="FFFFFF"/>
            <w:noWrap/>
            <w:vAlign w:val="center"/>
            <w:hideMark/>
          </w:tcPr>
          <w:p w14:paraId="1B4A705E" w14:textId="7A98C95C"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50%</w:t>
            </w:r>
          </w:p>
        </w:tc>
        <w:tc>
          <w:tcPr>
            <w:tcW w:w="1600" w:type="dxa"/>
            <w:tcBorders>
              <w:top w:val="nil"/>
              <w:left w:val="nil"/>
              <w:bottom w:val="nil"/>
              <w:right w:val="nil"/>
            </w:tcBorders>
            <w:shd w:val="clear" w:color="000000" w:fill="FFFFFF"/>
            <w:noWrap/>
            <w:vAlign w:val="center"/>
          </w:tcPr>
          <w:p w14:paraId="11C59726" w14:textId="0211D64E"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7.95 (6.14, 9.94)</w:t>
            </w:r>
          </w:p>
        </w:tc>
        <w:tc>
          <w:tcPr>
            <w:tcW w:w="1585" w:type="dxa"/>
            <w:tcBorders>
              <w:top w:val="nil"/>
              <w:left w:val="nil"/>
              <w:bottom w:val="nil"/>
              <w:right w:val="nil"/>
            </w:tcBorders>
            <w:shd w:val="clear" w:color="000000" w:fill="FFFFFF"/>
            <w:vAlign w:val="center"/>
          </w:tcPr>
          <w:p w14:paraId="4388B163" w14:textId="01571CF2"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0.19 (0.01, 0.32)</w:t>
            </w:r>
          </w:p>
        </w:tc>
        <w:tc>
          <w:tcPr>
            <w:tcW w:w="1720" w:type="dxa"/>
            <w:tcBorders>
              <w:top w:val="nil"/>
              <w:left w:val="nil"/>
              <w:bottom w:val="nil"/>
              <w:right w:val="nil"/>
            </w:tcBorders>
            <w:shd w:val="clear" w:color="000000" w:fill="FFFFFF"/>
            <w:noWrap/>
            <w:vAlign w:val="center"/>
          </w:tcPr>
          <w:p w14:paraId="64444DD7" w14:textId="05FE22A6"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1.00 (0.86, 1.12)</w:t>
            </w:r>
          </w:p>
        </w:tc>
        <w:tc>
          <w:tcPr>
            <w:tcW w:w="2060" w:type="dxa"/>
            <w:tcBorders>
              <w:top w:val="nil"/>
              <w:left w:val="nil"/>
              <w:bottom w:val="nil"/>
              <w:right w:val="nil"/>
            </w:tcBorders>
            <w:shd w:val="clear" w:color="000000" w:fill="FFFFFF"/>
            <w:noWrap/>
            <w:vAlign w:val="center"/>
          </w:tcPr>
          <w:p w14:paraId="2B6B246C" w14:textId="0183DD4B"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4.17 (3.69, 4.65)</w:t>
            </w:r>
          </w:p>
        </w:tc>
        <w:tc>
          <w:tcPr>
            <w:tcW w:w="2305" w:type="dxa"/>
            <w:tcBorders>
              <w:top w:val="nil"/>
              <w:left w:val="nil"/>
              <w:bottom w:val="nil"/>
              <w:right w:val="nil"/>
            </w:tcBorders>
            <w:shd w:val="clear" w:color="000000" w:fill="FFFFFF"/>
            <w:noWrap/>
            <w:vAlign w:val="center"/>
          </w:tcPr>
          <w:p w14:paraId="48610B9D" w14:textId="3ACD464B"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53.73 (52.46, 54.93)</w:t>
            </w:r>
          </w:p>
        </w:tc>
      </w:tr>
      <w:tr w:rsidR="00781BD4" w:rsidRPr="00995E68" w14:paraId="61A8DDA9" w14:textId="77777777" w:rsidTr="005F60F0">
        <w:trPr>
          <w:trHeight w:val="300"/>
        </w:trPr>
        <w:tc>
          <w:tcPr>
            <w:tcW w:w="2085" w:type="dxa"/>
            <w:tcBorders>
              <w:top w:val="nil"/>
              <w:left w:val="nil"/>
              <w:bottom w:val="nil"/>
              <w:right w:val="nil"/>
            </w:tcBorders>
            <w:shd w:val="clear" w:color="000000" w:fill="FFFFFF"/>
            <w:noWrap/>
            <w:vAlign w:val="center"/>
            <w:hideMark/>
          </w:tcPr>
          <w:p w14:paraId="0EA20745" w14:textId="5E8AC5AB"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40%</w:t>
            </w:r>
          </w:p>
        </w:tc>
        <w:tc>
          <w:tcPr>
            <w:tcW w:w="1600" w:type="dxa"/>
            <w:tcBorders>
              <w:top w:val="nil"/>
              <w:left w:val="nil"/>
              <w:bottom w:val="nil"/>
              <w:right w:val="nil"/>
            </w:tcBorders>
            <w:shd w:val="clear" w:color="000000" w:fill="FFFFFF"/>
            <w:noWrap/>
            <w:vAlign w:val="center"/>
          </w:tcPr>
          <w:p w14:paraId="78FDA5B9" w14:textId="700E722F"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8.79 (6.82, 11.00)</w:t>
            </w:r>
          </w:p>
        </w:tc>
        <w:tc>
          <w:tcPr>
            <w:tcW w:w="1585" w:type="dxa"/>
            <w:tcBorders>
              <w:top w:val="nil"/>
              <w:left w:val="nil"/>
              <w:bottom w:val="nil"/>
              <w:right w:val="nil"/>
            </w:tcBorders>
            <w:shd w:val="clear" w:color="000000" w:fill="FFFFFF"/>
            <w:vAlign w:val="center"/>
          </w:tcPr>
          <w:p w14:paraId="12A9C030" w14:textId="753F62C4"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0.15 (-0.01, 0.28)</w:t>
            </w:r>
          </w:p>
        </w:tc>
        <w:tc>
          <w:tcPr>
            <w:tcW w:w="1720" w:type="dxa"/>
            <w:tcBorders>
              <w:top w:val="nil"/>
              <w:left w:val="nil"/>
              <w:bottom w:val="nil"/>
              <w:right w:val="nil"/>
            </w:tcBorders>
            <w:shd w:val="clear" w:color="000000" w:fill="FFFFFF"/>
            <w:noWrap/>
            <w:vAlign w:val="center"/>
          </w:tcPr>
          <w:p w14:paraId="35CBAB3C" w14:textId="1BBCF669"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1.02 (0.91, 1.15)</w:t>
            </w:r>
          </w:p>
        </w:tc>
        <w:tc>
          <w:tcPr>
            <w:tcW w:w="2060" w:type="dxa"/>
            <w:tcBorders>
              <w:top w:val="nil"/>
              <w:left w:val="nil"/>
              <w:bottom w:val="nil"/>
              <w:right w:val="nil"/>
            </w:tcBorders>
            <w:shd w:val="clear" w:color="000000" w:fill="FFFFFF"/>
            <w:noWrap/>
            <w:vAlign w:val="center"/>
          </w:tcPr>
          <w:p w14:paraId="6174EE8B" w14:textId="3B45E1B4"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4.27 (3.72, 4.81)</w:t>
            </w:r>
          </w:p>
        </w:tc>
        <w:tc>
          <w:tcPr>
            <w:tcW w:w="2305" w:type="dxa"/>
            <w:tcBorders>
              <w:top w:val="nil"/>
              <w:left w:val="nil"/>
              <w:bottom w:val="nil"/>
              <w:right w:val="nil"/>
            </w:tcBorders>
            <w:shd w:val="clear" w:color="000000" w:fill="FFFFFF"/>
            <w:noWrap/>
            <w:vAlign w:val="center"/>
          </w:tcPr>
          <w:p w14:paraId="5DF02ADA" w14:textId="02F07BC7"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53.69 (52.71, 54.94)</w:t>
            </w:r>
          </w:p>
        </w:tc>
      </w:tr>
      <w:tr w:rsidR="00781BD4" w:rsidRPr="00995E68" w14:paraId="1D3056A5" w14:textId="77777777" w:rsidTr="005F60F0">
        <w:trPr>
          <w:trHeight w:val="300"/>
        </w:trPr>
        <w:tc>
          <w:tcPr>
            <w:tcW w:w="2085" w:type="dxa"/>
            <w:tcBorders>
              <w:top w:val="nil"/>
              <w:left w:val="nil"/>
              <w:bottom w:val="nil"/>
              <w:right w:val="nil"/>
            </w:tcBorders>
            <w:shd w:val="clear" w:color="000000" w:fill="FFFFFF"/>
            <w:noWrap/>
            <w:vAlign w:val="center"/>
            <w:hideMark/>
          </w:tcPr>
          <w:p w14:paraId="264C8EE3" w14:textId="3ADFDC7F"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30%</w:t>
            </w:r>
          </w:p>
        </w:tc>
        <w:tc>
          <w:tcPr>
            <w:tcW w:w="1600" w:type="dxa"/>
            <w:tcBorders>
              <w:top w:val="nil"/>
              <w:left w:val="nil"/>
              <w:bottom w:val="nil"/>
              <w:right w:val="nil"/>
            </w:tcBorders>
            <w:shd w:val="clear" w:color="000000" w:fill="FFFFFF"/>
            <w:noWrap/>
            <w:vAlign w:val="center"/>
          </w:tcPr>
          <w:p w14:paraId="621262EB" w14:textId="5EC93C69"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9.30 (7.61, 11.41)</w:t>
            </w:r>
          </w:p>
        </w:tc>
        <w:tc>
          <w:tcPr>
            <w:tcW w:w="1585" w:type="dxa"/>
            <w:tcBorders>
              <w:top w:val="nil"/>
              <w:left w:val="nil"/>
              <w:bottom w:val="nil"/>
              <w:right w:val="nil"/>
            </w:tcBorders>
            <w:shd w:val="clear" w:color="000000" w:fill="FFFFFF"/>
            <w:vAlign w:val="center"/>
          </w:tcPr>
          <w:p w14:paraId="21F597E7" w14:textId="691F6E0C"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0.10 (-0.07, 0.23)</w:t>
            </w:r>
          </w:p>
        </w:tc>
        <w:tc>
          <w:tcPr>
            <w:tcW w:w="1720" w:type="dxa"/>
            <w:tcBorders>
              <w:top w:val="nil"/>
              <w:left w:val="nil"/>
              <w:bottom w:val="nil"/>
              <w:right w:val="nil"/>
            </w:tcBorders>
            <w:shd w:val="clear" w:color="000000" w:fill="FFFFFF"/>
            <w:noWrap/>
            <w:vAlign w:val="center"/>
          </w:tcPr>
          <w:p w14:paraId="7669C402" w14:textId="75CDB466"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1.07 (0.96, 1.19)</w:t>
            </w:r>
          </w:p>
        </w:tc>
        <w:tc>
          <w:tcPr>
            <w:tcW w:w="2060" w:type="dxa"/>
            <w:tcBorders>
              <w:top w:val="nil"/>
              <w:left w:val="nil"/>
              <w:bottom w:val="nil"/>
              <w:right w:val="nil"/>
            </w:tcBorders>
            <w:shd w:val="clear" w:color="000000" w:fill="FFFFFF"/>
            <w:noWrap/>
            <w:vAlign w:val="center"/>
          </w:tcPr>
          <w:p w14:paraId="52917D7B" w14:textId="6F8E986D"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4.21 (3.76, 4.80)</w:t>
            </w:r>
          </w:p>
        </w:tc>
        <w:tc>
          <w:tcPr>
            <w:tcW w:w="2305" w:type="dxa"/>
            <w:tcBorders>
              <w:top w:val="nil"/>
              <w:left w:val="nil"/>
              <w:bottom w:val="nil"/>
              <w:right w:val="nil"/>
            </w:tcBorders>
            <w:shd w:val="clear" w:color="000000" w:fill="FFFFFF"/>
            <w:noWrap/>
            <w:vAlign w:val="center"/>
          </w:tcPr>
          <w:p w14:paraId="3287C228" w14:textId="4C7A72AD"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53.53 (52.15, 54.73)</w:t>
            </w:r>
          </w:p>
        </w:tc>
      </w:tr>
      <w:tr w:rsidR="00781BD4" w:rsidRPr="00995E68" w14:paraId="2F720C54" w14:textId="77777777" w:rsidTr="005F60F0">
        <w:trPr>
          <w:trHeight w:val="300"/>
        </w:trPr>
        <w:tc>
          <w:tcPr>
            <w:tcW w:w="2085" w:type="dxa"/>
            <w:tcBorders>
              <w:top w:val="nil"/>
              <w:left w:val="nil"/>
              <w:bottom w:val="nil"/>
              <w:right w:val="nil"/>
            </w:tcBorders>
            <w:shd w:val="clear" w:color="000000" w:fill="FFFFFF"/>
            <w:noWrap/>
            <w:vAlign w:val="center"/>
            <w:hideMark/>
          </w:tcPr>
          <w:p w14:paraId="6278B0CF" w14:textId="368B7DFF"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20%</w:t>
            </w:r>
          </w:p>
        </w:tc>
        <w:tc>
          <w:tcPr>
            <w:tcW w:w="1600" w:type="dxa"/>
            <w:tcBorders>
              <w:top w:val="nil"/>
              <w:left w:val="nil"/>
              <w:bottom w:val="nil"/>
              <w:right w:val="nil"/>
            </w:tcBorders>
            <w:shd w:val="clear" w:color="000000" w:fill="FFFFFF"/>
            <w:noWrap/>
            <w:vAlign w:val="center"/>
          </w:tcPr>
          <w:p w14:paraId="4B23F03B" w14:textId="108E320A"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9.98 (8.24, 11.89)</w:t>
            </w:r>
          </w:p>
        </w:tc>
        <w:tc>
          <w:tcPr>
            <w:tcW w:w="1585" w:type="dxa"/>
            <w:tcBorders>
              <w:top w:val="nil"/>
              <w:left w:val="nil"/>
              <w:bottom w:val="nil"/>
              <w:right w:val="nil"/>
            </w:tcBorders>
            <w:shd w:val="clear" w:color="000000" w:fill="FFFFFF"/>
            <w:vAlign w:val="center"/>
          </w:tcPr>
          <w:p w14:paraId="270DD46E" w14:textId="3A225F48"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0.07 (-0.09, 0.22)</w:t>
            </w:r>
          </w:p>
        </w:tc>
        <w:tc>
          <w:tcPr>
            <w:tcW w:w="1720" w:type="dxa"/>
            <w:tcBorders>
              <w:top w:val="nil"/>
              <w:left w:val="nil"/>
              <w:bottom w:val="nil"/>
              <w:right w:val="nil"/>
            </w:tcBorders>
            <w:shd w:val="clear" w:color="000000" w:fill="FFFFFF"/>
            <w:noWrap/>
            <w:vAlign w:val="center"/>
          </w:tcPr>
          <w:p w14:paraId="3CC3EB04" w14:textId="53AE2918"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1.11 (1.00, 1.24)</w:t>
            </w:r>
          </w:p>
        </w:tc>
        <w:tc>
          <w:tcPr>
            <w:tcW w:w="2060" w:type="dxa"/>
            <w:tcBorders>
              <w:top w:val="nil"/>
              <w:left w:val="nil"/>
              <w:bottom w:val="nil"/>
              <w:right w:val="nil"/>
            </w:tcBorders>
            <w:shd w:val="clear" w:color="000000" w:fill="FFFFFF"/>
            <w:noWrap/>
            <w:vAlign w:val="center"/>
          </w:tcPr>
          <w:p w14:paraId="431BBB4A" w14:textId="5B6B52B0"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4.14 (3.76, 4.63)</w:t>
            </w:r>
          </w:p>
        </w:tc>
        <w:tc>
          <w:tcPr>
            <w:tcW w:w="2305" w:type="dxa"/>
            <w:tcBorders>
              <w:top w:val="nil"/>
              <w:left w:val="nil"/>
              <w:bottom w:val="nil"/>
              <w:right w:val="nil"/>
            </w:tcBorders>
            <w:shd w:val="clear" w:color="000000" w:fill="FFFFFF"/>
            <w:noWrap/>
            <w:vAlign w:val="center"/>
          </w:tcPr>
          <w:p w14:paraId="19ECE0A0" w14:textId="3F500307"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53.83 (52.60, 54.80)</w:t>
            </w:r>
          </w:p>
        </w:tc>
      </w:tr>
      <w:tr w:rsidR="00781BD4" w:rsidRPr="00995E68" w14:paraId="15A4B9A9" w14:textId="77777777" w:rsidTr="005F60F0">
        <w:trPr>
          <w:trHeight w:val="300"/>
        </w:trPr>
        <w:tc>
          <w:tcPr>
            <w:tcW w:w="2085" w:type="dxa"/>
            <w:tcBorders>
              <w:top w:val="nil"/>
              <w:left w:val="nil"/>
              <w:bottom w:val="nil"/>
              <w:right w:val="nil"/>
            </w:tcBorders>
            <w:shd w:val="clear" w:color="000000" w:fill="FFFFFF"/>
            <w:noWrap/>
            <w:vAlign w:val="center"/>
            <w:hideMark/>
          </w:tcPr>
          <w:p w14:paraId="454FC0D1" w14:textId="5BE56F24"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10%</w:t>
            </w:r>
          </w:p>
        </w:tc>
        <w:tc>
          <w:tcPr>
            <w:tcW w:w="1600" w:type="dxa"/>
            <w:tcBorders>
              <w:top w:val="nil"/>
              <w:left w:val="nil"/>
              <w:bottom w:val="nil"/>
              <w:right w:val="nil"/>
            </w:tcBorders>
            <w:shd w:val="clear" w:color="000000" w:fill="FFFFFF"/>
            <w:noWrap/>
            <w:vAlign w:val="center"/>
          </w:tcPr>
          <w:p w14:paraId="1FA4E4A6" w14:textId="7B90FC41"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10.58 (8.46, 12.53)</w:t>
            </w:r>
          </w:p>
        </w:tc>
        <w:tc>
          <w:tcPr>
            <w:tcW w:w="1585" w:type="dxa"/>
            <w:tcBorders>
              <w:top w:val="nil"/>
              <w:left w:val="nil"/>
              <w:bottom w:val="nil"/>
              <w:right w:val="nil"/>
            </w:tcBorders>
            <w:shd w:val="clear" w:color="000000" w:fill="FFFFFF"/>
            <w:vAlign w:val="center"/>
          </w:tcPr>
          <w:p w14:paraId="5994AD5E" w14:textId="042A4C38"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0.05 (-0.11, 0.19)</w:t>
            </w:r>
          </w:p>
        </w:tc>
        <w:tc>
          <w:tcPr>
            <w:tcW w:w="1720" w:type="dxa"/>
            <w:tcBorders>
              <w:top w:val="nil"/>
              <w:left w:val="nil"/>
              <w:bottom w:val="nil"/>
              <w:right w:val="nil"/>
            </w:tcBorders>
            <w:shd w:val="clear" w:color="000000" w:fill="FFFFFF"/>
            <w:noWrap/>
            <w:vAlign w:val="center"/>
          </w:tcPr>
          <w:p w14:paraId="13E47C2A" w14:textId="65BAA488"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1.13 (1.00, 1.28)</w:t>
            </w:r>
          </w:p>
        </w:tc>
        <w:tc>
          <w:tcPr>
            <w:tcW w:w="2060" w:type="dxa"/>
            <w:tcBorders>
              <w:top w:val="nil"/>
              <w:left w:val="nil"/>
              <w:bottom w:val="nil"/>
              <w:right w:val="nil"/>
            </w:tcBorders>
            <w:shd w:val="clear" w:color="000000" w:fill="FFFFFF"/>
            <w:noWrap/>
            <w:vAlign w:val="center"/>
          </w:tcPr>
          <w:p w14:paraId="3F7C1227" w14:textId="4446EB58"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4.13 (3.74, 4.63)</w:t>
            </w:r>
          </w:p>
        </w:tc>
        <w:tc>
          <w:tcPr>
            <w:tcW w:w="2305" w:type="dxa"/>
            <w:tcBorders>
              <w:top w:val="nil"/>
              <w:left w:val="nil"/>
              <w:bottom w:val="nil"/>
              <w:right w:val="nil"/>
            </w:tcBorders>
            <w:shd w:val="clear" w:color="000000" w:fill="FFFFFF"/>
            <w:noWrap/>
            <w:vAlign w:val="center"/>
          </w:tcPr>
          <w:p w14:paraId="15D1332B" w14:textId="6FBF650F"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53.68 (52.67, 54.74)</w:t>
            </w:r>
          </w:p>
        </w:tc>
      </w:tr>
      <w:tr w:rsidR="00781BD4" w:rsidRPr="00995E68" w14:paraId="55988A6F" w14:textId="77777777" w:rsidTr="005F60F0">
        <w:trPr>
          <w:trHeight w:val="315"/>
        </w:trPr>
        <w:tc>
          <w:tcPr>
            <w:tcW w:w="2085" w:type="dxa"/>
            <w:tcBorders>
              <w:top w:val="nil"/>
              <w:left w:val="nil"/>
              <w:bottom w:val="double" w:sz="6" w:space="0" w:color="auto"/>
              <w:right w:val="nil"/>
            </w:tcBorders>
            <w:shd w:val="clear" w:color="000000" w:fill="FFFFFF"/>
            <w:noWrap/>
            <w:vAlign w:val="center"/>
            <w:hideMark/>
          </w:tcPr>
          <w:p w14:paraId="076F1E0B" w14:textId="216C0928" w:rsidR="00781BD4" w:rsidRPr="00E05B64" w:rsidRDefault="00781BD4" w:rsidP="00781BD4">
            <w:pPr>
              <w:ind w:firstLineChars="100" w:firstLine="180"/>
              <w:rPr>
                <w:rFonts w:ascii="Helvetica Neue" w:hAnsi="Helvetica Neue"/>
                <w:sz w:val="18"/>
                <w:szCs w:val="18"/>
                <w:highlight w:val="yellow"/>
              </w:rPr>
            </w:pPr>
            <w:r w:rsidRPr="00E05B64">
              <w:rPr>
                <w:rFonts w:ascii="Helvetica Neue" w:hAnsi="Helvetica Neue"/>
                <w:sz w:val="18"/>
                <w:szCs w:val="18"/>
                <w:highlight w:val="yellow"/>
              </w:rPr>
              <w:t>0%</w:t>
            </w:r>
          </w:p>
        </w:tc>
        <w:tc>
          <w:tcPr>
            <w:tcW w:w="1600" w:type="dxa"/>
            <w:tcBorders>
              <w:top w:val="nil"/>
              <w:left w:val="nil"/>
              <w:bottom w:val="double" w:sz="6" w:space="0" w:color="auto"/>
              <w:right w:val="nil"/>
            </w:tcBorders>
            <w:shd w:val="clear" w:color="000000" w:fill="FFFFFF"/>
            <w:noWrap/>
            <w:vAlign w:val="center"/>
          </w:tcPr>
          <w:p w14:paraId="4CE04012" w14:textId="1C94E557"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11.46 (9.36, 13.36)</w:t>
            </w:r>
          </w:p>
        </w:tc>
        <w:tc>
          <w:tcPr>
            <w:tcW w:w="1585" w:type="dxa"/>
            <w:tcBorders>
              <w:top w:val="nil"/>
              <w:left w:val="nil"/>
              <w:bottom w:val="double" w:sz="6" w:space="0" w:color="auto"/>
              <w:right w:val="nil"/>
            </w:tcBorders>
            <w:shd w:val="clear" w:color="000000" w:fill="FFFFFF"/>
            <w:vAlign w:val="center"/>
          </w:tcPr>
          <w:p w14:paraId="248AAE4D" w14:textId="172EFBDF" w:rsidR="00781BD4" w:rsidRPr="00E05B64" w:rsidRDefault="00781BD4" w:rsidP="00781BD4">
            <w:pPr>
              <w:rPr>
                <w:rFonts w:ascii="Helvetica Neue" w:hAnsi="Helvetica Neue" w:cs="Arial"/>
                <w:sz w:val="18"/>
                <w:szCs w:val="18"/>
                <w:highlight w:val="yellow"/>
              </w:rPr>
            </w:pPr>
            <w:r w:rsidRPr="005F60F0">
              <w:rPr>
                <w:rFonts w:ascii="Helvetica Neue" w:hAnsi="Helvetica Neue" w:cs="Arial"/>
                <w:sz w:val="18"/>
                <w:szCs w:val="18"/>
                <w:highlight w:val="yellow"/>
              </w:rPr>
              <w:t>0.01 (-0.19, 0.18)</w:t>
            </w:r>
          </w:p>
        </w:tc>
        <w:tc>
          <w:tcPr>
            <w:tcW w:w="1720" w:type="dxa"/>
            <w:tcBorders>
              <w:top w:val="nil"/>
              <w:left w:val="nil"/>
              <w:bottom w:val="double" w:sz="6" w:space="0" w:color="auto"/>
              <w:right w:val="nil"/>
            </w:tcBorders>
            <w:shd w:val="clear" w:color="000000" w:fill="FFFFFF"/>
            <w:noWrap/>
            <w:vAlign w:val="center"/>
          </w:tcPr>
          <w:p w14:paraId="5206D598" w14:textId="00815582"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1.18 (1.06, 1.33)</w:t>
            </w:r>
          </w:p>
        </w:tc>
        <w:tc>
          <w:tcPr>
            <w:tcW w:w="2060" w:type="dxa"/>
            <w:tcBorders>
              <w:top w:val="nil"/>
              <w:left w:val="nil"/>
              <w:bottom w:val="double" w:sz="6" w:space="0" w:color="auto"/>
              <w:right w:val="nil"/>
            </w:tcBorders>
            <w:shd w:val="clear" w:color="000000" w:fill="FFFFFF"/>
            <w:noWrap/>
            <w:vAlign w:val="center"/>
          </w:tcPr>
          <w:p w14:paraId="6B3D0700" w14:textId="7CBA183E"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4.05 (3.67, 4.58)</w:t>
            </w:r>
          </w:p>
        </w:tc>
        <w:tc>
          <w:tcPr>
            <w:tcW w:w="2305" w:type="dxa"/>
            <w:tcBorders>
              <w:top w:val="nil"/>
              <w:left w:val="nil"/>
              <w:bottom w:val="double" w:sz="6" w:space="0" w:color="auto"/>
              <w:right w:val="nil"/>
            </w:tcBorders>
            <w:shd w:val="clear" w:color="000000" w:fill="FFFFFF"/>
            <w:noWrap/>
            <w:vAlign w:val="center"/>
          </w:tcPr>
          <w:p w14:paraId="1F428296" w14:textId="0A40EF53" w:rsidR="00781BD4" w:rsidRPr="00E05B64" w:rsidRDefault="00781BD4" w:rsidP="00781BD4">
            <w:pPr>
              <w:rPr>
                <w:rFonts w:ascii="Helvetica Neue" w:hAnsi="Helvetica Neue"/>
                <w:sz w:val="18"/>
                <w:szCs w:val="18"/>
                <w:highlight w:val="yellow"/>
              </w:rPr>
            </w:pPr>
            <w:r w:rsidRPr="005F60F0">
              <w:rPr>
                <w:rFonts w:ascii="Helvetica Neue" w:hAnsi="Helvetica Neue" w:cs="Arial"/>
                <w:sz w:val="18"/>
                <w:szCs w:val="18"/>
                <w:highlight w:val="yellow"/>
              </w:rPr>
              <w:t>53.68 (52.77, 54.83)</w:t>
            </w:r>
          </w:p>
        </w:tc>
      </w:tr>
      <w:tr w:rsidR="00553214" w:rsidRPr="00995E68" w14:paraId="1FCE8C4D" w14:textId="77777777" w:rsidTr="001A1898">
        <w:trPr>
          <w:trHeight w:val="885"/>
        </w:trPr>
        <w:tc>
          <w:tcPr>
            <w:tcW w:w="11355" w:type="dxa"/>
            <w:gridSpan w:val="6"/>
            <w:tcBorders>
              <w:top w:val="nil"/>
              <w:left w:val="nil"/>
              <w:bottom w:val="nil"/>
              <w:right w:val="nil"/>
            </w:tcBorders>
            <w:shd w:val="clear" w:color="000000" w:fill="FFFFFF"/>
          </w:tcPr>
          <w:p w14:paraId="5803AB46" w14:textId="774D8F78" w:rsidR="00553214" w:rsidRPr="00E05B64" w:rsidRDefault="00553214" w:rsidP="0039283D">
            <w:pPr>
              <w:rPr>
                <w:rFonts w:ascii="Helvetica Neue" w:hAnsi="Helvetica Neue"/>
                <w:sz w:val="18"/>
                <w:szCs w:val="18"/>
                <w:highlight w:val="yellow"/>
              </w:rPr>
            </w:pPr>
            <w:r w:rsidRPr="00E05B64">
              <w:rPr>
                <w:rFonts w:ascii="Helvetica Neue" w:hAnsi="Helvetica Neue"/>
                <w:sz w:val="18"/>
                <w:szCs w:val="18"/>
                <w:highlight w:val="yellow"/>
              </w:rPr>
              <w:t>IQR: interquartile range (25% and 75% percentiles) of the simulation outcomes; Incidence expressed per 100 person-years at risk at final year of simulation; All outcomes are compared to the reference model.</w:t>
            </w:r>
            <w:r w:rsidRPr="00E05B64">
              <w:rPr>
                <w:highlight w:val="yellow"/>
              </w:rPr>
              <w:t xml:space="preserve"> </w:t>
            </w:r>
            <w:r w:rsidRPr="00E05B64">
              <w:rPr>
                <w:rFonts w:ascii="Helvetica Neue" w:hAnsi="Helvetica Neue"/>
                <w:sz w:val="18"/>
                <w:szCs w:val="18"/>
                <w:highlight w:val="yellow"/>
              </w:rPr>
              <w:t>Assumed that EPT Coverage among Index Patients is 20%.</w:t>
            </w:r>
          </w:p>
        </w:tc>
      </w:tr>
    </w:tbl>
    <w:p w14:paraId="73B315D8" w14:textId="77777777" w:rsidR="004250F1" w:rsidRDefault="004250F1" w:rsidP="007751E4">
      <w:pPr>
        <w:spacing w:line="360" w:lineRule="auto"/>
        <w:rPr>
          <w:rFonts w:ascii="Helvetica Neue" w:hAnsi="Helvetica Neue"/>
          <w:sz w:val="20"/>
        </w:rPr>
      </w:pPr>
    </w:p>
    <w:p w14:paraId="0F42C987" w14:textId="519F5996" w:rsidR="008F739B" w:rsidRDefault="008F739B" w:rsidP="007751E4">
      <w:pPr>
        <w:spacing w:line="360" w:lineRule="auto"/>
        <w:rPr>
          <w:rFonts w:ascii="Helvetica Neue" w:hAnsi="Helvetica Neue"/>
          <w:sz w:val="20"/>
        </w:rPr>
      </w:pPr>
    </w:p>
    <w:p w14:paraId="693CC235" w14:textId="553E7677" w:rsidR="008F739B" w:rsidRDefault="008F739B" w:rsidP="007751E4">
      <w:pPr>
        <w:spacing w:line="360" w:lineRule="auto"/>
        <w:rPr>
          <w:rFonts w:ascii="Helvetica Neue" w:hAnsi="Helvetica Neue"/>
          <w:sz w:val="20"/>
        </w:rPr>
      </w:pPr>
    </w:p>
    <w:p w14:paraId="5853A3C6" w14:textId="03802D6D" w:rsidR="008F739B" w:rsidRDefault="008F739B" w:rsidP="007751E4">
      <w:pPr>
        <w:spacing w:line="360" w:lineRule="auto"/>
        <w:rPr>
          <w:rFonts w:ascii="Helvetica Neue" w:hAnsi="Helvetica Neue"/>
          <w:sz w:val="20"/>
        </w:rPr>
      </w:pPr>
    </w:p>
    <w:p w14:paraId="675B563C" w14:textId="03B41EF6" w:rsidR="008F739B" w:rsidRDefault="008F739B" w:rsidP="007751E4">
      <w:pPr>
        <w:spacing w:line="360" w:lineRule="auto"/>
        <w:rPr>
          <w:rFonts w:ascii="Helvetica Neue" w:hAnsi="Helvetica Neue"/>
          <w:sz w:val="20"/>
        </w:rPr>
      </w:pPr>
    </w:p>
    <w:p w14:paraId="3014739F" w14:textId="2FEA2FF9" w:rsidR="008F739B" w:rsidRDefault="008F739B" w:rsidP="007751E4">
      <w:pPr>
        <w:spacing w:line="360" w:lineRule="auto"/>
        <w:rPr>
          <w:rFonts w:ascii="Helvetica Neue" w:hAnsi="Helvetica Neue"/>
          <w:sz w:val="20"/>
        </w:rPr>
      </w:pPr>
    </w:p>
    <w:p w14:paraId="64771E2A" w14:textId="6A083CF6" w:rsidR="008F739B" w:rsidRDefault="008F739B" w:rsidP="007751E4">
      <w:pPr>
        <w:spacing w:line="360" w:lineRule="auto"/>
        <w:rPr>
          <w:rFonts w:ascii="Helvetica Neue" w:hAnsi="Helvetica Neue"/>
          <w:sz w:val="20"/>
        </w:rPr>
      </w:pPr>
    </w:p>
    <w:p w14:paraId="5917994F" w14:textId="521CCE01" w:rsidR="008F739B" w:rsidRDefault="008F739B" w:rsidP="007751E4">
      <w:pPr>
        <w:spacing w:line="360" w:lineRule="auto"/>
        <w:rPr>
          <w:rFonts w:ascii="Helvetica Neue" w:hAnsi="Helvetica Neue"/>
          <w:sz w:val="20"/>
        </w:rPr>
      </w:pPr>
    </w:p>
    <w:p w14:paraId="3617DE38" w14:textId="7F9257BA" w:rsidR="008F739B" w:rsidRDefault="008F739B" w:rsidP="007751E4">
      <w:pPr>
        <w:spacing w:line="360" w:lineRule="auto"/>
        <w:rPr>
          <w:rFonts w:ascii="Helvetica Neue" w:hAnsi="Helvetica Neue"/>
          <w:sz w:val="20"/>
        </w:rPr>
      </w:pPr>
    </w:p>
    <w:p w14:paraId="24861ADE" w14:textId="76B50D99" w:rsidR="0037689A" w:rsidRPr="005F60F0" w:rsidRDefault="0037689A" w:rsidP="005F60F0">
      <w:pPr>
        <w:spacing w:after="160" w:line="259" w:lineRule="auto"/>
        <w:rPr>
          <w:rFonts w:ascii="Helvetica Neue" w:hAnsi="Helvetica Neue"/>
          <w:b/>
        </w:rPr>
      </w:pPr>
      <w:bookmarkStart w:id="66" w:name="_Toc2361413"/>
    </w:p>
    <w:p w14:paraId="1AD79E65" w14:textId="2DAD0381" w:rsidR="001D1B4A" w:rsidRPr="005F60F0" w:rsidRDefault="001D1B4A" w:rsidP="005F60F0">
      <w:pPr>
        <w:spacing w:after="160" w:line="259" w:lineRule="auto"/>
        <w:rPr>
          <w:rFonts w:ascii="Helvetica Neue" w:hAnsi="Helvetica Neue"/>
          <w:b/>
        </w:rPr>
      </w:pPr>
    </w:p>
    <w:p w14:paraId="616C2748" w14:textId="35EE94C0" w:rsidR="001D1B4A" w:rsidRPr="005F60F0" w:rsidRDefault="001D1B4A" w:rsidP="005F60F0">
      <w:pPr>
        <w:spacing w:after="160" w:line="259" w:lineRule="auto"/>
        <w:rPr>
          <w:rFonts w:ascii="Helvetica Neue" w:hAnsi="Helvetica Neue"/>
          <w:b/>
        </w:rPr>
      </w:pPr>
    </w:p>
    <w:p w14:paraId="1CCD64DE" w14:textId="6FFCCD70" w:rsidR="001D1B4A" w:rsidRPr="005F60F0" w:rsidRDefault="001D1B4A" w:rsidP="005F60F0">
      <w:pPr>
        <w:spacing w:after="160" w:line="259" w:lineRule="auto"/>
        <w:rPr>
          <w:rFonts w:ascii="Helvetica Neue" w:hAnsi="Helvetica Neue"/>
          <w:b/>
        </w:rPr>
      </w:pPr>
    </w:p>
    <w:p w14:paraId="506243C3" w14:textId="580134A0" w:rsidR="001D1B4A" w:rsidRPr="005F60F0" w:rsidRDefault="001D1B4A" w:rsidP="005F60F0">
      <w:pPr>
        <w:spacing w:after="160" w:line="259" w:lineRule="auto"/>
        <w:rPr>
          <w:rFonts w:ascii="Helvetica Neue" w:hAnsi="Helvetica Neue"/>
          <w:b/>
        </w:rPr>
      </w:pPr>
    </w:p>
    <w:p w14:paraId="414CB45E" w14:textId="494A9137" w:rsidR="001D1B4A" w:rsidRPr="005F60F0" w:rsidRDefault="001D1B4A" w:rsidP="005F60F0">
      <w:pPr>
        <w:spacing w:after="160" w:line="259" w:lineRule="auto"/>
        <w:rPr>
          <w:rFonts w:ascii="Helvetica Neue" w:hAnsi="Helvetica Neue"/>
          <w:b/>
        </w:rPr>
      </w:pPr>
    </w:p>
    <w:p w14:paraId="4CB1C99D" w14:textId="77777777" w:rsidR="001D1B4A" w:rsidRDefault="001D1B4A">
      <w:pPr>
        <w:spacing w:after="160" w:line="259" w:lineRule="auto"/>
        <w:rPr>
          <w:rFonts w:ascii="Helvetica Neue" w:hAnsi="Helvetica Neue"/>
          <w:b/>
        </w:rPr>
      </w:pPr>
    </w:p>
    <w:p w14:paraId="38F2AE4D" w14:textId="05D05629" w:rsidR="00141AAD" w:rsidRPr="0024409C" w:rsidRDefault="00FA4124" w:rsidP="002232EA">
      <w:pPr>
        <w:pStyle w:val="Heading1"/>
        <w:spacing w:before="300"/>
        <w:rPr>
          <w:rFonts w:ascii="Helvetica Neue" w:hAnsi="Helvetica Neue"/>
        </w:rPr>
      </w:pPr>
      <w:r w:rsidRPr="0024409C">
        <w:rPr>
          <w:rFonts w:ascii="Helvetica Neue" w:hAnsi="Helvetica Neue"/>
        </w:rPr>
        <w:t>1</w:t>
      </w:r>
      <w:r w:rsidR="009B4CF5">
        <w:rPr>
          <w:rFonts w:ascii="Helvetica Neue" w:hAnsi="Helvetica Neue"/>
        </w:rPr>
        <w:t>5</w:t>
      </w:r>
      <w:r w:rsidR="00141AAD" w:rsidRPr="0024409C">
        <w:rPr>
          <w:rFonts w:ascii="Helvetica Neue" w:hAnsi="Helvetica Neue"/>
        </w:rPr>
        <w:tab/>
        <w:t>REFERENCES</w:t>
      </w:r>
      <w:bookmarkEnd w:id="60"/>
      <w:bookmarkEnd w:id="66"/>
    </w:p>
    <w:p w14:paraId="52E5CB59" w14:textId="19A67050" w:rsidR="00E15313" w:rsidRPr="00E15313" w:rsidRDefault="003604D9" w:rsidP="00E15313">
      <w:pPr>
        <w:widowControl w:val="0"/>
        <w:autoSpaceDE w:val="0"/>
        <w:autoSpaceDN w:val="0"/>
        <w:adjustRightInd w:val="0"/>
        <w:spacing w:after="60"/>
        <w:ind w:left="640" w:hanging="640"/>
        <w:rPr>
          <w:rFonts w:ascii="Helvetica Neue" w:hAnsi="Helvetica Neue"/>
          <w:noProof/>
          <w:sz w:val="18"/>
        </w:rPr>
      </w:pPr>
      <w:r w:rsidRPr="0024409C">
        <w:rPr>
          <w:rFonts w:ascii="Helvetica Neue" w:hAnsi="Helvetica Neue"/>
          <w:sz w:val="18"/>
          <w:szCs w:val="18"/>
        </w:rPr>
        <w:fldChar w:fldCharType="begin" w:fldLock="1"/>
      </w:r>
      <w:r w:rsidRPr="0024409C">
        <w:rPr>
          <w:rFonts w:ascii="Helvetica Neue" w:hAnsi="Helvetica Neue"/>
          <w:sz w:val="18"/>
          <w:szCs w:val="18"/>
        </w:rPr>
        <w:instrText xml:space="preserve">ADDIN Mendeley Bibliography CSL_BIBLIOGRAPHY </w:instrText>
      </w:r>
      <w:r w:rsidRPr="0024409C">
        <w:rPr>
          <w:rFonts w:ascii="Helvetica Neue" w:hAnsi="Helvetica Neue"/>
          <w:sz w:val="18"/>
          <w:szCs w:val="18"/>
        </w:rPr>
        <w:fldChar w:fldCharType="separate"/>
      </w:r>
      <w:r w:rsidR="00E15313" w:rsidRPr="00E15313">
        <w:rPr>
          <w:rFonts w:ascii="Helvetica Neue" w:hAnsi="Helvetica Neue"/>
          <w:noProof/>
          <w:sz w:val="18"/>
        </w:rPr>
        <w:t>1</w:t>
      </w:r>
      <w:r w:rsidR="00E15313" w:rsidRPr="00E15313">
        <w:rPr>
          <w:rFonts w:ascii="Helvetica Neue" w:hAnsi="Helvetica Neue"/>
          <w:noProof/>
          <w:sz w:val="18"/>
        </w:rPr>
        <w:tab/>
        <w:t xml:space="preserve">Goodreau SM, Carnegie NB, Vittinghoff E, </w:t>
      </w:r>
      <w:r w:rsidR="00E15313" w:rsidRPr="00E15313">
        <w:rPr>
          <w:rFonts w:ascii="Helvetica Neue" w:hAnsi="Helvetica Neue"/>
          <w:i/>
          <w:iCs/>
          <w:noProof/>
          <w:sz w:val="18"/>
        </w:rPr>
        <w:t>et al.</w:t>
      </w:r>
      <w:r w:rsidR="00E15313" w:rsidRPr="00E15313">
        <w:rPr>
          <w:rFonts w:ascii="Helvetica Neue" w:hAnsi="Helvetica Neue"/>
          <w:noProof/>
          <w:sz w:val="18"/>
        </w:rPr>
        <w:t xml:space="preserve"> What drives the US and Peruvian HIV epidemics in men who have sex with men (MSM)? </w:t>
      </w:r>
      <w:r w:rsidR="00E15313" w:rsidRPr="00E15313">
        <w:rPr>
          <w:rFonts w:ascii="Helvetica Neue" w:hAnsi="Helvetica Neue"/>
          <w:i/>
          <w:iCs/>
          <w:noProof/>
          <w:sz w:val="18"/>
        </w:rPr>
        <w:t>PLoS One</w:t>
      </w:r>
      <w:r w:rsidR="00E15313" w:rsidRPr="00E15313">
        <w:rPr>
          <w:rFonts w:ascii="Helvetica Neue" w:hAnsi="Helvetica Neue"/>
          <w:noProof/>
          <w:sz w:val="18"/>
        </w:rPr>
        <w:t xml:space="preserve"> 2012; </w:t>
      </w:r>
      <w:r w:rsidR="00E15313" w:rsidRPr="00E15313">
        <w:rPr>
          <w:rFonts w:ascii="Helvetica Neue" w:hAnsi="Helvetica Neue"/>
          <w:b/>
          <w:bCs/>
          <w:noProof/>
          <w:sz w:val="18"/>
        </w:rPr>
        <w:t>7</w:t>
      </w:r>
      <w:r w:rsidR="00E15313" w:rsidRPr="00E15313">
        <w:rPr>
          <w:rFonts w:ascii="Helvetica Neue" w:hAnsi="Helvetica Neue"/>
          <w:noProof/>
          <w:sz w:val="18"/>
        </w:rPr>
        <w:t>: e50522.</w:t>
      </w:r>
    </w:p>
    <w:p w14:paraId="54B6E9C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w:t>
      </w:r>
      <w:r w:rsidRPr="00E15313">
        <w:rPr>
          <w:rFonts w:ascii="Helvetica Neue" w:hAnsi="Helvetica Neue"/>
          <w:noProof/>
          <w:sz w:val="18"/>
        </w:rPr>
        <w:tab/>
        <w:t xml:space="preserve">Goodreau SM, Carnegie NB, Vittinghoff E, </w:t>
      </w:r>
      <w:r w:rsidRPr="00E15313">
        <w:rPr>
          <w:rFonts w:ascii="Helvetica Neue" w:hAnsi="Helvetica Neue"/>
          <w:i/>
          <w:iCs/>
          <w:noProof/>
          <w:sz w:val="18"/>
        </w:rPr>
        <w:t>et al.</w:t>
      </w:r>
      <w:r w:rsidRPr="00E15313">
        <w:rPr>
          <w:rFonts w:ascii="Helvetica Neue" w:hAnsi="Helvetica Neue"/>
          <w:noProof/>
          <w:sz w:val="18"/>
        </w:rPr>
        <w:t xml:space="preserve"> Can male circumcision have an impact on the HIV epidemic in men who have sex with men? </w:t>
      </w:r>
      <w:r w:rsidRPr="00E15313">
        <w:rPr>
          <w:rFonts w:ascii="Helvetica Neue" w:hAnsi="Helvetica Neue"/>
          <w:i/>
          <w:iCs/>
          <w:noProof/>
          <w:sz w:val="18"/>
        </w:rPr>
        <w:t>PLoS One</w:t>
      </w:r>
      <w:r w:rsidRPr="00E15313">
        <w:rPr>
          <w:rFonts w:ascii="Helvetica Neue" w:hAnsi="Helvetica Neue"/>
          <w:noProof/>
          <w:sz w:val="18"/>
        </w:rPr>
        <w:t xml:space="preserve"> 2014; </w:t>
      </w:r>
      <w:r w:rsidRPr="00E15313">
        <w:rPr>
          <w:rFonts w:ascii="Helvetica Neue" w:hAnsi="Helvetica Neue"/>
          <w:b/>
          <w:bCs/>
          <w:noProof/>
          <w:sz w:val="18"/>
        </w:rPr>
        <w:t>9</w:t>
      </w:r>
      <w:r w:rsidRPr="00E15313">
        <w:rPr>
          <w:rFonts w:ascii="Helvetica Neue" w:hAnsi="Helvetica Neue"/>
          <w:noProof/>
          <w:sz w:val="18"/>
        </w:rPr>
        <w:t>: e102960.</w:t>
      </w:r>
    </w:p>
    <w:p w14:paraId="083345F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w:t>
      </w:r>
      <w:r w:rsidRPr="00E15313">
        <w:rPr>
          <w:rFonts w:ascii="Helvetica Neue" w:hAnsi="Helvetica Neue"/>
          <w:noProof/>
          <w:sz w:val="18"/>
        </w:rPr>
        <w:tab/>
        <w:t xml:space="preserve">Carnegie NB, Goodreau SM, Liu A, </w:t>
      </w:r>
      <w:r w:rsidRPr="00E15313">
        <w:rPr>
          <w:rFonts w:ascii="Helvetica Neue" w:hAnsi="Helvetica Neue"/>
          <w:i/>
          <w:iCs/>
          <w:noProof/>
          <w:sz w:val="18"/>
        </w:rPr>
        <w:t>et al.</w:t>
      </w:r>
      <w:r w:rsidRPr="00E15313">
        <w:rPr>
          <w:rFonts w:ascii="Helvetica Neue" w:hAnsi="Helvetica Neue"/>
          <w:noProof/>
          <w:sz w:val="18"/>
        </w:rPr>
        <w:t xml:space="preserve"> Targeting pre-exposure prophylaxis among men who have sex with men in the United States and Peru: partnership types, contact rates, and sexual role. </w:t>
      </w:r>
      <w:r w:rsidRPr="00E15313">
        <w:rPr>
          <w:rFonts w:ascii="Helvetica Neue" w:hAnsi="Helvetica Neue"/>
          <w:i/>
          <w:iCs/>
          <w:noProof/>
          <w:sz w:val="18"/>
        </w:rPr>
        <w:t>J Acquir Immune Defic Syndr</w:t>
      </w:r>
      <w:r w:rsidRPr="00E15313">
        <w:rPr>
          <w:rFonts w:ascii="Helvetica Neue" w:hAnsi="Helvetica Neue"/>
          <w:noProof/>
          <w:sz w:val="18"/>
        </w:rPr>
        <w:t xml:space="preserve"> 2015; </w:t>
      </w:r>
      <w:r w:rsidRPr="00E15313">
        <w:rPr>
          <w:rFonts w:ascii="Helvetica Neue" w:hAnsi="Helvetica Neue"/>
          <w:b/>
          <w:bCs/>
          <w:noProof/>
          <w:sz w:val="18"/>
        </w:rPr>
        <w:t>69</w:t>
      </w:r>
      <w:r w:rsidRPr="00E15313">
        <w:rPr>
          <w:rFonts w:ascii="Helvetica Neue" w:hAnsi="Helvetica Neue"/>
          <w:noProof/>
          <w:sz w:val="18"/>
        </w:rPr>
        <w:t>: 119–25.</w:t>
      </w:r>
    </w:p>
    <w:p w14:paraId="32100A4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w:t>
      </w:r>
      <w:r w:rsidRPr="00E15313">
        <w:rPr>
          <w:rFonts w:ascii="Helvetica Neue" w:hAnsi="Helvetica Neue"/>
          <w:noProof/>
          <w:sz w:val="18"/>
        </w:rPr>
        <w:tab/>
        <w:t xml:space="preserve">Jenness SM, Goodreau SM, Rosenberg E, </w:t>
      </w:r>
      <w:r w:rsidRPr="00E15313">
        <w:rPr>
          <w:rFonts w:ascii="Helvetica Neue" w:hAnsi="Helvetica Neue"/>
          <w:i/>
          <w:iCs/>
          <w:noProof/>
          <w:sz w:val="18"/>
        </w:rPr>
        <w:t>et al.</w:t>
      </w:r>
      <w:r w:rsidRPr="00E15313">
        <w:rPr>
          <w:rFonts w:ascii="Helvetica Neue" w:hAnsi="Helvetica Neue"/>
          <w:noProof/>
          <w:sz w:val="18"/>
        </w:rPr>
        <w:t xml:space="preserve"> Impact of the Centers for Disease Control’s HIV preexposure prophylaxis guidelines for men who have sex with men in the United States. </w:t>
      </w:r>
      <w:r w:rsidRPr="00E15313">
        <w:rPr>
          <w:rFonts w:ascii="Helvetica Neue" w:hAnsi="Helvetica Neue"/>
          <w:i/>
          <w:iCs/>
          <w:noProof/>
          <w:sz w:val="18"/>
        </w:rPr>
        <w:t>J Inf Dis</w:t>
      </w:r>
      <w:r w:rsidRPr="00E15313">
        <w:rPr>
          <w:rFonts w:ascii="Helvetica Neue" w:hAnsi="Helvetica Neue"/>
          <w:noProof/>
          <w:sz w:val="18"/>
        </w:rPr>
        <w:t xml:space="preserve"> 2016; </w:t>
      </w:r>
      <w:r w:rsidRPr="00E15313">
        <w:rPr>
          <w:rFonts w:ascii="Helvetica Neue" w:hAnsi="Helvetica Neue"/>
          <w:b/>
          <w:bCs/>
          <w:noProof/>
          <w:sz w:val="18"/>
        </w:rPr>
        <w:t>214</w:t>
      </w:r>
      <w:r w:rsidRPr="00E15313">
        <w:rPr>
          <w:rFonts w:ascii="Helvetica Neue" w:hAnsi="Helvetica Neue"/>
          <w:noProof/>
          <w:sz w:val="18"/>
        </w:rPr>
        <w:t>: 1800–7.</w:t>
      </w:r>
    </w:p>
    <w:p w14:paraId="2C67B8D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w:t>
      </w:r>
      <w:r w:rsidRPr="00E15313">
        <w:rPr>
          <w:rFonts w:ascii="Helvetica Neue" w:hAnsi="Helvetica Neue"/>
          <w:noProof/>
          <w:sz w:val="18"/>
        </w:rPr>
        <w:tab/>
        <w:t xml:space="preserve">Jenness SM, Weiss KM, Goodreau SM, </w:t>
      </w:r>
      <w:r w:rsidRPr="00E15313">
        <w:rPr>
          <w:rFonts w:ascii="Helvetica Neue" w:hAnsi="Helvetica Neue"/>
          <w:i/>
          <w:iCs/>
          <w:noProof/>
          <w:sz w:val="18"/>
        </w:rPr>
        <w:t>et al.</w:t>
      </w:r>
      <w:r w:rsidRPr="00E15313">
        <w:rPr>
          <w:rFonts w:ascii="Helvetica Neue" w:hAnsi="Helvetica Neue"/>
          <w:noProof/>
          <w:sz w:val="18"/>
        </w:rPr>
        <w:t xml:space="preserve"> Incidence of Gonorrhea and Chlamydia Following HIV Preexposure Prophylaxis among Men Who Have Sex with Men: A Modeling Study. </w:t>
      </w:r>
      <w:r w:rsidRPr="00E15313">
        <w:rPr>
          <w:rFonts w:ascii="Helvetica Neue" w:hAnsi="Helvetica Neue"/>
          <w:i/>
          <w:iCs/>
          <w:noProof/>
          <w:sz w:val="18"/>
        </w:rPr>
        <w:t>Clin Infect Dis</w:t>
      </w:r>
      <w:r w:rsidRPr="00E15313">
        <w:rPr>
          <w:rFonts w:ascii="Helvetica Neue" w:hAnsi="Helvetica Neue"/>
          <w:noProof/>
          <w:sz w:val="18"/>
        </w:rPr>
        <w:t xml:space="preserve"> 2017; </w:t>
      </w:r>
      <w:r w:rsidRPr="00E15313">
        <w:rPr>
          <w:rFonts w:ascii="Helvetica Neue" w:hAnsi="Helvetica Neue"/>
          <w:b/>
          <w:bCs/>
          <w:noProof/>
          <w:sz w:val="18"/>
        </w:rPr>
        <w:t>65</w:t>
      </w:r>
      <w:r w:rsidRPr="00E15313">
        <w:rPr>
          <w:rFonts w:ascii="Helvetica Neue" w:hAnsi="Helvetica Neue"/>
          <w:noProof/>
          <w:sz w:val="18"/>
        </w:rPr>
        <w:t>: 712–8.</w:t>
      </w:r>
    </w:p>
    <w:p w14:paraId="222BB30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w:t>
      </w:r>
      <w:r w:rsidRPr="00E15313">
        <w:rPr>
          <w:rFonts w:ascii="Helvetica Neue" w:hAnsi="Helvetica Neue"/>
          <w:noProof/>
          <w:sz w:val="18"/>
        </w:rPr>
        <w:tab/>
        <w:t>Handcock MS, Hunter DR, Butts CT, Goodreau SM, Morris M. Statnet</w:t>
      </w:r>
      <w:r w:rsidRPr="00E15313">
        <w:rPr>
          <w:noProof/>
          <w:sz w:val="18"/>
        </w:rPr>
        <w:t> </w:t>
      </w:r>
      <w:r w:rsidRPr="00E15313">
        <w:rPr>
          <w:rFonts w:ascii="Helvetica Neue" w:hAnsi="Helvetica Neue"/>
          <w:noProof/>
          <w:sz w:val="18"/>
        </w:rPr>
        <w:t xml:space="preserve">: Software tools for the representation, visualization, analysis and simulation of network data. </w:t>
      </w:r>
      <w:r w:rsidRPr="00E15313">
        <w:rPr>
          <w:rFonts w:ascii="Helvetica Neue" w:hAnsi="Helvetica Neue"/>
          <w:i/>
          <w:iCs/>
          <w:noProof/>
          <w:sz w:val="18"/>
        </w:rPr>
        <w:t>J Stat Softw</w:t>
      </w:r>
      <w:r w:rsidRPr="00E15313">
        <w:rPr>
          <w:rFonts w:ascii="Helvetica Neue" w:hAnsi="Helvetica Neue"/>
          <w:noProof/>
          <w:sz w:val="18"/>
        </w:rPr>
        <w:t xml:space="preserve"> 2008; </w:t>
      </w:r>
      <w:r w:rsidRPr="00E15313">
        <w:rPr>
          <w:rFonts w:ascii="Helvetica Neue" w:hAnsi="Helvetica Neue"/>
          <w:b/>
          <w:bCs/>
          <w:noProof/>
          <w:sz w:val="18"/>
        </w:rPr>
        <w:t>24</w:t>
      </w:r>
      <w:r w:rsidRPr="00E15313">
        <w:rPr>
          <w:rFonts w:ascii="Helvetica Neue" w:hAnsi="Helvetica Neue"/>
          <w:noProof/>
          <w:sz w:val="18"/>
        </w:rPr>
        <w:t>: 1–11.</w:t>
      </w:r>
    </w:p>
    <w:p w14:paraId="0180DF7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w:t>
      </w:r>
      <w:r w:rsidRPr="00E15313">
        <w:rPr>
          <w:rFonts w:ascii="Helvetica Neue" w:hAnsi="Helvetica Neue"/>
          <w:noProof/>
          <w:sz w:val="18"/>
        </w:rPr>
        <w:tab/>
        <w:t xml:space="preserve">Sullivan PS, Carballo-Diéguez A, Coates T, </w:t>
      </w:r>
      <w:r w:rsidRPr="00E15313">
        <w:rPr>
          <w:rFonts w:ascii="Helvetica Neue" w:hAnsi="Helvetica Neue"/>
          <w:i/>
          <w:iCs/>
          <w:noProof/>
          <w:sz w:val="18"/>
        </w:rPr>
        <w:t>et al.</w:t>
      </w:r>
      <w:r w:rsidRPr="00E15313">
        <w:rPr>
          <w:rFonts w:ascii="Helvetica Neue" w:hAnsi="Helvetica Neue"/>
          <w:noProof/>
          <w:sz w:val="18"/>
        </w:rPr>
        <w:t xml:space="preserve"> Successes and challenges of HIV prevention in men who have sex with men. </w:t>
      </w:r>
      <w:r w:rsidRPr="00E15313">
        <w:rPr>
          <w:rFonts w:ascii="Helvetica Neue" w:hAnsi="Helvetica Neue"/>
          <w:i/>
          <w:iCs/>
          <w:noProof/>
          <w:sz w:val="18"/>
        </w:rPr>
        <w:t>Lancet</w:t>
      </w:r>
      <w:r w:rsidRPr="00E15313">
        <w:rPr>
          <w:rFonts w:ascii="Helvetica Neue" w:hAnsi="Helvetica Neue"/>
          <w:noProof/>
          <w:sz w:val="18"/>
        </w:rPr>
        <w:t xml:space="preserve"> 2012; </w:t>
      </w:r>
      <w:r w:rsidRPr="00E15313">
        <w:rPr>
          <w:rFonts w:ascii="Helvetica Neue" w:hAnsi="Helvetica Neue"/>
          <w:b/>
          <w:bCs/>
          <w:noProof/>
          <w:sz w:val="18"/>
        </w:rPr>
        <w:t>380</w:t>
      </w:r>
      <w:r w:rsidRPr="00E15313">
        <w:rPr>
          <w:rFonts w:ascii="Helvetica Neue" w:hAnsi="Helvetica Neue"/>
          <w:noProof/>
          <w:sz w:val="18"/>
        </w:rPr>
        <w:t>: 388–99.</w:t>
      </w:r>
    </w:p>
    <w:p w14:paraId="480A186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w:t>
      </w:r>
      <w:r w:rsidRPr="00E15313">
        <w:rPr>
          <w:rFonts w:ascii="Helvetica Neue" w:hAnsi="Helvetica Neue"/>
          <w:noProof/>
          <w:sz w:val="18"/>
        </w:rPr>
        <w:tab/>
        <w:t xml:space="preserve">Krivitsky PN, Handcock MS. A separable model for dynamic networks. </w:t>
      </w:r>
      <w:r w:rsidRPr="00E15313">
        <w:rPr>
          <w:rFonts w:ascii="Helvetica Neue" w:hAnsi="Helvetica Neue"/>
          <w:i/>
          <w:iCs/>
          <w:noProof/>
          <w:sz w:val="18"/>
        </w:rPr>
        <w:t>J R Stat Soc Ser B Stat Methodol</w:t>
      </w:r>
      <w:r w:rsidRPr="00E15313">
        <w:rPr>
          <w:rFonts w:ascii="Helvetica Neue" w:hAnsi="Helvetica Neue"/>
          <w:noProof/>
          <w:sz w:val="18"/>
        </w:rPr>
        <w:t xml:space="preserve"> 2014; </w:t>
      </w:r>
      <w:r w:rsidRPr="00E15313">
        <w:rPr>
          <w:rFonts w:ascii="Helvetica Neue" w:hAnsi="Helvetica Neue"/>
          <w:b/>
          <w:bCs/>
          <w:noProof/>
          <w:sz w:val="18"/>
        </w:rPr>
        <w:t>76</w:t>
      </w:r>
      <w:r w:rsidRPr="00E15313">
        <w:rPr>
          <w:rFonts w:ascii="Helvetica Neue" w:hAnsi="Helvetica Neue"/>
          <w:noProof/>
          <w:sz w:val="18"/>
        </w:rPr>
        <w:t>: 29–46.</w:t>
      </w:r>
    </w:p>
    <w:p w14:paraId="4657BD8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w:t>
      </w:r>
      <w:r w:rsidRPr="00E15313">
        <w:rPr>
          <w:rFonts w:ascii="Helvetica Neue" w:hAnsi="Helvetica Neue"/>
          <w:noProof/>
          <w:sz w:val="18"/>
        </w:rPr>
        <w:tab/>
        <w:t xml:space="preserve">Hunter DR, Handcock MS, Butts CT, Goodreau SM, Morris M. ergm: A Package to Fit, Simulate and Diagnose Exponential-Family Models for Networks. </w:t>
      </w:r>
      <w:r w:rsidRPr="00E15313">
        <w:rPr>
          <w:rFonts w:ascii="Helvetica Neue" w:hAnsi="Helvetica Neue"/>
          <w:i/>
          <w:iCs/>
          <w:noProof/>
          <w:sz w:val="18"/>
        </w:rPr>
        <w:t>J Stat Softw</w:t>
      </w:r>
      <w:r w:rsidRPr="00E15313">
        <w:rPr>
          <w:rFonts w:ascii="Helvetica Neue" w:hAnsi="Helvetica Neue"/>
          <w:noProof/>
          <w:sz w:val="18"/>
        </w:rPr>
        <w:t xml:space="preserve"> 2008; </w:t>
      </w:r>
      <w:r w:rsidRPr="00E15313">
        <w:rPr>
          <w:rFonts w:ascii="Helvetica Neue" w:hAnsi="Helvetica Neue"/>
          <w:b/>
          <w:bCs/>
          <w:noProof/>
          <w:sz w:val="18"/>
        </w:rPr>
        <w:t>24</w:t>
      </w:r>
      <w:r w:rsidRPr="00E15313">
        <w:rPr>
          <w:rFonts w:ascii="Helvetica Neue" w:hAnsi="Helvetica Neue"/>
          <w:noProof/>
          <w:sz w:val="18"/>
        </w:rPr>
        <w:t>: nihpa54860.</w:t>
      </w:r>
    </w:p>
    <w:p w14:paraId="2F0FB91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w:t>
      </w:r>
      <w:r w:rsidRPr="00E15313">
        <w:rPr>
          <w:rFonts w:ascii="Helvetica Neue" w:hAnsi="Helvetica Neue"/>
          <w:noProof/>
          <w:sz w:val="18"/>
        </w:rPr>
        <w:tab/>
        <w:t xml:space="preserve">Carnegie NB, Krivitsky PN, Hunter DR, Goodreau SM. An Approximation Method for Improving Dynamic Network Model Fitting. </w:t>
      </w:r>
      <w:r w:rsidRPr="00E15313">
        <w:rPr>
          <w:rFonts w:ascii="Helvetica Neue" w:hAnsi="Helvetica Neue"/>
          <w:i/>
          <w:iCs/>
          <w:noProof/>
          <w:sz w:val="18"/>
        </w:rPr>
        <w:t>J Comput Graph Stat</w:t>
      </w:r>
      <w:r w:rsidRPr="00E15313">
        <w:rPr>
          <w:rFonts w:ascii="Helvetica Neue" w:hAnsi="Helvetica Neue"/>
          <w:noProof/>
          <w:sz w:val="18"/>
        </w:rPr>
        <w:t xml:space="preserve"> 2015; </w:t>
      </w:r>
      <w:r w:rsidRPr="00E15313">
        <w:rPr>
          <w:rFonts w:ascii="Helvetica Neue" w:hAnsi="Helvetica Neue"/>
          <w:b/>
          <w:bCs/>
          <w:noProof/>
          <w:sz w:val="18"/>
        </w:rPr>
        <w:t>24</w:t>
      </w:r>
      <w:r w:rsidRPr="00E15313">
        <w:rPr>
          <w:rFonts w:ascii="Helvetica Neue" w:hAnsi="Helvetica Neue"/>
          <w:noProof/>
          <w:sz w:val="18"/>
        </w:rPr>
        <w:t>: 502–19.</w:t>
      </w:r>
    </w:p>
    <w:p w14:paraId="093D872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w:t>
      </w:r>
      <w:r w:rsidRPr="00E15313">
        <w:rPr>
          <w:rFonts w:ascii="Helvetica Neue" w:hAnsi="Helvetica Neue"/>
          <w:noProof/>
          <w:sz w:val="18"/>
        </w:rPr>
        <w:tab/>
        <w:t xml:space="preserve">Krivitsky PN, Handcock MS, Morris M. Adjusting for network size and composition effects in exponential-family random graph models. </w:t>
      </w:r>
      <w:r w:rsidRPr="00E15313">
        <w:rPr>
          <w:rFonts w:ascii="Helvetica Neue" w:hAnsi="Helvetica Neue"/>
          <w:i/>
          <w:iCs/>
          <w:noProof/>
          <w:sz w:val="18"/>
        </w:rPr>
        <w:t>Stat Methodol</w:t>
      </w:r>
      <w:r w:rsidRPr="00E15313">
        <w:rPr>
          <w:rFonts w:ascii="Helvetica Neue" w:hAnsi="Helvetica Neue"/>
          <w:noProof/>
          <w:sz w:val="18"/>
        </w:rPr>
        <w:t xml:space="preserve"> 2011; </w:t>
      </w:r>
      <w:r w:rsidRPr="00E15313">
        <w:rPr>
          <w:rFonts w:ascii="Helvetica Neue" w:hAnsi="Helvetica Neue"/>
          <w:b/>
          <w:bCs/>
          <w:noProof/>
          <w:sz w:val="18"/>
        </w:rPr>
        <w:t>8</w:t>
      </w:r>
      <w:r w:rsidRPr="00E15313">
        <w:rPr>
          <w:rFonts w:ascii="Helvetica Neue" w:hAnsi="Helvetica Neue"/>
          <w:noProof/>
          <w:sz w:val="18"/>
        </w:rPr>
        <w:t>: 319–39.</w:t>
      </w:r>
    </w:p>
    <w:p w14:paraId="187668B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w:t>
      </w:r>
      <w:r w:rsidRPr="00E15313">
        <w:rPr>
          <w:rFonts w:ascii="Helvetica Neue" w:hAnsi="Helvetica Neue"/>
          <w:noProof/>
          <w:sz w:val="18"/>
        </w:rPr>
        <w:tab/>
        <w:t xml:space="preserve">Sullivan PS, Rosenberg ES, Sanchez TH, </w:t>
      </w:r>
      <w:r w:rsidRPr="00E15313">
        <w:rPr>
          <w:rFonts w:ascii="Helvetica Neue" w:hAnsi="Helvetica Neue"/>
          <w:i/>
          <w:iCs/>
          <w:noProof/>
          <w:sz w:val="18"/>
        </w:rPr>
        <w:t>et al.</w:t>
      </w:r>
      <w:r w:rsidRPr="00E15313">
        <w:rPr>
          <w:rFonts w:ascii="Helvetica Neue" w:hAnsi="Helvetica Neue"/>
          <w:noProof/>
          <w:sz w:val="18"/>
        </w:rPr>
        <w:t xml:space="preserve"> Explaining racial disparities in HIV incidence in black and white men who have sex with men in Atlanta, GA: a prospective observational cohort study. </w:t>
      </w:r>
      <w:r w:rsidRPr="00E15313">
        <w:rPr>
          <w:rFonts w:ascii="Helvetica Neue" w:hAnsi="Helvetica Neue"/>
          <w:i/>
          <w:iCs/>
          <w:noProof/>
          <w:sz w:val="18"/>
        </w:rPr>
        <w:t>Ann Epidemiol</w:t>
      </w:r>
      <w:r w:rsidRPr="00E15313">
        <w:rPr>
          <w:rFonts w:ascii="Helvetica Neue" w:hAnsi="Helvetica Neue"/>
          <w:noProof/>
          <w:sz w:val="18"/>
        </w:rPr>
        <w:t xml:space="preserve"> 2015; </w:t>
      </w:r>
      <w:r w:rsidRPr="00E15313">
        <w:rPr>
          <w:rFonts w:ascii="Helvetica Neue" w:hAnsi="Helvetica Neue"/>
          <w:b/>
          <w:bCs/>
          <w:noProof/>
          <w:sz w:val="18"/>
        </w:rPr>
        <w:t>25</w:t>
      </w:r>
      <w:r w:rsidRPr="00E15313">
        <w:rPr>
          <w:rFonts w:ascii="Helvetica Neue" w:hAnsi="Helvetica Neue"/>
          <w:noProof/>
          <w:sz w:val="18"/>
        </w:rPr>
        <w:t>: 445–54.</w:t>
      </w:r>
    </w:p>
    <w:p w14:paraId="119BF8E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w:t>
      </w:r>
      <w:r w:rsidRPr="00E15313">
        <w:rPr>
          <w:rFonts w:ascii="Helvetica Neue" w:hAnsi="Helvetica Neue"/>
          <w:noProof/>
          <w:sz w:val="18"/>
        </w:rPr>
        <w:tab/>
        <w:t xml:space="preserve">Grey JA, Rothenberg RB, Sullivan PS, </w:t>
      </w:r>
      <w:r w:rsidRPr="00E15313">
        <w:rPr>
          <w:rFonts w:ascii="Helvetica Neue" w:hAnsi="Helvetica Neue"/>
          <w:i/>
          <w:iCs/>
          <w:noProof/>
          <w:sz w:val="18"/>
        </w:rPr>
        <w:t>et al.</w:t>
      </w:r>
      <w:r w:rsidRPr="00E15313">
        <w:rPr>
          <w:rFonts w:ascii="Helvetica Neue" w:hAnsi="Helvetica Neue"/>
          <w:noProof/>
          <w:sz w:val="18"/>
        </w:rPr>
        <w:t xml:space="preserve"> Disassortative Age-Mixing Does Not Explain Differences in HIV Prevalence between Young White and Black MSM: Findings from Four Studies. </w:t>
      </w:r>
      <w:r w:rsidRPr="00E15313">
        <w:rPr>
          <w:rFonts w:ascii="Helvetica Neue" w:hAnsi="Helvetica Neue"/>
          <w:i/>
          <w:iCs/>
          <w:noProof/>
          <w:sz w:val="18"/>
        </w:rPr>
        <w:t>PLoS One</w:t>
      </w:r>
      <w:r w:rsidRPr="00E15313">
        <w:rPr>
          <w:rFonts w:ascii="Helvetica Neue" w:hAnsi="Helvetica Neue"/>
          <w:noProof/>
          <w:sz w:val="18"/>
        </w:rPr>
        <w:t xml:space="preserve"> 2015; </w:t>
      </w:r>
      <w:r w:rsidRPr="00E15313">
        <w:rPr>
          <w:rFonts w:ascii="Helvetica Neue" w:hAnsi="Helvetica Neue"/>
          <w:b/>
          <w:bCs/>
          <w:noProof/>
          <w:sz w:val="18"/>
        </w:rPr>
        <w:t>10</w:t>
      </w:r>
      <w:r w:rsidRPr="00E15313">
        <w:rPr>
          <w:rFonts w:ascii="Helvetica Neue" w:hAnsi="Helvetica Neue"/>
          <w:noProof/>
          <w:sz w:val="18"/>
        </w:rPr>
        <w:t>: e0129877.</w:t>
      </w:r>
    </w:p>
    <w:p w14:paraId="27A8167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w:t>
      </w:r>
      <w:r w:rsidRPr="00E15313">
        <w:rPr>
          <w:rFonts w:ascii="Helvetica Neue" w:hAnsi="Helvetica Neue"/>
          <w:noProof/>
          <w:sz w:val="18"/>
        </w:rPr>
        <w:tab/>
        <w:t xml:space="preserve">Gray RH, Kigozi G, Serwadda D, </w:t>
      </w:r>
      <w:r w:rsidRPr="00E15313">
        <w:rPr>
          <w:rFonts w:ascii="Helvetica Neue" w:hAnsi="Helvetica Neue"/>
          <w:i/>
          <w:iCs/>
          <w:noProof/>
          <w:sz w:val="18"/>
        </w:rPr>
        <w:t>et al.</w:t>
      </w:r>
      <w:r w:rsidRPr="00E15313">
        <w:rPr>
          <w:rFonts w:ascii="Helvetica Neue" w:hAnsi="Helvetica Neue"/>
          <w:noProof/>
          <w:sz w:val="18"/>
        </w:rPr>
        <w:t xml:space="preserve"> Male circumcision for HIV prevention in men in Rakai, Uganda: a randomised trial. </w:t>
      </w:r>
      <w:r w:rsidRPr="00E15313">
        <w:rPr>
          <w:rFonts w:ascii="Helvetica Neue" w:hAnsi="Helvetica Neue"/>
          <w:i/>
          <w:iCs/>
          <w:noProof/>
          <w:sz w:val="18"/>
        </w:rPr>
        <w:t>Lancet</w:t>
      </w:r>
      <w:r w:rsidRPr="00E15313">
        <w:rPr>
          <w:rFonts w:ascii="Helvetica Neue" w:hAnsi="Helvetica Neue"/>
          <w:noProof/>
          <w:sz w:val="18"/>
        </w:rPr>
        <w:t xml:space="preserve"> 2007; </w:t>
      </w:r>
      <w:r w:rsidRPr="00E15313">
        <w:rPr>
          <w:rFonts w:ascii="Helvetica Neue" w:hAnsi="Helvetica Neue"/>
          <w:b/>
          <w:bCs/>
          <w:noProof/>
          <w:sz w:val="18"/>
        </w:rPr>
        <w:t>369</w:t>
      </w:r>
      <w:r w:rsidRPr="00E15313">
        <w:rPr>
          <w:rFonts w:ascii="Helvetica Neue" w:hAnsi="Helvetica Neue"/>
          <w:noProof/>
          <w:sz w:val="18"/>
        </w:rPr>
        <w:t>: 657–66.</w:t>
      </w:r>
    </w:p>
    <w:p w14:paraId="7672088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w:t>
      </w:r>
      <w:r w:rsidRPr="00E15313">
        <w:rPr>
          <w:rFonts w:ascii="Helvetica Neue" w:hAnsi="Helvetica Neue"/>
          <w:noProof/>
          <w:sz w:val="18"/>
        </w:rPr>
        <w:tab/>
        <w:t xml:space="preserve">Marmor M, Sheppard HW, Donnell D, </w:t>
      </w:r>
      <w:r w:rsidRPr="00E15313">
        <w:rPr>
          <w:rFonts w:ascii="Helvetica Neue" w:hAnsi="Helvetica Neue"/>
          <w:i/>
          <w:iCs/>
          <w:noProof/>
          <w:sz w:val="18"/>
        </w:rPr>
        <w:t>et al.</w:t>
      </w:r>
      <w:r w:rsidRPr="00E15313">
        <w:rPr>
          <w:rFonts w:ascii="Helvetica Neue" w:hAnsi="Helvetica Neue"/>
          <w:noProof/>
          <w:sz w:val="18"/>
        </w:rPr>
        <w:t xml:space="preserve"> Homozygous and heterozygous CCR5-Delta32 genotypes are associated with resistance to HIV infection. </w:t>
      </w:r>
      <w:r w:rsidRPr="00E15313">
        <w:rPr>
          <w:rFonts w:ascii="Helvetica Neue" w:hAnsi="Helvetica Neue"/>
          <w:i/>
          <w:iCs/>
          <w:noProof/>
          <w:sz w:val="18"/>
        </w:rPr>
        <w:t>J Acquir Immune Defic Syndr</w:t>
      </w:r>
      <w:r w:rsidRPr="00E15313">
        <w:rPr>
          <w:rFonts w:ascii="Helvetica Neue" w:hAnsi="Helvetica Neue"/>
          <w:noProof/>
          <w:sz w:val="18"/>
        </w:rPr>
        <w:t xml:space="preserve"> 2001; </w:t>
      </w:r>
      <w:r w:rsidRPr="00E15313">
        <w:rPr>
          <w:rFonts w:ascii="Helvetica Neue" w:hAnsi="Helvetica Neue"/>
          <w:b/>
          <w:bCs/>
          <w:noProof/>
          <w:sz w:val="18"/>
        </w:rPr>
        <w:t>27</w:t>
      </w:r>
      <w:r w:rsidRPr="00E15313">
        <w:rPr>
          <w:rFonts w:ascii="Helvetica Neue" w:hAnsi="Helvetica Neue"/>
          <w:noProof/>
          <w:sz w:val="18"/>
        </w:rPr>
        <w:t>: 472–81.</w:t>
      </w:r>
    </w:p>
    <w:p w14:paraId="0FBDF93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16</w:t>
      </w:r>
      <w:r w:rsidRPr="00E15313">
        <w:rPr>
          <w:rFonts w:ascii="Helvetica Neue" w:hAnsi="Helvetica Neue"/>
          <w:noProof/>
          <w:sz w:val="18"/>
        </w:rPr>
        <w:tab/>
        <w:t xml:space="preserve">Zimmerman PA, Buckler-White A, Alkhatib G, </w:t>
      </w:r>
      <w:r w:rsidRPr="00E15313">
        <w:rPr>
          <w:rFonts w:ascii="Helvetica Neue" w:hAnsi="Helvetica Neue"/>
          <w:i/>
          <w:iCs/>
          <w:noProof/>
          <w:sz w:val="18"/>
        </w:rPr>
        <w:t>et al.</w:t>
      </w:r>
      <w:r w:rsidRPr="00E15313">
        <w:rPr>
          <w:rFonts w:ascii="Helvetica Neue" w:hAnsi="Helvetica Neue"/>
          <w:noProof/>
          <w:sz w:val="18"/>
        </w:rPr>
        <w:t xml:space="preserve"> Inherited resistance to HIV-1 conferred by an inactivating mutation in CC chemokine receptor 5: studies in populations with contrasting clinical phenotypes, defined racial background, and quantified risk. </w:t>
      </w:r>
      <w:r w:rsidRPr="00E15313">
        <w:rPr>
          <w:rFonts w:ascii="Helvetica Neue" w:hAnsi="Helvetica Neue"/>
          <w:i/>
          <w:iCs/>
          <w:noProof/>
          <w:sz w:val="18"/>
        </w:rPr>
        <w:t>Mol Med</w:t>
      </w:r>
      <w:r w:rsidRPr="00E15313">
        <w:rPr>
          <w:rFonts w:ascii="Helvetica Neue" w:hAnsi="Helvetica Neue"/>
          <w:noProof/>
          <w:sz w:val="18"/>
        </w:rPr>
        <w:t xml:space="preserve"> 1997; </w:t>
      </w:r>
      <w:r w:rsidRPr="00E15313">
        <w:rPr>
          <w:rFonts w:ascii="Helvetica Neue" w:hAnsi="Helvetica Neue"/>
          <w:b/>
          <w:bCs/>
          <w:noProof/>
          <w:sz w:val="18"/>
        </w:rPr>
        <w:t>3</w:t>
      </w:r>
      <w:r w:rsidRPr="00E15313">
        <w:rPr>
          <w:rFonts w:ascii="Helvetica Neue" w:hAnsi="Helvetica Neue"/>
          <w:noProof/>
          <w:sz w:val="18"/>
        </w:rPr>
        <w:t>: 23–36.</w:t>
      </w:r>
    </w:p>
    <w:p w14:paraId="060E6244"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17</w:t>
      </w:r>
      <w:r w:rsidRPr="00E15313">
        <w:rPr>
          <w:rFonts w:ascii="Helvetica Neue" w:hAnsi="Helvetica Neue"/>
          <w:noProof/>
          <w:sz w:val="18"/>
        </w:rPr>
        <w:tab/>
        <w:t>U.S. Census Bureau. National Mortality Data. 2012.</w:t>
      </w:r>
    </w:p>
    <w:p w14:paraId="70DC6F6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18</w:t>
      </w:r>
      <w:r w:rsidRPr="00E15313">
        <w:rPr>
          <w:rFonts w:ascii="Helvetica Neue" w:hAnsi="Helvetica Neue"/>
          <w:noProof/>
          <w:sz w:val="18"/>
        </w:rPr>
        <w:tab/>
        <w:t xml:space="preserve">Little SJ, McLean AR, Spina CA, Richman DD, Havlir D V. Viral dynamics of acute HIV-1 infection. </w:t>
      </w:r>
      <w:r w:rsidRPr="00E15313">
        <w:rPr>
          <w:rFonts w:ascii="Helvetica Neue" w:hAnsi="Helvetica Neue"/>
          <w:i/>
          <w:iCs/>
          <w:noProof/>
          <w:sz w:val="18"/>
        </w:rPr>
        <w:t>J Exp Med</w:t>
      </w:r>
      <w:r w:rsidRPr="00E15313">
        <w:rPr>
          <w:rFonts w:ascii="Helvetica Neue" w:hAnsi="Helvetica Neue"/>
          <w:noProof/>
          <w:sz w:val="18"/>
        </w:rPr>
        <w:t xml:space="preserve"> 1999; </w:t>
      </w:r>
      <w:r w:rsidRPr="00E15313">
        <w:rPr>
          <w:rFonts w:ascii="Helvetica Neue" w:hAnsi="Helvetica Neue"/>
          <w:b/>
          <w:bCs/>
          <w:noProof/>
          <w:sz w:val="18"/>
        </w:rPr>
        <w:t>190</w:t>
      </w:r>
      <w:r w:rsidRPr="00E15313">
        <w:rPr>
          <w:rFonts w:ascii="Helvetica Neue" w:hAnsi="Helvetica Neue"/>
          <w:noProof/>
          <w:sz w:val="18"/>
        </w:rPr>
        <w:t>: 841–50.</w:t>
      </w:r>
    </w:p>
    <w:p w14:paraId="53AB35D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19</w:t>
      </w:r>
      <w:r w:rsidRPr="00E15313">
        <w:rPr>
          <w:rFonts w:ascii="Helvetica Neue" w:hAnsi="Helvetica Neue"/>
          <w:noProof/>
          <w:sz w:val="18"/>
        </w:rPr>
        <w:tab/>
        <w:t xml:space="preserve">Leynaert B, Downs AM, de Vincenzi I. Heterosexual transmission of human immunodeficiency virus: variability of infectivity throughout the course of infection. European Study Group on Heterosexual Transmission of HIV. </w:t>
      </w:r>
      <w:r w:rsidRPr="00E15313">
        <w:rPr>
          <w:rFonts w:ascii="Helvetica Neue" w:hAnsi="Helvetica Neue"/>
          <w:i/>
          <w:iCs/>
          <w:noProof/>
          <w:sz w:val="18"/>
        </w:rPr>
        <w:t>Am J Epidemiol</w:t>
      </w:r>
      <w:r w:rsidRPr="00E15313">
        <w:rPr>
          <w:rFonts w:ascii="Helvetica Neue" w:hAnsi="Helvetica Neue"/>
          <w:noProof/>
          <w:sz w:val="18"/>
        </w:rPr>
        <w:t xml:space="preserve"> 1998; </w:t>
      </w:r>
      <w:r w:rsidRPr="00E15313">
        <w:rPr>
          <w:rFonts w:ascii="Helvetica Neue" w:hAnsi="Helvetica Neue"/>
          <w:b/>
          <w:bCs/>
          <w:noProof/>
          <w:sz w:val="18"/>
        </w:rPr>
        <w:t>148</w:t>
      </w:r>
      <w:r w:rsidRPr="00E15313">
        <w:rPr>
          <w:rFonts w:ascii="Helvetica Neue" w:hAnsi="Helvetica Neue"/>
          <w:noProof/>
          <w:sz w:val="18"/>
        </w:rPr>
        <w:t>: 88–96.</w:t>
      </w:r>
    </w:p>
    <w:p w14:paraId="6A3E189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20</w:t>
      </w:r>
      <w:r w:rsidRPr="00E15313">
        <w:rPr>
          <w:rFonts w:ascii="Helvetica Neue" w:hAnsi="Helvetica Neue"/>
          <w:noProof/>
          <w:sz w:val="18"/>
        </w:rPr>
        <w:tab/>
        <w:t xml:space="preserve">Buchbinder SP, Katz MH, Hessol NA, O’Malley PM, Holmberg SD. Long-term HIV-1 infection without immunologic progression. </w:t>
      </w:r>
      <w:r w:rsidRPr="00E15313">
        <w:rPr>
          <w:rFonts w:ascii="Helvetica Neue" w:hAnsi="Helvetica Neue"/>
          <w:i/>
          <w:iCs/>
          <w:noProof/>
          <w:sz w:val="18"/>
        </w:rPr>
        <w:t>AIDS</w:t>
      </w:r>
      <w:r w:rsidRPr="00E15313">
        <w:rPr>
          <w:rFonts w:ascii="Helvetica Neue" w:hAnsi="Helvetica Neue"/>
          <w:noProof/>
          <w:sz w:val="18"/>
        </w:rPr>
        <w:t xml:space="preserve"> 1994; </w:t>
      </w:r>
      <w:r w:rsidRPr="00E15313">
        <w:rPr>
          <w:rFonts w:ascii="Helvetica Neue" w:hAnsi="Helvetica Neue"/>
          <w:b/>
          <w:bCs/>
          <w:noProof/>
          <w:sz w:val="18"/>
        </w:rPr>
        <w:t>8</w:t>
      </w:r>
      <w:r w:rsidRPr="00E15313">
        <w:rPr>
          <w:rFonts w:ascii="Helvetica Neue" w:hAnsi="Helvetica Neue"/>
          <w:noProof/>
          <w:sz w:val="18"/>
        </w:rPr>
        <w:t>: 1123–8.</w:t>
      </w:r>
    </w:p>
    <w:p w14:paraId="6B42CA6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21</w:t>
      </w:r>
      <w:r w:rsidRPr="00E15313">
        <w:rPr>
          <w:rFonts w:ascii="Helvetica Neue" w:hAnsi="Helvetica Neue"/>
          <w:noProof/>
          <w:sz w:val="18"/>
        </w:rPr>
        <w:tab/>
        <w:t xml:space="preserve">Katz MH, Hessol NA, Buchbinder SP, Hirozawa A, O’Malley P, Holmberg SD. Temporal trends of opportunistic infections and malignancies in homosexual men with AIDS. </w:t>
      </w:r>
      <w:r w:rsidRPr="00E15313">
        <w:rPr>
          <w:rFonts w:ascii="Helvetica Neue" w:hAnsi="Helvetica Neue"/>
          <w:i/>
          <w:iCs/>
          <w:noProof/>
          <w:sz w:val="18"/>
        </w:rPr>
        <w:t>J Infect Dis</w:t>
      </w:r>
      <w:r w:rsidRPr="00E15313">
        <w:rPr>
          <w:rFonts w:ascii="Helvetica Neue" w:hAnsi="Helvetica Neue"/>
          <w:noProof/>
          <w:sz w:val="18"/>
        </w:rPr>
        <w:t xml:space="preserve"> 1994; </w:t>
      </w:r>
      <w:r w:rsidRPr="00E15313">
        <w:rPr>
          <w:rFonts w:ascii="Helvetica Neue" w:hAnsi="Helvetica Neue"/>
          <w:b/>
          <w:bCs/>
          <w:noProof/>
          <w:sz w:val="18"/>
        </w:rPr>
        <w:t>170</w:t>
      </w:r>
      <w:r w:rsidRPr="00E15313">
        <w:rPr>
          <w:rFonts w:ascii="Helvetica Neue" w:hAnsi="Helvetica Neue"/>
          <w:noProof/>
          <w:sz w:val="18"/>
        </w:rPr>
        <w:t>: 198–202.</w:t>
      </w:r>
    </w:p>
    <w:p w14:paraId="7C5C827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22</w:t>
      </w:r>
      <w:r w:rsidRPr="00E15313">
        <w:rPr>
          <w:rFonts w:ascii="Helvetica Neue" w:hAnsi="Helvetica Neue"/>
          <w:noProof/>
          <w:sz w:val="18"/>
        </w:rPr>
        <w:tab/>
        <w:t xml:space="preserve">Mugavero MJ, Amico KR, Horn T, Thompson MA. The State of Engagement in HIV Care in the United States: From Cascade to Continuum to Control. </w:t>
      </w:r>
      <w:r w:rsidRPr="00E15313">
        <w:rPr>
          <w:rFonts w:ascii="Helvetica Neue" w:hAnsi="Helvetica Neue"/>
          <w:i/>
          <w:iCs/>
          <w:noProof/>
          <w:sz w:val="18"/>
        </w:rPr>
        <w:t>Clin Infect Dis</w:t>
      </w:r>
      <w:r w:rsidRPr="00E15313">
        <w:rPr>
          <w:rFonts w:ascii="Helvetica Neue" w:hAnsi="Helvetica Neue"/>
          <w:noProof/>
          <w:sz w:val="18"/>
        </w:rPr>
        <w:t xml:space="preserve"> 2013; </w:t>
      </w:r>
      <w:r w:rsidRPr="00E15313">
        <w:rPr>
          <w:rFonts w:ascii="Helvetica Neue" w:hAnsi="Helvetica Neue"/>
          <w:b/>
          <w:bCs/>
          <w:noProof/>
          <w:sz w:val="18"/>
        </w:rPr>
        <w:t>57</w:t>
      </w:r>
      <w:r w:rsidRPr="00E15313">
        <w:rPr>
          <w:rFonts w:ascii="Helvetica Neue" w:hAnsi="Helvetica Neue"/>
          <w:noProof/>
          <w:sz w:val="18"/>
        </w:rPr>
        <w:t>: 1164–71.</w:t>
      </w:r>
    </w:p>
    <w:p w14:paraId="0405614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23</w:t>
      </w:r>
      <w:r w:rsidRPr="00E15313">
        <w:rPr>
          <w:rFonts w:ascii="Helvetica Neue" w:hAnsi="Helvetica Neue"/>
          <w:noProof/>
          <w:sz w:val="18"/>
        </w:rPr>
        <w:tab/>
        <w:t xml:space="preserve">Rosenberg ES, Millett GA, Sullivan PS, del Rio C, Curran JW. Understanding the HIV disparities between black and white men who have sex with men in the USA using the HIV care continuum: a modelling study. </w:t>
      </w:r>
      <w:r w:rsidRPr="00E15313">
        <w:rPr>
          <w:rFonts w:ascii="Helvetica Neue" w:hAnsi="Helvetica Neue"/>
          <w:i/>
          <w:iCs/>
          <w:noProof/>
          <w:sz w:val="18"/>
        </w:rPr>
        <w:t>Lancet HIV</w:t>
      </w:r>
      <w:r w:rsidRPr="00E15313">
        <w:rPr>
          <w:rFonts w:ascii="Helvetica Neue" w:hAnsi="Helvetica Neue"/>
          <w:noProof/>
          <w:sz w:val="18"/>
        </w:rPr>
        <w:t xml:space="preserve"> 2014; </w:t>
      </w:r>
      <w:r w:rsidRPr="00E15313">
        <w:rPr>
          <w:rFonts w:ascii="Helvetica Neue" w:hAnsi="Helvetica Neue"/>
          <w:b/>
          <w:bCs/>
          <w:noProof/>
          <w:sz w:val="18"/>
        </w:rPr>
        <w:t>1</w:t>
      </w:r>
      <w:r w:rsidRPr="00E15313">
        <w:rPr>
          <w:rFonts w:ascii="Helvetica Neue" w:hAnsi="Helvetica Neue"/>
          <w:noProof/>
          <w:sz w:val="18"/>
        </w:rPr>
        <w:t>: e112–8.</w:t>
      </w:r>
    </w:p>
    <w:p w14:paraId="5D72939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24</w:t>
      </w:r>
      <w:r w:rsidRPr="00E15313">
        <w:rPr>
          <w:rFonts w:ascii="Helvetica Neue" w:hAnsi="Helvetica Neue"/>
          <w:noProof/>
          <w:sz w:val="18"/>
        </w:rPr>
        <w:tab/>
        <w:t xml:space="preserve">Fiebig EW, Wright DJ, Rawal BD, </w:t>
      </w:r>
      <w:r w:rsidRPr="00E15313">
        <w:rPr>
          <w:rFonts w:ascii="Helvetica Neue" w:hAnsi="Helvetica Neue"/>
          <w:i/>
          <w:iCs/>
          <w:noProof/>
          <w:sz w:val="18"/>
        </w:rPr>
        <w:t>et al.</w:t>
      </w:r>
      <w:r w:rsidRPr="00E15313">
        <w:rPr>
          <w:rFonts w:ascii="Helvetica Neue" w:hAnsi="Helvetica Neue"/>
          <w:noProof/>
          <w:sz w:val="18"/>
        </w:rPr>
        <w:t xml:space="preserve"> Dynamics of HIV viremia and antibody seroconversion in plasma donors: implications for diagnosis and staging of primary HIV infection. </w:t>
      </w:r>
      <w:r w:rsidRPr="00E15313">
        <w:rPr>
          <w:rFonts w:ascii="Helvetica Neue" w:hAnsi="Helvetica Neue"/>
          <w:i/>
          <w:iCs/>
          <w:noProof/>
          <w:sz w:val="18"/>
        </w:rPr>
        <w:t>AIDS</w:t>
      </w:r>
      <w:r w:rsidRPr="00E15313">
        <w:rPr>
          <w:rFonts w:ascii="Helvetica Neue" w:hAnsi="Helvetica Neue"/>
          <w:noProof/>
          <w:sz w:val="18"/>
        </w:rPr>
        <w:t xml:space="preserve"> 2003; </w:t>
      </w:r>
      <w:r w:rsidRPr="00E15313">
        <w:rPr>
          <w:rFonts w:ascii="Helvetica Neue" w:hAnsi="Helvetica Neue"/>
          <w:b/>
          <w:bCs/>
          <w:noProof/>
          <w:sz w:val="18"/>
        </w:rPr>
        <w:t>17</w:t>
      </w:r>
      <w:r w:rsidRPr="00E15313">
        <w:rPr>
          <w:rFonts w:ascii="Helvetica Neue" w:hAnsi="Helvetica Neue"/>
          <w:noProof/>
          <w:sz w:val="18"/>
        </w:rPr>
        <w:t>: 1871–9.</w:t>
      </w:r>
    </w:p>
    <w:p w14:paraId="0F96340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25</w:t>
      </w:r>
      <w:r w:rsidRPr="00E15313">
        <w:rPr>
          <w:rFonts w:ascii="Helvetica Neue" w:hAnsi="Helvetica Neue"/>
          <w:noProof/>
          <w:sz w:val="18"/>
        </w:rPr>
        <w:tab/>
        <w:t xml:space="preserve">Beer L, Oster AM, Mattson CL, Skarbinski J, Medical Monitoring Project. Disparities in HIV transmission risk among HIV-infected </w:t>
      </w:r>
      <w:r w:rsidRPr="00E15313">
        <w:rPr>
          <w:rFonts w:ascii="Helvetica Neue" w:hAnsi="Helvetica Neue"/>
          <w:noProof/>
          <w:sz w:val="18"/>
        </w:rPr>
        <w:lastRenderedPageBreak/>
        <w:t xml:space="preserve">black and white men who have sex with men, United States, 2009. </w:t>
      </w:r>
      <w:r w:rsidRPr="00E15313">
        <w:rPr>
          <w:rFonts w:ascii="Helvetica Neue" w:hAnsi="Helvetica Neue"/>
          <w:i/>
          <w:iCs/>
          <w:noProof/>
          <w:sz w:val="18"/>
        </w:rPr>
        <w:t>AIDS</w:t>
      </w:r>
      <w:r w:rsidRPr="00E15313">
        <w:rPr>
          <w:rFonts w:ascii="Helvetica Neue" w:hAnsi="Helvetica Neue"/>
          <w:noProof/>
          <w:sz w:val="18"/>
        </w:rPr>
        <w:t xml:space="preserve"> 2014; </w:t>
      </w:r>
      <w:r w:rsidRPr="00E15313">
        <w:rPr>
          <w:rFonts w:ascii="Helvetica Neue" w:hAnsi="Helvetica Neue"/>
          <w:b/>
          <w:bCs/>
          <w:noProof/>
          <w:sz w:val="18"/>
        </w:rPr>
        <w:t>28</w:t>
      </w:r>
      <w:r w:rsidRPr="00E15313">
        <w:rPr>
          <w:rFonts w:ascii="Helvetica Neue" w:hAnsi="Helvetica Neue"/>
          <w:noProof/>
          <w:sz w:val="18"/>
        </w:rPr>
        <w:t>: 105–14.</w:t>
      </w:r>
    </w:p>
    <w:p w14:paraId="1055936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26</w:t>
      </w:r>
      <w:r w:rsidRPr="00E15313">
        <w:rPr>
          <w:rFonts w:ascii="Helvetica Neue" w:hAnsi="Helvetica Neue"/>
          <w:noProof/>
          <w:sz w:val="18"/>
        </w:rPr>
        <w:tab/>
        <w:t xml:space="preserve">Bertolli J, Shouse RL, Beer L, </w:t>
      </w:r>
      <w:r w:rsidRPr="00E15313">
        <w:rPr>
          <w:rFonts w:ascii="Helvetica Neue" w:hAnsi="Helvetica Neue"/>
          <w:i/>
          <w:iCs/>
          <w:noProof/>
          <w:sz w:val="18"/>
        </w:rPr>
        <w:t>et al.</w:t>
      </w:r>
      <w:r w:rsidRPr="00E15313">
        <w:rPr>
          <w:rFonts w:ascii="Helvetica Neue" w:hAnsi="Helvetica Neue"/>
          <w:noProof/>
          <w:sz w:val="18"/>
        </w:rPr>
        <w:t xml:space="preserve"> Using HIV surveillance data to monitor missed opportunities for linkage and engagement in HIV medical care. </w:t>
      </w:r>
      <w:r w:rsidRPr="00E15313">
        <w:rPr>
          <w:rFonts w:ascii="Helvetica Neue" w:hAnsi="Helvetica Neue"/>
          <w:i/>
          <w:iCs/>
          <w:noProof/>
          <w:sz w:val="18"/>
        </w:rPr>
        <w:t>Open AIDS J</w:t>
      </w:r>
      <w:r w:rsidRPr="00E15313">
        <w:rPr>
          <w:rFonts w:ascii="Helvetica Neue" w:hAnsi="Helvetica Neue"/>
          <w:noProof/>
          <w:sz w:val="18"/>
        </w:rPr>
        <w:t xml:space="preserve"> 2012; </w:t>
      </w:r>
      <w:r w:rsidRPr="00E15313">
        <w:rPr>
          <w:rFonts w:ascii="Helvetica Neue" w:hAnsi="Helvetica Neue"/>
          <w:b/>
          <w:bCs/>
          <w:noProof/>
          <w:sz w:val="18"/>
        </w:rPr>
        <w:t>6</w:t>
      </w:r>
      <w:r w:rsidRPr="00E15313">
        <w:rPr>
          <w:rFonts w:ascii="Helvetica Neue" w:hAnsi="Helvetica Neue"/>
          <w:noProof/>
          <w:sz w:val="18"/>
        </w:rPr>
        <w:t>: 131–41.</w:t>
      </w:r>
    </w:p>
    <w:p w14:paraId="3E05BBF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27</w:t>
      </w:r>
      <w:r w:rsidRPr="00E15313">
        <w:rPr>
          <w:rFonts w:ascii="Helvetica Neue" w:hAnsi="Helvetica Neue"/>
          <w:noProof/>
          <w:sz w:val="18"/>
        </w:rPr>
        <w:tab/>
        <w:t xml:space="preserve">Chu H, Gange SJ, Li X, </w:t>
      </w:r>
      <w:r w:rsidRPr="00E15313">
        <w:rPr>
          <w:rFonts w:ascii="Helvetica Neue" w:hAnsi="Helvetica Neue"/>
          <w:i/>
          <w:iCs/>
          <w:noProof/>
          <w:sz w:val="18"/>
        </w:rPr>
        <w:t>et al.</w:t>
      </w:r>
      <w:r w:rsidRPr="00E15313">
        <w:rPr>
          <w:rFonts w:ascii="Helvetica Neue" w:hAnsi="Helvetica Neue"/>
          <w:noProof/>
          <w:sz w:val="18"/>
        </w:rPr>
        <w:t xml:space="preserve"> The effect of HAART on HIV RNA trajectory among treatment-naïve men and women: a segmental Bernoulli/lognormal random effects model with left censoring. </w:t>
      </w:r>
      <w:r w:rsidRPr="00E15313">
        <w:rPr>
          <w:rFonts w:ascii="Helvetica Neue" w:hAnsi="Helvetica Neue"/>
          <w:i/>
          <w:iCs/>
          <w:noProof/>
          <w:sz w:val="18"/>
        </w:rPr>
        <w:t>Epidemiology</w:t>
      </w:r>
      <w:r w:rsidRPr="00E15313">
        <w:rPr>
          <w:rFonts w:ascii="Helvetica Neue" w:hAnsi="Helvetica Neue"/>
          <w:noProof/>
          <w:sz w:val="18"/>
        </w:rPr>
        <w:t xml:space="preserve"> 2010; </w:t>
      </w:r>
      <w:r w:rsidRPr="00E15313">
        <w:rPr>
          <w:rFonts w:ascii="Helvetica Neue" w:hAnsi="Helvetica Neue"/>
          <w:b/>
          <w:bCs/>
          <w:noProof/>
          <w:sz w:val="18"/>
        </w:rPr>
        <w:t>21 Suppl 4</w:t>
      </w:r>
      <w:r w:rsidRPr="00E15313">
        <w:rPr>
          <w:rFonts w:ascii="Helvetica Neue" w:hAnsi="Helvetica Neue"/>
          <w:noProof/>
          <w:sz w:val="18"/>
        </w:rPr>
        <w:t>: S25-34.</w:t>
      </w:r>
    </w:p>
    <w:p w14:paraId="7D09379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28</w:t>
      </w:r>
      <w:r w:rsidRPr="00E15313">
        <w:rPr>
          <w:rFonts w:ascii="Helvetica Neue" w:hAnsi="Helvetica Neue"/>
          <w:noProof/>
          <w:sz w:val="18"/>
        </w:rPr>
        <w:tab/>
        <w:t xml:space="preserve">Chun T-W, Carruth L, Finzi D, </w:t>
      </w:r>
      <w:r w:rsidRPr="00E15313">
        <w:rPr>
          <w:rFonts w:ascii="Helvetica Neue" w:hAnsi="Helvetica Neue"/>
          <w:i/>
          <w:iCs/>
          <w:noProof/>
          <w:sz w:val="18"/>
        </w:rPr>
        <w:t>et al.</w:t>
      </w:r>
      <w:r w:rsidRPr="00E15313">
        <w:rPr>
          <w:rFonts w:ascii="Helvetica Neue" w:hAnsi="Helvetica Neue"/>
          <w:noProof/>
          <w:sz w:val="18"/>
        </w:rPr>
        <w:t xml:space="preserve"> Quantification of latent tissue reservoirs and total body viral load in HIV-1 infection. </w:t>
      </w:r>
      <w:r w:rsidRPr="00E15313">
        <w:rPr>
          <w:rFonts w:ascii="Helvetica Neue" w:hAnsi="Helvetica Neue"/>
          <w:i/>
          <w:iCs/>
          <w:noProof/>
          <w:sz w:val="18"/>
        </w:rPr>
        <w:t>Nature</w:t>
      </w:r>
      <w:r w:rsidRPr="00E15313">
        <w:rPr>
          <w:rFonts w:ascii="Helvetica Neue" w:hAnsi="Helvetica Neue"/>
          <w:noProof/>
          <w:sz w:val="18"/>
        </w:rPr>
        <w:t xml:space="preserve"> 1997; </w:t>
      </w:r>
      <w:r w:rsidRPr="00E15313">
        <w:rPr>
          <w:rFonts w:ascii="Helvetica Neue" w:hAnsi="Helvetica Neue"/>
          <w:b/>
          <w:bCs/>
          <w:noProof/>
          <w:sz w:val="18"/>
        </w:rPr>
        <w:t>387</w:t>
      </w:r>
      <w:r w:rsidRPr="00E15313">
        <w:rPr>
          <w:rFonts w:ascii="Helvetica Neue" w:hAnsi="Helvetica Neue"/>
          <w:noProof/>
          <w:sz w:val="18"/>
        </w:rPr>
        <w:t>: 183–8.</w:t>
      </w:r>
    </w:p>
    <w:p w14:paraId="65A5960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29</w:t>
      </w:r>
      <w:r w:rsidRPr="00E15313">
        <w:rPr>
          <w:rFonts w:ascii="Helvetica Neue" w:hAnsi="Helvetica Neue"/>
          <w:noProof/>
          <w:sz w:val="18"/>
        </w:rPr>
        <w:tab/>
        <w:t xml:space="preserve">Hall HI, Frazier EL, Rhodes P, </w:t>
      </w:r>
      <w:r w:rsidRPr="00E15313">
        <w:rPr>
          <w:rFonts w:ascii="Helvetica Neue" w:hAnsi="Helvetica Neue"/>
          <w:i/>
          <w:iCs/>
          <w:noProof/>
          <w:sz w:val="18"/>
        </w:rPr>
        <w:t>et al.</w:t>
      </w:r>
      <w:r w:rsidRPr="00E15313">
        <w:rPr>
          <w:rFonts w:ascii="Helvetica Neue" w:hAnsi="Helvetica Neue"/>
          <w:noProof/>
          <w:sz w:val="18"/>
        </w:rPr>
        <w:t xml:space="preserve"> Differences in Human Immunodeficiency Virus Care and Treatment Among Subpopulations in the United States. </w:t>
      </w:r>
      <w:r w:rsidRPr="00E15313">
        <w:rPr>
          <w:rFonts w:ascii="Helvetica Neue" w:hAnsi="Helvetica Neue"/>
          <w:i/>
          <w:iCs/>
          <w:noProof/>
          <w:sz w:val="18"/>
        </w:rPr>
        <w:t>JAMA Intern Med</w:t>
      </w:r>
      <w:r w:rsidRPr="00E15313">
        <w:rPr>
          <w:rFonts w:ascii="Helvetica Neue" w:hAnsi="Helvetica Neue"/>
          <w:noProof/>
          <w:sz w:val="18"/>
        </w:rPr>
        <w:t xml:space="preserve"> 2013; </w:t>
      </w:r>
      <w:r w:rsidRPr="00E15313">
        <w:rPr>
          <w:rFonts w:ascii="Helvetica Neue" w:hAnsi="Helvetica Neue"/>
          <w:b/>
          <w:bCs/>
          <w:noProof/>
          <w:sz w:val="18"/>
        </w:rPr>
        <w:t>173</w:t>
      </w:r>
      <w:r w:rsidRPr="00E15313">
        <w:rPr>
          <w:rFonts w:ascii="Helvetica Neue" w:hAnsi="Helvetica Neue"/>
          <w:noProof/>
          <w:sz w:val="18"/>
        </w:rPr>
        <w:t>: 1337–44.</w:t>
      </w:r>
    </w:p>
    <w:p w14:paraId="1C79A18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30</w:t>
      </w:r>
      <w:r w:rsidRPr="00E15313">
        <w:rPr>
          <w:rFonts w:ascii="Helvetica Neue" w:hAnsi="Helvetica Neue"/>
          <w:noProof/>
          <w:sz w:val="18"/>
        </w:rPr>
        <w:tab/>
        <w:t xml:space="preserve">Vittinghoff E, Douglas J, Judson F, McKirnan D, MacQueen K, Buchbinder SP. Per-contact risk of human immunodeficiency virus transmission between male sexual partners. </w:t>
      </w:r>
      <w:r w:rsidRPr="00E15313">
        <w:rPr>
          <w:rFonts w:ascii="Helvetica Neue" w:hAnsi="Helvetica Neue"/>
          <w:i/>
          <w:iCs/>
          <w:noProof/>
          <w:sz w:val="18"/>
        </w:rPr>
        <w:t>Am J Epidemiol</w:t>
      </w:r>
      <w:r w:rsidRPr="00E15313">
        <w:rPr>
          <w:rFonts w:ascii="Helvetica Neue" w:hAnsi="Helvetica Neue"/>
          <w:noProof/>
          <w:sz w:val="18"/>
        </w:rPr>
        <w:t xml:space="preserve"> 1999; </w:t>
      </w:r>
      <w:r w:rsidRPr="00E15313">
        <w:rPr>
          <w:rFonts w:ascii="Helvetica Neue" w:hAnsi="Helvetica Neue"/>
          <w:b/>
          <w:bCs/>
          <w:noProof/>
          <w:sz w:val="18"/>
        </w:rPr>
        <w:t>150</w:t>
      </w:r>
      <w:r w:rsidRPr="00E15313">
        <w:rPr>
          <w:rFonts w:ascii="Helvetica Neue" w:hAnsi="Helvetica Neue"/>
          <w:noProof/>
          <w:sz w:val="18"/>
        </w:rPr>
        <w:t>: 306–11.</w:t>
      </w:r>
    </w:p>
    <w:p w14:paraId="01366BB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31</w:t>
      </w:r>
      <w:r w:rsidRPr="00E15313">
        <w:rPr>
          <w:rFonts w:ascii="Helvetica Neue" w:hAnsi="Helvetica Neue"/>
          <w:noProof/>
          <w:sz w:val="18"/>
        </w:rPr>
        <w:tab/>
        <w:t xml:space="preserve">Wilson DP, Law MG, Grulich AE, Cooper DA, Kaldor JM. Relation between HIV viral load and infectiousness: a model-based analysis. </w:t>
      </w:r>
      <w:r w:rsidRPr="00E15313">
        <w:rPr>
          <w:rFonts w:ascii="Helvetica Neue" w:hAnsi="Helvetica Neue"/>
          <w:i/>
          <w:iCs/>
          <w:noProof/>
          <w:sz w:val="18"/>
        </w:rPr>
        <w:t>Lancet</w:t>
      </w:r>
      <w:r w:rsidRPr="00E15313">
        <w:rPr>
          <w:rFonts w:ascii="Helvetica Neue" w:hAnsi="Helvetica Neue"/>
          <w:noProof/>
          <w:sz w:val="18"/>
        </w:rPr>
        <w:t xml:space="preserve"> 2008; </w:t>
      </w:r>
      <w:r w:rsidRPr="00E15313">
        <w:rPr>
          <w:rFonts w:ascii="Helvetica Neue" w:hAnsi="Helvetica Neue"/>
          <w:b/>
          <w:bCs/>
          <w:noProof/>
          <w:sz w:val="18"/>
        </w:rPr>
        <w:t>372</w:t>
      </w:r>
      <w:r w:rsidRPr="00E15313">
        <w:rPr>
          <w:rFonts w:ascii="Helvetica Neue" w:hAnsi="Helvetica Neue"/>
          <w:noProof/>
          <w:sz w:val="18"/>
        </w:rPr>
        <w:t>: 314–20.</w:t>
      </w:r>
    </w:p>
    <w:p w14:paraId="1FD03E9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32</w:t>
      </w:r>
      <w:r w:rsidRPr="00E15313">
        <w:rPr>
          <w:rFonts w:ascii="Helvetica Neue" w:hAnsi="Helvetica Neue"/>
          <w:noProof/>
          <w:sz w:val="18"/>
        </w:rPr>
        <w:tab/>
        <w:t xml:space="preserve">Bellan SE, Dushoff J, Galvani AP, Meyers LA. Reassessment of HIV-1 acute phase infectivity: accounting for heterogeneity and study design with simulated cohorts. </w:t>
      </w:r>
      <w:r w:rsidRPr="00E15313">
        <w:rPr>
          <w:rFonts w:ascii="Helvetica Neue" w:hAnsi="Helvetica Neue"/>
          <w:i/>
          <w:iCs/>
          <w:noProof/>
          <w:sz w:val="18"/>
        </w:rPr>
        <w:t>PLoS Med</w:t>
      </w:r>
      <w:r w:rsidRPr="00E15313">
        <w:rPr>
          <w:rFonts w:ascii="Helvetica Neue" w:hAnsi="Helvetica Neue"/>
          <w:noProof/>
          <w:sz w:val="18"/>
        </w:rPr>
        <w:t xml:space="preserve"> 2015; </w:t>
      </w:r>
      <w:r w:rsidRPr="00E15313">
        <w:rPr>
          <w:rFonts w:ascii="Helvetica Neue" w:hAnsi="Helvetica Neue"/>
          <w:b/>
          <w:bCs/>
          <w:noProof/>
          <w:sz w:val="18"/>
        </w:rPr>
        <w:t>12</w:t>
      </w:r>
      <w:r w:rsidRPr="00E15313">
        <w:rPr>
          <w:rFonts w:ascii="Helvetica Neue" w:hAnsi="Helvetica Neue"/>
          <w:noProof/>
          <w:sz w:val="18"/>
        </w:rPr>
        <w:t>: e1001801.</w:t>
      </w:r>
    </w:p>
    <w:p w14:paraId="12FE66F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33</w:t>
      </w:r>
      <w:r w:rsidRPr="00E15313">
        <w:rPr>
          <w:rFonts w:ascii="Helvetica Neue" w:hAnsi="Helvetica Neue"/>
          <w:noProof/>
          <w:sz w:val="18"/>
        </w:rPr>
        <w:tab/>
        <w:t xml:space="preserve">Varghese B, Maher JE, Peterman TA, Branson BM, Steketee RW. Reducing the risk of sexual HIV transmission: quantifying the per-act risk for HIV on the basis of choice of partner, sex act, and condom use. </w:t>
      </w:r>
      <w:r w:rsidRPr="00E15313">
        <w:rPr>
          <w:rFonts w:ascii="Helvetica Neue" w:hAnsi="Helvetica Neue"/>
          <w:i/>
          <w:iCs/>
          <w:noProof/>
          <w:sz w:val="18"/>
        </w:rPr>
        <w:t>Sex Transm Dis</w:t>
      </w:r>
      <w:r w:rsidRPr="00E15313">
        <w:rPr>
          <w:rFonts w:ascii="Helvetica Neue" w:hAnsi="Helvetica Neue"/>
          <w:noProof/>
          <w:sz w:val="18"/>
        </w:rPr>
        <w:t xml:space="preserve"> 2002; </w:t>
      </w:r>
      <w:r w:rsidRPr="00E15313">
        <w:rPr>
          <w:rFonts w:ascii="Helvetica Neue" w:hAnsi="Helvetica Neue"/>
          <w:b/>
          <w:bCs/>
          <w:noProof/>
          <w:sz w:val="18"/>
        </w:rPr>
        <w:t>29</w:t>
      </w:r>
      <w:r w:rsidRPr="00E15313">
        <w:rPr>
          <w:rFonts w:ascii="Helvetica Neue" w:hAnsi="Helvetica Neue"/>
          <w:noProof/>
          <w:sz w:val="18"/>
        </w:rPr>
        <w:t>: 38–43.</w:t>
      </w:r>
    </w:p>
    <w:p w14:paraId="44C1394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34</w:t>
      </w:r>
      <w:r w:rsidRPr="00E15313">
        <w:rPr>
          <w:rFonts w:ascii="Helvetica Neue" w:hAnsi="Helvetica Neue"/>
          <w:noProof/>
          <w:sz w:val="18"/>
        </w:rPr>
        <w:tab/>
        <w:t xml:space="preserve">Weller SC, Davis-Beaty K. Condom effectiveness in reducing heterosexual HIV transmission. </w:t>
      </w:r>
      <w:r w:rsidRPr="00E15313">
        <w:rPr>
          <w:rFonts w:ascii="Helvetica Neue" w:hAnsi="Helvetica Neue"/>
          <w:i/>
          <w:iCs/>
          <w:noProof/>
          <w:sz w:val="18"/>
        </w:rPr>
        <w:t>Cochrane Database Syst Rev</w:t>
      </w:r>
      <w:r w:rsidRPr="00E15313">
        <w:rPr>
          <w:rFonts w:ascii="Helvetica Neue" w:hAnsi="Helvetica Neue"/>
          <w:noProof/>
          <w:sz w:val="18"/>
        </w:rPr>
        <w:t xml:space="preserve"> 2002; : CD003255.</w:t>
      </w:r>
    </w:p>
    <w:p w14:paraId="43C05B8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35</w:t>
      </w:r>
      <w:r w:rsidRPr="00E15313">
        <w:rPr>
          <w:rFonts w:ascii="Helvetica Neue" w:hAnsi="Helvetica Neue"/>
          <w:noProof/>
          <w:sz w:val="18"/>
        </w:rPr>
        <w:tab/>
        <w:t xml:space="preserve">Chesson HW, Pinkerton SD. Sexually transmitted diseases and the increased risk for HIV transmission: Implications for cost-effectiveness analyses of sexually transmitted disease prevention interventions. </w:t>
      </w:r>
      <w:r w:rsidRPr="00E15313">
        <w:rPr>
          <w:rFonts w:ascii="Helvetica Neue" w:hAnsi="Helvetica Neue"/>
          <w:i/>
          <w:iCs/>
          <w:noProof/>
          <w:sz w:val="18"/>
        </w:rPr>
        <w:t>J Acquir Immune Defic Syndr</w:t>
      </w:r>
      <w:r w:rsidRPr="00E15313">
        <w:rPr>
          <w:rFonts w:ascii="Helvetica Neue" w:hAnsi="Helvetica Neue"/>
          <w:noProof/>
          <w:sz w:val="18"/>
        </w:rPr>
        <w:t xml:space="preserve"> 2000; </w:t>
      </w:r>
      <w:r w:rsidRPr="00E15313">
        <w:rPr>
          <w:rFonts w:ascii="Helvetica Neue" w:hAnsi="Helvetica Neue"/>
          <w:b/>
          <w:bCs/>
          <w:noProof/>
          <w:sz w:val="18"/>
        </w:rPr>
        <w:t>24</w:t>
      </w:r>
      <w:r w:rsidRPr="00E15313">
        <w:rPr>
          <w:rFonts w:ascii="Helvetica Neue" w:hAnsi="Helvetica Neue"/>
          <w:noProof/>
          <w:sz w:val="18"/>
        </w:rPr>
        <w:t>: 48–56.</w:t>
      </w:r>
    </w:p>
    <w:p w14:paraId="4584720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36</w:t>
      </w:r>
      <w:r w:rsidRPr="00E15313">
        <w:rPr>
          <w:rFonts w:ascii="Helvetica Neue" w:hAnsi="Helvetica Neue"/>
          <w:noProof/>
          <w:sz w:val="18"/>
        </w:rPr>
        <w:tab/>
        <w:t xml:space="preserve">Vaughan AS, Kelley CF, Luisi N, </w:t>
      </w:r>
      <w:r w:rsidRPr="00E15313">
        <w:rPr>
          <w:rFonts w:ascii="Helvetica Neue" w:hAnsi="Helvetica Neue"/>
          <w:i/>
          <w:iCs/>
          <w:noProof/>
          <w:sz w:val="18"/>
        </w:rPr>
        <w:t>et al.</w:t>
      </w:r>
      <w:r w:rsidRPr="00E15313">
        <w:rPr>
          <w:rFonts w:ascii="Helvetica Neue" w:hAnsi="Helvetica Neue"/>
          <w:noProof/>
          <w:sz w:val="18"/>
        </w:rPr>
        <w:t xml:space="preserve"> An application of propensity score weighting to quantify the causal effect of rectal sexually transmitted infections on incident HIV among men who have sex with men. </w:t>
      </w:r>
      <w:r w:rsidRPr="00E15313">
        <w:rPr>
          <w:rFonts w:ascii="Helvetica Neue" w:hAnsi="Helvetica Neue"/>
          <w:i/>
          <w:iCs/>
          <w:noProof/>
          <w:sz w:val="18"/>
        </w:rPr>
        <w:t>BMC Med Res Methodol</w:t>
      </w:r>
      <w:r w:rsidRPr="00E15313">
        <w:rPr>
          <w:rFonts w:ascii="Helvetica Neue" w:hAnsi="Helvetica Neue"/>
          <w:noProof/>
          <w:sz w:val="18"/>
        </w:rPr>
        <w:t xml:space="preserve"> 2015; </w:t>
      </w:r>
      <w:r w:rsidRPr="00E15313">
        <w:rPr>
          <w:rFonts w:ascii="Helvetica Neue" w:hAnsi="Helvetica Neue"/>
          <w:b/>
          <w:bCs/>
          <w:noProof/>
          <w:sz w:val="18"/>
        </w:rPr>
        <w:t>15</w:t>
      </w:r>
      <w:r w:rsidRPr="00E15313">
        <w:rPr>
          <w:rFonts w:ascii="Helvetica Neue" w:hAnsi="Helvetica Neue"/>
          <w:noProof/>
          <w:sz w:val="18"/>
        </w:rPr>
        <w:t>: 25.</w:t>
      </w:r>
    </w:p>
    <w:p w14:paraId="05177FE4"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37</w:t>
      </w:r>
      <w:r w:rsidRPr="00E15313">
        <w:rPr>
          <w:rFonts w:ascii="Helvetica Neue" w:hAnsi="Helvetica Neue"/>
          <w:noProof/>
          <w:sz w:val="18"/>
        </w:rPr>
        <w:tab/>
        <w:t xml:space="preserve">Pathela P, Braunstein SL, Blank S, Schillinger JA. HIV Incidence Among Men With and Those Without Sexually Transmitted Rectal Infections: Estimates From Matching Against an HIV Case Registry. </w:t>
      </w:r>
      <w:r w:rsidRPr="00E15313">
        <w:rPr>
          <w:rFonts w:ascii="Helvetica Neue" w:hAnsi="Helvetica Neue"/>
          <w:i/>
          <w:iCs/>
          <w:noProof/>
          <w:sz w:val="18"/>
        </w:rPr>
        <w:t>Clin Infect Dis</w:t>
      </w:r>
      <w:r w:rsidRPr="00E15313">
        <w:rPr>
          <w:rFonts w:ascii="Helvetica Neue" w:hAnsi="Helvetica Neue"/>
          <w:noProof/>
          <w:sz w:val="18"/>
        </w:rPr>
        <w:t xml:space="preserve"> 2013; </w:t>
      </w:r>
      <w:r w:rsidRPr="00E15313">
        <w:rPr>
          <w:rFonts w:ascii="Helvetica Neue" w:hAnsi="Helvetica Neue"/>
          <w:b/>
          <w:bCs/>
          <w:noProof/>
          <w:sz w:val="18"/>
        </w:rPr>
        <w:t>57</w:t>
      </w:r>
      <w:r w:rsidRPr="00E15313">
        <w:rPr>
          <w:rFonts w:ascii="Helvetica Neue" w:hAnsi="Helvetica Neue"/>
          <w:noProof/>
          <w:sz w:val="18"/>
        </w:rPr>
        <w:t>: 1203–9.</w:t>
      </w:r>
    </w:p>
    <w:p w14:paraId="7191FF4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38</w:t>
      </w:r>
      <w:r w:rsidRPr="00E15313">
        <w:rPr>
          <w:rFonts w:ascii="Helvetica Neue" w:hAnsi="Helvetica Neue"/>
          <w:noProof/>
          <w:sz w:val="18"/>
        </w:rPr>
        <w:tab/>
        <w:t xml:space="preserve">Chesson HW, Bernstein KT, Gift TL, Marcus JL, Pipkin S, Kent CK. The cost-effectiveness of screening men who have sex with men for rectal chlamydial and gonococcal infection to prevent HIV Infection. </w:t>
      </w:r>
      <w:r w:rsidRPr="00E15313">
        <w:rPr>
          <w:rFonts w:ascii="Helvetica Neue" w:hAnsi="Helvetica Neue"/>
          <w:i/>
          <w:iCs/>
          <w:noProof/>
          <w:sz w:val="18"/>
        </w:rPr>
        <w:t>Sex Transm Dis</w:t>
      </w:r>
      <w:r w:rsidRPr="00E15313">
        <w:rPr>
          <w:rFonts w:ascii="Helvetica Neue" w:hAnsi="Helvetica Neue"/>
          <w:noProof/>
          <w:sz w:val="18"/>
        </w:rPr>
        <w:t xml:space="preserve"> 2013; </w:t>
      </w:r>
      <w:r w:rsidRPr="00E15313">
        <w:rPr>
          <w:rFonts w:ascii="Helvetica Neue" w:hAnsi="Helvetica Neue"/>
          <w:b/>
          <w:bCs/>
          <w:noProof/>
          <w:sz w:val="18"/>
        </w:rPr>
        <w:t>40</w:t>
      </w:r>
      <w:r w:rsidRPr="00E15313">
        <w:rPr>
          <w:rFonts w:ascii="Helvetica Neue" w:hAnsi="Helvetica Neue"/>
          <w:noProof/>
          <w:sz w:val="18"/>
        </w:rPr>
        <w:t>: 366–71.</w:t>
      </w:r>
    </w:p>
    <w:p w14:paraId="08FB428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39</w:t>
      </w:r>
      <w:r w:rsidRPr="00E15313">
        <w:rPr>
          <w:rFonts w:ascii="Helvetica Neue" w:hAnsi="Helvetica Neue"/>
          <w:noProof/>
          <w:sz w:val="18"/>
        </w:rPr>
        <w:tab/>
        <w:t xml:space="preserve">Johnson LF, Dorrington RE, Bradshaw D, Coetzee DJ. The role of sexually transmitted infections in the evolution of the South African HIV epidemic. </w:t>
      </w:r>
      <w:r w:rsidRPr="00E15313">
        <w:rPr>
          <w:rFonts w:ascii="Helvetica Neue" w:hAnsi="Helvetica Neue"/>
          <w:i/>
          <w:iCs/>
          <w:noProof/>
          <w:sz w:val="18"/>
        </w:rPr>
        <w:t>Trop Med Int Heal</w:t>
      </w:r>
      <w:r w:rsidRPr="00E15313">
        <w:rPr>
          <w:rFonts w:ascii="Helvetica Neue" w:hAnsi="Helvetica Neue"/>
          <w:noProof/>
          <w:sz w:val="18"/>
        </w:rPr>
        <w:t xml:space="preserve"> 2012; </w:t>
      </w:r>
      <w:r w:rsidRPr="00E15313">
        <w:rPr>
          <w:rFonts w:ascii="Helvetica Neue" w:hAnsi="Helvetica Neue"/>
          <w:b/>
          <w:bCs/>
          <w:noProof/>
          <w:sz w:val="18"/>
        </w:rPr>
        <w:t>17</w:t>
      </w:r>
      <w:r w:rsidRPr="00E15313">
        <w:rPr>
          <w:rFonts w:ascii="Helvetica Neue" w:hAnsi="Helvetica Neue"/>
          <w:noProof/>
          <w:sz w:val="18"/>
        </w:rPr>
        <w:t>: 161–8.</w:t>
      </w:r>
    </w:p>
    <w:p w14:paraId="2A32FE2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40</w:t>
      </w:r>
      <w:r w:rsidRPr="00E15313">
        <w:rPr>
          <w:rFonts w:ascii="Helvetica Neue" w:hAnsi="Helvetica Neue"/>
          <w:noProof/>
          <w:sz w:val="18"/>
        </w:rPr>
        <w:tab/>
        <w:t xml:space="preserve">Pinkerton SD, Layde PM, DiFranceisco W, Chesson HW, NIMH Multisite HIV Prevention Trial Group. All STDs are not created equal: An analysis of the differential effects of sexual behaviour changes on different STDs. </w:t>
      </w:r>
      <w:r w:rsidRPr="00E15313">
        <w:rPr>
          <w:rFonts w:ascii="Helvetica Neue" w:hAnsi="Helvetica Neue"/>
          <w:i/>
          <w:iCs/>
          <w:noProof/>
          <w:sz w:val="18"/>
        </w:rPr>
        <w:t>Int J STD AIDS</w:t>
      </w:r>
      <w:r w:rsidRPr="00E15313">
        <w:rPr>
          <w:rFonts w:ascii="Helvetica Neue" w:hAnsi="Helvetica Neue"/>
          <w:noProof/>
          <w:sz w:val="18"/>
        </w:rPr>
        <w:t xml:space="preserve"> 2003; </w:t>
      </w:r>
      <w:r w:rsidRPr="00E15313">
        <w:rPr>
          <w:rFonts w:ascii="Helvetica Neue" w:hAnsi="Helvetica Neue"/>
          <w:b/>
          <w:bCs/>
          <w:noProof/>
          <w:sz w:val="18"/>
        </w:rPr>
        <w:t>14</w:t>
      </w:r>
      <w:r w:rsidRPr="00E15313">
        <w:rPr>
          <w:rFonts w:ascii="Helvetica Neue" w:hAnsi="Helvetica Neue"/>
          <w:noProof/>
          <w:sz w:val="18"/>
        </w:rPr>
        <w:t>: 320–8.</w:t>
      </w:r>
    </w:p>
    <w:p w14:paraId="014C9C8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41</w:t>
      </w:r>
      <w:r w:rsidRPr="00E15313">
        <w:rPr>
          <w:rFonts w:ascii="Helvetica Neue" w:hAnsi="Helvetica Neue"/>
          <w:noProof/>
          <w:sz w:val="18"/>
        </w:rPr>
        <w:tab/>
        <w:t xml:space="preserve">Kretzschmar M, Satterwhite C, Leichliter J, Berman S. Effects of screening and partner notification on Chlamydia positivity in the United States: a modeling study. </w:t>
      </w:r>
      <w:r w:rsidRPr="00E15313">
        <w:rPr>
          <w:rFonts w:ascii="Helvetica Neue" w:hAnsi="Helvetica Neue"/>
          <w:i/>
          <w:iCs/>
          <w:noProof/>
          <w:sz w:val="18"/>
        </w:rPr>
        <w:t>Sex Transm Dis</w:t>
      </w:r>
      <w:r w:rsidRPr="00E15313">
        <w:rPr>
          <w:rFonts w:ascii="Helvetica Neue" w:hAnsi="Helvetica Neue"/>
          <w:noProof/>
          <w:sz w:val="18"/>
        </w:rPr>
        <w:t xml:space="preserve"> 2012; </w:t>
      </w:r>
      <w:r w:rsidRPr="00E15313">
        <w:rPr>
          <w:rFonts w:ascii="Helvetica Neue" w:hAnsi="Helvetica Neue"/>
          <w:b/>
          <w:bCs/>
          <w:noProof/>
          <w:sz w:val="18"/>
        </w:rPr>
        <w:t>39</w:t>
      </w:r>
      <w:r w:rsidRPr="00E15313">
        <w:rPr>
          <w:rFonts w:ascii="Helvetica Neue" w:hAnsi="Helvetica Neue"/>
          <w:noProof/>
          <w:sz w:val="18"/>
        </w:rPr>
        <w:t>: 325–31.</w:t>
      </w:r>
    </w:p>
    <w:p w14:paraId="731D744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42</w:t>
      </w:r>
      <w:r w:rsidRPr="00E15313">
        <w:rPr>
          <w:rFonts w:ascii="Helvetica Neue" w:hAnsi="Helvetica Neue"/>
          <w:noProof/>
          <w:sz w:val="18"/>
        </w:rPr>
        <w:tab/>
        <w:t xml:space="preserve">Kretzschmar M, Welte R, van den Hoek A, Postma MJ. Comparative model-based analysis of screening programs for Chlamydia trachomatis infections. </w:t>
      </w:r>
      <w:r w:rsidRPr="00E15313">
        <w:rPr>
          <w:rFonts w:ascii="Helvetica Neue" w:hAnsi="Helvetica Neue"/>
          <w:i/>
          <w:iCs/>
          <w:noProof/>
          <w:sz w:val="18"/>
        </w:rPr>
        <w:t>Am J Epidemiol</w:t>
      </w:r>
      <w:r w:rsidRPr="00E15313">
        <w:rPr>
          <w:rFonts w:ascii="Helvetica Neue" w:hAnsi="Helvetica Neue"/>
          <w:noProof/>
          <w:sz w:val="18"/>
        </w:rPr>
        <w:t xml:space="preserve"> 2001; </w:t>
      </w:r>
      <w:r w:rsidRPr="00E15313">
        <w:rPr>
          <w:rFonts w:ascii="Helvetica Neue" w:hAnsi="Helvetica Neue"/>
          <w:b/>
          <w:bCs/>
          <w:noProof/>
          <w:sz w:val="18"/>
        </w:rPr>
        <w:t>153</w:t>
      </w:r>
      <w:r w:rsidRPr="00E15313">
        <w:rPr>
          <w:rFonts w:ascii="Helvetica Neue" w:hAnsi="Helvetica Neue"/>
          <w:noProof/>
          <w:sz w:val="18"/>
        </w:rPr>
        <w:t>: 90–101.</w:t>
      </w:r>
    </w:p>
    <w:p w14:paraId="4C03B3F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43</w:t>
      </w:r>
      <w:r w:rsidRPr="00E15313">
        <w:rPr>
          <w:rFonts w:ascii="Helvetica Neue" w:hAnsi="Helvetica Neue"/>
          <w:noProof/>
          <w:sz w:val="18"/>
        </w:rPr>
        <w:tab/>
        <w:t xml:space="preserve">Welte R, Postma M, Leidl R, Kretzschmar M. Costs and effects of chlamydial screening: dynamic versus static modeling. </w:t>
      </w:r>
      <w:r w:rsidRPr="00E15313">
        <w:rPr>
          <w:rFonts w:ascii="Helvetica Neue" w:hAnsi="Helvetica Neue"/>
          <w:i/>
          <w:iCs/>
          <w:noProof/>
          <w:sz w:val="18"/>
        </w:rPr>
        <w:t>Sex Transm Dis</w:t>
      </w:r>
      <w:r w:rsidRPr="00E15313">
        <w:rPr>
          <w:rFonts w:ascii="Helvetica Neue" w:hAnsi="Helvetica Neue"/>
          <w:noProof/>
          <w:sz w:val="18"/>
        </w:rPr>
        <w:t xml:space="preserve"> 2005; </w:t>
      </w:r>
      <w:r w:rsidRPr="00E15313">
        <w:rPr>
          <w:rFonts w:ascii="Helvetica Neue" w:hAnsi="Helvetica Neue"/>
          <w:b/>
          <w:bCs/>
          <w:noProof/>
          <w:sz w:val="18"/>
        </w:rPr>
        <w:t>32</w:t>
      </w:r>
      <w:r w:rsidRPr="00E15313">
        <w:rPr>
          <w:rFonts w:ascii="Helvetica Neue" w:hAnsi="Helvetica Neue"/>
          <w:noProof/>
          <w:sz w:val="18"/>
        </w:rPr>
        <w:t>: 474–83.</w:t>
      </w:r>
    </w:p>
    <w:p w14:paraId="451B279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44</w:t>
      </w:r>
      <w:r w:rsidRPr="00E15313">
        <w:rPr>
          <w:rFonts w:ascii="Helvetica Neue" w:hAnsi="Helvetica Neue"/>
          <w:noProof/>
          <w:sz w:val="18"/>
        </w:rPr>
        <w:tab/>
        <w:t xml:space="preserve">Turner KME, Adams EJ, Gay N, Ghani AC, Mercer C, Edmunds WJ. Developing a realistic sexual network model of chlamydia transmission in Britain. </w:t>
      </w:r>
      <w:r w:rsidRPr="00E15313">
        <w:rPr>
          <w:rFonts w:ascii="Helvetica Neue" w:hAnsi="Helvetica Neue"/>
          <w:i/>
          <w:iCs/>
          <w:noProof/>
          <w:sz w:val="18"/>
        </w:rPr>
        <w:t>Theor Biol Med Model</w:t>
      </w:r>
      <w:r w:rsidRPr="00E15313">
        <w:rPr>
          <w:rFonts w:ascii="Helvetica Neue" w:hAnsi="Helvetica Neue"/>
          <w:noProof/>
          <w:sz w:val="18"/>
        </w:rPr>
        <w:t xml:space="preserve"> 2006; </w:t>
      </w:r>
      <w:r w:rsidRPr="00E15313">
        <w:rPr>
          <w:rFonts w:ascii="Helvetica Neue" w:hAnsi="Helvetica Neue"/>
          <w:b/>
          <w:bCs/>
          <w:noProof/>
          <w:sz w:val="18"/>
        </w:rPr>
        <w:t>3</w:t>
      </w:r>
      <w:r w:rsidRPr="00E15313">
        <w:rPr>
          <w:rFonts w:ascii="Helvetica Neue" w:hAnsi="Helvetica Neue"/>
          <w:noProof/>
          <w:sz w:val="18"/>
        </w:rPr>
        <w:t>: 3.</w:t>
      </w:r>
    </w:p>
    <w:p w14:paraId="3DCB0CD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45</w:t>
      </w:r>
      <w:r w:rsidRPr="00E15313">
        <w:rPr>
          <w:rFonts w:ascii="Helvetica Neue" w:hAnsi="Helvetica Neue"/>
          <w:noProof/>
          <w:sz w:val="18"/>
        </w:rPr>
        <w:tab/>
        <w:t xml:space="preserve">Johnson LF, Alkema L, Dorrington RE. A Bayesian approach to uncertainty analysis of sexually transmitted infection models. </w:t>
      </w:r>
      <w:r w:rsidRPr="00E15313">
        <w:rPr>
          <w:rFonts w:ascii="Helvetica Neue" w:hAnsi="Helvetica Neue"/>
          <w:i/>
          <w:iCs/>
          <w:noProof/>
          <w:sz w:val="18"/>
        </w:rPr>
        <w:t>Sex Transm Infect</w:t>
      </w:r>
      <w:r w:rsidRPr="00E15313">
        <w:rPr>
          <w:rFonts w:ascii="Helvetica Neue" w:hAnsi="Helvetica Neue"/>
          <w:noProof/>
          <w:sz w:val="18"/>
        </w:rPr>
        <w:t xml:space="preserve"> 2010; </w:t>
      </w:r>
      <w:r w:rsidRPr="00E15313">
        <w:rPr>
          <w:rFonts w:ascii="Helvetica Neue" w:hAnsi="Helvetica Neue"/>
          <w:b/>
          <w:bCs/>
          <w:noProof/>
          <w:sz w:val="18"/>
        </w:rPr>
        <w:t>86</w:t>
      </w:r>
      <w:r w:rsidRPr="00E15313">
        <w:rPr>
          <w:rFonts w:ascii="Helvetica Neue" w:hAnsi="Helvetica Neue"/>
          <w:noProof/>
          <w:sz w:val="18"/>
        </w:rPr>
        <w:t>: 169–74.</w:t>
      </w:r>
    </w:p>
    <w:p w14:paraId="31B99D4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46</w:t>
      </w:r>
      <w:r w:rsidRPr="00E15313">
        <w:rPr>
          <w:rFonts w:ascii="Helvetica Neue" w:hAnsi="Helvetica Neue"/>
          <w:noProof/>
          <w:sz w:val="18"/>
        </w:rPr>
        <w:tab/>
        <w:t xml:space="preserve">Pinkerton SD, Chesson HW, Layde PM, National Institute of Mental Health Multisite HIV Prevention Trial Group. Utility of behavioral changes as markers of sexually transmitted disease risk reduction in sexually transmitted disease/HIV prevention trials. </w:t>
      </w:r>
      <w:r w:rsidRPr="00E15313">
        <w:rPr>
          <w:rFonts w:ascii="Helvetica Neue" w:hAnsi="Helvetica Neue"/>
          <w:i/>
          <w:iCs/>
          <w:noProof/>
          <w:sz w:val="18"/>
        </w:rPr>
        <w:t>J Acquir Immune Defic Syndr</w:t>
      </w:r>
      <w:r w:rsidRPr="00E15313">
        <w:rPr>
          <w:rFonts w:ascii="Helvetica Neue" w:hAnsi="Helvetica Neue"/>
          <w:noProof/>
          <w:sz w:val="18"/>
        </w:rPr>
        <w:t xml:space="preserve"> 2002; </w:t>
      </w:r>
      <w:r w:rsidRPr="00E15313">
        <w:rPr>
          <w:rFonts w:ascii="Helvetica Neue" w:hAnsi="Helvetica Neue"/>
          <w:b/>
          <w:bCs/>
          <w:noProof/>
          <w:sz w:val="18"/>
        </w:rPr>
        <w:t>31</w:t>
      </w:r>
      <w:r w:rsidRPr="00E15313">
        <w:rPr>
          <w:rFonts w:ascii="Helvetica Neue" w:hAnsi="Helvetica Neue"/>
          <w:noProof/>
          <w:sz w:val="18"/>
        </w:rPr>
        <w:t>: 71–9.</w:t>
      </w:r>
    </w:p>
    <w:p w14:paraId="38D2A31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47</w:t>
      </w:r>
      <w:r w:rsidRPr="00E15313">
        <w:rPr>
          <w:rFonts w:ascii="Helvetica Neue" w:hAnsi="Helvetica Neue"/>
          <w:noProof/>
          <w:sz w:val="18"/>
        </w:rPr>
        <w:tab/>
        <w:t xml:space="preserve">Stigum H, Magnus P, Veierod M, Bakketeig LS. Impact on Sexually Transmitted Disease Spread of Increased Condom Use by Young Females, 1987–1992. </w:t>
      </w:r>
      <w:r w:rsidRPr="00E15313">
        <w:rPr>
          <w:rFonts w:ascii="Helvetica Neue" w:hAnsi="Helvetica Neue"/>
          <w:i/>
          <w:iCs/>
          <w:noProof/>
          <w:sz w:val="18"/>
        </w:rPr>
        <w:t>Int J Epidem</w:t>
      </w:r>
      <w:r w:rsidRPr="00E15313">
        <w:rPr>
          <w:rFonts w:ascii="Helvetica Neue" w:hAnsi="Helvetica Neue"/>
          <w:noProof/>
          <w:sz w:val="18"/>
        </w:rPr>
        <w:t xml:space="preserve"> 1995; </w:t>
      </w:r>
      <w:r w:rsidRPr="00E15313">
        <w:rPr>
          <w:rFonts w:ascii="Helvetica Neue" w:hAnsi="Helvetica Neue"/>
          <w:b/>
          <w:bCs/>
          <w:noProof/>
          <w:sz w:val="18"/>
        </w:rPr>
        <w:t>24</w:t>
      </w:r>
      <w:r w:rsidRPr="00E15313">
        <w:rPr>
          <w:rFonts w:ascii="Helvetica Neue" w:hAnsi="Helvetica Neue"/>
          <w:noProof/>
          <w:sz w:val="18"/>
        </w:rPr>
        <w:t>: 813–20.</w:t>
      </w:r>
    </w:p>
    <w:p w14:paraId="03C6EF4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48</w:t>
      </w:r>
      <w:r w:rsidRPr="00E15313">
        <w:rPr>
          <w:rFonts w:ascii="Helvetica Neue" w:hAnsi="Helvetica Neue"/>
          <w:noProof/>
          <w:sz w:val="18"/>
        </w:rPr>
        <w:tab/>
        <w:t xml:space="preserve">Vickerman P, Watts C, Peeling RW, Mabey D, Alary M. Modelling the cost effectiveness of rapid point of care diagnostic tests for the control of HIV and other sexually transmitted infections among female sex workers. </w:t>
      </w:r>
      <w:r w:rsidRPr="00E15313">
        <w:rPr>
          <w:rFonts w:ascii="Helvetica Neue" w:hAnsi="Helvetica Neue"/>
          <w:i/>
          <w:iCs/>
          <w:noProof/>
          <w:sz w:val="18"/>
        </w:rPr>
        <w:t>Sex Transm Infect</w:t>
      </w:r>
      <w:r w:rsidRPr="00E15313">
        <w:rPr>
          <w:rFonts w:ascii="Helvetica Neue" w:hAnsi="Helvetica Neue"/>
          <w:noProof/>
          <w:sz w:val="18"/>
        </w:rPr>
        <w:t xml:space="preserve"> 2006; </w:t>
      </w:r>
      <w:r w:rsidRPr="00E15313">
        <w:rPr>
          <w:rFonts w:ascii="Helvetica Neue" w:hAnsi="Helvetica Neue"/>
          <w:b/>
          <w:bCs/>
          <w:noProof/>
          <w:sz w:val="18"/>
        </w:rPr>
        <w:t>82</w:t>
      </w:r>
      <w:r w:rsidRPr="00E15313">
        <w:rPr>
          <w:rFonts w:ascii="Helvetica Neue" w:hAnsi="Helvetica Neue"/>
          <w:noProof/>
          <w:sz w:val="18"/>
        </w:rPr>
        <w:t>: 403–12.</w:t>
      </w:r>
    </w:p>
    <w:p w14:paraId="01D6A62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49</w:t>
      </w:r>
      <w:r w:rsidRPr="00E15313">
        <w:rPr>
          <w:rFonts w:ascii="Helvetica Neue" w:hAnsi="Helvetica Neue"/>
          <w:noProof/>
          <w:sz w:val="18"/>
        </w:rPr>
        <w:tab/>
        <w:t xml:space="preserve">Althaus CL, Heijne JCM, Herzog SA, Roellin A, Low N. Individual and population level effects of partner notification for Chlamydia trachomatis. </w:t>
      </w:r>
      <w:r w:rsidRPr="00E15313">
        <w:rPr>
          <w:rFonts w:ascii="Helvetica Neue" w:hAnsi="Helvetica Neue"/>
          <w:i/>
          <w:iCs/>
          <w:noProof/>
          <w:sz w:val="18"/>
        </w:rPr>
        <w:t>PLoS One</w:t>
      </w:r>
      <w:r w:rsidRPr="00E15313">
        <w:rPr>
          <w:rFonts w:ascii="Helvetica Neue" w:hAnsi="Helvetica Neue"/>
          <w:noProof/>
          <w:sz w:val="18"/>
        </w:rPr>
        <w:t xml:space="preserve"> 2012; </w:t>
      </w:r>
      <w:r w:rsidRPr="00E15313">
        <w:rPr>
          <w:rFonts w:ascii="Helvetica Neue" w:hAnsi="Helvetica Neue"/>
          <w:b/>
          <w:bCs/>
          <w:noProof/>
          <w:sz w:val="18"/>
        </w:rPr>
        <w:t>7</w:t>
      </w:r>
      <w:r w:rsidRPr="00E15313">
        <w:rPr>
          <w:rFonts w:ascii="Helvetica Neue" w:hAnsi="Helvetica Neue"/>
          <w:noProof/>
          <w:sz w:val="18"/>
        </w:rPr>
        <w:t>: e51438.</w:t>
      </w:r>
    </w:p>
    <w:p w14:paraId="22AFF4F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50</w:t>
      </w:r>
      <w:r w:rsidRPr="00E15313">
        <w:rPr>
          <w:rFonts w:ascii="Helvetica Neue" w:hAnsi="Helvetica Neue"/>
          <w:noProof/>
          <w:sz w:val="18"/>
        </w:rPr>
        <w:tab/>
        <w:t xml:space="preserve">Andersen B, Gundgaard J, Kretzschmar M, Olsen J, Welte R, Oster-Gaard L. Prediction of costs, effectiveness, and disease control of a population-based program using home sampling for diagnosis of urogenital Chlamydia trachomatis infections. </w:t>
      </w:r>
      <w:r w:rsidRPr="00E15313">
        <w:rPr>
          <w:rFonts w:ascii="Helvetica Neue" w:hAnsi="Helvetica Neue"/>
          <w:i/>
          <w:iCs/>
          <w:noProof/>
          <w:sz w:val="18"/>
        </w:rPr>
        <w:t>Sex Transm Dis</w:t>
      </w:r>
      <w:r w:rsidRPr="00E15313">
        <w:rPr>
          <w:rFonts w:ascii="Helvetica Neue" w:hAnsi="Helvetica Neue"/>
          <w:noProof/>
          <w:sz w:val="18"/>
        </w:rPr>
        <w:t xml:space="preserve"> 2006; </w:t>
      </w:r>
      <w:r w:rsidRPr="00E15313">
        <w:rPr>
          <w:rFonts w:ascii="Helvetica Neue" w:hAnsi="Helvetica Neue"/>
          <w:b/>
          <w:bCs/>
          <w:noProof/>
          <w:sz w:val="18"/>
        </w:rPr>
        <w:lastRenderedPageBreak/>
        <w:t>33</w:t>
      </w:r>
      <w:r w:rsidRPr="00E15313">
        <w:rPr>
          <w:rFonts w:ascii="Helvetica Neue" w:hAnsi="Helvetica Neue"/>
          <w:noProof/>
          <w:sz w:val="18"/>
        </w:rPr>
        <w:t>: 407–15.</w:t>
      </w:r>
    </w:p>
    <w:p w14:paraId="53556B5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51</w:t>
      </w:r>
      <w:r w:rsidRPr="00E15313">
        <w:rPr>
          <w:rFonts w:ascii="Helvetica Neue" w:hAnsi="Helvetica Neue"/>
          <w:noProof/>
          <w:sz w:val="18"/>
        </w:rPr>
        <w:tab/>
        <w:t xml:space="preserve">Davies B, Anderson S-J, Turner KME, Ward H. How robust are the natural history parameters used in chlamydia transmission dynamic models? A systematic review. </w:t>
      </w:r>
      <w:r w:rsidRPr="00E15313">
        <w:rPr>
          <w:rFonts w:ascii="Helvetica Neue" w:hAnsi="Helvetica Neue"/>
          <w:i/>
          <w:iCs/>
          <w:noProof/>
          <w:sz w:val="18"/>
        </w:rPr>
        <w:t>Theor Biol Med Model</w:t>
      </w:r>
      <w:r w:rsidRPr="00E15313">
        <w:rPr>
          <w:rFonts w:ascii="Helvetica Neue" w:hAnsi="Helvetica Neue"/>
          <w:noProof/>
          <w:sz w:val="18"/>
        </w:rPr>
        <w:t xml:space="preserve"> 2014; </w:t>
      </w:r>
      <w:r w:rsidRPr="00E15313">
        <w:rPr>
          <w:rFonts w:ascii="Helvetica Neue" w:hAnsi="Helvetica Neue"/>
          <w:b/>
          <w:bCs/>
          <w:noProof/>
          <w:sz w:val="18"/>
        </w:rPr>
        <w:t>11</w:t>
      </w:r>
      <w:r w:rsidRPr="00E15313">
        <w:rPr>
          <w:rFonts w:ascii="Helvetica Neue" w:hAnsi="Helvetica Neue"/>
          <w:noProof/>
          <w:sz w:val="18"/>
        </w:rPr>
        <w:t>: 8.</w:t>
      </w:r>
    </w:p>
    <w:p w14:paraId="0F02ED2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52</w:t>
      </w:r>
      <w:r w:rsidRPr="00E15313">
        <w:rPr>
          <w:rFonts w:ascii="Helvetica Neue" w:hAnsi="Helvetica Neue"/>
          <w:noProof/>
          <w:sz w:val="18"/>
        </w:rPr>
        <w:tab/>
        <w:t xml:space="preserve">Heijne JCM, Herzog SA, Althaus CL, Tao G, Kent CK, Low N. Insights into the timing of repeated testing after treatment for Chlamydia trachomatis: data and modelling study. </w:t>
      </w:r>
      <w:r w:rsidRPr="00E15313">
        <w:rPr>
          <w:rFonts w:ascii="Helvetica Neue" w:hAnsi="Helvetica Neue"/>
          <w:i/>
          <w:iCs/>
          <w:noProof/>
          <w:sz w:val="18"/>
        </w:rPr>
        <w:t>Sex Transm Infect</w:t>
      </w:r>
      <w:r w:rsidRPr="00E15313">
        <w:rPr>
          <w:rFonts w:ascii="Helvetica Neue" w:hAnsi="Helvetica Neue"/>
          <w:noProof/>
          <w:sz w:val="18"/>
        </w:rPr>
        <w:t xml:space="preserve"> 2013; </w:t>
      </w:r>
      <w:r w:rsidRPr="00E15313">
        <w:rPr>
          <w:rFonts w:ascii="Helvetica Neue" w:hAnsi="Helvetica Neue"/>
          <w:b/>
          <w:bCs/>
          <w:noProof/>
          <w:sz w:val="18"/>
        </w:rPr>
        <w:t>89</w:t>
      </w:r>
      <w:r w:rsidRPr="00E15313">
        <w:rPr>
          <w:rFonts w:ascii="Helvetica Neue" w:hAnsi="Helvetica Neue"/>
          <w:noProof/>
          <w:sz w:val="18"/>
        </w:rPr>
        <w:t>: 57–62.</w:t>
      </w:r>
    </w:p>
    <w:p w14:paraId="7E4FB14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53</w:t>
      </w:r>
      <w:r w:rsidRPr="00E15313">
        <w:rPr>
          <w:rFonts w:ascii="Helvetica Neue" w:hAnsi="Helvetica Neue"/>
          <w:noProof/>
          <w:sz w:val="18"/>
        </w:rPr>
        <w:tab/>
        <w:t xml:space="preserve">Hui BB, Gray RT, Wilson DP, </w:t>
      </w:r>
      <w:r w:rsidRPr="00E15313">
        <w:rPr>
          <w:rFonts w:ascii="Helvetica Neue" w:hAnsi="Helvetica Neue"/>
          <w:i/>
          <w:iCs/>
          <w:noProof/>
          <w:sz w:val="18"/>
        </w:rPr>
        <w:t>et al.</w:t>
      </w:r>
      <w:r w:rsidRPr="00E15313">
        <w:rPr>
          <w:rFonts w:ascii="Helvetica Neue" w:hAnsi="Helvetica Neue"/>
          <w:noProof/>
          <w:sz w:val="18"/>
        </w:rPr>
        <w:t xml:space="preserve"> Population movement can sustain STI prevalence in remote Australian indigenous communities. </w:t>
      </w:r>
      <w:r w:rsidRPr="00E15313">
        <w:rPr>
          <w:rFonts w:ascii="Helvetica Neue" w:hAnsi="Helvetica Neue"/>
          <w:i/>
          <w:iCs/>
          <w:noProof/>
          <w:sz w:val="18"/>
        </w:rPr>
        <w:t>BMC Infect Dis</w:t>
      </w:r>
      <w:r w:rsidRPr="00E15313">
        <w:rPr>
          <w:rFonts w:ascii="Helvetica Neue" w:hAnsi="Helvetica Neue"/>
          <w:noProof/>
          <w:sz w:val="18"/>
        </w:rPr>
        <w:t xml:space="preserve"> 2013; </w:t>
      </w:r>
      <w:r w:rsidRPr="00E15313">
        <w:rPr>
          <w:rFonts w:ascii="Helvetica Neue" w:hAnsi="Helvetica Neue"/>
          <w:b/>
          <w:bCs/>
          <w:noProof/>
          <w:sz w:val="18"/>
        </w:rPr>
        <w:t>13</w:t>
      </w:r>
      <w:r w:rsidRPr="00E15313">
        <w:rPr>
          <w:rFonts w:ascii="Helvetica Neue" w:hAnsi="Helvetica Neue"/>
          <w:noProof/>
          <w:sz w:val="18"/>
        </w:rPr>
        <w:t>: 188.</w:t>
      </w:r>
    </w:p>
    <w:p w14:paraId="5250C3A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54</w:t>
      </w:r>
      <w:r w:rsidRPr="00E15313">
        <w:rPr>
          <w:rFonts w:ascii="Helvetica Neue" w:hAnsi="Helvetica Neue"/>
          <w:noProof/>
          <w:sz w:val="18"/>
        </w:rPr>
        <w:tab/>
        <w:t xml:space="preserve">Freeman EE, Orroth KK, White RG, </w:t>
      </w:r>
      <w:r w:rsidRPr="00E15313">
        <w:rPr>
          <w:rFonts w:ascii="Helvetica Neue" w:hAnsi="Helvetica Neue"/>
          <w:i/>
          <w:iCs/>
          <w:noProof/>
          <w:sz w:val="18"/>
        </w:rPr>
        <w:t>et al.</w:t>
      </w:r>
      <w:r w:rsidRPr="00E15313">
        <w:rPr>
          <w:rFonts w:ascii="Helvetica Neue" w:hAnsi="Helvetica Neue"/>
          <w:noProof/>
          <w:sz w:val="18"/>
        </w:rPr>
        <w:t xml:space="preserve"> Proportion of new HIV infections attributable to herpes simplex 2 increases over time: simulations of the changing role of sexually transmitted infections in sub-Saharan African HIV epidemics. </w:t>
      </w:r>
      <w:r w:rsidRPr="00E15313">
        <w:rPr>
          <w:rFonts w:ascii="Helvetica Neue" w:hAnsi="Helvetica Neue"/>
          <w:i/>
          <w:iCs/>
          <w:noProof/>
          <w:sz w:val="18"/>
        </w:rPr>
        <w:t>Sex Transm Infect</w:t>
      </w:r>
      <w:r w:rsidRPr="00E15313">
        <w:rPr>
          <w:rFonts w:ascii="Helvetica Neue" w:hAnsi="Helvetica Neue"/>
          <w:noProof/>
          <w:sz w:val="18"/>
        </w:rPr>
        <w:t xml:space="preserve"> 2007; </w:t>
      </w:r>
      <w:r w:rsidRPr="00E15313">
        <w:rPr>
          <w:rFonts w:ascii="Helvetica Neue" w:hAnsi="Helvetica Neue"/>
          <w:b/>
          <w:bCs/>
          <w:noProof/>
          <w:sz w:val="18"/>
        </w:rPr>
        <w:t>83 Suppl 1</w:t>
      </w:r>
      <w:r w:rsidRPr="00E15313">
        <w:rPr>
          <w:rFonts w:ascii="Helvetica Neue" w:hAnsi="Helvetica Neue"/>
          <w:noProof/>
          <w:sz w:val="18"/>
        </w:rPr>
        <w:t>: i17-24.</w:t>
      </w:r>
    </w:p>
    <w:p w14:paraId="7F6F26B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55</w:t>
      </w:r>
      <w:r w:rsidRPr="00E15313">
        <w:rPr>
          <w:rFonts w:ascii="Helvetica Neue" w:hAnsi="Helvetica Neue"/>
          <w:noProof/>
          <w:sz w:val="18"/>
        </w:rPr>
        <w:tab/>
        <w:t xml:space="preserve">Pinkerton SD, Chesson HW, Crosby RA, Layde PM. Linearity and nonlinearity in HIV/STI transmission: implications for the evaluation of sexual risk reduction interventions. </w:t>
      </w:r>
      <w:r w:rsidRPr="00E15313">
        <w:rPr>
          <w:rFonts w:ascii="Helvetica Neue" w:hAnsi="Helvetica Neue"/>
          <w:i/>
          <w:iCs/>
          <w:noProof/>
          <w:sz w:val="18"/>
        </w:rPr>
        <w:t>Eval Rev</w:t>
      </w:r>
      <w:r w:rsidRPr="00E15313">
        <w:rPr>
          <w:rFonts w:ascii="Helvetica Neue" w:hAnsi="Helvetica Neue"/>
          <w:noProof/>
          <w:sz w:val="18"/>
        </w:rPr>
        <w:t xml:space="preserve"> 2011; </w:t>
      </w:r>
      <w:r w:rsidRPr="00E15313">
        <w:rPr>
          <w:rFonts w:ascii="Helvetica Neue" w:hAnsi="Helvetica Neue"/>
          <w:b/>
          <w:bCs/>
          <w:noProof/>
          <w:sz w:val="18"/>
        </w:rPr>
        <w:t>35</w:t>
      </w:r>
      <w:r w:rsidRPr="00E15313">
        <w:rPr>
          <w:rFonts w:ascii="Helvetica Neue" w:hAnsi="Helvetica Neue"/>
          <w:noProof/>
          <w:sz w:val="18"/>
        </w:rPr>
        <w:t>: 550–65.</w:t>
      </w:r>
    </w:p>
    <w:p w14:paraId="662C87F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56</w:t>
      </w:r>
      <w:r w:rsidRPr="00E15313">
        <w:rPr>
          <w:rFonts w:ascii="Helvetica Neue" w:hAnsi="Helvetica Neue"/>
          <w:noProof/>
          <w:sz w:val="18"/>
        </w:rPr>
        <w:tab/>
        <w:t xml:space="preserve">Swinton J, Garnett GP, Brunham RC, Anderson RM. Gonococcal infection, infertility, and population growth: I. Endemic states in behaviourally homogeneous growing populations. </w:t>
      </w:r>
      <w:r w:rsidRPr="00E15313">
        <w:rPr>
          <w:rFonts w:ascii="Helvetica Neue" w:hAnsi="Helvetica Neue"/>
          <w:i/>
          <w:iCs/>
          <w:noProof/>
          <w:sz w:val="18"/>
        </w:rPr>
        <w:t>IMA J Math Appl Med Biol</w:t>
      </w:r>
      <w:r w:rsidRPr="00E15313">
        <w:rPr>
          <w:rFonts w:ascii="Helvetica Neue" w:hAnsi="Helvetica Neue"/>
          <w:noProof/>
          <w:sz w:val="18"/>
        </w:rPr>
        <w:t xml:space="preserve"> 1992; </w:t>
      </w:r>
      <w:r w:rsidRPr="00E15313">
        <w:rPr>
          <w:rFonts w:ascii="Helvetica Neue" w:hAnsi="Helvetica Neue"/>
          <w:b/>
          <w:bCs/>
          <w:noProof/>
          <w:sz w:val="18"/>
        </w:rPr>
        <w:t>9</w:t>
      </w:r>
      <w:r w:rsidRPr="00E15313">
        <w:rPr>
          <w:rFonts w:ascii="Helvetica Neue" w:hAnsi="Helvetica Neue"/>
          <w:noProof/>
          <w:sz w:val="18"/>
        </w:rPr>
        <w:t>: 107–26.</w:t>
      </w:r>
    </w:p>
    <w:p w14:paraId="556971D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57</w:t>
      </w:r>
      <w:r w:rsidRPr="00E15313">
        <w:rPr>
          <w:rFonts w:ascii="Helvetica Neue" w:hAnsi="Helvetica Neue"/>
          <w:noProof/>
          <w:sz w:val="18"/>
        </w:rPr>
        <w:tab/>
        <w:t xml:space="preserve">Gopalappa C, Huang Y-LA, Gift TL, Owusu-Edusei K, Taylor M, Gales V. Cost-effectiveness of screening men in Maricopa County jails for chlamydia and gonorrhea to avert infections in women. </w:t>
      </w:r>
      <w:r w:rsidRPr="00E15313">
        <w:rPr>
          <w:rFonts w:ascii="Helvetica Neue" w:hAnsi="Helvetica Neue"/>
          <w:i/>
          <w:iCs/>
          <w:noProof/>
          <w:sz w:val="18"/>
        </w:rPr>
        <w:t>Sex Transm Dis</w:t>
      </w:r>
      <w:r w:rsidRPr="00E15313">
        <w:rPr>
          <w:rFonts w:ascii="Helvetica Neue" w:hAnsi="Helvetica Neue"/>
          <w:noProof/>
          <w:sz w:val="18"/>
        </w:rPr>
        <w:t xml:space="preserve"> 2013; </w:t>
      </w:r>
      <w:r w:rsidRPr="00E15313">
        <w:rPr>
          <w:rFonts w:ascii="Helvetica Neue" w:hAnsi="Helvetica Neue"/>
          <w:b/>
          <w:bCs/>
          <w:noProof/>
          <w:sz w:val="18"/>
        </w:rPr>
        <w:t>40</w:t>
      </w:r>
      <w:r w:rsidRPr="00E15313">
        <w:rPr>
          <w:rFonts w:ascii="Helvetica Neue" w:hAnsi="Helvetica Neue"/>
          <w:noProof/>
          <w:sz w:val="18"/>
        </w:rPr>
        <w:t>: 776–83.</w:t>
      </w:r>
    </w:p>
    <w:p w14:paraId="49410DC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58</w:t>
      </w:r>
      <w:r w:rsidRPr="00E15313">
        <w:rPr>
          <w:rFonts w:ascii="Helvetica Neue" w:hAnsi="Helvetica Neue"/>
          <w:noProof/>
          <w:sz w:val="18"/>
        </w:rPr>
        <w:tab/>
        <w:t xml:space="preserve">Gray RT, Beagley KW, Timms P, Wilson DP. Modeling the impact of potential vaccines on epidemics of sexually transmitted Chlamydia trachomatis infection. </w:t>
      </w:r>
      <w:r w:rsidRPr="00E15313">
        <w:rPr>
          <w:rFonts w:ascii="Helvetica Neue" w:hAnsi="Helvetica Neue"/>
          <w:i/>
          <w:iCs/>
          <w:noProof/>
          <w:sz w:val="18"/>
        </w:rPr>
        <w:t>J Inf Dis</w:t>
      </w:r>
      <w:r w:rsidRPr="00E15313">
        <w:rPr>
          <w:rFonts w:ascii="Helvetica Neue" w:hAnsi="Helvetica Neue"/>
          <w:noProof/>
          <w:sz w:val="18"/>
        </w:rPr>
        <w:t xml:space="preserve"> 2009; </w:t>
      </w:r>
      <w:r w:rsidRPr="00E15313">
        <w:rPr>
          <w:rFonts w:ascii="Helvetica Neue" w:hAnsi="Helvetica Neue"/>
          <w:b/>
          <w:bCs/>
          <w:noProof/>
          <w:sz w:val="18"/>
        </w:rPr>
        <w:t>199</w:t>
      </w:r>
      <w:r w:rsidRPr="00E15313">
        <w:rPr>
          <w:rFonts w:ascii="Helvetica Neue" w:hAnsi="Helvetica Neue"/>
          <w:noProof/>
          <w:sz w:val="18"/>
        </w:rPr>
        <w:t>: 1680–8.</w:t>
      </w:r>
    </w:p>
    <w:p w14:paraId="5FBAB93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59</w:t>
      </w:r>
      <w:r w:rsidRPr="00E15313">
        <w:rPr>
          <w:rFonts w:ascii="Helvetica Neue" w:hAnsi="Helvetica Neue"/>
          <w:noProof/>
          <w:sz w:val="18"/>
        </w:rPr>
        <w:tab/>
        <w:t xml:space="preserve">Schmid B V, Kretzschmar M. Determinants of sexual network structure and their impact on cumulative network measures. </w:t>
      </w:r>
      <w:r w:rsidRPr="00E15313">
        <w:rPr>
          <w:rFonts w:ascii="Helvetica Neue" w:hAnsi="Helvetica Neue"/>
          <w:i/>
          <w:iCs/>
          <w:noProof/>
          <w:sz w:val="18"/>
        </w:rPr>
        <w:t>PLoS Comput Biol</w:t>
      </w:r>
      <w:r w:rsidRPr="00E15313">
        <w:rPr>
          <w:rFonts w:ascii="Helvetica Neue" w:hAnsi="Helvetica Neue"/>
          <w:noProof/>
          <w:sz w:val="18"/>
        </w:rPr>
        <w:t xml:space="preserve"> 2012; </w:t>
      </w:r>
      <w:r w:rsidRPr="00E15313">
        <w:rPr>
          <w:rFonts w:ascii="Helvetica Neue" w:hAnsi="Helvetica Neue"/>
          <w:b/>
          <w:bCs/>
          <w:noProof/>
          <w:sz w:val="18"/>
        </w:rPr>
        <w:t>8</w:t>
      </w:r>
      <w:r w:rsidRPr="00E15313">
        <w:rPr>
          <w:rFonts w:ascii="Helvetica Neue" w:hAnsi="Helvetica Neue"/>
          <w:noProof/>
          <w:sz w:val="18"/>
        </w:rPr>
        <w:t>: e1002470.</w:t>
      </w:r>
    </w:p>
    <w:p w14:paraId="195FC9E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60</w:t>
      </w:r>
      <w:r w:rsidRPr="00E15313">
        <w:rPr>
          <w:rFonts w:ascii="Helvetica Neue" w:hAnsi="Helvetica Neue"/>
          <w:noProof/>
          <w:sz w:val="18"/>
        </w:rPr>
        <w:tab/>
        <w:t xml:space="preserve">Turner KME, Round J, Horner P, </w:t>
      </w:r>
      <w:r w:rsidRPr="00E15313">
        <w:rPr>
          <w:rFonts w:ascii="Helvetica Neue" w:hAnsi="Helvetica Neue"/>
          <w:i/>
          <w:iCs/>
          <w:noProof/>
          <w:sz w:val="18"/>
        </w:rPr>
        <w:t>et al.</w:t>
      </w:r>
      <w:r w:rsidRPr="00E15313">
        <w:rPr>
          <w:rFonts w:ascii="Helvetica Neue" w:hAnsi="Helvetica Neue"/>
          <w:noProof/>
          <w:sz w:val="18"/>
        </w:rPr>
        <w:t xml:space="preserve"> An early evaluation of clinical and economic costs and benefits of implementing point of care NAAT tests for Chlamydia trachomatis and Neisseria gonorrhoea in genitourinary medicine clinics in England. </w:t>
      </w:r>
      <w:r w:rsidRPr="00E15313">
        <w:rPr>
          <w:rFonts w:ascii="Helvetica Neue" w:hAnsi="Helvetica Neue"/>
          <w:i/>
          <w:iCs/>
          <w:noProof/>
          <w:sz w:val="18"/>
        </w:rPr>
        <w:t>Sex Transm Infect</w:t>
      </w:r>
      <w:r w:rsidRPr="00E15313">
        <w:rPr>
          <w:rFonts w:ascii="Helvetica Neue" w:hAnsi="Helvetica Neue"/>
          <w:noProof/>
          <w:sz w:val="18"/>
        </w:rPr>
        <w:t xml:space="preserve"> 2014; </w:t>
      </w:r>
      <w:r w:rsidRPr="00E15313">
        <w:rPr>
          <w:rFonts w:ascii="Helvetica Neue" w:hAnsi="Helvetica Neue"/>
          <w:b/>
          <w:bCs/>
          <w:noProof/>
          <w:sz w:val="18"/>
        </w:rPr>
        <w:t>90</w:t>
      </w:r>
      <w:r w:rsidRPr="00E15313">
        <w:rPr>
          <w:rFonts w:ascii="Helvetica Neue" w:hAnsi="Helvetica Neue"/>
          <w:noProof/>
          <w:sz w:val="18"/>
        </w:rPr>
        <w:t>: 104–11.</w:t>
      </w:r>
    </w:p>
    <w:p w14:paraId="0AD227E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61</w:t>
      </w:r>
      <w:r w:rsidRPr="00E15313">
        <w:rPr>
          <w:rFonts w:ascii="Helvetica Neue" w:hAnsi="Helvetica Neue"/>
          <w:noProof/>
          <w:sz w:val="18"/>
        </w:rPr>
        <w:tab/>
        <w:t xml:space="preserve">Turner KME, Adams EJ, Lamontagne DS, Emmett L, Baster K, Edmunds WJ. Modelling the effectiveness of chlamydia screening in England. </w:t>
      </w:r>
      <w:r w:rsidRPr="00E15313">
        <w:rPr>
          <w:rFonts w:ascii="Helvetica Neue" w:hAnsi="Helvetica Neue"/>
          <w:i/>
          <w:iCs/>
          <w:noProof/>
          <w:sz w:val="18"/>
        </w:rPr>
        <w:t>Sex Transm Infect</w:t>
      </w:r>
      <w:r w:rsidRPr="00E15313">
        <w:rPr>
          <w:rFonts w:ascii="Helvetica Neue" w:hAnsi="Helvetica Neue"/>
          <w:noProof/>
          <w:sz w:val="18"/>
        </w:rPr>
        <w:t xml:space="preserve"> 2006; </w:t>
      </w:r>
      <w:r w:rsidRPr="00E15313">
        <w:rPr>
          <w:rFonts w:ascii="Helvetica Neue" w:hAnsi="Helvetica Neue"/>
          <w:b/>
          <w:bCs/>
          <w:noProof/>
          <w:sz w:val="18"/>
        </w:rPr>
        <w:t>82</w:t>
      </w:r>
      <w:r w:rsidRPr="00E15313">
        <w:rPr>
          <w:rFonts w:ascii="Helvetica Neue" w:hAnsi="Helvetica Neue"/>
          <w:noProof/>
          <w:sz w:val="18"/>
        </w:rPr>
        <w:t>: 496–502.</w:t>
      </w:r>
    </w:p>
    <w:p w14:paraId="3B5148C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62</w:t>
      </w:r>
      <w:r w:rsidRPr="00E15313">
        <w:rPr>
          <w:rFonts w:ascii="Helvetica Neue" w:hAnsi="Helvetica Neue"/>
          <w:noProof/>
          <w:sz w:val="18"/>
        </w:rPr>
        <w:tab/>
        <w:t xml:space="preserve">Althaus CL, Heijne JCM, Low N. Towards more robust estimates of the transmissibility of Chlamydia trachomatis. </w:t>
      </w:r>
      <w:r w:rsidRPr="00E15313">
        <w:rPr>
          <w:rFonts w:ascii="Helvetica Neue" w:hAnsi="Helvetica Neue"/>
          <w:i/>
          <w:iCs/>
          <w:noProof/>
          <w:sz w:val="18"/>
        </w:rPr>
        <w:t>Sex Transm Dis</w:t>
      </w:r>
      <w:r w:rsidRPr="00E15313">
        <w:rPr>
          <w:rFonts w:ascii="Helvetica Neue" w:hAnsi="Helvetica Neue"/>
          <w:noProof/>
          <w:sz w:val="18"/>
        </w:rPr>
        <w:t xml:space="preserve"> 2012; </w:t>
      </w:r>
      <w:r w:rsidRPr="00E15313">
        <w:rPr>
          <w:rFonts w:ascii="Helvetica Neue" w:hAnsi="Helvetica Neue"/>
          <w:b/>
          <w:bCs/>
          <w:noProof/>
          <w:sz w:val="18"/>
        </w:rPr>
        <w:t>39</w:t>
      </w:r>
      <w:r w:rsidRPr="00E15313">
        <w:rPr>
          <w:rFonts w:ascii="Helvetica Neue" w:hAnsi="Helvetica Neue"/>
          <w:noProof/>
          <w:sz w:val="18"/>
        </w:rPr>
        <w:t>: 402–4.</w:t>
      </w:r>
    </w:p>
    <w:p w14:paraId="3861797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63</w:t>
      </w:r>
      <w:r w:rsidRPr="00E15313">
        <w:rPr>
          <w:rFonts w:ascii="Helvetica Neue" w:hAnsi="Helvetica Neue"/>
          <w:noProof/>
          <w:sz w:val="18"/>
        </w:rPr>
        <w:tab/>
        <w:t xml:space="preserve">Pinkerton SD, Layde PM, NIMH multisite HIV prevention trial group. Using sexually transmitted disease incidence as a surrogate marker for HIV incidence in prevention trials: a modeling study. </w:t>
      </w:r>
      <w:r w:rsidRPr="00E15313">
        <w:rPr>
          <w:rFonts w:ascii="Helvetica Neue" w:hAnsi="Helvetica Neue"/>
          <w:i/>
          <w:iCs/>
          <w:noProof/>
          <w:sz w:val="18"/>
        </w:rPr>
        <w:t>Sex Transm Dis</w:t>
      </w:r>
      <w:r w:rsidRPr="00E15313">
        <w:rPr>
          <w:rFonts w:ascii="Helvetica Neue" w:hAnsi="Helvetica Neue"/>
          <w:noProof/>
          <w:sz w:val="18"/>
        </w:rPr>
        <w:t xml:space="preserve"> 2002; </w:t>
      </w:r>
      <w:r w:rsidRPr="00E15313">
        <w:rPr>
          <w:rFonts w:ascii="Helvetica Neue" w:hAnsi="Helvetica Neue"/>
          <w:b/>
          <w:bCs/>
          <w:noProof/>
          <w:sz w:val="18"/>
        </w:rPr>
        <w:t>29</w:t>
      </w:r>
      <w:r w:rsidRPr="00E15313">
        <w:rPr>
          <w:rFonts w:ascii="Helvetica Neue" w:hAnsi="Helvetica Neue"/>
          <w:noProof/>
          <w:sz w:val="18"/>
        </w:rPr>
        <w:t>: 298–307.</w:t>
      </w:r>
    </w:p>
    <w:p w14:paraId="0E7DCA8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64</w:t>
      </w:r>
      <w:r w:rsidRPr="00E15313">
        <w:rPr>
          <w:rFonts w:ascii="Helvetica Neue" w:hAnsi="Helvetica Neue"/>
          <w:noProof/>
          <w:sz w:val="18"/>
        </w:rPr>
        <w:tab/>
        <w:t xml:space="preserve">Owusu-Edusei K, Hoover KW, Gift TL. Cost-effectiveness of opt-out chlamydia testing for high-risk young women in the US. </w:t>
      </w:r>
      <w:r w:rsidRPr="00E15313">
        <w:rPr>
          <w:rFonts w:ascii="Helvetica Neue" w:hAnsi="Helvetica Neue"/>
          <w:i/>
          <w:iCs/>
          <w:noProof/>
          <w:sz w:val="18"/>
        </w:rPr>
        <w:t>Am J Prev Med</w:t>
      </w:r>
      <w:r w:rsidRPr="00E15313">
        <w:rPr>
          <w:rFonts w:ascii="Helvetica Neue" w:hAnsi="Helvetica Neue"/>
          <w:noProof/>
          <w:sz w:val="18"/>
        </w:rPr>
        <w:t xml:space="preserve"> 2016; </w:t>
      </w:r>
      <w:r w:rsidRPr="00E15313">
        <w:rPr>
          <w:rFonts w:ascii="Helvetica Neue" w:hAnsi="Helvetica Neue"/>
          <w:b/>
          <w:bCs/>
          <w:noProof/>
          <w:sz w:val="18"/>
        </w:rPr>
        <w:t>51</w:t>
      </w:r>
      <w:r w:rsidRPr="00E15313">
        <w:rPr>
          <w:rFonts w:ascii="Helvetica Neue" w:hAnsi="Helvetica Neue"/>
          <w:noProof/>
          <w:sz w:val="18"/>
        </w:rPr>
        <w:t>: 216–24.</w:t>
      </w:r>
    </w:p>
    <w:p w14:paraId="0ACEB5D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65</w:t>
      </w:r>
      <w:r w:rsidRPr="00E15313">
        <w:rPr>
          <w:rFonts w:ascii="Helvetica Neue" w:hAnsi="Helvetica Neue"/>
          <w:noProof/>
          <w:sz w:val="18"/>
        </w:rPr>
        <w:tab/>
        <w:t xml:space="preserve">de Vries R, van Bergen JEAM, de Jong-van den Berg LTW, Postma MJ, PILOT-CT Study Group. Systematic screening for Chlamydia trachomatis: estimating cost-effectiveness using dynamic modeling and Dutch data. </w:t>
      </w:r>
      <w:r w:rsidRPr="00E15313">
        <w:rPr>
          <w:rFonts w:ascii="Helvetica Neue" w:hAnsi="Helvetica Neue"/>
          <w:i/>
          <w:iCs/>
          <w:noProof/>
          <w:sz w:val="18"/>
        </w:rPr>
        <w:t>Value Heal</w:t>
      </w:r>
      <w:r w:rsidRPr="00E15313">
        <w:rPr>
          <w:rFonts w:ascii="Helvetica Neue" w:hAnsi="Helvetica Neue"/>
          <w:noProof/>
          <w:sz w:val="18"/>
        </w:rPr>
        <w:t xml:space="preserve"> 2006; </w:t>
      </w:r>
      <w:r w:rsidRPr="00E15313">
        <w:rPr>
          <w:rFonts w:ascii="Helvetica Neue" w:hAnsi="Helvetica Neue"/>
          <w:b/>
          <w:bCs/>
          <w:noProof/>
          <w:sz w:val="18"/>
        </w:rPr>
        <w:t>9</w:t>
      </w:r>
      <w:r w:rsidRPr="00E15313">
        <w:rPr>
          <w:rFonts w:ascii="Helvetica Neue" w:hAnsi="Helvetica Neue"/>
          <w:noProof/>
          <w:sz w:val="18"/>
        </w:rPr>
        <w:t>: 1–11.</w:t>
      </w:r>
    </w:p>
    <w:p w14:paraId="3723DAE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66</w:t>
      </w:r>
      <w:r w:rsidRPr="00E15313">
        <w:rPr>
          <w:rFonts w:ascii="Helvetica Neue" w:hAnsi="Helvetica Neue"/>
          <w:noProof/>
          <w:sz w:val="18"/>
        </w:rPr>
        <w:tab/>
        <w:t xml:space="preserve">Clarke J, White KAJ, Turner K. Approximating optimal controls for networks when there are combinations of population-level and targeted measures available: chlamydia infection as a case-study. </w:t>
      </w:r>
      <w:r w:rsidRPr="00E15313">
        <w:rPr>
          <w:rFonts w:ascii="Helvetica Neue" w:hAnsi="Helvetica Neue"/>
          <w:i/>
          <w:iCs/>
          <w:noProof/>
          <w:sz w:val="18"/>
        </w:rPr>
        <w:t>Bull Math Biol</w:t>
      </w:r>
      <w:r w:rsidRPr="00E15313">
        <w:rPr>
          <w:rFonts w:ascii="Helvetica Neue" w:hAnsi="Helvetica Neue"/>
          <w:noProof/>
          <w:sz w:val="18"/>
        </w:rPr>
        <w:t xml:space="preserve"> 2013; </w:t>
      </w:r>
      <w:r w:rsidRPr="00E15313">
        <w:rPr>
          <w:rFonts w:ascii="Helvetica Neue" w:hAnsi="Helvetica Neue"/>
          <w:b/>
          <w:bCs/>
          <w:noProof/>
          <w:sz w:val="18"/>
        </w:rPr>
        <w:t>75</w:t>
      </w:r>
      <w:r w:rsidRPr="00E15313">
        <w:rPr>
          <w:rFonts w:ascii="Helvetica Neue" w:hAnsi="Helvetica Neue"/>
          <w:noProof/>
          <w:sz w:val="18"/>
        </w:rPr>
        <w:t>: 1747–77.</w:t>
      </w:r>
    </w:p>
    <w:p w14:paraId="759237F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67</w:t>
      </w:r>
      <w:r w:rsidRPr="00E15313">
        <w:rPr>
          <w:rFonts w:ascii="Helvetica Neue" w:hAnsi="Helvetica Neue"/>
          <w:noProof/>
          <w:sz w:val="18"/>
        </w:rPr>
        <w:tab/>
        <w:t xml:space="preserve">Kretzschmar M, van Duynhoven YT, Severijnen AJ. Modeling prevention strategies for gonorrhea and Chlamydia using stochastic network simulations. </w:t>
      </w:r>
      <w:r w:rsidRPr="00E15313">
        <w:rPr>
          <w:rFonts w:ascii="Helvetica Neue" w:hAnsi="Helvetica Neue"/>
          <w:i/>
          <w:iCs/>
          <w:noProof/>
          <w:sz w:val="18"/>
        </w:rPr>
        <w:t>Am J Epidemiol</w:t>
      </w:r>
      <w:r w:rsidRPr="00E15313">
        <w:rPr>
          <w:rFonts w:ascii="Helvetica Neue" w:hAnsi="Helvetica Neue"/>
          <w:noProof/>
          <w:sz w:val="18"/>
        </w:rPr>
        <w:t xml:space="preserve"> 1996; </w:t>
      </w:r>
      <w:r w:rsidRPr="00E15313">
        <w:rPr>
          <w:rFonts w:ascii="Helvetica Neue" w:hAnsi="Helvetica Neue"/>
          <w:b/>
          <w:bCs/>
          <w:noProof/>
          <w:sz w:val="18"/>
        </w:rPr>
        <w:t>144</w:t>
      </w:r>
      <w:r w:rsidRPr="00E15313">
        <w:rPr>
          <w:rFonts w:ascii="Helvetica Neue" w:hAnsi="Helvetica Neue"/>
          <w:noProof/>
          <w:sz w:val="18"/>
        </w:rPr>
        <w:t>: 306–17.</w:t>
      </w:r>
    </w:p>
    <w:p w14:paraId="057A13B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68</w:t>
      </w:r>
      <w:r w:rsidRPr="00E15313">
        <w:rPr>
          <w:rFonts w:ascii="Helvetica Neue" w:hAnsi="Helvetica Neue"/>
          <w:noProof/>
          <w:sz w:val="18"/>
        </w:rPr>
        <w:tab/>
        <w:t xml:space="preserve">Roberts TE, Robinson S, Barton PM, </w:t>
      </w:r>
      <w:r w:rsidRPr="00E15313">
        <w:rPr>
          <w:rFonts w:ascii="Helvetica Neue" w:hAnsi="Helvetica Neue"/>
          <w:i/>
          <w:iCs/>
          <w:noProof/>
          <w:sz w:val="18"/>
        </w:rPr>
        <w:t>et al.</w:t>
      </w:r>
      <w:r w:rsidRPr="00E15313">
        <w:rPr>
          <w:rFonts w:ascii="Helvetica Neue" w:hAnsi="Helvetica Neue"/>
          <w:noProof/>
          <w:sz w:val="18"/>
        </w:rPr>
        <w:t xml:space="preserve"> Cost effectiveness of home based population screening for Chlamydia trachomatis in the UK: economic evaluation of chlamydia screening studies (ClaSS) project. </w:t>
      </w:r>
      <w:r w:rsidRPr="00E15313">
        <w:rPr>
          <w:rFonts w:ascii="Helvetica Neue" w:hAnsi="Helvetica Neue"/>
          <w:i/>
          <w:iCs/>
          <w:noProof/>
          <w:sz w:val="18"/>
        </w:rPr>
        <w:t>BMJ</w:t>
      </w:r>
      <w:r w:rsidRPr="00E15313">
        <w:rPr>
          <w:rFonts w:ascii="Helvetica Neue" w:hAnsi="Helvetica Neue"/>
          <w:noProof/>
          <w:sz w:val="18"/>
        </w:rPr>
        <w:t xml:space="preserve"> 2007; </w:t>
      </w:r>
      <w:r w:rsidRPr="00E15313">
        <w:rPr>
          <w:rFonts w:ascii="Helvetica Neue" w:hAnsi="Helvetica Neue"/>
          <w:b/>
          <w:bCs/>
          <w:noProof/>
          <w:sz w:val="18"/>
        </w:rPr>
        <w:t>335</w:t>
      </w:r>
      <w:r w:rsidRPr="00E15313">
        <w:rPr>
          <w:rFonts w:ascii="Helvetica Neue" w:hAnsi="Helvetica Neue"/>
          <w:noProof/>
          <w:sz w:val="18"/>
        </w:rPr>
        <w:t>: 291.</w:t>
      </w:r>
    </w:p>
    <w:p w14:paraId="375224A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69</w:t>
      </w:r>
      <w:r w:rsidRPr="00E15313">
        <w:rPr>
          <w:rFonts w:ascii="Helvetica Neue" w:hAnsi="Helvetica Neue"/>
          <w:noProof/>
          <w:sz w:val="18"/>
        </w:rPr>
        <w:tab/>
        <w:t xml:space="preserve">Schmid B V, Over EAB, van den Broek IVF, </w:t>
      </w:r>
      <w:r w:rsidRPr="00E15313">
        <w:rPr>
          <w:rFonts w:ascii="Helvetica Neue" w:hAnsi="Helvetica Neue"/>
          <w:i/>
          <w:iCs/>
          <w:noProof/>
          <w:sz w:val="18"/>
        </w:rPr>
        <w:t>et al.</w:t>
      </w:r>
      <w:r w:rsidRPr="00E15313">
        <w:rPr>
          <w:rFonts w:ascii="Helvetica Neue" w:hAnsi="Helvetica Neue"/>
          <w:noProof/>
          <w:sz w:val="18"/>
        </w:rPr>
        <w:t xml:space="preserve"> Effects of population based screening for Chlamydia infections in the Netherlands limited by declining participation rates. </w:t>
      </w:r>
      <w:r w:rsidRPr="00E15313">
        <w:rPr>
          <w:rFonts w:ascii="Helvetica Neue" w:hAnsi="Helvetica Neue"/>
          <w:i/>
          <w:iCs/>
          <w:noProof/>
          <w:sz w:val="18"/>
        </w:rPr>
        <w:t>PLoS One</w:t>
      </w:r>
      <w:r w:rsidRPr="00E15313">
        <w:rPr>
          <w:rFonts w:ascii="Helvetica Neue" w:hAnsi="Helvetica Neue"/>
          <w:noProof/>
          <w:sz w:val="18"/>
        </w:rPr>
        <w:t xml:space="preserve"> 2013; </w:t>
      </w:r>
      <w:r w:rsidRPr="00E15313">
        <w:rPr>
          <w:rFonts w:ascii="Helvetica Neue" w:hAnsi="Helvetica Neue"/>
          <w:b/>
          <w:bCs/>
          <w:noProof/>
          <w:sz w:val="18"/>
        </w:rPr>
        <w:t>8</w:t>
      </w:r>
      <w:r w:rsidRPr="00E15313">
        <w:rPr>
          <w:rFonts w:ascii="Helvetica Neue" w:hAnsi="Helvetica Neue"/>
          <w:noProof/>
          <w:sz w:val="18"/>
        </w:rPr>
        <w:t>: e58674.</w:t>
      </w:r>
    </w:p>
    <w:p w14:paraId="6555BD3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70</w:t>
      </w:r>
      <w:r w:rsidRPr="00E15313">
        <w:rPr>
          <w:rFonts w:ascii="Helvetica Neue" w:hAnsi="Helvetica Neue"/>
          <w:noProof/>
          <w:sz w:val="18"/>
        </w:rPr>
        <w:tab/>
        <w:t xml:space="preserve">Xiridou M, Vriend HJ, Lugner AK, </w:t>
      </w:r>
      <w:r w:rsidRPr="00E15313">
        <w:rPr>
          <w:rFonts w:ascii="Helvetica Neue" w:hAnsi="Helvetica Neue"/>
          <w:i/>
          <w:iCs/>
          <w:noProof/>
          <w:sz w:val="18"/>
        </w:rPr>
        <w:t>et al.</w:t>
      </w:r>
      <w:r w:rsidRPr="00E15313">
        <w:rPr>
          <w:rFonts w:ascii="Helvetica Neue" w:hAnsi="Helvetica Neue"/>
          <w:noProof/>
          <w:sz w:val="18"/>
        </w:rPr>
        <w:t xml:space="preserve"> Modelling the impact of chlamydia screening on the transmission of HIV among men who have sex with men. </w:t>
      </w:r>
      <w:r w:rsidRPr="00E15313">
        <w:rPr>
          <w:rFonts w:ascii="Helvetica Neue" w:hAnsi="Helvetica Neue"/>
          <w:i/>
          <w:iCs/>
          <w:noProof/>
          <w:sz w:val="18"/>
        </w:rPr>
        <w:t>BMC Infect Dis</w:t>
      </w:r>
      <w:r w:rsidRPr="00E15313">
        <w:rPr>
          <w:rFonts w:ascii="Helvetica Neue" w:hAnsi="Helvetica Neue"/>
          <w:noProof/>
          <w:sz w:val="18"/>
        </w:rPr>
        <w:t xml:space="preserve"> 2013; </w:t>
      </w:r>
      <w:r w:rsidRPr="00E15313">
        <w:rPr>
          <w:rFonts w:ascii="Helvetica Neue" w:hAnsi="Helvetica Neue"/>
          <w:b/>
          <w:bCs/>
          <w:noProof/>
          <w:sz w:val="18"/>
        </w:rPr>
        <w:t>13</w:t>
      </w:r>
      <w:r w:rsidRPr="00E15313">
        <w:rPr>
          <w:rFonts w:ascii="Helvetica Neue" w:hAnsi="Helvetica Neue"/>
          <w:noProof/>
          <w:sz w:val="18"/>
        </w:rPr>
        <w:t>: 436.</w:t>
      </w:r>
    </w:p>
    <w:p w14:paraId="2549B67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71</w:t>
      </w:r>
      <w:r w:rsidRPr="00E15313">
        <w:rPr>
          <w:rFonts w:ascii="Helvetica Neue" w:hAnsi="Helvetica Neue"/>
          <w:noProof/>
          <w:sz w:val="18"/>
        </w:rPr>
        <w:tab/>
        <w:t xml:space="preserve">Beck EC, Birkett M, Armbruster B, Mustanski B. A data-driven simulation of HIV spread among young men who have sex with men: Role of age and race mixing and STIs. </w:t>
      </w:r>
      <w:r w:rsidRPr="00E15313">
        <w:rPr>
          <w:rFonts w:ascii="Helvetica Neue" w:hAnsi="Helvetica Neue"/>
          <w:i/>
          <w:iCs/>
          <w:noProof/>
          <w:sz w:val="18"/>
        </w:rPr>
        <w:t>J Acquir Immune Defic Syndr</w:t>
      </w:r>
      <w:r w:rsidRPr="00E15313">
        <w:rPr>
          <w:rFonts w:ascii="Helvetica Neue" w:hAnsi="Helvetica Neue"/>
          <w:noProof/>
          <w:sz w:val="18"/>
        </w:rPr>
        <w:t xml:space="preserve"> 2015; </w:t>
      </w:r>
      <w:r w:rsidRPr="00E15313">
        <w:rPr>
          <w:rFonts w:ascii="Helvetica Neue" w:hAnsi="Helvetica Neue"/>
          <w:b/>
          <w:bCs/>
          <w:noProof/>
          <w:sz w:val="18"/>
        </w:rPr>
        <w:t>70</w:t>
      </w:r>
      <w:r w:rsidRPr="00E15313">
        <w:rPr>
          <w:rFonts w:ascii="Helvetica Neue" w:hAnsi="Helvetica Neue"/>
          <w:noProof/>
          <w:sz w:val="18"/>
        </w:rPr>
        <w:t>: 186–94.</w:t>
      </w:r>
    </w:p>
    <w:p w14:paraId="17E8A20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72</w:t>
      </w:r>
      <w:r w:rsidRPr="00E15313">
        <w:rPr>
          <w:rFonts w:ascii="Helvetica Neue" w:hAnsi="Helvetica Neue"/>
          <w:noProof/>
          <w:sz w:val="18"/>
        </w:rPr>
        <w:tab/>
        <w:t xml:space="preserve">Tuli K, Kerndt PR. Preventing sexually transmitted infections among incarcerated men who have sex with men: a cost-effectiveness analysis. </w:t>
      </w:r>
      <w:r w:rsidRPr="00E15313">
        <w:rPr>
          <w:rFonts w:ascii="Helvetica Neue" w:hAnsi="Helvetica Neue"/>
          <w:i/>
          <w:iCs/>
          <w:noProof/>
          <w:sz w:val="18"/>
        </w:rPr>
        <w:t>Sex Transm Dis</w:t>
      </w:r>
      <w:r w:rsidRPr="00E15313">
        <w:rPr>
          <w:rFonts w:ascii="Helvetica Neue" w:hAnsi="Helvetica Neue"/>
          <w:noProof/>
          <w:sz w:val="18"/>
        </w:rPr>
        <w:t xml:space="preserve"> 2009; </w:t>
      </w:r>
      <w:r w:rsidRPr="00E15313">
        <w:rPr>
          <w:rFonts w:ascii="Helvetica Neue" w:hAnsi="Helvetica Neue"/>
          <w:b/>
          <w:bCs/>
          <w:noProof/>
          <w:sz w:val="18"/>
        </w:rPr>
        <w:t>36</w:t>
      </w:r>
      <w:r w:rsidRPr="00E15313">
        <w:rPr>
          <w:rFonts w:ascii="Helvetica Neue" w:hAnsi="Helvetica Neue"/>
          <w:noProof/>
          <w:sz w:val="18"/>
        </w:rPr>
        <w:t>: S41-8.</w:t>
      </w:r>
    </w:p>
    <w:p w14:paraId="529CE15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73</w:t>
      </w:r>
      <w:r w:rsidRPr="00E15313">
        <w:rPr>
          <w:rFonts w:ascii="Helvetica Neue" w:hAnsi="Helvetica Neue"/>
          <w:noProof/>
          <w:sz w:val="18"/>
        </w:rPr>
        <w:tab/>
        <w:t xml:space="preserve">Darrow WW. Condom use and use-effectiveness in high-risk populations. </w:t>
      </w:r>
      <w:r w:rsidRPr="00E15313">
        <w:rPr>
          <w:rFonts w:ascii="Helvetica Neue" w:hAnsi="Helvetica Neue"/>
          <w:i/>
          <w:iCs/>
          <w:noProof/>
          <w:sz w:val="18"/>
        </w:rPr>
        <w:t>Sex Transm Dis</w:t>
      </w:r>
      <w:r w:rsidRPr="00E15313">
        <w:rPr>
          <w:rFonts w:ascii="Helvetica Neue" w:hAnsi="Helvetica Neue"/>
          <w:noProof/>
          <w:sz w:val="18"/>
        </w:rPr>
        <w:t xml:space="preserve"> 1989; </w:t>
      </w:r>
      <w:r w:rsidRPr="00E15313">
        <w:rPr>
          <w:rFonts w:ascii="Helvetica Neue" w:hAnsi="Helvetica Neue"/>
          <w:b/>
          <w:bCs/>
          <w:noProof/>
          <w:sz w:val="18"/>
        </w:rPr>
        <w:t>16</w:t>
      </w:r>
      <w:r w:rsidRPr="00E15313">
        <w:rPr>
          <w:rFonts w:ascii="Helvetica Neue" w:hAnsi="Helvetica Neue"/>
          <w:noProof/>
          <w:sz w:val="18"/>
        </w:rPr>
        <w:t>: 157–60.</w:t>
      </w:r>
    </w:p>
    <w:p w14:paraId="677E085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74</w:t>
      </w:r>
      <w:r w:rsidRPr="00E15313">
        <w:rPr>
          <w:rFonts w:ascii="Helvetica Neue" w:hAnsi="Helvetica Neue"/>
          <w:noProof/>
          <w:sz w:val="18"/>
        </w:rPr>
        <w:tab/>
        <w:t xml:space="preserve">Joesoef MR, Linnan M, Barakbah Y, Idajadi A, Kambodji A, Schulz K. Patterns of sexually transmitted diseases in female sex workers in Surabaya, Indonesia. </w:t>
      </w:r>
      <w:r w:rsidRPr="00E15313">
        <w:rPr>
          <w:rFonts w:ascii="Helvetica Neue" w:hAnsi="Helvetica Neue"/>
          <w:i/>
          <w:iCs/>
          <w:noProof/>
          <w:sz w:val="18"/>
        </w:rPr>
        <w:t>Int J STD AIDS</w:t>
      </w:r>
      <w:r w:rsidRPr="00E15313">
        <w:rPr>
          <w:rFonts w:ascii="Helvetica Neue" w:hAnsi="Helvetica Neue"/>
          <w:noProof/>
          <w:sz w:val="18"/>
        </w:rPr>
        <w:t xml:space="preserve"> 1997; </w:t>
      </w:r>
      <w:r w:rsidRPr="00E15313">
        <w:rPr>
          <w:rFonts w:ascii="Helvetica Neue" w:hAnsi="Helvetica Neue"/>
          <w:b/>
          <w:bCs/>
          <w:noProof/>
          <w:sz w:val="18"/>
        </w:rPr>
        <w:t>8</w:t>
      </w:r>
      <w:r w:rsidRPr="00E15313">
        <w:rPr>
          <w:rFonts w:ascii="Helvetica Neue" w:hAnsi="Helvetica Neue"/>
          <w:noProof/>
          <w:sz w:val="18"/>
        </w:rPr>
        <w:t>: 576–80.</w:t>
      </w:r>
    </w:p>
    <w:p w14:paraId="6913F3B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75</w:t>
      </w:r>
      <w:r w:rsidRPr="00E15313">
        <w:rPr>
          <w:rFonts w:ascii="Helvetica Neue" w:hAnsi="Helvetica Neue"/>
          <w:noProof/>
          <w:sz w:val="18"/>
        </w:rPr>
        <w:tab/>
        <w:t xml:space="preserve">Korenromp EL, Van Vliet C, Grosskurth H, </w:t>
      </w:r>
      <w:r w:rsidRPr="00E15313">
        <w:rPr>
          <w:rFonts w:ascii="Helvetica Neue" w:hAnsi="Helvetica Neue"/>
          <w:i/>
          <w:iCs/>
          <w:noProof/>
          <w:sz w:val="18"/>
        </w:rPr>
        <w:t>et al.</w:t>
      </w:r>
      <w:r w:rsidRPr="00E15313">
        <w:rPr>
          <w:rFonts w:ascii="Helvetica Neue" w:hAnsi="Helvetica Neue"/>
          <w:noProof/>
          <w:sz w:val="18"/>
        </w:rPr>
        <w:t xml:space="preserve"> Model-based evaluation of single-round mass treatment of sexually transmitted diseases for HIV control in a rural African population. </w:t>
      </w:r>
      <w:r w:rsidRPr="00E15313">
        <w:rPr>
          <w:rFonts w:ascii="Helvetica Neue" w:hAnsi="Helvetica Neue"/>
          <w:i/>
          <w:iCs/>
          <w:noProof/>
          <w:sz w:val="18"/>
        </w:rPr>
        <w:t>AIDS</w:t>
      </w:r>
      <w:r w:rsidRPr="00E15313">
        <w:rPr>
          <w:rFonts w:ascii="Helvetica Neue" w:hAnsi="Helvetica Neue"/>
          <w:noProof/>
          <w:sz w:val="18"/>
        </w:rPr>
        <w:t xml:space="preserve"> 2000; </w:t>
      </w:r>
      <w:r w:rsidRPr="00E15313">
        <w:rPr>
          <w:rFonts w:ascii="Helvetica Neue" w:hAnsi="Helvetica Neue"/>
          <w:b/>
          <w:bCs/>
          <w:noProof/>
          <w:sz w:val="18"/>
        </w:rPr>
        <w:t>14</w:t>
      </w:r>
      <w:r w:rsidRPr="00E15313">
        <w:rPr>
          <w:rFonts w:ascii="Helvetica Neue" w:hAnsi="Helvetica Neue"/>
          <w:noProof/>
          <w:sz w:val="18"/>
        </w:rPr>
        <w:t>: 573–93.</w:t>
      </w:r>
    </w:p>
    <w:p w14:paraId="3D7966B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lastRenderedPageBreak/>
        <w:t>76</w:t>
      </w:r>
      <w:r w:rsidRPr="00E15313">
        <w:rPr>
          <w:rFonts w:ascii="Helvetica Neue" w:hAnsi="Helvetica Neue"/>
          <w:noProof/>
          <w:sz w:val="18"/>
        </w:rPr>
        <w:tab/>
        <w:t xml:space="preserve">Marseille E, Kahn JG, Billinghurst K, Saba J. Cost-effectiveness of the female condom in preventing HIV and STDs in commercial sex workers in rural South Africa. </w:t>
      </w:r>
      <w:r w:rsidRPr="00E15313">
        <w:rPr>
          <w:rFonts w:ascii="Helvetica Neue" w:hAnsi="Helvetica Neue"/>
          <w:i/>
          <w:iCs/>
          <w:noProof/>
          <w:sz w:val="18"/>
        </w:rPr>
        <w:t>Soc Sci Med</w:t>
      </w:r>
      <w:r w:rsidRPr="00E15313">
        <w:rPr>
          <w:rFonts w:ascii="Helvetica Neue" w:hAnsi="Helvetica Neue"/>
          <w:noProof/>
          <w:sz w:val="18"/>
        </w:rPr>
        <w:t xml:space="preserve"> 2001; </w:t>
      </w:r>
      <w:r w:rsidRPr="00E15313">
        <w:rPr>
          <w:rFonts w:ascii="Helvetica Neue" w:hAnsi="Helvetica Neue"/>
          <w:b/>
          <w:bCs/>
          <w:noProof/>
          <w:sz w:val="18"/>
        </w:rPr>
        <w:t>52</w:t>
      </w:r>
      <w:r w:rsidRPr="00E15313">
        <w:rPr>
          <w:rFonts w:ascii="Helvetica Neue" w:hAnsi="Helvetica Neue"/>
          <w:noProof/>
          <w:sz w:val="18"/>
        </w:rPr>
        <w:t>: 135–48.</w:t>
      </w:r>
    </w:p>
    <w:p w14:paraId="7566F71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77</w:t>
      </w:r>
      <w:r w:rsidRPr="00E15313">
        <w:rPr>
          <w:rFonts w:ascii="Helvetica Neue" w:hAnsi="Helvetica Neue"/>
          <w:noProof/>
          <w:sz w:val="18"/>
        </w:rPr>
        <w:tab/>
        <w:t xml:space="preserve">Armbruster B, Brandeau ML. Contact tracing to control infectious disease: when enough is enough. </w:t>
      </w:r>
      <w:r w:rsidRPr="00E15313">
        <w:rPr>
          <w:rFonts w:ascii="Helvetica Neue" w:hAnsi="Helvetica Neue"/>
          <w:i/>
          <w:iCs/>
          <w:noProof/>
          <w:sz w:val="18"/>
        </w:rPr>
        <w:t>Heal Care Manag Sci</w:t>
      </w:r>
      <w:r w:rsidRPr="00E15313">
        <w:rPr>
          <w:rFonts w:ascii="Helvetica Neue" w:hAnsi="Helvetica Neue"/>
          <w:noProof/>
          <w:sz w:val="18"/>
        </w:rPr>
        <w:t xml:space="preserve"> 2007; </w:t>
      </w:r>
      <w:r w:rsidRPr="00E15313">
        <w:rPr>
          <w:rFonts w:ascii="Helvetica Neue" w:hAnsi="Helvetica Neue"/>
          <w:b/>
          <w:bCs/>
          <w:noProof/>
          <w:sz w:val="18"/>
        </w:rPr>
        <w:t>10</w:t>
      </w:r>
      <w:r w:rsidRPr="00E15313">
        <w:rPr>
          <w:rFonts w:ascii="Helvetica Neue" w:hAnsi="Helvetica Neue"/>
          <w:noProof/>
          <w:sz w:val="18"/>
        </w:rPr>
        <w:t>: 341–55.</w:t>
      </w:r>
    </w:p>
    <w:p w14:paraId="0A21069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78</w:t>
      </w:r>
      <w:r w:rsidRPr="00E15313">
        <w:rPr>
          <w:rFonts w:ascii="Helvetica Neue" w:hAnsi="Helvetica Neue"/>
          <w:noProof/>
          <w:sz w:val="18"/>
        </w:rPr>
        <w:tab/>
        <w:t xml:space="preserve">Chen MI, Ghani AC, Edmunds J. Mind the gap: the role of time between sex with two consecutive partners on the transmission dynamics of gonorrhea. </w:t>
      </w:r>
      <w:r w:rsidRPr="00E15313">
        <w:rPr>
          <w:rFonts w:ascii="Helvetica Neue" w:hAnsi="Helvetica Neue"/>
          <w:i/>
          <w:iCs/>
          <w:noProof/>
          <w:sz w:val="18"/>
        </w:rPr>
        <w:t>Sex Transm Dis</w:t>
      </w:r>
      <w:r w:rsidRPr="00E15313">
        <w:rPr>
          <w:rFonts w:ascii="Helvetica Neue" w:hAnsi="Helvetica Neue"/>
          <w:noProof/>
          <w:sz w:val="18"/>
        </w:rPr>
        <w:t xml:space="preserve"> 2008; </w:t>
      </w:r>
      <w:r w:rsidRPr="00E15313">
        <w:rPr>
          <w:rFonts w:ascii="Helvetica Neue" w:hAnsi="Helvetica Neue"/>
          <w:b/>
          <w:bCs/>
          <w:noProof/>
          <w:sz w:val="18"/>
        </w:rPr>
        <w:t>35</w:t>
      </w:r>
      <w:r w:rsidRPr="00E15313">
        <w:rPr>
          <w:rFonts w:ascii="Helvetica Neue" w:hAnsi="Helvetica Neue"/>
          <w:noProof/>
          <w:sz w:val="18"/>
        </w:rPr>
        <w:t>: 435–44.</w:t>
      </w:r>
    </w:p>
    <w:p w14:paraId="3005B5E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79</w:t>
      </w:r>
      <w:r w:rsidRPr="00E15313">
        <w:rPr>
          <w:rFonts w:ascii="Helvetica Neue" w:hAnsi="Helvetica Neue"/>
          <w:noProof/>
          <w:sz w:val="18"/>
        </w:rPr>
        <w:tab/>
        <w:t xml:space="preserve">Garnett GP, Swinton J, Brunham RC, Anderson RM. Gonococcal infection, infertility, and population growth: II. The influence of heterogeneity in sexual behaviour. </w:t>
      </w:r>
      <w:r w:rsidRPr="00E15313">
        <w:rPr>
          <w:rFonts w:ascii="Helvetica Neue" w:hAnsi="Helvetica Neue"/>
          <w:i/>
          <w:iCs/>
          <w:noProof/>
          <w:sz w:val="18"/>
        </w:rPr>
        <w:t>IMA J Math Appl Med Biol</w:t>
      </w:r>
      <w:r w:rsidRPr="00E15313">
        <w:rPr>
          <w:rFonts w:ascii="Helvetica Neue" w:hAnsi="Helvetica Neue"/>
          <w:noProof/>
          <w:sz w:val="18"/>
        </w:rPr>
        <w:t xml:space="preserve"> 1992; </w:t>
      </w:r>
      <w:r w:rsidRPr="00E15313">
        <w:rPr>
          <w:rFonts w:ascii="Helvetica Neue" w:hAnsi="Helvetica Neue"/>
          <w:b/>
          <w:bCs/>
          <w:noProof/>
          <w:sz w:val="18"/>
        </w:rPr>
        <w:t>9</w:t>
      </w:r>
      <w:r w:rsidRPr="00E15313">
        <w:rPr>
          <w:rFonts w:ascii="Helvetica Neue" w:hAnsi="Helvetica Neue"/>
          <w:noProof/>
          <w:sz w:val="18"/>
        </w:rPr>
        <w:t>: 127–44.</w:t>
      </w:r>
    </w:p>
    <w:p w14:paraId="6621295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80</w:t>
      </w:r>
      <w:r w:rsidRPr="00E15313">
        <w:rPr>
          <w:rFonts w:ascii="Helvetica Neue" w:hAnsi="Helvetica Neue"/>
          <w:noProof/>
          <w:sz w:val="18"/>
        </w:rPr>
        <w:tab/>
        <w:t xml:space="preserve">Ghani AC, Aral SO. Patterns of sex worker-client contacts and their implications for the persistence of sexually transmitted infections. </w:t>
      </w:r>
      <w:r w:rsidRPr="00E15313">
        <w:rPr>
          <w:rFonts w:ascii="Helvetica Neue" w:hAnsi="Helvetica Neue"/>
          <w:i/>
          <w:iCs/>
          <w:noProof/>
          <w:sz w:val="18"/>
        </w:rPr>
        <w:t>J Inf Dis</w:t>
      </w:r>
      <w:r w:rsidRPr="00E15313">
        <w:rPr>
          <w:rFonts w:ascii="Helvetica Neue" w:hAnsi="Helvetica Neue"/>
          <w:noProof/>
          <w:sz w:val="18"/>
        </w:rPr>
        <w:t xml:space="preserve"> 2005; </w:t>
      </w:r>
      <w:r w:rsidRPr="00E15313">
        <w:rPr>
          <w:rFonts w:ascii="Helvetica Neue" w:hAnsi="Helvetica Neue"/>
          <w:b/>
          <w:bCs/>
          <w:noProof/>
          <w:sz w:val="18"/>
        </w:rPr>
        <w:t>191</w:t>
      </w:r>
      <w:r w:rsidRPr="00E15313">
        <w:rPr>
          <w:rFonts w:ascii="Helvetica Neue" w:hAnsi="Helvetica Neue"/>
          <w:noProof/>
          <w:sz w:val="18"/>
        </w:rPr>
        <w:t>: S34–41.</w:t>
      </w:r>
    </w:p>
    <w:p w14:paraId="213C3CE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81</w:t>
      </w:r>
      <w:r w:rsidRPr="00E15313">
        <w:rPr>
          <w:rFonts w:ascii="Helvetica Neue" w:hAnsi="Helvetica Neue"/>
          <w:noProof/>
          <w:sz w:val="18"/>
        </w:rPr>
        <w:tab/>
        <w:t xml:space="preserve">Ghani AC, Swinton J, Garnett GP. The role of sexual partnership networks in the epidemiology of gonorrhea. </w:t>
      </w:r>
      <w:r w:rsidRPr="00E15313">
        <w:rPr>
          <w:rFonts w:ascii="Helvetica Neue" w:hAnsi="Helvetica Neue"/>
          <w:i/>
          <w:iCs/>
          <w:noProof/>
          <w:sz w:val="18"/>
        </w:rPr>
        <w:t>Sex Transm Dis</w:t>
      </w:r>
      <w:r w:rsidRPr="00E15313">
        <w:rPr>
          <w:rFonts w:ascii="Helvetica Neue" w:hAnsi="Helvetica Neue"/>
          <w:noProof/>
          <w:sz w:val="18"/>
        </w:rPr>
        <w:t xml:space="preserve"> 1997; </w:t>
      </w:r>
      <w:r w:rsidRPr="00E15313">
        <w:rPr>
          <w:rFonts w:ascii="Helvetica Neue" w:hAnsi="Helvetica Neue"/>
          <w:b/>
          <w:bCs/>
          <w:noProof/>
          <w:sz w:val="18"/>
        </w:rPr>
        <w:t>24</w:t>
      </w:r>
      <w:r w:rsidRPr="00E15313">
        <w:rPr>
          <w:rFonts w:ascii="Helvetica Neue" w:hAnsi="Helvetica Neue"/>
          <w:noProof/>
          <w:sz w:val="18"/>
        </w:rPr>
        <w:t>: 45–56.</w:t>
      </w:r>
    </w:p>
    <w:p w14:paraId="1EF8861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82</w:t>
      </w:r>
      <w:r w:rsidRPr="00E15313">
        <w:rPr>
          <w:rFonts w:ascii="Helvetica Neue" w:hAnsi="Helvetica Neue"/>
          <w:noProof/>
          <w:sz w:val="18"/>
        </w:rPr>
        <w:tab/>
        <w:t xml:space="preserve">Hazel A, Marino S, Simon C. An anthropologically based model of the impact of asymptomatic cases on the spread of Neisseria gonorrhoeae. </w:t>
      </w:r>
      <w:r w:rsidRPr="00E15313">
        <w:rPr>
          <w:rFonts w:ascii="Helvetica Neue" w:hAnsi="Helvetica Neue"/>
          <w:i/>
          <w:iCs/>
          <w:noProof/>
          <w:sz w:val="18"/>
        </w:rPr>
        <w:t>J R Soc Interface</w:t>
      </w:r>
      <w:r w:rsidRPr="00E15313">
        <w:rPr>
          <w:rFonts w:ascii="Helvetica Neue" w:hAnsi="Helvetica Neue"/>
          <w:noProof/>
          <w:sz w:val="18"/>
        </w:rPr>
        <w:t xml:space="preserve"> 2015; </w:t>
      </w:r>
      <w:r w:rsidRPr="00E15313">
        <w:rPr>
          <w:rFonts w:ascii="Helvetica Neue" w:hAnsi="Helvetica Neue"/>
          <w:b/>
          <w:bCs/>
          <w:noProof/>
          <w:sz w:val="18"/>
        </w:rPr>
        <w:t>12</w:t>
      </w:r>
      <w:r w:rsidRPr="00E15313">
        <w:rPr>
          <w:rFonts w:ascii="Helvetica Neue" w:hAnsi="Helvetica Neue"/>
          <w:noProof/>
          <w:sz w:val="18"/>
        </w:rPr>
        <w:t>: 20150067.</w:t>
      </w:r>
    </w:p>
    <w:p w14:paraId="3F3DE27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83</w:t>
      </w:r>
      <w:r w:rsidRPr="00E15313">
        <w:rPr>
          <w:rFonts w:ascii="Helvetica Neue" w:hAnsi="Helvetica Neue"/>
          <w:noProof/>
          <w:sz w:val="18"/>
        </w:rPr>
        <w:tab/>
        <w:t xml:space="preserve">Hui BB, Ryder N, Su J-Y, </w:t>
      </w:r>
      <w:r w:rsidRPr="00E15313">
        <w:rPr>
          <w:rFonts w:ascii="Helvetica Neue" w:hAnsi="Helvetica Neue"/>
          <w:i/>
          <w:iCs/>
          <w:noProof/>
          <w:sz w:val="18"/>
        </w:rPr>
        <w:t>et al.</w:t>
      </w:r>
      <w:r w:rsidRPr="00E15313">
        <w:rPr>
          <w:rFonts w:ascii="Helvetica Neue" w:hAnsi="Helvetica Neue"/>
          <w:noProof/>
          <w:sz w:val="18"/>
        </w:rPr>
        <w:t xml:space="preserve"> Exploring the benefits of molecular testing for gonorrhoea antibiotic resistance surveillance in remote settings. </w:t>
      </w:r>
      <w:r w:rsidRPr="00E15313">
        <w:rPr>
          <w:rFonts w:ascii="Helvetica Neue" w:hAnsi="Helvetica Neue"/>
          <w:i/>
          <w:iCs/>
          <w:noProof/>
          <w:sz w:val="18"/>
        </w:rPr>
        <w:t>PLoS One</w:t>
      </w:r>
      <w:r w:rsidRPr="00E15313">
        <w:rPr>
          <w:rFonts w:ascii="Helvetica Neue" w:hAnsi="Helvetica Neue"/>
          <w:noProof/>
          <w:sz w:val="18"/>
        </w:rPr>
        <w:t xml:space="preserve"> 2015; </w:t>
      </w:r>
      <w:r w:rsidRPr="00E15313">
        <w:rPr>
          <w:rFonts w:ascii="Helvetica Neue" w:hAnsi="Helvetica Neue"/>
          <w:b/>
          <w:bCs/>
          <w:noProof/>
          <w:sz w:val="18"/>
        </w:rPr>
        <w:t>10</w:t>
      </w:r>
      <w:r w:rsidRPr="00E15313">
        <w:rPr>
          <w:rFonts w:ascii="Helvetica Neue" w:hAnsi="Helvetica Neue"/>
          <w:noProof/>
          <w:sz w:val="18"/>
        </w:rPr>
        <w:t>: e0133202.</w:t>
      </w:r>
    </w:p>
    <w:p w14:paraId="442610E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84</w:t>
      </w:r>
      <w:r w:rsidRPr="00E15313">
        <w:rPr>
          <w:rFonts w:ascii="Helvetica Neue" w:hAnsi="Helvetica Neue"/>
          <w:noProof/>
          <w:sz w:val="18"/>
        </w:rPr>
        <w:tab/>
        <w:t xml:space="preserve">McCluskey CC, Roth E, van den Driessche P. Implication of Ariaal sexual mixing on gonorrhea. </w:t>
      </w:r>
      <w:r w:rsidRPr="00E15313">
        <w:rPr>
          <w:rFonts w:ascii="Helvetica Neue" w:hAnsi="Helvetica Neue"/>
          <w:i/>
          <w:iCs/>
          <w:noProof/>
          <w:sz w:val="18"/>
        </w:rPr>
        <w:t>Am J Hum Biol</w:t>
      </w:r>
      <w:r w:rsidRPr="00E15313">
        <w:rPr>
          <w:rFonts w:ascii="Helvetica Neue" w:hAnsi="Helvetica Neue"/>
          <w:noProof/>
          <w:sz w:val="18"/>
        </w:rPr>
        <w:t xml:space="preserve"> 2005; </w:t>
      </w:r>
      <w:r w:rsidRPr="00E15313">
        <w:rPr>
          <w:rFonts w:ascii="Helvetica Neue" w:hAnsi="Helvetica Neue"/>
          <w:b/>
          <w:bCs/>
          <w:noProof/>
          <w:sz w:val="18"/>
        </w:rPr>
        <w:t>17</w:t>
      </w:r>
      <w:r w:rsidRPr="00E15313">
        <w:rPr>
          <w:rFonts w:ascii="Helvetica Neue" w:hAnsi="Helvetica Neue"/>
          <w:noProof/>
          <w:sz w:val="18"/>
        </w:rPr>
        <w:t>: 293–301.</w:t>
      </w:r>
    </w:p>
    <w:p w14:paraId="03642D3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85</w:t>
      </w:r>
      <w:r w:rsidRPr="00E15313">
        <w:rPr>
          <w:rFonts w:ascii="Helvetica Neue" w:hAnsi="Helvetica Neue"/>
          <w:noProof/>
          <w:sz w:val="18"/>
        </w:rPr>
        <w:tab/>
        <w:t xml:space="preserve">Turner KME, Garnett GP, Ghani AC, Sterne JAC, Low N. Investigating ethnic inequalities in the incidence of sexually transmitted infections: mathematical modelling study. </w:t>
      </w:r>
      <w:r w:rsidRPr="00E15313">
        <w:rPr>
          <w:rFonts w:ascii="Helvetica Neue" w:hAnsi="Helvetica Neue"/>
          <w:i/>
          <w:iCs/>
          <w:noProof/>
          <w:sz w:val="18"/>
        </w:rPr>
        <w:t>Sex Transm Infect</w:t>
      </w:r>
      <w:r w:rsidRPr="00E15313">
        <w:rPr>
          <w:rFonts w:ascii="Helvetica Neue" w:hAnsi="Helvetica Neue"/>
          <w:noProof/>
          <w:sz w:val="18"/>
        </w:rPr>
        <w:t xml:space="preserve"> 2004; </w:t>
      </w:r>
      <w:r w:rsidRPr="00E15313">
        <w:rPr>
          <w:rFonts w:ascii="Helvetica Neue" w:hAnsi="Helvetica Neue"/>
          <w:b/>
          <w:bCs/>
          <w:noProof/>
          <w:sz w:val="18"/>
        </w:rPr>
        <w:t>80</w:t>
      </w:r>
      <w:r w:rsidRPr="00E15313">
        <w:rPr>
          <w:rFonts w:ascii="Helvetica Neue" w:hAnsi="Helvetica Neue"/>
          <w:noProof/>
          <w:sz w:val="18"/>
        </w:rPr>
        <w:t>: 379–85.</w:t>
      </w:r>
    </w:p>
    <w:p w14:paraId="3526632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86</w:t>
      </w:r>
      <w:r w:rsidRPr="00E15313">
        <w:rPr>
          <w:rFonts w:ascii="Helvetica Neue" w:hAnsi="Helvetica Neue"/>
          <w:noProof/>
          <w:sz w:val="18"/>
        </w:rPr>
        <w:tab/>
        <w:t xml:space="preserve">Edwards R, Kim S, van den Driessche P. A multigroup model for a heterosexually transmitted disease. </w:t>
      </w:r>
      <w:r w:rsidRPr="00E15313">
        <w:rPr>
          <w:rFonts w:ascii="Helvetica Neue" w:hAnsi="Helvetica Neue"/>
          <w:i/>
          <w:iCs/>
          <w:noProof/>
          <w:sz w:val="18"/>
        </w:rPr>
        <w:t>Math Biosci</w:t>
      </w:r>
      <w:r w:rsidRPr="00E15313">
        <w:rPr>
          <w:rFonts w:ascii="Helvetica Neue" w:hAnsi="Helvetica Neue"/>
          <w:noProof/>
          <w:sz w:val="18"/>
        </w:rPr>
        <w:t xml:space="preserve"> 2010; </w:t>
      </w:r>
      <w:r w:rsidRPr="00E15313">
        <w:rPr>
          <w:rFonts w:ascii="Helvetica Neue" w:hAnsi="Helvetica Neue"/>
          <w:b/>
          <w:bCs/>
          <w:noProof/>
          <w:sz w:val="18"/>
        </w:rPr>
        <w:t>224</w:t>
      </w:r>
      <w:r w:rsidRPr="00E15313">
        <w:rPr>
          <w:rFonts w:ascii="Helvetica Neue" w:hAnsi="Helvetica Neue"/>
          <w:noProof/>
          <w:sz w:val="18"/>
        </w:rPr>
        <w:t>: 87–94.</w:t>
      </w:r>
    </w:p>
    <w:p w14:paraId="1CB6AB6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87</w:t>
      </w:r>
      <w:r w:rsidRPr="00E15313">
        <w:rPr>
          <w:rFonts w:ascii="Helvetica Neue" w:hAnsi="Helvetica Neue"/>
          <w:noProof/>
          <w:sz w:val="18"/>
        </w:rPr>
        <w:tab/>
        <w:t xml:space="preserve">Craig AP, Gray RT, Edwards JL, </w:t>
      </w:r>
      <w:r w:rsidRPr="00E15313">
        <w:rPr>
          <w:rFonts w:ascii="Helvetica Neue" w:hAnsi="Helvetica Neue"/>
          <w:i/>
          <w:iCs/>
          <w:noProof/>
          <w:sz w:val="18"/>
        </w:rPr>
        <w:t>et al.</w:t>
      </w:r>
      <w:r w:rsidRPr="00E15313">
        <w:rPr>
          <w:rFonts w:ascii="Helvetica Neue" w:hAnsi="Helvetica Neue"/>
          <w:noProof/>
          <w:sz w:val="18"/>
        </w:rPr>
        <w:t xml:space="preserve"> The potential impact of vaccination on the prevalence of gonorrhea. </w:t>
      </w:r>
      <w:r w:rsidRPr="00E15313">
        <w:rPr>
          <w:rFonts w:ascii="Helvetica Neue" w:hAnsi="Helvetica Neue"/>
          <w:i/>
          <w:iCs/>
          <w:noProof/>
          <w:sz w:val="18"/>
        </w:rPr>
        <w:t>Vaccine</w:t>
      </w:r>
      <w:r w:rsidRPr="00E15313">
        <w:rPr>
          <w:rFonts w:ascii="Helvetica Neue" w:hAnsi="Helvetica Neue"/>
          <w:noProof/>
          <w:sz w:val="18"/>
        </w:rPr>
        <w:t xml:space="preserve"> 2015; </w:t>
      </w:r>
      <w:r w:rsidRPr="00E15313">
        <w:rPr>
          <w:rFonts w:ascii="Helvetica Neue" w:hAnsi="Helvetica Neue"/>
          <w:b/>
          <w:bCs/>
          <w:noProof/>
          <w:sz w:val="18"/>
        </w:rPr>
        <w:t>33</w:t>
      </w:r>
      <w:r w:rsidRPr="00E15313">
        <w:rPr>
          <w:rFonts w:ascii="Helvetica Neue" w:hAnsi="Helvetica Neue"/>
          <w:noProof/>
          <w:sz w:val="18"/>
        </w:rPr>
        <w:t>: 4520–5.</w:t>
      </w:r>
    </w:p>
    <w:p w14:paraId="26DA7F4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88</w:t>
      </w:r>
      <w:r w:rsidRPr="00E15313">
        <w:rPr>
          <w:rFonts w:ascii="Helvetica Neue" w:hAnsi="Helvetica Neue"/>
          <w:noProof/>
          <w:sz w:val="18"/>
        </w:rPr>
        <w:tab/>
        <w:t xml:space="preserve">Althouse BM, Hébert-Dufresne L. Epidemic cycles driven by host behaviour. </w:t>
      </w:r>
      <w:r w:rsidRPr="00E15313">
        <w:rPr>
          <w:rFonts w:ascii="Helvetica Neue" w:hAnsi="Helvetica Neue"/>
          <w:i/>
          <w:iCs/>
          <w:noProof/>
          <w:sz w:val="18"/>
        </w:rPr>
        <w:t>J R Stat Soc Ser B Stat Methodol</w:t>
      </w:r>
      <w:r w:rsidRPr="00E15313">
        <w:rPr>
          <w:rFonts w:ascii="Helvetica Neue" w:hAnsi="Helvetica Neue"/>
          <w:noProof/>
          <w:sz w:val="18"/>
        </w:rPr>
        <w:t xml:space="preserve"> 2014; </w:t>
      </w:r>
      <w:r w:rsidRPr="00E15313">
        <w:rPr>
          <w:rFonts w:ascii="Helvetica Neue" w:hAnsi="Helvetica Neue"/>
          <w:b/>
          <w:bCs/>
          <w:noProof/>
          <w:sz w:val="18"/>
        </w:rPr>
        <w:t>11</w:t>
      </w:r>
      <w:r w:rsidRPr="00E15313">
        <w:rPr>
          <w:rFonts w:ascii="Helvetica Neue" w:hAnsi="Helvetica Neue"/>
          <w:noProof/>
          <w:sz w:val="18"/>
        </w:rPr>
        <w:t>: 20140575.</w:t>
      </w:r>
    </w:p>
    <w:p w14:paraId="2750F5F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89</w:t>
      </w:r>
      <w:r w:rsidRPr="00E15313">
        <w:rPr>
          <w:rFonts w:ascii="Helvetica Neue" w:hAnsi="Helvetica Neue"/>
          <w:noProof/>
          <w:sz w:val="18"/>
        </w:rPr>
        <w:tab/>
        <w:t xml:space="preserve">Boily MC, Anderson RM. Human immunodeficiency virus transmission and the role of other sexually transmitted diseases. Measures of association and study design. </w:t>
      </w:r>
      <w:r w:rsidRPr="00E15313">
        <w:rPr>
          <w:rFonts w:ascii="Helvetica Neue" w:hAnsi="Helvetica Neue"/>
          <w:i/>
          <w:iCs/>
          <w:noProof/>
          <w:sz w:val="18"/>
        </w:rPr>
        <w:t>Sex Transm Dis</w:t>
      </w:r>
      <w:r w:rsidRPr="00E15313">
        <w:rPr>
          <w:rFonts w:ascii="Helvetica Neue" w:hAnsi="Helvetica Neue"/>
          <w:noProof/>
          <w:sz w:val="18"/>
        </w:rPr>
        <w:t xml:space="preserve"> 1996; </w:t>
      </w:r>
      <w:r w:rsidRPr="00E15313">
        <w:rPr>
          <w:rFonts w:ascii="Helvetica Neue" w:hAnsi="Helvetica Neue"/>
          <w:b/>
          <w:bCs/>
          <w:noProof/>
          <w:sz w:val="18"/>
        </w:rPr>
        <w:t>23</w:t>
      </w:r>
      <w:r w:rsidRPr="00E15313">
        <w:rPr>
          <w:rFonts w:ascii="Helvetica Neue" w:hAnsi="Helvetica Neue"/>
          <w:noProof/>
          <w:sz w:val="18"/>
        </w:rPr>
        <w:t>: 312–32.</w:t>
      </w:r>
    </w:p>
    <w:p w14:paraId="67F81F2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90</w:t>
      </w:r>
      <w:r w:rsidRPr="00E15313">
        <w:rPr>
          <w:rFonts w:ascii="Helvetica Neue" w:hAnsi="Helvetica Neue"/>
          <w:noProof/>
          <w:sz w:val="18"/>
        </w:rPr>
        <w:tab/>
        <w:t xml:space="preserve">Garnett GP, Mertz KJ, Finelli L, Levine WC, St Louis ME. The transmission dynamics of gonorrhoea: modelling the reported behaviour of infected patients from Newark, New Jersey. </w:t>
      </w:r>
      <w:r w:rsidRPr="00E15313">
        <w:rPr>
          <w:rFonts w:ascii="Helvetica Neue" w:hAnsi="Helvetica Neue"/>
          <w:i/>
          <w:iCs/>
          <w:noProof/>
          <w:sz w:val="18"/>
        </w:rPr>
        <w:t>Philos Trans R Soc L B Biol Sci</w:t>
      </w:r>
      <w:r w:rsidRPr="00E15313">
        <w:rPr>
          <w:rFonts w:ascii="Helvetica Neue" w:hAnsi="Helvetica Neue"/>
          <w:noProof/>
          <w:sz w:val="18"/>
        </w:rPr>
        <w:t xml:space="preserve"> 1999; </w:t>
      </w:r>
      <w:r w:rsidRPr="00E15313">
        <w:rPr>
          <w:rFonts w:ascii="Helvetica Neue" w:hAnsi="Helvetica Neue"/>
          <w:b/>
          <w:bCs/>
          <w:noProof/>
          <w:sz w:val="18"/>
        </w:rPr>
        <w:t>354</w:t>
      </w:r>
      <w:r w:rsidRPr="00E15313">
        <w:rPr>
          <w:rFonts w:ascii="Helvetica Neue" w:hAnsi="Helvetica Neue"/>
          <w:noProof/>
          <w:sz w:val="18"/>
        </w:rPr>
        <w:t>: 787–97.</w:t>
      </w:r>
    </w:p>
    <w:p w14:paraId="34CF0324"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91</w:t>
      </w:r>
      <w:r w:rsidRPr="00E15313">
        <w:rPr>
          <w:rFonts w:ascii="Helvetica Neue" w:hAnsi="Helvetica Neue"/>
          <w:noProof/>
          <w:sz w:val="18"/>
        </w:rPr>
        <w:tab/>
        <w:t xml:space="preserve">Xiridou M, Soetens LC, Koedijk FDH, VAN DER Sande MAB, Wallinga J. Public health measures to control the spread of antimicrobial resistance in Neisseria gonorrhoeae in men who have sex with men. </w:t>
      </w:r>
      <w:r w:rsidRPr="00E15313">
        <w:rPr>
          <w:rFonts w:ascii="Helvetica Neue" w:hAnsi="Helvetica Neue"/>
          <w:i/>
          <w:iCs/>
          <w:noProof/>
          <w:sz w:val="18"/>
        </w:rPr>
        <w:t>Epidemiol Infect</w:t>
      </w:r>
      <w:r w:rsidRPr="00E15313">
        <w:rPr>
          <w:rFonts w:ascii="Helvetica Neue" w:hAnsi="Helvetica Neue"/>
          <w:noProof/>
          <w:sz w:val="18"/>
        </w:rPr>
        <w:t xml:space="preserve"> 2015; </w:t>
      </w:r>
      <w:r w:rsidRPr="00E15313">
        <w:rPr>
          <w:rFonts w:ascii="Helvetica Neue" w:hAnsi="Helvetica Neue"/>
          <w:b/>
          <w:bCs/>
          <w:noProof/>
          <w:sz w:val="18"/>
        </w:rPr>
        <w:t>143</w:t>
      </w:r>
      <w:r w:rsidRPr="00E15313">
        <w:rPr>
          <w:rFonts w:ascii="Helvetica Neue" w:hAnsi="Helvetica Neue"/>
          <w:noProof/>
          <w:sz w:val="18"/>
        </w:rPr>
        <w:t>: 1575–84.</w:t>
      </w:r>
    </w:p>
    <w:p w14:paraId="04B840D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92</w:t>
      </w:r>
      <w:r w:rsidRPr="00E15313">
        <w:rPr>
          <w:rFonts w:ascii="Helvetica Neue" w:hAnsi="Helvetica Neue"/>
          <w:noProof/>
          <w:sz w:val="18"/>
        </w:rPr>
        <w:tab/>
        <w:t xml:space="preserve">Morin BR, Medina-Rios L, Camacho ET, Castillo-Chavez C. Static behavioral effects on gonorrhea transmission dynamics in a MSM population. </w:t>
      </w:r>
      <w:r w:rsidRPr="00E15313">
        <w:rPr>
          <w:rFonts w:ascii="Helvetica Neue" w:hAnsi="Helvetica Neue"/>
          <w:i/>
          <w:iCs/>
          <w:noProof/>
          <w:sz w:val="18"/>
        </w:rPr>
        <w:t>J Theor Biol</w:t>
      </w:r>
      <w:r w:rsidRPr="00E15313">
        <w:rPr>
          <w:rFonts w:ascii="Helvetica Neue" w:hAnsi="Helvetica Neue"/>
          <w:noProof/>
          <w:sz w:val="18"/>
        </w:rPr>
        <w:t xml:space="preserve"> 2010; </w:t>
      </w:r>
      <w:r w:rsidRPr="00E15313">
        <w:rPr>
          <w:rFonts w:ascii="Helvetica Neue" w:hAnsi="Helvetica Neue"/>
          <w:b/>
          <w:bCs/>
          <w:noProof/>
          <w:sz w:val="18"/>
        </w:rPr>
        <w:t>267</w:t>
      </w:r>
      <w:r w:rsidRPr="00E15313">
        <w:rPr>
          <w:rFonts w:ascii="Helvetica Neue" w:hAnsi="Helvetica Neue"/>
          <w:noProof/>
          <w:sz w:val="18"/>
        </w:rPr>
        <w:t>: 35–40.</w:t>
      </w:r>
    </w:p>
    <w:p w14:paraId="2B9D2E6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93</w:t>
      </w:r>
      <w:r w:rsidRPr="00E15313">
        <w:rPr>
          <w:rFonts w:ascii="Helvetica Neue" w:hAnsi="Helvetica Neue"/>
          <w:noProof/>
          <w:sz w:val="18"/>
        </w:rPr>
        <w:tab/>
        <w:t xml:space="preserve">Xiridou M, Lugnér A, de Vries HJC, </w:t>
      </w:r>
      <w:r w:rsidRPr="00E15313">
        <w:rPr>
          <w:rFonts w:ascii="Helvetica Neue" w:hAnsi="Helvetica Neue"/>
          <w:i/>
          <w:iCs/>
          <w:noProof/>
          <w:sz w:val="18"/>
        </w:rPr>
        <w:t>et al.</w:t>
      </w:r>
      <w:r w:rsidRPr="00E15313">
        <w:rPr>
          <w:rFonts w:ascii="Helvetica Neue" w:hAnsi="Helvetica Neue"/>
          <w:noProof/>
          <w:sz w:val="18"/>
        </w:rPr>
        <w:t xml:space="preserve"> Cost-effectiveness of dual antimicrobial therapy for gonococcal infections among men who have sex with men in the Netherlands.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542–8.</w:t>
      </w:r>
    </w:p>
    <w:p w14:paraId="4809461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94</w:t>
      </w:r>
      <w:r w:rsidRPr="00E15313">
        <w:rPr>
          <w:rFonts w:ascii="Helvetica Neue" w:hAnsi="Helvetica Neue"/>
          <w:noProof/>
          <w:sz w:val="18"/>
        </w:rPr>
        <w:tab/>
        <w:t xml:space="preserve">Hui B, Fairley CK, Chen M, </w:t>
      </w:r>
      <w:r w:rsidRPr="00E15313">
        <w:rPr>
          <w:rFonts w:ascii="Helvetica Neue" w:hAnsi="Helvetica Neue"/>
          <w:i/>
          <w:iCs/>
          <w:noProof/>
          <w:sz w:val="18"/>
        </w:rPr>
        <w:t>et al.</w:t>
      </w:r>
      <w:r w:rsidRPr="00E15313">
        <w:rPr>
          <w:rFonts w:ascii="Helvetica Neue" w:hAnsi="Helvetica Neue"/>
          <w:noProof/>
          <w:sz w:val="18"/>
        </w:rPr>
        <w:t xml:space="preserve"> Oral and anal sex are key to sustaining gonorrhoea at endemic levels in MSM populations: a mathematical model. </w:t>
      </w:r>
      <w:r w:rsidRPr="00E15313">
        <w:rPr>
          <w:rFonts w:ascii="Helvetica Neue" w:hAnsi="Helvetica Neue"/>
          <w:i/>
          <w:iCs/>
          <w:noProof/>
          <w:sz w:val="18"/>
        </w:rPr>
        <w:t>Sex Transm Infect</w:t>
      </w:r>
      <w:r w:rsidRPr="00E15313">
        <w:rPr>
          <w:rFonts w:ascii="Helvetica Neue" w:hAnsi="Helvetica Neue"/>
          <w:noProof/>
          <w:sz w:val="18"/>
        </w:rPr>
        <w:t xml:space="preserve"> 2015; </w:t>
      </w:r>
      <w:r w:rsidRPr="00E15313">
        <w:rPr>
          <w:rFonts w:ascii="Helvetica Neue" w:hAnsi="Helvetica Neue"/>
          <w:b/>
          <w:bCs/>
          <w:noProof/>
          <w:sz w:val="18"/>
        </w:rPr>
        <w:t>91</w:t>
      </w:r>
      <w:r w:rsidRPr="00E15313">
        <w:rPr>
          <w:rFonts w:ascii="Helvetica Neue" w:hAnsi="Helvetica Neue"/>
          <w:noProof/>
          <w:sz w:val="18"/>
        </w:rPr>
        <w:t>: 365–9.</w:t>
      </w:r>
    </w:p>
    <w:p w14:paraId="26D3783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95</w:t>
      </w:r>
      <w:r w:rsidRPr="00E15313">
        <w:rPr>
          <w:rFonts w:ascii="Helvetica Neue" w:hAnsi="Helvetica Neue"/>
          <w:noProof/>
          <w:sz w:val="18"/>
        </w:rPr>
        <w:tab/>
        <w:t xml:space="preserve">Farley TA, Cohen DA, Elkins W. Asymptomatic sexually transmitted diseases: The case for screening. </w:t>
      </w:r>
      <w:r w:rsidRPr="00E15313">
        <w:rPr>
          <w:rFonts w:ascii="Helvetica Neue" w:hAnsi="Helvetica Neue"/>
          <w:i/>
          <w:iCs/>
          <w:noProof/>
          <w:sz w:val="18"/>
        </w:rPr>
        <w:t>Prev Med (Baltim)</w:t>
      </w:r>
      <w:r w:rsidRPr="00E15313">
        <w:rPr>
          <w:rFonts w:ascii="Helvetica Neue" w:hAnsi="Helvetica Neue"/>
          <w:noProof/>
          <w:sz w:val="18"/>
        </w:rPr>
        <w:t xml:space="preserve"> 2003; </w:t>
      </w:r>
      <w:r w:rsidRPr="00E15313">
        <w:rPr>
          <w:rFonts w:ascii="Helvetica Neue" w:hAnsi="Helvetica Neue"/>
          <w:b/>
          <w:bCs/>
          <w:noProof/>
          <w:sz w:val="18"/>
        </w:rPr>
        <w:t>36</w:t>
      </w:r>
      <w:r w:rsidRPr="00E15313">
        <w:rPr>
          <w:rFonts w:ascii="Helvetica Neue" w:hAnsi="Helvetica Neue"/>
          <w:noProof/>
          <w:sz w:val="18"/>
        </w:rPr>
        <w:t>: 502–9.</w:t>
      </w:r>
    </w:p>
    <w:p w14:paraId="19B799D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96</w:t>
      </w:r>
      <w:r w:rsidRPr="00E15313">
        <w:rPr>
          <w:rFonts w:ascii="Helvetica Neue" w:hAnsi="Helvetica Neue"/>
          <w:noProof/>
          <w:sz w:val="18"/>
        </w:rPr>
        <w:tab/>
        <w:t xml:space="preserve">Kent CK, Chaw JK, Wong W, </w:t>
      </w:r>
      <w:r w:rsidRPr="00E15313">
        <w:rPr>
          <w:rFonts w:ascii="Helvetica Neue" w:hAnsi="Helvetica Neue"/>
          <w:i/>
          <w:iCs/>
          <w:noProof/>
          <w:sz w:val="18"/>
        </w:rPr>
        <w:t>et al.</w:t>
      </w:r>
      <w:r w:rsidRPr="00E15313">
        <w:rPr>
          <w:rFonts w:ascii="Helvetica Neue" w:hAnsi="Helvetica Neue"/>
          <w:noProof/>
          <w:sz w:val="18"/>
        </w:rPr>
        <w:t xml:space="preserve"> Prevalence of rectal, urethral, and pharyngeal chlamydia and gonorrhea detected in 2 clinical settings among men who have sex with men: San Francisco, California, 2003. </w:t>
      </w:r>
      <w:r w:rsidRPr="00E15313">
        <w:rPr>
          <w:rFonts w:ascii="Helvetica Neue" w:hAnsi="Helvetica Neue"/>
          <w:i/>
          <w:iCs/>
          <w:noProof/>
          <w:sz w:val="18"/>
        </w:rPr>
        <w:t>Clin Infect Dis</w:t>
      </w:r>
      <w:r w:rsidRPr="00E15313">
        <w:rPr>
          <w:rFonts w:ascii="Helvetica Neue" w:hAnsi="Helvetica Neue"/>
          <w:noProof/>
          <w:sz w:val="18"/>
        </w:rPr>
        <w:t xml:space="preserve"> 2005; </w:t>
      </w:r>
      <w:r w:rsidRPr="00E15313">
        <w:rPr>
          <w:rFonts w:ascii="Helvetica Neue" w:hAnsi="Helvetica Neue"/>
          <w:b/>
          <w:bCs/>
          <w:noProof/>
          <w:sz w:val="18"/>
        </w:rPr>
        <w:t>41</w:t>
      </w:r>
      <w:r w:rsidRPr="00E15313">
        <w:rPr>
          <w:rFonts w:ascii="Helvetica Neue" w:hAnsi="Helvetica Neue"/>
          <w:noProof/>
          <w:sz w:val="18"/>
        </w:rPr>
        <w:t>: 67–74.</w:t>
      </w:r>
    </w:p>
    <w:p w14:paraId="3396A2D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97</w:t>
      </w:r>
      <w:r w:rsidRPr="00E15313">
        <w:rPr>
          <w:rFonts w:ascii="Helvetica Neue" w:hAnsi="Helvetica Neue"/>
          <w:noProof/>
          <w:sz w:val="18"/>
        </w:rPr>
        <w:tab/>
        <w:t xml:space="preserve">Gift TL, Kissinger P, Mohammed H, Leichliter JS, Hogben M, Golden MR. The cost and cost-effectiveness of expedited partner therapy compared with standard partner referral for the treatment of chlamydia or gonorrhea. </w:t>
      </w:r>
      <w:r w:rsidRPr="00E15313">
        <w:rPr>
          <w:rFonts w:ascii="Helvetica Neue" w:hAnsi="Helvetica Neue"/>
          <w:i/>
          <w:iCs/>
          <w:noProof/>
          <w:sz w:val="18"/>
        </w:rPr>
        <w:t>Sex Transm Dis</w:t>
      </w:r>
      <w:r w:rsidRPr="00E15313">
        <w:rPr>
          <w:rFonts w:ascii="Helvetica Neue" w:hAnsi="Helvetica Neue"/>
          <w:noProof/>
          <w:sz w:val="18"/>
        </w:rPr>
        <w:t xml:space="preserve"> 2011; </w:t>
      </w:r>
      <w:r w:rsidRPr="00E15313">
        <w:rPr>
          <w:rFonts w:ascii="Helvetica Neue" w:hAnsi="Helvetica Neue"/>
          <w:b/>
          <w:bCs/>
          <w:noProof/>
          <w:sz w:val="18"/>
        </w:rPr>
        <w:t>38</w:t>
      </w:r>
      <w:r w:rsidRPr="00E15313">
        <w:rPr>
          <w:rFonts w:ascii="Helvetica Neue" w:hAnsi="Helvetica Neue"/>
          <w:noProof/>
          <w:sz w:val="18"/>
        </w:rPr>
        <w:t>: 1067–73.</w:t>
      </w:r>
    </w:p>
    <w:p w14:paraId="34F270C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98</w:t>
      </w:r>
      <w:r w:rsidRPr="00E15313">
        <w:rPr>
          <w:rFonts w:ascii="Helvetica Neue" w:hAnsi="Helvetica Neue"/>
          <w:noProof/>
          <w:sz w:val="18"/>
        </w:rPr>
        <w:tab/>
        <w:t xml:space="preserve">Tuite AR, Jayaraman GC, Allen VG, Fisman DN. Estimation of the burden of disease and costs of genital Chlamydia trachomatis infection in Canada. </w:t>
      </w:r>
      <w:r w:rsidRPr="00E15313">
        <w:rPr>
          <w:rFonts w:ascii="Helvetica Neue" w:hAnsi="Helvetica Neue"/>
          <w:i/>
          <w:iCs/>
          <w:noProof/>
          <w:sz w:val="18"/>
        </w:rPr>
        <w:t>Sex Transm Dis</w:t>
      </w:r>
      <w:r w:rsidRPr="00E15313">
        <w:rPr>
          <w:rFonts w:ascii="Helvetica Neue" w:hAnsi="Helvetica Neue"/>
          <w:noProof/>
          <w:sz w:val="18"/>
        </w:rPr>
        <w:t xml:space="preserve"> 2012; </w:t>
      </w:r>
      <w:r w:rsidRPr="00E15313">
        <w:rPr>
          <w:rFonts w:ascii="Helvetica Neue" w:hAnsi="Helvetica Neue"/>
          <w:b/>
          <w:bCs/>
          <w:noProof/>
          <w:sz w:val="18"/>
        </w:rPr>
        <w:t>39</w:t>
      </w:r>
      <w:r w:rsidRPr="00E15313">
        <w:rPr>
          <w:rFonts w:ascii="Helvetica Neue" w:hAnsi="Helvetica Neue"/>
          <w:noProof/>
          <w:sz w:val="18"/>
        </w:rPr>
        <w:t>: 260–7.</w:t>
      </w:r>
    </w:p>
    <w:p w14:paraId="53DDEF4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99</w:t>
      </w:r>
      <w:r w:rsidRPr="00E15313">
        <w:rPr>
          <w:rFonts w:ascii="Helvetica Neue" w:hAnsi="Helvetica Neue"/>
          <w:noProof/>
          <w:sz w:val="18"/>
        </w:rPr>
        <w:tab/>
        <w:t xml:space="preserve">White PJ, Ward H, Cassell JA, Mercer CH, Garnett GP. Vicious and virtuous circles in the dynamics of infectious disease and the provision of health care: gonorrhea in Britain as an example. </w:t>
      </w:r>
      <w:r w:rsidRPr="00E15313">
        <w:rPr>
          <w:rFonts w:ascii="Helvetica Neue" w:hAnsi="Helvetica Neue"/>
          <w:i/>
          <w:iCs/>
          <w:noProof/>
          <w:sz w:val="18"/>
        </w:rPr>
        <w:t>J Inf Dis</w:t>
      </w:r>
      <w:r w:rsidRPr="00E15313">
        <w:rPr>
          <w:rFonts w:ascii="Helvetica Neue" w:hAnsi="Helvetica Neue"/>
          <w:noProof/>
          <w:sz w:val="18"/>
        </w:rPr>
        <w:t xml:space="preserve"> 2005; </w:t>
      </w:r>
      <w:r w:rsidRPr="00E15313">
        <w:rPr>
          <w:rFonts w:ascii="Helvetica Neue" w:hAnsi="Helvetica Neue"/>
          <w:b/>
          <w:bCs/>
          <w:noProof/>
          <w:sz w:val="18"/>
        </w:rPr>
        <w:t>192</w:t>
      </w:r>
      <w:r w:rsidRPr="00E15313">
        <w:rPr>
          <w:rFonts w:ascii="Helvetica Neue" w:hAnsi="Helvetica Neue"/>
          <w:noProof/>
          <w:sz w:val="18"/>
        </w:rPr>
        <w:t>: 824–36.</w:t>
      </w:r>
    </w:p>
    <w:p w14:paraId="0431D80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100</w:t>
      </w:r>
      <w:r w:rsidRPr="00E15313">
        <w:rPr>
          <w:rFonts w:ascii="Helvetica Neue" w:hAnsi="Helvetica Neue"/>
          <w:noProof/>
          <w:sz w:val="18"/>
        </w:rPr>
        <w:tab/>
        <w:t xml:space="preserve">Vickerman P, Ndowa F, O’Farrell N, Steen R, Alary M, Delany-Moretlwe S. Using mathematical modelling to estimate the impact of periodic presumptive treatment on the transmission of sexually transmitted infections and HIV among female sex workers. </w:t>
      </w:r>
      <w:r w:rsidRPr="00E15313">
        <w:rPr>
          <w:rFonts w:ascii="Helvetica Neue" w:hAnsi="Helvetica Neue"/>
          <w:i/>
          <w:iCs/>
          <w:noProof/>
          <w:sz w:val="18"/>
        </w:rPr>
        <w:t>Sex Transm Infect</w:t>
      </w:r>
      <w:r w:rsidRPr="00E15313">
        <w:rPr>
          <w:rFonts w:ascii="Helvetica Neue" w:hAnsi="Helvetica Neue"/>
          <w:noProof/>
          <w:sz w:val="18"/>
        </w:rPr>
        <w:t xml:space="preserve"> 2010; </w:t>
      </w:r>
      <w:r w:rsidRPr="00E15313">
        <w:rPr>
          <w:rFonts w:ascii="Helvetica Neue" w:hAnsi="Helvetica Neue"/>
          <w:b/>
          <w:bCs/>
          <w:noProof/>
          <w:sz w:val="18"/>
        </w:rPr>
        <w:t>86</w:t>
      </w:r>
      <w:r w:rsidRPr="00E15313">
        <w:rPr>
          <w:rFonts w:ascii="Helvetica Neue" w:hAnsi="Helvetica Neue"/>
          <w:noProof/>
          <w:sz w:val="18"/>
        </w:rPr>
        <w:t>: 163–8.</w:t>
      </w:r>
    </w:p>
    <w:p w14:paraId="07395ED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101</w:t>
      </w:r>
      <w:r w:rsidRPr="00E15313">
        <w:rPr>
          <w:rFonts w:ascii="Helvetica Neue" w:hAnsi="Helvetica Neue"/>
          <w:noProof/>
          <w:sz w:val="18"/>
        </w:rPr>
        <w:tab/>
        <w:t xml:space="preserve">Brunham RC, Pourbohloul B, Mak S, White R, Rekart ML. The unexpected impact of a Chlamydia trachomatis infection control program on susceptibility to reinfection. </w:t>
      </w:r>
      <w:r w:rsidRPr="00E15313">
        <w:rPr>
          <w:rFonts w:ascii="Helvetica Neue" w:hAnsi="Helvetica Neue"/>
          <w:i/>
          <w:iCs/>
          <w:noProof/>
          <w:sz w:val="18"/>
        </w:rPr>
        <w:t>J Inf Dis</w:t>
      </w:r>
      <w:r w:rsidRPr="00E15313">
        <w:rPr>
          <w:rFonts w:ascii="Helvetica Neue" w:hAnsi="Helvetica Neue"/>
          <w:noProof/>
          <w:sz w:val="18"/>
        </w:rPr>
        <w:t xml:space="preserve"> 2005; </w:t>
      </w:r>
      <w:r w:rsidRPr="00E15313">
        <w:rPr>
          <w:rFonts w:ascii="Helvetica Neue" w:hAnsi="Helvetica Neue"/>
          <w:b/>
          <w:bCs/>
          <w:noProof/>
          <w:sz w:val="18"/>
        </w:rPr>
        <w:t>192</w:t>
      </w:r>
      <w:r w:rsidRPr="00E15313">
        <w:rPr>
          <w:rFonts w:ascii="Helvetica Neue" w:hAnsi="Helvetica Neue"/>
          <w:noProof/>
          <w:sz w:val="18"/>
        </w:rPr>
        <w:t>: 1836–44.</w:t>
      </w:r>
    </w:p>
    <w:p w14:paraId="3EF7E67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102</w:t>
      </w:r>
      <w:r w:rsidRPr="00E15313">
        <w:rPr>
          <w:rFonts w:ascii="Helvetica Neue" w:hAnsi="Helvetica Neue"/>
          <w:noProof/>
          <w:sz w:val="18"/>
        </w:rPr>
        <w:tab/>
        <w:t xml:space="preserve">Althaus CL, Heijne JCM, Roellin A, Low N. Transmission dynamics of Chlamydia trachomatis affect the impact of screening programmes. </w:t>
      </w:r>
      <w:r w:rsidRPr="00E15313">
        <w:rPr>
          <w:rFonts w:ascii="Helvetica Neue" w:hAnsi="Helvetica Neue"/>
          <w:i/>
          <w:iCs/>
          <w:noProof/>
          <w:sz w:val="18"/>
        </w:rPr>
        <w:t>Epidemics</w:t>
      </w:r>
      <w:r w:rsidRPr="00E15313">
        <w:rPr>
          <w:rFonts w:ascii="Helvetica Neue" w:hAnsi="Helvetica Neue"/>
          <w:noProof/>
          <w:sz w:val="18"/>
        </w:rPr>
        <w:t xml:space="preserve"> 2010; </w:t>
      </w:r>
      <w:r w:rsidRPr="00E15313">
        <w:rPr>
          <w:rFonts w:ascii="Helvetica Neue" w:hAnsi="Helvetica Neue"/>
          <w:b/>
          <w:bCs/>
          <w:noProof/>
          <w:sz w:val="18"/>
        </w:rPr>
        <w:t>2</w:t>
      </w:r>
      <w:r w:rsidRPr="00E15313">
        <w:rPr>
          <w:rFonts w:ascii="Helvetica Neue" w:hAnsi="Helvetica Neue"/>
          <w:noProof/>
          <w:sz w:val="18"/>
        </w:rPr>
        <w:t>: 123–31.</w:t>
      </w:r>
    </w:p>
    <w:p w14:paraId="47527D2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lastRenderedPageBreak/>
        <w:t>103</w:t>
      </w:r>
      <w:r w:rsidRPr="00E15313">
        <w:rPr>
          <w:rFonts w:ascii="Helvetica Neue" w:hAnsi="Helvetica Neue"/>
          <w:noProof/>
          <w:sz w:val="18"/>
        </w:rPr>
        <w:tab/>
        <w:t xml:space="preserve">Boily MC, Lowndes C, Alary M. The impact of HIV epidemic phases on the effectiveness of core group interventions: insights from mathematical models. </w:t>
      </w:r>
      <w:r w:rsidRPr="00E15313">
        <w:rPr>
          <w:rFonts w:ascii="Helvetica Neue" w:hAnsi="Helvetica Neue"/>
          <w:i/>
          <w:iCs/>
          <w:noProof/>
          <w:sz w:val="18"/>
        </w:rPr>
        <w:t>Sex Transm Infect</w:t>
      </w:r>
      <w:r w:rsidRPr="00E15313">
        <w:rPr>
          <w:rFonts w:ascii="Helvetica Neue" w:hAnsi="Helvetica Neue"/>
          <w:noProof/>
          <w:sz w:val="18"/>
        </w:rPr>
        <w:t xml:space="preserve"> 2002; </w:t>
      </w:r>
      <w:r w:rsidRPr="00E15313">
        <w:rPr>
          <w:rFonts w:ascii="Helvetica Neue" w:hAnsi="Helvetica Neue"/>
          <w:b/>
          <w:bCs/>
          <w:noProof/>
          <w:sz w:val="18"/>
        </w:rPr>
        <w:t>78 Suppl 1</w:t>
      </w:r>
      <w:r w:rsidRPr="00E15313">
        <w:rPr>
          <w:rFonts w:ascii="Helvetica Neue" w:hAnsi="Helvetica Neue"/>
          <w:noProof/>
          <w:sz w:val="18"/>
        </w:rPr>
        <w:t>: i78-90.</w:t>
      </w:r>
    </w:p>
    <w:p w14:paraId="429884B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104</w:t>
      </w:r>
      <w:r w:rsidRPr="00E15313">
        <w:rPr>
          <w:rFonts w:ascii="Helvetica Neue" w:hAnsi="Helvetica Neue"/>
          <w:noProof/>
          <w:sz w:val="18"/>
        </w:rPr>
        <w:tab/>
        <w:t xml:space="preserve">Centers for Disease Control and Prevention. 2015 STD Treatment Guidelines. </w:t>
      </w:r>
      <w:r w:rsidRPr="00E15313">
        <w:rPr>
          <w:rFonts w:ascii="Helvetica Neue" w:hAnsi="Helvetica Neue"/>
          <w:i/>
          <w:iCs/>
          <w:noProof/>
          <w:sz w:val="18"/>
        </w:rPr>
        <w:t>MMWR Recomm Reports</w:t>
      </w:r>
      <w:r w:rsidRPr="00E15313">
        <w:rPr>
          <w:rFonts w:ascii="Helvetica Neue" w:hAnsi="Helvetica Neue"/>
          <w:noProof/>
          <w:sz w:val="18"/>
        </w:rPr>
        <w:t xml:space="preserve"> 2015; </w:t>
      </w:r>
      <w:r w:rsidRPr="00E15313">
        <w:rPr>
          <w:rFonts w:ascii="Helvetica Neue" w:hAnsi="Helvetica Neue"/>
          <w:b/>
          <w:bCs/>
          <w:noProof/>
          <w:sz w:val="18"/>
        </w:rPr>
        <w:t>64</w:t>
      </w:r>
      <w:r w:rsidRPr="00E15313">
        <w:rPr>
          <w:rFonts w:ascii="Helvetica Neue" w:hAnsi="Helvetica Neue"/>
          <w:noProof/>
          <w:sz w:val="18"/>
        </w:rPr>
        <w:t>. http://www.cdc.gov/std/tg2015/default.htm.</w:t>
      </w:r>
    </w:p>
    <w:p w14:paraId="7028D6E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105</w:t>
      </w:r>
      <w:r w:rsidRPr="00E15313">
        <w:rPr>
          <w:rFonts w:ascii="Helvetica Neue" w:hAnsi="Helvetica Neue"/>
          <w:noProof/>
          <w:sz w:val="18"/>
        </w:rPr>
        <w:tab/>
        <w:t xml:space="preserve">Hoots BE, Torrone EA, Bernstein KT, Paz-Bailey G, NHBS Study Group. Self-reported chlamydia and gonorrhea testing and diagnosis among men who have sex with men 20 U.S. cities, 2011 and 2014. </w:t>
      </w:r>
      <w:r w:rsidRPr="00E15313">
        <w:rPr>
          <w:rFonts w:ascii="Helvetica Neue" w:hAnsi="Helvetica Neue"/>
          <w:i/>
          <w:iCs/>
          <w:noProof/>
          <w:sz w:val="18"/>
        </w:rPr>
        <w:t>Sex Transm Dis</w:t>
      </w:r>
      <w:r w:rsidRPr="00E15313">
        <w:rPr>
          <w:rFonts w:ascii="Helvetica Neue" w:hAnsi="Helvetica Neue"/>
          <w:noProof/>
          <w:sz w:val="18"/>
        </w:rPr>
        <w:t xml:space="preserve"> 2018; : 1.</w:t>
      </w:r>
    </w:p>
    <w:p w14:paraId="69C9DF2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106</w:t>
      </w:r>
      <w:r w:rsidRPr="00E15313">
        <w:rPr>
          <w:rFonts w:ascii="Helvetica Neue" w:hAnsi="Helvetica Neue"/>
          <w:noProof/>
          <w:sz w:val="18"/>
        </w:rPr>
        <w:tab/>
        <w:t xml:space="preserve">An Q, Wejnert C, Bernstein K, Paz-Bailey G. Syphilis Screening and Diagnosis Among Men Who Have Sex With Men, 2008-2014, 20 U.S. Cities. </w:t>
      </w:r>
      <w:r w:rsidRPr="00E15313">
        <w:rPr>
          <w:rFonts w:ascii="Helvetica Neue" w:hAnsi="Helvetica Neue"/>
          <w:i/>
          <w:iCs/>
          <w:noProof/>
          <w:sz w:val="18"/>
        </w:rPr>
        <w:t>JAIDS J Acquir Immune Defic Syndr</w:t>
      </w:r>
      <w:r w:rsidRPr="00E15313">
        <w:rPr>
          <w:rFonts w:ascii="Helvetica Neue" w:hAnsi="Helvetica Neue"/>
          <w:noProof/>
          <w:sz w:val="18"/>
        </w:rPr>
        <w:t xml:space="preserve"> 2017; </w:t>
      </w:r>
      <w:r w:rsidRPr="00E15313">
        <w:rPr>
          <w:rFonts w:ascii="Helvetica Neue" w:hAnsi="Helvetica Neue"/>
          <w:b/>
          <w:bCs/>
          <w:noProof/>
          <w:sz w:val="18"/>
        </w:rPr>
        <w:t>75</w:t>
      </w:r>
      <w:r w:rsidRPr="00E15313">
        <w:rPr>
          <w:rFonts w:ascii="Helvetica Neue" w:hAnsi="Helvetica Neue"/>
          <w:noProof/>
          <w:sz w:val="18"/>
        </w:rPr>
        <w:t>: S363–9.</w:t>
      </w:r>
    </w:p>
    <w:p w14:paraId="008360B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107</w:t>
      </w:r>
      <w:r w:rsidRPr="00E15313">
        <w:rPr>
          <w:rFonts w:ascii="Helvetica Neue" w:hAnsi="Helvetica Neue"/>
          <w:noProof/>
          <w:sz w:val="18"/>
        </w:rPr>
        <w:tab/>
        <w:t xml:space="preserve">Hoots BE, Torrone E, Bernstein KT, Paz-Bailey G. Chlamydia and gonorrhea testing and diagnosis among men who have sex with men — 20 U.S. cities, 2011 and 2014. </w:t>
      </w:r>
      <w:r w:rsidRPr="00E15313">
        <w:rPr>
          <w:rFonts w:ascii="Helvetica Neue" w:hAnsi="Helvetica Neue"/>
          <w:i/>
          <w:iCs/>
          <w:noProof/>
          <w:sz w:val="18"/>
        </w:rPr>
        <w:t>Unpublished</w:t>
      </w:r>
      <w:r w:rsidRPr="00E15313">
        <w:rPr>
          <w:rFonts w:ascii="Helvetica Neue" w:hAnsi="Helvetica Neue"/>
          <w:noProof/>
          <w:sz w:val="18"/>
        </w:rPr>
        <w:t xml:space="preserve"> 2017.</w:t>
      </w:r>
    </w:p>
    <w:p w14:paraId="4B2336F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108</w:t>
      </w:r>
      <w:r w:rsidRPr="00E15313">
        <w:rPr>
          <w:rFonts w:ascii="Helvetica Neue" w:hAnsi="Helvetica Neue"/>
          <w:noProof/>
          <w:sz w:val="18"/>
        </w:rPr>
        <w:tab/>
        <w:t xml:space="preserve">Schillinger JA, Gorwitz R, Rietmeijer C, Golden MR. The Expedited Partner Therapy Continuum.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S63–75.</w:t>
      </w:r>
    </w:p>
    <w:p w14:paraId="210132D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109</w:t>
      </w:r>
      <w:r w:rsidRPr="00E15313">
        <w:rPr>
          <w:rFonts w:ascii="Helvetica Neue" w:hAnsi="Helvetica Neue"/>
          <w:noProof/>
          <w:sz w:val="18"/>
        </w:rPr>
        <w:tab/>
        <w:t xml:space="preserve">Kerani RP, Fleming M, DeYoung B, Golden MR. A randomized, controlled trial of inSPOT and patient-delivered partner therapy for gonorrhea and chlamydial infection among men who have sex with men. </w:t>
      </w:r>
      <w:r w:rsidRPr="00E15313">
        <w:rPr>
          <w:rFonts w:ascii="Helvetica Neue" w:hAnsi="Helvetica Neue"/>
          <w:i/>
          <w:iCs/>
          <w:noProof/>
          <w:sz w:val="18"/>
        </w:rPr>
        <w:t>Sex Transm Dis</w:t>
      </w:r>
      <w:r w:rsidRPr="00E15313">
        <w:rPr>
          <w:rFonts w:ascii="Helvetica Neue" w:hAnsi="Helvetica Neue"/>
          <w:noProof/>
          <w:sz w:val="18"/>
        </w:rPr>
        <w:t xml:space="preserve"> 2011; </w:t>
      </w:r>
      <w:r w:rsidRPr="00E15313">
        <w:rPr>
          <w:rFonts w:ascii="Helvetica Neue" w:hAnsi="Helvetica Neue"/>
          <w:b/>
          <w:bCs/>
          <w:noProof/>
          <w:sz w:val="18"/>
        </w:rPr>
        <w:t>38</w:t>
      </w:r>
      <w:r w:rsidRPr="00E15313">
        <w:rPr>
          <w:rFonts w:ascii="Helvetica Neue" w:hAnsi="Helvetica Neue"/>
          <w:noProof/>
          <w:sz w:val="18"/>
        </w:rPr>
        <w:t>: 941–6.</w:t>
      </w:r>
    </w:p>
    <w:p w14:paraId="460870D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110</w:t>
      </w:r>
      <w:r w:rsidRPr="00E15313">
        <w:rPr>
          <w:rFonts w:ascii="Helvetica Neue" w:hAnsi="Helvetica Neue"/>
          <w:noProof/>
          <w:sz w:val="18"/>
        </w:rPr>
        <w:tab/>
        <w:t xml:space="preserve">Stenger MR, Kerani RP, Bauer HM, </w:t>
      </w:r>
      <w:r w:rsidRPr="00E15313">
        <w:rPr>
          <w:rFonts w:ascii="Helvetica Neue" w:hAnsi="Helvetica Neue"/>
          <w:i/>
          <w:iCs/>
          <w:noProof/>
          <w:sz w:val="18"/>
        </w:rPr>
        <w:t>et al.</w:t>
      </w:r>
      <w:r w:rsidRPr="00E15313">
        <w:rPr>
          <w:rFonts w:ascii="Helvetica Neue" w:hAnsi="Helvetica Neue"/>
          <w:noProof/>
          <w:sz w:val="18"/>
        </w:rPr>
        <w:t xml:space="preserve"> Patient-Reported Expedited Partner Therapy for Gonorrhea in the United States: Findings of the STD Surveillance Network 2010-2012. </w:t>
      </w:r>
      <w:r w:rsidRPr="00E15313">
        <w:rPr>
          <w:rFonts w:ascii="Helvetica Neue" w:hAnsi="Helvetica Neue"/>
          <w:i/>
          <w:iCs/>
          <w:noProof/>
          <w:sz w:val="18"/>
        </w:rPr>
        <w:t>Sex Transm Dis</w:t>
      </w:r>
      <w:r w:rsidRPr="00E15313">
        <w:rPr>
          <w:rFonts w:ascii="Helvetica Neue" w:hAnsi="Helvetica Neue"/>
          <w:noProof/>
          <w:sz w:val="18"/>
        </w:rPr>
        <w:t xml:space="preserve"> 2015; </w:t>
      </w:r>
      <w:r w:rsidRPr="00E15313">
        <w:rPr>
          <w:rFonts w:ascii="Helvetica Neue" w:hAnsi="Helvetica Neue"/>
          <w:b/>
          <w:bCs/>
          <w:noProof/>
          <w:sz w:val="18"/>
        </w:rPr>
        <w:t>42</w:t>
      </w:r>
      <w:r w:rsidRPr="00E15313">
        <w:rPr>
          <w:rFonts w:ascii="Helvetica Neue" w:hAnsi="Helvetica Neue"/>
          <w:noProof/>
          <w:sz w:val="18"/>
        </w:rPr>
        <w:t>: 470–4.</w:t>
      </w:r>
    </w:p>
    <w:p w14:paraId="4CDDE94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111</w:t>
      </w:r>
      <w:r w:rsidRPr="00E15313">
        <w:rPr>
          <w:rFonts w:ascii="Helvetica Neue" w:hAnsi="Helvetica Neue"/>
          <w:noProof/>
          <w:sz w:val="18"/>
        </w:rPr>
        <w:tab/>
        <w:t xml:space="preserve">Oliver A, Rogers M, Schillinger JA. The Impact of Prescriptions on Sex Partner Treatment Using Expedited Partner Therapy for Chlamydia trachomatis Infection, New York City, 2014–2015.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673–8.</w:t>
      </w:r>
    </w:p>
    <w:p w14:paraId="784B4EB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112</w:t>
      </w:r>
      <w:r w:rsidRPr="00E15313">
        <w:rPr>
          <w:rFonts w:ascii="Helvetica Neue" w:hAnsi="Helvetica Neue"/>
          <w:noProof/>
          <w:sz w:val="18"/>
        </w:rPr>
        <w:tab/>
        <w:t xml:space="preserve">Vaidya S, Johnson K, Rogers M, Nash D, Schillinger JA. Predictors of Index Patient Acceptance of Expedited Partner Therapy for Chlamydia trachomatis Infection and Reasons for Refusal, Sexually Transmitted Disease Clinics, New York City, 2011 to 2012. </w:t>
      </w:r>
      <w:r w:rsidRPr="00E15313">
        <w:rPr>
          <w:rFonts w:ascii="Helvetica Neue" w:hAnsi="Helvetica Neue"/>
          <w:i/>
          <w:iCs/>
          <w:noProof/>
          <w:sz w:val="18"/>
        </w:rPr>
        <w:t>Sex Transm Dis</w:t>
      </w:r>
      <w:r w:rsidRPr="00E15313">
        <w:rPr>
          <w:rFonts w:ascii="Helvetica Neue" w:hAnsi="Helvetica Neue"/>
          <w:noProof/>
          <w:sz w:val="18"/>
        </w:rPr>
        <w:t xml:space="preserve"> 2014; </w:t>
      </w:r>
      <w:r w:rsidRPr="00E15313">
        <w:rPr>
          <w:rFonts w:ascii="Helvetica Neue" w:hAnsi="Helvetica Neue"/>
          <w:b/>
          <w:bCs/>
          <w:noProof/>
          <w:sz w:val="18"/>
        </w:rPr>
        <w:t>41</w:t>
      </w:r>
      <w:r w:rsidRPr="00E15313">
        <w:rPr>
          <w:rFonts w:ascii="Helvetica Neue" w:hAnsi="Helvetica Neue"/>
          <w:noProof/>
          <w:sz w:val="18"/>
        </w:rPr>
        <w:t>: 690–4.</w:t>
      </w:r>
    </w:p>
    <w:p w14:paraId="7C16A67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113</w:t>
      </w:r>
      <w:r w:rsidRPr="00E15313">
        <w:rPr>
          <w:rFonts w:ascii="Helvetica Neue" w:hAnsi="Helvetica Neue"/>
          <w:noProof/>
          <w:sz w:val="18"/>
        </w:rPr>
        <w:tab/>
        <w:t xml:space="preserve">Golden MR, Hughes JP, Brewer DD, </w:t>
      </w:r>
      <w:r w:rsidRPr="00E15313">
        <w:rPr>
          <w:rFonts w:ascii="Helvetica Neue" w:hAnsi="Helvetica Neue"/>
          <w:i/>
          <w:iCs/>
          <w:noProof/>
          <w:sz w:val="18"/>
        </w:rPr>
        <w:t>et al.</w:t>
      </w:r>
      <w:r w:rsidRPr="00E15313">
        <w:rPr>
          <w:rFonts w:ascii="Helvetica Neue" w:hAnsi="Helvetica Neue"/>
          <w:noProof/>
          <w:sz w:val="18"/>
        </w:rPr>
        <w:t xml:space="preserve"> Evaluation of a Population-Based Program of Expedited Partner Therapy for Gonorrhea and Chlamydial Infection. </w:t>
      </w:r>
      <w:r w:rsidRPr="00E15313">
        <w:rPr>
          <w:rFonts w:ascii="Helvetica Neue" w:hAnsi="Helvetica Neue"/>
          <w:i/>
          <w:iCs/>
          <w:noProof/>
          <w:sz w:val="18"/>
        </w:rPr>
        <w:t>Sex Transm Dis</w:t>
      </w:r>
      <w:r w:rsidRPr="00E15313">
        <w:rPr>
          <w:rFonts w:ascii="Helvetica Neue" w:hAnsi="Helvetica Neue"/>
          <w:noProof/>
          <w:sz w:val="18"/>
        </w:rPr>
        <w:t xml:space="preserve"> 2007; </w:t>
      </w:r>
      <w:r w:rsidRPr="00E15313">
        <w:rPr>
          <w:rFonts w:ascii="Helvetica Neue" w:hAnsi="Helvetica Neue"/>
          <w:b/>
          <w:bCs/>
          <w:noProof/>
          <w:sz w:val="18"/>
        </w:rPr>
        <w:t>PAP</w:t>
      </w:r>
      <w:r w:rsidRPr="00E15313">
        <w:rPr>
          <w:rFonts w:ascii="Helvetica Neue" w:hAnsi="Helvetica Neue"/>
          <w:noProof/>
          <w:sz w:val="18"/>
        </w:rPr>
        <w:t>. DOI:10.1097/01.olq.0000258319.54316.06.</w:t>
      </w:r>
    </w:p>
    <w:p w14:paraId="0BFD8FE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114</w:t>
      </w:r>
      <w:r w:rsidRPr="00E15313">
        <w:rPr>
          <w:rFonts w:ascii="Helvetica Neue" w:hAnsi="Helvetica Neue"/>
          <w:noProof/>
          <w:sz w:val="18"/>
        </w:rPr>
        <w:tab/>
        <w:t xml:space="preserve">Golden MR, Kerani RP, Stenger M, </w:t>
      </w:r>
      <w:r w:rsidRPr="00E15313">
        <w:rPr>
          <w:rFonts w:ascii="Helvetica Neue" w:hAnsi="Helvetica Neue"/>
          <w:i/>
          <w:iCs/>
          <w:noProof/>
          <w:sz w:val="18"/>
        </w:rPr>
        <w:t>et al.</w:t>
      </w:r>
      <w:r w:rsidRPr="00E15313">
        <w:rPr>
          <w:rFonts w:ascii="Helvetica Neue" w:hAnsi="Helvetica Neue"/>
          <w:noProof/>
          <w:sz w:val="18"/>
        </w:rPr>
        <w:t xml:space="preserve"> Uptake and population-level impact of expedited partner therapy (EPT) on Chlamydia trachomatis and Neisseria gonorrhoeae: the Washington State community-level randomized trial of EPT. </w:t>
      </w:r>
      <w:r w:rsidRPr="00E15313">
        <w:rPr>
          <w:rFonts w:ascii="Helvetica Neue" w:hAnsi="Helvetica Neue"/>
          <w:i/>
          <w:iCs/>
          <w:noProof/>
          <w:sz w:val="18"/>
        </w:rPr>
        <w:t>PLoS Med</w:t>
      </w:r>
      <w:r w:rsidRPr="00E15313">
        <w:rPr>
          <w:rFonts w:ascii="Helvetica Neue" w:hAnsi="Helvetica Neue"/>
          <w:noProof/>
          <w:sz w:val="18"/>
        </w:rPr>
        <w:t xml:space="preserve"> 2015; </w:t>
      </w:r>
      <w:r w:rsidRPr="00E15313">
        <w:rPr>
          <w:rFonts w:ascii="Helvetica Neue" w:hAnsi="Helvetica Neue"/>
          <w:b/>
          <w:bCs/>
          <w:noProof/>
          <w:sz w:val="18"/>
        </w:rPr>
        <w:t>12</w:t>
      </w:r>
      <w:r w:rsidRPr="00E15313">
        <w:rPr>
          <w:rFonts w:ascii="Helvetica Neue" w:hAnsi="Helvetica Neue"/>
          <w:noProof/>
          <w:sz w:val="18"/>
        </w:rPr>
        <w:t>: e1001777.</w:t>
      </w:r>
    </w:p>
    <w:p w14:paraId="19876FC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115</w:t>
      </w:r>
      <w:r w:rsidRPr="00E15313">
        <w:rPr>
          <w:rFonts w:ascii="Helvetica Neue" w:hAnsi="Helvetica Neue"/>
          <w:noProof/>
          <w:sz w:val="18"/>
        </w:rPr>
        <w:tab/>
        <w:t xml:space="preserve">Hogben M, McCree DH, Golden MR. Patient-delivered partner therapy for sexually transmitted diseases as practiced by U.S. physicians. </w:t>
      </w:r>
      <w:r w:rsidRPr="00E15313">
        <w:rPr>
          <w:rFonts w:ascii="Helvetica Neue" w:hAnsi="Helvetica Neue"/>
          <w:i/>
          <w:iCs/>
          <w:noProof/>
          <w:sz w:val="18"/>
        </w:rPr>
        <w:t>Sex Transm Dis</w:t>
      </w:r>
      <w:r w:rsidRPr="00E15313">
        <w:rPr>
          <w:rFonts w:ascii="Helvetica Neue" w:hAnsi="Helvetica Neue"/>
          <w:noProof/>
          <w:sz w:val="18"/>
        </w:rPr>
        <w:t xml:space="preserve"> 2005; </w:t>
      </w:r>
      <w:r w:rsidRPr="00E15313">
        <w:rPr>
          <w:rFonts w:ascii="Helvetica Neue" w:hAnsi="Helvetica Neue"/>
          <w:b/>
          <w:bCs/>
          <w:noProof/>
          <w:sz w:val="18"/>
        </w:rPr>
        <w:t>32</w:t>
      </w:r>
      <w:r w:rsidRPr="00E15313">
        <w:rPr>
          <w:rFonts w:ascii="Helvetica Neue" w:hAnsi="Helvetica Neue"/>
          <w:noProof/>
          <w:sz w:val="18"/>
        </w:rPr>
        <w:t>: 101–5.</w:t>
      </w:r>
    </w:p>
    <w:p w14:paraId="7BD9239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116</w:t>
      </w:r>
      <w:r w:rsidRPr="00E15313">
        <w:rPr>
          <w:rFonts w:ascii="Helvetica Neue" w:hAnsi="Helvetica Neue"/>
          <w:noProof/>
          <w:sz w:val="18"/>
        </w:rPr>
        <w:tab/>
        <w:t xml:space="preserve">Rogers ME, Opdyke KM, Blank S, Schillinger JA. Patient-Delivered Partner Treatment and Other Partner Management Strategies for Sexually Transmitted Diseases Used by New York City Healthcare Providers. </w:t>
      </w:r>
      <w:r w:rsidRPr="00E15313">
        <w:rPr>
          <w:rFonts w:ascii="Helvetica Neue" w:hAnsi="Helvetica Neue"/>
          <w:i/>
          <w:iCs/>
          <w:noProof/>
          <w:sz w:val="18"/>
        </w:rPr>
        <w:t>Sex Transm Dis</w:t>
      </w:r>
      <w:r w:rsidRPr="00E15313">
        <w:rPr>
          <w:rFonts w:ascii="Helvetica Neue" w:hAnsi="Helvetica Neue"/>
          <w:noProof/>
          <w:sz w:val="18"/>
        </w:rPr>
        <w:t xml:space="preserve"> 2007; </w:t>
      </w:r>
      <w:r w:rsidRPr="00E15313">
        <w:rPr>
          <w:rFonts w:ascii="Helvetica Neue" w:hAnsi="Helvetica Neue"/>
          <w:b/>
          <w:bCs/>
          <w:noProof/>
          <w:sz w:val="18"/>
        </w:rPr>
        <w:t>34</w:t>
      </w:r>
      <w:r w:rsidRPr="00E15313">
        <w:rPr>
          <w:rFonts w:ascii="Helvetica Neue" w:hAnsi="Helvetica Neue"/>
          <w:noProof/>
          <w:sz w:val="18"/>
        </w:rPr>
        <w:t>: 88–92.</w:t>
      </w:r>
    </w:p>
    <w:p w14:paraId="5436B44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117</w:t>
      </w:r>
      <w:r w:rsidRPr="00E15313">
        <w:rPr>
          <w:rFonts w:ascii="Helvetica Neue" w:hAnsi="Helvetica Neue"/>
          <w:noProof/>
          <w:sz w:val="18"/>
        </w:rPr>
        <w:tab/>
        <w:t xml:space="preserve">Bilardi JE, Fairley CK, Hopkins CA, </w:t>
      </w:r>
      <w:r w:rsidRPr="00E15313">
        <w:rPr>
          <w:rFonts w:ascii="Helvetica Neue" w:hAnsi="Helvetica Neue"/>
          <w:i/>
          <w:iCs/>
          <w:noProof/>
          <w:sz w:val="18"/>
        </w:rPr>
        <w:t>et al.</w:t>
      </w:r>
      <w:r w:rsidRPr="00E15313">
        <w:rPr>
          <w:rFonts w:ascii="Helvetica Neue" w:hAnsi="Helvetica Neue"/>
          <w:noProof/>
          <w:sz w:val="18"/>
        </w:rPr>
        <w:t xml:space="preserve"> Experiences and Outcomes of Partner Notification Among Men and Women Recently Diagnosed With Chlamydia and Their Views on Innovative Resources Aimed at Improving Notification Rates. </w:t>
      </w:r>
      <w:r w:rsidRPr="00E15313">
        <w:rPr>
          <w:rFonts w:ascii="Helvetica Neue" w:hAnsi="Helvetica Neue"/>
          <w:i/>
          <w:iCs/>
          <w:noProof/>
          <w:sz w:val="18"/>
        </w:rPr>
        <w:t>Sex Transm Dis</w:t>
      </w:r>
      <w:r w:rsidRPr="00E15313">
        <w:rPr>
          <w:rFonts w:ascii="Helvetica Neue" w:hAnsi="Helvetica Neue"/>
          <w:noProof/>
          <w:sz w:val="18"/>
        </w:rPr>
        <w:t xml:space="preserve"> 2010; </w:t>
      </w:r>
      <w:r w:rsidRPr="00E15313">
        <w:rPr>
          <w:rFonts w:ascii="Helvetica Neue" w:hAnsi="Helvetica Neue"/>
          <w:b/>
          <w:bCs/>
          <w:noProof/>
          <w:sz w:val="18"/>
        </w:rPr>
        <w:t>37</w:t>
      </w:r>
      <w:r w:rsidRPr="00E15313">
        <w:rPr>
          <w:rFonts w:ascii="Helvetica Neue" w:hAnsi="Helvetica Neue"/>
          <w:noProof/>
          <w:sz w:val="18"/>
        </w:rPr>
        <w:t>: 253–8.</w:t>
      </w:r>
    </w:p>
    <w:p w14:paraId="51AE63E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118</w:t>
      </w:r>
      <w:r w:rsidRPr="00E15313">
        <w:rPr>
          <w:rFonts w:ascii="Helvetica Neue" w:hAnsi="Helvetica Neue"/>
          <w:noProof/>
          <w:sz w:val="18"/>
        </w:rPr>
        <w:tab/>
        <w:t xml:space="preserve">Schillinger JA, Kissinger P, Calvet H, </w:t>
      </w:r>
      <w:r w:rsidRPr="00E15313">
        <w:rPr>
          <w:rFonts w:ascii="Helvetica Neue" w:hAnsi="Helvetica Neue"/>
          <w:i/>
          <w:iCs/>
          <w:noProof/>
          <w:sz w:val="18"/>
        </w:rPr>
        <w:t>et al.</w:t>
      </w:r>
      <w:r w:rsidRPr="00E15313">
        <w:rPr>
          <w:rFonts w:ascii="Helvetica Neue" w:hAnsi="Helvetica Neue"/>
          <w:noProof/>
          <w:sz w:val="18"/>
        </w:rPr>
        <w:t xml:space="preserve"> Patient-delivered partner treatment with azithromycin to prevent repeated Chlamydia trachomatis infection among women: a randomized, controlled trial. </w:t>
      </w:r>
      <w:r w:rsidRPr="00E15313">
        <w:rPr>
          <w:rFonts w:ascii="Helvetica Neue" w:hAnsi="Helvetica Neue"/>
          <w:i/>
          <w:iCs/>
          <w:noProof/>
          <w:sz w:val="18"/>
        </w:rPr>
        <w:t>Sex Transm Dis</w:t>
      </w:r>
      <w:r w:rsidRPr="00E15313">
        <w:rPr>
          <w:rFonts w:ascii="Helvetica Neue" w:hAnsi="Helvetica Neue"/>
          <w:noProof/>
          <w:sz w:val="18"/>
        </w:rPr>
        <w:t xml:space="preserve"> 2003; </w:t>
      </w:r>
      <w:r w:rsidRPr="00E15313">
        <w:rPr>
          <w:rFonts w:ascii="Helvetica Neue" w:hAnsi="Helvetica Neue"/>
          <w:b/>
          <w:bCs/>
          <w:noProof/>
          <w:sz w:val="18"/>
        </w:rPr>
        <w:t>30</w:t>
      </w:r>
      <w:r w:rsidRPr="00E15313">
        <w:rPr>
          <w:rFonts w:ascii="Helvetica Neue" w:hAnsi="Helvetica Neue"/>
          <w:noProof/>
          <w:sz w:val="18"/>
        </w:rPr>
        <w:t>: 49–56.</w:t>
      </w:r>
    </w:p>
    <w:p w14:paraId="2A3B6E8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119</w:t>
      </w:r>
      <w:r w:rsidRPr="00E15313">
        <w:rPr>
          <w:rFonts w:ascii="Helvetica Neue" w:hAnsi="Helvetica Neue"/>
          <w:noProof/>
          <w:sz w:val="18"/>
        </w:rPr>
        <w:tab/>
        <w:t xml:space="preserve">Cameron ST, Glasier A, Scott G, </w:t>
      </w:r>
      <w:r w:rsidRPr="00E15313">
        <w:rPr>
          <w:rFonts w:ascii="Helvetica Neue" w:hAnsi="Helvetica Neue"/>
          <w:i/>
          <w:iCs/>
          <w:noProof/>
          <w:sz w:val="18"/>
        </w:rPr>
        <w:t>et al.</w:t>
      </w:r>
      <w:r w:rsidRPr="00E15313">
        <w:rPr>
          <w:rFonts w:ascii="Helvetica Neue" w:hAnsi="Helvetica Neue"/>
          <w:noProof/>
          <w:sz w:val="18"/>
        </w:rPr>
        <w:t xml:space="preserve"> Novel interventions to reduce re-infection in women with chlamydia: a randomized controlled trial. </w:t>
      </w:r>
      <w:r w:rsidRPr="00E15313">
        <w:rPr>
          <w:rFonts w:ascii="Helvetica Neue" w:hAnsi="Helvetica Neue"/>
          <w:i/>
          <w:iCs/>
          <w:noProof/>
          <w:sz w:val="18"/>
        </w:rPr>
        <w:t>Hum Reprod</w:t>
      </w:r>
      <w:r w:rsidRPr="00E15313">
        <w:rPr>
          <w:rFonts w:ascii="Helvetica Neue" w:hAnsi="Helvetica Neue"/>
          <w:noProof/>
          <w:sz w:val="18"/>
        </w:rPr>
        <w:t xml:space="preserve"> 2009; </w:t>
      </w:r>
      <w:r w:rsidRPr="00E15313">
        <w:rPr>
          <w:rFonts w:ascii="Helvetica Neue" w:hAnsi="Helvetica Neue"/>
          <w:b/>
          <w:bCs/>
          <w:noProof/>
          <w:sz w:val="18"/>
        </w:rPr>
        <w:t>24</w:t>
      </w:r>
      <w:r w:rsidRPr="00E15313">
        <w:rPr>
          <w:rFonts w:ascii="Helvetica Neue" w:hAnsi="Helvetica Neue"/>
          <w:noProof/>
          <w:sz w:val="18"/>
        </w:rPr>
        <w:t>: 888–95.</w:t>
      </w:r>
    </w:p>
    <w:p w14:paraId="450C3A8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120</w:t>
      </w:r>
      <w:r w:rsidRPr="00E15313">
        <w:rPr>
          <w:rFonts w:ascii="Helvetica Neue" w:hAnsi="Helvetica Neue"/>
          <w:noProof/>
          <w:sz w:val="18"/>
        </w:rPr>
        <w:tab/>
        <w:t xml:space="preserve">Golden MR, Whittington WLH, Handsfield HH, </w:t>
      </w:r>
      <w:r w:rsidRPr="00E15313">
        <w:rPr>
          <w:rFonts w:ascii="Helvetica Neue" w:hAnsi="Helvetica Neue"/>
          <w:i/>
          <w:iCs/>
          <w:noProof/>
          <w:sz w:val="18"/>
        </w:rPr>
        <w:t>et al.</w:t>
      </w:r>
      <w:r w:rsidRPr="00E15313">
        <w:rPr>
          <w:rFonts w:ascii="Helvetica Neue" w:hAnsi="Helvetica Neue"/>
          <w:noProof/>
          <w:sz w:val="18"/>
        </w:rPr>
        <w:t xml:space="preserve"> Effect of Expedited Treatment of Sex Partners on Recurrent or Persistent Gonorrhea or Chlamydial Infection. </w:t>
      </w:r>
      <w:r w:rsidRPr="00E15313">
        <w:rPr>
          <w:rFonts w:ascii="Helvetica Neue" w:hAnsi="Helvetica Neue"/>
          <w:i/>
          <w:iCs/>
          <w:noProof/>
          <w:sz w:val="18"/>
        </w:rPr>
        <w:t>N Engl J Med</w:t>
      </w:r>
      <w:r w:rsidRPr="00E15313">
        <w:rPr>
          <w:rFonts w:ascii="Helvetica Neue" w:hAnsi="Helvetica Neue"/>
          <w:noProof/>
          <w:sz w:val="18"/>
        </w:rPr>
        <w:t xml:space="preserve"> 2005; </w:t>
      </w:r>
      <w:r w:rsidRPr="00E15313">
        <w:rPr>
          <w:rFonts w:ascii="Helvetica Neue" w:hAnsi="Helvetica Neue"/>
          <w:b/>
          <w:bCs/>
          <w:noProof/>
          <w:sz w:val="18"/>
        </w:rPr>
        <w:t>352</w:t>
      </w:r>
      <w:r w:rsidRPr="00E15313">
        <w:rPr>
          <w:rFonts w:ascii="Helvetica Neue" w:hAnsi="Helvetica Neue"/>
          <w:noProof/>
          <w:sz w:val="18"/>
        </w:rPr>
        <w:t>: 676–85.</w:t>
      </w:r>
    </w:p>
    <w:p w14:paraId="012E7F8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121</w:t>
      </w:r>
      <w:r w:rsidRPr="00E15313">
        <w:rPr>
          <w:rFonts w:ascii="Helvetica Neue" w:hAnsi="Helvetica Neue"/>
          <w:noProof/>
          <w:sz w:val="18"/>
        </w:rPr>
        <w:tab/>
        <w:t xml:space="preserve">Mohammed H, Leichliter JS, Schmidt N, Farley TA, Kissinger P. Does Patient-Delivered Partner Treatment Improve Disclosure for Treatable Sexually Transmitted Diseases? </w:t>
      </w:r>
      <w:r w:rsidRPr="00E15313">
        <w:rPr>
          <w:rFonts w:ascii="Helvetica Neue" w:hAnsi="Helvetica Neue"/>
          <w:i/>
          <w:iCs/>
          <w:noProof/>
          <w:sz w:val="18"/>
        </w:rPr>
        <w:t>AIDS Patient Care STDS</w:t>
      </w:r>
      <w:r w:rsidRPr="00E15313">
        <w:rPr>
          <w:rFonts w:ascii="Helvetica Neue" w:hAnsi="Helvetica Neue"/>
          <w:noProof/>
          <w:sz w:val="18"/>
        </w:rPr>
        <w:t xml:space="preserve"> 2010; </w:t>
      </w:r>
      <w:r w:rsidRPr="00E15313">
        <w:rPr>
          <w:rFonts w:ascii="Helvetica Neue" w:hAnsi="Helvetica Neue"/>
          <w:b/>
          <w:bCs/>
          <w:noProof/>
          <w:sz w:val="18"/>
        </w:rPr>
        <w:t>24</w:t>
      </w:r>
      <w:r w:rsidRPr="00E15313">
        <w:rPr>
          <w:rFonts w:ascii="Helvetica Neue" w:hAnsi="Helvetica Neue"/>
          <w:noProof/>
          <w:sz w:val="18"/>
        </w:rPr>
        <w:t>: 183–8.</w:t>
      </w:r>
    </w:p>
    <w:p w14:paraId="6FDF04C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122</w:t>
      </w:r>
      <w:r w:rsidRPr="00E15313">
        <w:rPr>
          <w:rFonts w:ascii="Helvetica Neue" w:hAnsi="Helvetica Neue"/>
          <w:noProof/>
          <w:sz w:val="18"/>
        </w:rPr>
        <w:tab/>
        <w:t xml:space="preserve">Clark JL, Segura ER, Oldenburg CE, </w:t>
      </w:r>
      <w:r w:rsidRPr="00E15313">
        <w:rPr>
          <w:rFonts w:ascii="Helvetica Neue" w:hAnsi="Helvetica Neue"/>
          <w:i/>
          <w:iCs/>
          <w:noProof/>
          <w:sz w:val="18"/>
        </w:rPr>
        <w:t>et al.</w:t>
      </w:r>
      <w:r w:rsidRPr="00E15313">
        <w:rPr>
          <w:rFonts w:ascii="Helvetica Neue" w:hAnsi="Helvetica Neue"/>
          <w:noProof/>
          <w:sz w:val="18"/>
        </w:rPr>
        <w:t xml:space="preserve"> Expedited Partner Therapy (EPT) increases the frequency of partner notification among MSM in Lima, Peru: a pilot randomized controlled trial. </w:t>
      </w:r>
      <w:r w:rsidRPr="00E15313">
        <w:rPr>
          <w:rFonts w:ascii="Helvetica Neue" w:hAnsi="Helvetica Neue"/>
          <w:i/>
          <w:iCs/>
          <w:noProof/>
          <w:sz w:val="18"/>
        </w:rPr>
        <w:t>BMC Med</w:t>
      </w:r>
      <w:r w:rsidRPr="00E15313">
        <w:rPr>
          <w:rFonts w:ascii="Helvetica Neue" w:hAnsi="Helvetica Neue"/>
          <w:noProof/>
          <w:sz w:val="18"/>
        </w:rPr>
        <w:t xml:space="preserve"> 2017; </w:t>
      </w:r>
      <w:r w:rsidRPr="00E15313">
        <w:rPr>
          <w:rFonts w:ascii="Helvetica Neue" w:hAnsi="Helvetica Neue"/>
          <w:b/>
          <w:bCs/>
          <w:noProof/>
          <w:sz w:val="18"/>
        </w:rPr>
        <w:t>15</w:t>
      </w:r>
      <w:r w:rsidRPr="00E15313">
        <w:rPr>
          <w:rFonts w:ascii="Helvetica Neue" w:hAnsi="Helvetica Neue"/>
          <w:noProof/>
          <w:sz w:val="18"/>
        </w:rPr>
        <w:t>: 94.</w:t>
      </w:r>
    </w:p>
    <w:p w14:paraId="59C742F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123</w:t>
      </w:r>
      <w:r w:rsidRPr="00E15313">
        <w:rPr>
          <w:rFonts w:ascii="Helvetica Neue" w:hAnsi="Helvetica Neue"/>
          <w:noProof/>
          <w:sz w:val="18"/>
        </w:rPr>
        <w:tab/>
        <w:t xml:space="preserve">Kerani RP, Fleming M, Golden MR. Acceptability and intention to seek medical care after hypothetical receipt of patient-delivered partner therapy or electronic partner notification postcards among men who have sex with men: the partner’s perspective. </w:t>
      </w:r>
      <w:r w:rsidRPr="00E15313">
        <w:rPr>
          <w:rFonts w:ascii="Helvetica Neue" w:hAnsi="Helvetica Neue"/>
          <w:i/>
          <w:iCs/>
          <w:noProof/>
          <w:sz w:val="18"/>
        </w:rPr>
        <w:t>Sex Transm Dis</w:t>
      </w:r>
      <w:r w:rsidRPr="00E15313">
        <w:rPr>
          <w:rFonts w:ascii="Helvetica Neue" w:hAnsi="Helvetica Neue"/>
          <w:noProof/>
          <w:sz w:val="18"/>
        </w:rPr>
        <w:t xml:space="preserve"> 2013; </w:t>
      </w:r>
      <w:r w:rsidRPr="00E15313">
        <w:rPr>
          <w:rFonts w:ascii="Helvetica Neue" w:hAnsi="Helvetica Neue"/>
          <w:b/>
          <w:bCs/>
          <w:noProof/>
          <w:sz w:val="18"/>
        </w:rPr>
        <w:t>40</w:t>
      </w:r>
      <w:r w:rsidRPr="00E15313">
        <w:rPr>
          <w:rFonts w:ascii="Helvetica Neue" w:hAnsi="Helvetica Neue"/>
          <w:noProof/>
          <w:sz w:val="18"/>
        </w:rPr>
        <w:t>: 179–85.</w:t>
      </w:r>
    </w:p>
    <w:p w14:paraId="4C61396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124</w:t>
      </w:r>
      <w:r w:rsidRPr="00E15313">
        <w:rPr>
          <w:rFonts w:ascii="Helvetica Neue" w:hAnsi="Helvetica Neue"/>
          <w:noProof/>
          <w:sz w:val="18"/>
        </w:rPr>
        <w:tab/>
        <w:t xml:space="preserve">Kissinger P, Mohammed H, Richardson-Alston G, </w:t>
      </w:r>
      <w:r w:rsidRPr="00E15313">
        <w:rPr>
          <w:rFonts w:ascii="Helvetica Neue" w:hAnsi="Helvetica Neue"/>
          <w:i/>
          <w:iCs/>
          <w:noProof/>
          <w:sz w:val="18"/>
        </w:rPr>
        <w:t>et al.</w:t>
      </w:r>
      <w:r w:rsidRPr="00E15313">
        <w:rPr>
          <w:rFonts w:ascii="Helvetica Neue" w:hAnsi="Helvetica Neue"/>
          <w:noProof/>
          <w:sz w:val="18"/>
        </w:rPr>
        <w:t xml:space="preserve"> Patient-delivered partner treatment for male urethritis: a randomized, controlled trial. </w:t>
      </w:r>
      <w:r w:rsidRPr="00E15313">
        <w:rPr>
          <w:rFonts w:ascii="Helvetica Neue" w:hAnsi="Helvetica Neue"/>
          <w:i/>
          <w:iCs/>
          <w:noProof/>
          <w:sz w:val="18"/>
        </w:rPr>
        <w:t>Clin Infect Dis</w:t>
      </w:r>
      <w:r w:rsidRPr="00E15313">
        <w:rPr>
          <w:rFonts w:ascii="Helvetica Neue" w:hAnsi="Helvetica Neue"/>
          <w:noProof/>
          <w:sz w:val="18"/>
        </w:rPr>
        <w:t xml:space="preserve"> 2005; </w:t>
      </w:r>
      <w:r w:rsidRPr="00E15313">
        <w:rPr>
          <w:rFonts w:ascii="Helvetica Neue" w:hAnsi="Helvetica Neue"/>
          <w:b/>
          <w:bCs/>
          <w:noProof/>
          <w:sz w:val="18"/>
        </w:rPr>
        <w:t>41</w:t>
      </w:r>
      <w:r w:rsidRPr="00E15313">
        <w:rPr>
          <w:rFonts w:ascii="Helvetica Neue" w:hAnsi="Helvetica Neue"/>
          <w:noProof/>
          <w:sz w:val="18"/>
        </w:rPr>
        <w:t>: 623–9.</w:t>
      </w:r>
    </w:p>
    <w:p w14:paraId="48E4E4D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125</w:t>
      </w:r>
      <w:r w:rsidRPr="00E15313">
        <w:rPr>
          <w:rFonts w:ascii="Helvetica Neue" w:hAnsi="Helvetica Neue"/>
          <w:noProof/>
          <w:sz w:val="18"/>
        </w:rPr>
        <w:tab/>
        <w:t xml:space="preserve">Shiely F, Hayes K, Thomas KK, </w:t>
      </w:r>
      <w:r w:rsidRPr="00E15313">
        <w:rPr>
          <w:rFonts w:ascii="Helvetica Neue" w:hAnsi="Helvetica Neue"/>
          <w:i/>
          <w:iCs/>
          <w:noProof/>
          <w:sz w:val="18"/>
        </w:rPr>
        <w:t>et al.</w:t>
      </w:r>
      <w:r w:rsidRPr="00E15313">
        <w:rPr>
          <w:rFonts w:ascii="Helvetica Neue" w:hAnsi="Helvetica Neue"/>
          <w:noProof/>
          <w:sz w:val="18"/>
        </w:rPr>
        <w:t xml:space="preserve"> Expedited partner therapy: a robust intervention. </w:t>
      </w:r>
      <w:r w:rsidRPr="00E15313">
        <w:rPr>
          <w:rFonts w:ascii="Helvetica Neue" w:hAnsi="Helvetica Neue"/>
          <w:i/>
          <w:iCs/>
          <w:noProof/>
          <w:sz w:val="18"/>
        </w:rPr>
        <w:t>Sex Transm Dis</w:t>
      </w:r>
      <w:r w:rsidRPr="00E15313">
        <w:rPr>
          <w:rFonts w:ascii="Helvetica Neue" w:hAnsi="Helvetica Neue"/>
          <w:noProof/>
          <w:sz w:val="18"/>
        </w:rPr>
        <w:t xml:space="preserve"> 2010; </w:t>
      </w:r>
      <w:r w:rsidRPr="00E15313">
        <w:rPr>
          <w:rFonts w:ascii="Helvetica Neue" w:hAnsi="Helvetica Neue"/>
          <w:b/>
          <w:bCs/>
          <w:noProof/>
          <w:sz w:val="18"/>
        </w:rPr>
        <w:t>37</w:t>
      </w:r>
      <w:r w:rsidRPr="00E15313">
        <w:rPr>
          <w:rFonts w:ascii="Helvetica Neue" w:hAnsi="Helvetica Neue"/>
          <w:noProof/>
          <w:sz w:val="18"/>
        </w:rPr>
        <w:t>: 602–7.</w:t>
      </w:r>
    </w:p>
    <w:p w14:paraId="102ACDB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126</w:t>
      </w:r>
      <w:r w:rsidRPr="00E15313">
        <w:rPr>
          <w:rFonts w:ascii="Helvetica Neue" w:hAnsi="Helvetica Neue"/>
          <w:noProof/>
          <w:sz w:val="18"/>
        </w:rPr>
        <w:tab/>
        <w:t xml:space="preserve">Okah E, Arya V, Rogers M, Kim M, Schillinger JA. Sentinel Surveillance for Expedited Partner Therapy Prescriptions Using Pharmacy Data, in 2 New York City Neighborhoods, 2015. </w:t>
      </w:r>
      <w:r w:rsidRPr="00E15313">
        <w:rPr>
          <w:rFonts w:ascii="Helvetica Neue" w:hAnsi="Helvetica Neue"/>
          <w:i/>
          <w:iCs/>
          <w:noProof/>
          <w:sz w:val="18"/>
        </w:rPr>
        <w:t>Sex Transm Dis</w:t>
      </w:r>
      <w:r w:rsidRPr="00E15313">
        <w:rPr>
          <w:rFonts w:ascii="Helvetica Neue" w:hAnsi="Helvetica Neue"/>
          <w:noProof/>
          <w:sz w:val="18"/>
        </w:rPr>
        <w:t xml:space="preserve"> 2017; </w:t>
      </w:r>
      <w:r w:rsidRPr="00E15313">
        <w:rPr>
          <w:rFonts w:ascii="Helvetica Neue" w:hAnsi="Helvetica Neue"/>
          <w:b/>
          <w:bCs/>
          <w:noProof/>
          <w:sz w:val="18"/>
        </w:rPr>
        <w:t>44</w:t>
      </w:r>
      <w:r w:rsidRPr="00E15313">
        <w:rPr>
          <w:rFonts w:ascii="Helvetica Neue" w:hAnsi="Helvetica Neue"/>
          <w:noProof/>
          <w:sz w:val="18"/>
        </w:rPr>
        <w:t>: 104–8.</w:t>
      </w:r>
    </w:p>
    <w:p w14:paraId="5522AA44"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127</w:t>
      </w:r>
      <w:r w:rsidRPr="00E15313">
        <w:rPr>
          <w:rFonts w:ascii="Helvetica Neue" w:hAnsi="Helvetica Neue"/>
          <w:noProof/>
          <w:sz w:val="18"/>
        </w:rPr>
        <w:tab/>
        <w:t xml:space="preserve">Stephens SC, Bernstein KT, Katz MH, Philip SS, Klausner JD. The effectiveness of patient-delivered partner therapy and chlamydial and gonococcal reinfection in San Francisco. </w:t>
      </w:r>
      <w:r w:rsidRPr="00E15313">
        <w:rPr>
          <w:rFonts w:ascii="Helvetica Neue" w:hAnsi="Helvetica Neue"/>
          <w:i/>
          <w:iCs/>
          <w:noProof/>
          <w:sz w:val="18"/>
        </w:rPr>
        <w:t>Sex Transm Dis</w:t>
      </w:r>
      <w:r w:rsidRPr="00E15313">
        <w:rPr>
          <w:rFonts w:ascii="Helvetica Neue" w:hAnsi="Helvetica Neue"/>
          <w:noProof/>
          <w:sz w:val="18"/>
        </w:rPr>
        <w:t xml:space="preserve"> 2010; </w:t>
      </w:r>
      <w:r w:rsidRPr="00E15313">
        <w:rPr>
          <w:rFonts w:ascii="Helvetica Neue" w:hAnsi="Helvetica Neue"/>
          <w:b/>
          <w:bCs/>
          <w:noProof/>
          <w:sz w:val="18"/>
        </w:rPr>
        <w:t>37</w:t>
      </w:r>
      <w:r w:rsidRPr="00E15313">
        <w:rPr>
          <w:rFonts w:ascii="Helvetica Neue" w:hAnsi="Helvetica Neue"/>
          <w:noProof/>
          <w:sz w:val="18"/>
        </w:rPr>
        <w:t>: 525–9.</w:t>
      </w:r>
    </w:p>
    <w:p w14:paraId="2DEAC2C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lastRenderedPageBreak/>
        <w:t>128</w:t>
      </w:r>
      <w:r w:rsidRPr="00E15313">
        <w:rPr>
          <w:rFonts w:ascii="Helvetica Neue" w:hAnsi="Helvetica Neue"/>
          <w:noProof/>
          <w:sz w:val="18"/>
        </w:rPr>
        <w:tab/>
        <w:t xml:space="preserve">Kissinger P, Brown R, Reed K, </w:t>
      </w:r>
      <w:r w:rsidRPr="00E15313">
        <w:rPr>
          <w:rFonts w:ascii="Helvetica Neue" w:hAnsi="Helvetica Neue"/>
          <w:i/>
          <w:iCs/>
          <w:noProof/>
          <w:sz w:val="18"/>
        </w:rPr>
        <w:t>et al.</w:t>
      </w:r>
      <w:r w:rsidRPr="00E15313">
        <w:rPr>
          <w:rFonts w:ascii="Helvetica Neue" w:hAnsi="Helvetica Neue"/>
          <w:noProof/>
          <w:sz w:val="18"/>
        </w:rPr>
        <w:t xml:space="preserve"> Effectiveness of patient delivered partner medication for preventing recurrent Chlamydia trachomatis. </w:t>
      </w:r>
      <w:r w:rsidRPr="00E15313">
        <w:rPr>
          <w:rFonts w:ascii="Helvetica Neue" w:hAnsi="Helvetica Neue"/>
          <w:i/>
          <w:iCs/>
          <w:noProof/>
          <w:sz w:val="18"/>
        </w:rPr>
        <w:t>Sex Transm Infect</w:t>
      </w:r>
      <w:r w:rsidRPr="00E15313">
        <w:rPr>
          <w:rFonts w:ascii="Helvetica Neue" w:hAnsi="Helvetica Neue"/>
          <w:noProof/>
          <w:sz w:val="18"/>
        </w:rPr>
        <w:t xml:space="preserve"> 1998; </w:t>
      </w:r>
      <w:r w:rsidRPr="00E15313">
        <w:rPr>
          <w:rFonts w:ascii="Helvetica Neue" w:hAnsi="Helvetica Neue"/>
          <w:b/>
          <w:bCs/>
          <w:noProof/>
          <w:sz w:val="18"/>
        </w:rPr>
        <w:t>74</w:t>
      </w:r>
      <w:r w:rsidRPr="00E15313">
        <w:rPr>
          <w:rFonts w:ascii="Helvetica Neue" w:hAnsi="Helvetica Neue"/>
          <w:noProof/>
          <w:sz w:val="18"/>
        </w:rPr>
        <w:t>: 331–3.</w:t>
      </w:r>
    </w:p>
    <w:p w14:paraId="224012F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129</w:t>
      </w:r>
      <w:r w:rsidRPr="00E15313">
        <w:rPr>
          <w:rFonts w:ascii="Helvetica Neue" w:hAnsi="Helvetica Neue"/>
          <w:noProof/>
          <w:sz w:val="18"/>
        </w:rPr>
        <w:tab/>
        <w:t xml:space="preserve">McNulty A, Teh MF, Freedman E. Patient delivered partner therapy for chlamydial infection--what would be missed? </w:t>
      </w:r>
      <w:r w:rsidRPr="00E15313">
        <w:rPr>
          <w:rFonts w:ascii="Helvetica Neue" w:hAnsi="Helvetica Neue"/>
          <w:i/>
          <w:iCs/>
          <w:noProof/>
          <w:sz w:val="18"/>
        </w:rPr>
        <w:t>Sex Transm Dis</w:t>
      </w:r>
      <w:r w:rsidRPr="00E15313">
        <w:rPr>
          <w:rFonts w:ascii="Helvetica Neue" w:hAnsi="Helvetica Neue"/>
          <w:noProof/>
          <w:sz w:val="18"/>
        </w:rPr>
        <w:t xml:space="preserve"> 2008; </w:t>
      </w:r>
      <w:r w:rsidRPr="00E15313">
        <w:rPr>
          <w:rFonts w:ascii="Helvetica Neue" w:hAnsi="Helvetica Neue"/>
          <w:b/>
          <w:bCs/>
          <w:noProof/>
          <w:sz w:val="18"/>
        </w:rPr>
        <w:t>35</w:t>
      </w:r>
      <w:r w:rsidRPr="00E15313">
        <w:rPr>
          <w:rFonts w:ascii="Helvetica Neue" w:hAnsi="Helvetica Neue"/>
          <w:noProof/>
          <w:sz w:val="18"/>
        </w:rPr>
        <w:t>: 834–6.</w:t>
      </w:r>
    </w:p>
    <w:p w14:paraId="0F24FF3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130</w:t>
      </w:r>
      <w:r w:rsidRPr="00E15313">
        <w:rPr>
          <w:rFonts w:ascii="Helvetica Neue" w:hAnsi="Helvetica Neue"/>
          <w:noProof/>
          <w:sz w:val="18"/>
        </w:rPr>
        <w:tab/>
        <w:t xml:space="preserve">Khan A, Fortenberry JD, Juliar BE, Tu W, Orr DP, Batteiger BE. The prevalence of chlamydia, gonorrhea, and trichomonas in sexual partnerships: implications for partner notification and treatment. </w:t>
      </w:r>
      <w:r w:rsidRPr="00E15313">
        <w:rPr>
          <w:rFonts w:ascii="Helvetica Neue" w:hAnsi="Helvetica Neue"/>
          <w:i/>
          <w:iCs/>
          <w:noProof/>
          <w:sz w:val="18"/>
        </w:rPr>
        <w:t>Sex Transm Dis</w:t>
      </w:r>
      <w:r w:rsidRPr="00E15313">
        <w:rPr>
          <w:rFonts w:ascii="Helvetica Neue" w:hAnsi="Helvetica Neue"/>
          <w:noProof/>
          <w:sz w:val="18"/>
        </w:rPr>
        <w:t xml:space="preserve"> 2005; </w:t>
      </w:r>
      <w:r w:rsidRPr="00E15313">
        <w:rPr>
          <w:rFonts w:ascii="Helvetica Neue" w:hAnsi="Helvetica Neue"/>
          <w:b/>
          <w:bCs/>
          <w:noProof/>
          <w:sz w:val="18"/>
        </w:rPr>
        <w:t>32</w:t>
      </w:r>
      <w:r w:rsidRPr="00E15313">
        <w:rPr>
          <w:rFonts w:ascii="Helvetica Neue" w:hAnsi="Helvetica Neue"/>
          <w:noProof/>
          <w:sz w:val="18"/>
        </w:rPr>
        <w:t>: 260–4.</w:t>
      </w:r>
    </w:p>
    <w:p w14:paraId="196017F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131</w:t>
      </w:r>
      <w:r w:rsidRPr="00E15313">
        <w:rPr>
          <w:rFonts w:ascii="Helvetica Neue" w:hAnsi="Helvetica Neue"/>
          <w:noProof/>
          <w:sz w:val="18"/>
        </w:rPr>
        <w:tab/>
        <w:t xml:space="preserve">Rosenberg ES, Grey JA, Sanchez TH, Sullivan PS. Rates of Prevalent HIV Infection, Prevalent Diagnoses, and New Diagnoses Among Men Who Have Sex With Men in US States, Metropolitan Statistical Areas, and Counties, 2012-2013. </w:t>
      </w:r>
      <w:r w:rsidRPr="00E15313">
        <w:rPr>
          <w:rFonts w:ascii="Helvetica Neue" w:hAnsi="Helvetica Neue"/>
          <w:i/>
          <w:iCs/>
          <w:noProof/>
          <w:sz w:val="18"/>
        </w:rPr>
        <w:t>JMIR public Heal Surveill</w:t>
      </w:r>
      <w:r w:rsidRPr="00E15313">
        <w:rPr>
          <w:rFonts w:ascii="Helvetica Neue" w:hAnsi="Helvetica Neue"/>
          <w:noProof/>
          <w:sz w:val="18"/>
        </w:rPr>
        <w:t xml:space="preserve"> 2016; </w:t>
      </w:r>
      <w:r w:rsidRPr="00E15313">
        <w:rPr>
          <w:rFonts w:ascii="Helvetica Neue" w:hAnsi="Helvetica Neue"/>
          <w:b/>
          <w:bCs/>
          <w:noProof/>
          <w:sz w:val="18"/>
        </w:rPr>
        <w:t>2</w:t>
      </w:r>
      <w:r w:rsidRPr="00E15313">
        <w:rPr>
          <w:rFonts w:ascii="Helvetica Neue" w:hAnsi="Helvetica Neue"/>
          <w:noProof/>
          <w:sz w:val="18"/>
        </w:rPr>
        <w:t>: e22.</w:t>
      </w:r>
    </w:p>
    <w:p w14:paraId="1683DB3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132</w:t>
      </w:r>
      <w:r w:rsidRPr="00E15313">
        <w:rPr>
          <w:rFonts w:ascii="Helvetica Neue" w:hAnsi="Helvetica Neue"/>
          <w:noProof/>
          <w:sz w:val="18"/>
        </w:rPr>
        <w:tab/>
        <w:t xml:space="preserve">Kelley CF, Vaughan AS, Luisi N, </w:t>
      </w:r>
      <w:r w:rsidRPr="00E15313">
        <w:rPr>
          <w:rFonts w:ascii="Helvetica Neue" w:hAnsi="Helvetica Neue"/>
          <w:i/>
          <w:iCs/>
          <w:noProof/>
          <w:sz w:val="18"/>
        </w:rPr>
        <w:t>et al.</w:t>
      </w:r>
      <w:r w:rsidRPr="00E15313">
        <w:rPr>
          <w:rFonts w:ascii="Helvetica Neue" w:hAnsi="Helvetica Neue"/>
          <w:noProof/>
          <w:sz w:val="18"/>
        </w:rPr>
        <w:t xml:space="preserve"> The effect of high rates of bacterial sexually transmitted infections on HIV incidence in a cohort of black and white men who have sex with men in Atlanta, Georgia. </w:t>
      </w:r>
      <w:r w:rsidRPr="00E15313">
        <w:rPr>
          <w:rFonts w:ascii="Helvetica Neue" w:hAnsi="Helvetica Neue"/>
          <w:i/>
          <w:iCs/>
          <w:noProof/>
          <w:sz w:val="18"/>
        </w:rPr>
        <w:t>AIDS Res Hum Retroviruses</w:t>
      </w:r>
      <w:r w:rsidRPr="00E15313">
        <w:rPr>
          <w:rFonts w:ascii="Helvetica Neue" w:hAnsi="Helvetica Neue"/>
          <w:noProof/>
          <w:sz w:val="18"/>
        </w:rPr>
        <w:t xml:space="preserve"> 2015; </w:t>
      </w:r>
      <w:r w:rsidRPr="00E15313">
        <w:rPr>
          <w:rFonts w:ascii="Helvetica Neue" w:hAnsi="Helvetica Neue"/>
          <w:b/>
          <w:bCs/>
          <w:noProof/>
          <w:sz w:val="18"/>
        </w:rPr>
        <w:t>31</w:t>
      </w:r>
      <w:r w:rsidRPr="00E15313">
        <w:rPr>
          <w:rFonts w:ascii="Helvetica Neue" w:hAnsi="Helvetica Neue"/>
          <w:noProof/>
          <w:sz w:val="18"/>
        </w:rPr>
        <w:t>: 587–92.</w:t>
      </w:r>
    </w:p>
    <w:p w14:paraId="5B7D6BD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133</w:t>
      </w:r>
      <w:r w:rsidRPr="00E15313">
        <w:rPr>
          <w:rFonts w:ascii="Helvetica Neue" w:hAnsi="Helvetica Neue"/>
          <w:noProof/>
          <w:sz w:val="18"/>
        </w:rPr>
        <w:tab/>
        <w:t xml:space="preserve">Hernández-Romieu AC, Sullivan PS, Rothenberg R, </w:t>
      </w:r>
      <w:r w:rsidRPr="00E15313">
        <w:rPr>
          <w:rFonts w:ascii="Helvetica Neue" w:hAnsi="Helvetica Neue"/>
          <w:i/>
          <w:iCs/>
          <w:noProof/>
          <w:sz w:val="18"/>
        </w:rPr>
        <w:t>et al.</w:t>
      </w:r>
      <w:r w:rsidRPr="00E15313">
        <w:rPr>
          <w:rFonts w:ascii="Helvetica Neue" w:hAnsi="Helvetica Neue"/>
          <w:noProof/>
          <w:sz w:val="18"/>
        </w:rPr>
        <w:t xml:space="preserve"> Heterogeneity of HIV prevalence among the sexual networks of black and white men who have sex with men in Atlanta: Illuminating a mechanism for increased HIV risk for young black men who have sex with men. </w:t>
      </w:r>
      <w:r w:rsidRPr="00E15313">
        <w:rPr>
          <w:rFonts w:ascii="Helvetica Neue" w:hAnsi="Helvetica Neue"/>
          <w:i/>
          <w:iCs/>
          <w:noProof/>
          <w:sz w:val="18"/>
        </w:rPr>
        <w:t>Sex Transm Dis</w:t>
      </w:r>
      <w:r w:rsidRPr="00E15313">
        <w:rPr>
          <w:rFonts w:ascii="Helvetica Neue" w:hAnsi="Helvetica Neue"/>
          <w:noProof/>
          <w:sz w:val="18"/>
        </w:rPr>
        <w:t xml:space="preserve"> 2015; </w:t>
      </w:r>
      <w:r w:rsidRPr="00E15313">
        <w:rPr>
          <w:rFonts w:ascii="Helvetica Neue" w:hAnsi="Helvetica Neue"/>
          <w:b/>
          <w:bCs/>
          <w:noProof/>
          <w:sz w:val="18"/>
        </w:rPr>
        <w:t>42</w:t>
      </w:r>
      <w:r w:rsidRPr="00E15313">
        <w:rPr>
          <w:rFonts w:ascii="Helvetica Neue" w:hAnsi="Helvetica Neue"/>
          <w:noProof/>
          <w:sz w:val="18"/>
        </w:rPr>
        <w:t>: 505–12.</w:t>
      </w:r>
    </w:p>
    <w:p w14:paraId="759F5DB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134</w:t>
      </w:r>
      <w:r w:rsidRPr="00E15313">
        <w:rPr>
          <w:rFonts w:ascii="Helvetica Neue" w:hAnsi="Helvetica Neue"/>
          <w:noProof/>
          <w:sz w:val="18"/>
        </w:rPr>
        <w:tab/>
        <w:t xml:space="preserve">Korenromp EL, Bakker R, De Vlas SJ, Robinson NJ, Hayes R, Habbema JDF. Can behavior change explain increases in the proportion of genital ulcers attributable to herpes in sub-Saharan Africa? A simulation modeling study. </w:t>
      </w:r>
      <w:r w:rsidRPr="00E15313">
        <w:rPr>
          <w:rFonts w:ascii="Helvetica Neue" w:hAnsi="Helvetica Neue"/>
          <w:i/>
          <w:iCs/>
          <w:noProof/>
          <w:sz w:val="18"/>
        </w:rPr>
        <w:t>Sex Transm Dis</w:t>
      </w:r>
      <w:r w:rsidRPr="00E15313">
        <w:rPr>
          <w:rFonts w:ascii="Helvetica Neue" w:hAnsi="Helvetica Neue"/>
          <w:noProof/>
          <w:sz w:val="18"/>
        </w:rPr>
        <w:t xml:space="preserve"> 2002; </w:t>
      </w:r>
      <w:r w:rsidRPr="00E15313">
        <w:rPr>
          <w:rFonts w:ascii="Helvetica Neue" w:hAnsi="Helvetica Neue"/>
          <w:b/>
          <w:bCs/>
          <w:noProof/>
          <w:sz w:val="18"/>
        </w:rPr>
        <w:t>29</w:t>
      </w:r>
      <w:r w:rsidRPr="00E15313">
        <w:rPr>
          <w:rFonts w:ascii="Helvetica Neue" w:hAnsi="Helvetica Neue"/>
          <w:noProof/>
          <w:sz w:val="18"/>
        </w:rPr>
        <w:t>: 228–38.</w:t>
      </w:r>
    </w:p>
    <w:p w14:paraId="7DDC09C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135</w:t>
      </w:r>
      <w:r w:rsidRPr="00E15313">
        <w:rPr>
          <w:rFonts w:ascii="Helvetica Neue" w:hAnsi="Helvetica Neue"/>
          <w:noProof/>
          <w:sz w:val="18"/>
        </w:rPr>
        <w:tab/>
        <w:t>Centers for Disease Control and Prevention. Guidance on the Use of Expedited Partner Therapy in the Treatment of Gonorrhea. http://www.cdc.gov/std/ept/gc-guidance.htm (accessed Sept 28, 2016).</w:t>
      </w:r>
    </w:p>
    <w:p w14:paraId="7D70FE4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136</w:t>
      </w:r>
      <w:r w:rsidRPr="00E15313">
        <w:rPr>
          <w:rFonts w:ascii="Helvetica Neue" w:hAnsi="Helvetica Neue"/>
          <w:noProof/>
          <w:sz w:val="18"/>
        </w:rPr>
        <w:tab/>
        <w:t xml:space="preserve">Scott HM, Klausner JD. Sexually transmitted infections and pre-exposure prophylaxis: challenges and opportunities among men who have sex with men in the US. </w:t>
      </w:r>
      <w:r w:rsidRPr="00E15313">
        <w:rPr>
          <w:rFonts w:ascii="Helvetica Neue" w:hAnsi="Helvetica Neue"/>
          <w:i/>
          <w:iCs/>
          <w:noProof/>
          <w:sz w:val="18"/>
        </w:rPr>
        <w:t>AIDS Res Ther</w:t>
      </w:r>
      <w:r w:rsidRPr="00E15313">
        <w:rPr>
          <w:rFonts w:ascii="Helvetica Neue" w:hAnsi="Helvetica Neue"/>
          <w:noProof/>
          <w:sz w:val="18"/>
        </w:rPr>
        <w:t xml:space="preserve"> 2016; </w:t>
      </w:r>
      <w:r w:rsidRPr="00E15313">
        <w:rPr>
          <w:rFonts w:ascii="Helvetica Neue" w:hAnsi="Helvetica Neue"/>
          <w:b/>
          <w:bCs/>
          <w:noProof/>
          <w:sz w:val="18"/>
        </w:rPr>
        <w:t>13</w:t>
      </w:r>
      <w:r w:rsidRPr="00E15313">
        <w:rPr>
          <w:rFonts w:ascii="Helvetica Neue" w:hAnsi="Helvetica Neue"/>
          <w:noProof/>
          <w:sz w:val="18"/>
        </w:rPr>
        <w:t>: 5.</w:t>
      </w:r>
    </w:p>
    <w:p w14:paraId="72D7A68F"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137</w:t>
      </w:r>
      <w:r w:rsidRPr="00E15313">
        <w:rPr>
          <w:rFonts w:ascii="Helvetica Neue" w:hAnsi="Helvetica Neue"/>
          <w:noProof/>
          <w:sz w:val="18"/>
        </w:rPr>
        <w:tab/>
        <w:t xml:space="preserve">Gray RT, Hoare A, Prestage GP, Donovan B, Kaldor JM, Wilson DP. Frequent testing of highly sexually active gay men is required to control syphilis. </w:t>
      </w:r>
      <w:r w:rsidRPr="00E15313">
        <w:rPr>
          <w:rFonts w:ascii="Helvetica Neue" w:hAnsi="Helvetica Neue"/>
          <w:i/>
          <w:iCs/>
          <w:noProof/>
          <w:sz w:val="18"/>
        </w:rPr>
        <w:t>Sex Transm Dis</w:t>
      </w:r>
      <w:r w:rsidRPr="00E15313">
        <w:rPr>
          <w:rFonts w:ascii="Helvetica Neue" w:hAnsi="Helvetica Neue"/>
          <w:noProof/>
          <w:sz w:val="18"/>
        </w:rPr>
        <w:t xml:space="preserve"> 2010; </w:t>
      </w:r>
      <w:r w:rsidRPr="00E15313">
        <w:rPr>
          <w:rFonts w:ascii="Helvetica Neue" w:hAnsi="Helvetica Neue"/>
          <w:b/>
          <w:bCs/>
          <w:noProof/>
          <w:sz w:val="18"/>
        </w:rPr>
        <w:t>37</w:t>
      </w:r>
      <w:r w:rsidRPr="00E15313">
        <w:rPr>
          <w:rFonts w:ascii="Helvetica Neue" w:hAnsi="Helvetica Neue"/>
          <w:noProof/>
          <w:sz w:val="18"/>
        </w:rPr>
        <w:t>: 298–305.</w:t>
      </w:r>
    </w:p>
    <w:p w14:paraId="561DA1C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138</w:t>
      </w:r>
      <w:r w:rsidRPr="00E15313">
        <w:rPr>
          <w:rFonts w:ascii="Helvetica Neue" w:hAnsi="Helvetica Neue"/>
          <w:noProof/>
          <w:sz w:val="18"/>
        </w:rPr>
        <w:tab/>
        <w:t xml:space="preserve">Roberts CP, Klausner JD. Global challenges in human immunodeficiency virus and syphilis coinfection among men who have sex with men. </w:t>
      </w:r>
      <w:r w:rsidRPr="00E15313">
        <w:rPr>
          <w:rFonts w:ascii="Helvetica Neue" w:hAnsi="Helvetica Neue"/>
          <w:i/>
          <w:iCs/>
          <w:noProof/>
          <w:sz w:val="18"/>
        </w:rPr>
        <w:t>Expert Rev Anti Infect Ther</w:t>
      </w:r>
      <w:r w:rsidRPr="00E15313">
        <w:rPr>
          <w:rFonts w:ascii="Helvetica Neue" w:hAnsi="Helvetica Neue"/>
          <w:noProof/>
          <w:sz w:val="18"/>
        </w:rPr>
        <w:t xml:space="preserve"> 2016; </w:t>
      </w:r>
      <w:r w:rsidRPr="00E15313">
        <w:rPr>
          <w:rFonts w:ascii="Helvetica Neue" w:hAnsi="Helvetica Neue"/>
          <w:b/>
          <w:bCs/>
          <w:noProof/>
          <w:sz w:val="18"/>
        </w:rPr>
        <w:t>14</w:t>
      </w:r>
      <w:r w:rsidRPr="00E15313">
        <w:rPr>
          <w:rFonts w:ascii="Helvetica Neue" w:hAnsi="Helvetica Neue"/>
          <w:noProof/>
          <w:sz w:val="18"/>
        </w:rPr>
        <w:t>: 1037–46.</w:t>
      </w:r>
    </w:p>
    <w:p w14:paraId="49D4237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139</w:t>
      </w:r>
      <w:r w:rsidRPr="00E15313">
        <w:rPr>
          <w:rFonts w:ascii="Helvetica Neue" w:hAnsi="Helvetica Neue"/>
          <w:noProof/>
          <w:sz w:val="18"/>
        </w:rPr>
        <w:tab/>
        <w:t xml:space="preserve">Ferreira A, Young T, Mathews C, Zunza M, Low N. Strategies for partner notification for sexually transmitted infections, including HIV. </w:t>
      </w:r>
      <w:r w:rsidRPr="00E15313">
        <w:rPr>
          <w:rFonts w:ascii="Helvetica Neue" w:hAnsi="Helvetica Neue"/>
          <w:i/>
          <w:iCs/>
          <w:noProof/>
          <w:sz w:val="18"/>
        </w:rPr>
        <w:t>Cochrane Database Syst Rev</w:t>
      </w:r>
      <w:r w:rsidRPr="00E15313">
        <w:rPr>
          <w:rFonts w:ascii="Helvetica Neue" w:hAnsi="Helvetica Neue"/>
          <w:noProof/>
          <w:sz w:val="18"/>
        </w:rPr>
        <w:t xml:space="preserve"> 2013; published online Oct 3. DOI:10.1002/14651858.CD002843.pub2.</w:t>
      </w:r>
    </w:p>
    <w:p w14:paraId="6A6058D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140</w:t>
      </w:r>
      <w:r w:rsidRPr="00E15313">
        <w:rPr>
          <w:rFonts w:ascii="Helvetica Neue" w:hAnsi="Helvetica Neue"/>
          <w:noProof/>
          <w:sz w:val="18"/>
        </w:rPr>
        <w:tab/>
        <w:t xml:space="preserve">Katz DA, Dombrowski JC, Kerani RP, </w:t>
      </w:r>
      <w:r w:rsidRPr="00E15313">
        <w:rPr>
          <w:rFonts w:ascii="Helvetica Neue" w:hAnsi="Helvetica Neue"/>
          <w:i/>
          <w:iCs/>
          <w:noProof/>
          <w:sz w:val="18"/>
        </w:rPr>
        <w:t>et al.</w:t>
      </w:r>
      <w:r w:rsidRPr="00E15313">
        <w:rPr>
          <w:rFonts w:ascii="Helvetica Neue" w:hAnsi="Helvetica Neue"/>
          <w:noProof/>
          <w:sz w:val="18"/>
        </w:rPr>
        <w:t xml:space="preserve"> Integrating HIV Testing as an Outcome of STD Partner Services for Men Who Have Sex with Men. </w:t>
      </w:r>
      <w:r w:rsidRPr="00E15313">
        <w:rPr>
          <w:rFonts w:ascii="Helvetica Neue" w:hAnsi="Helvetica Neue"/>
          <w:i/>
          <w:iCs/>
          <w:noProof/>
          <w:sz w:val="18"/>
        </w:rPr>
        <w:t>AIDS Patient Care STDS</w:t>
      </w:r>
      <w:r w:rsidRPr="00E15313">
        <w:rPr>
          <w:rFonts w:ascii="Helvetica Neue" w:hAnsi="Helvetica Neue"/>
          <w:noProof/>
          <w:sz w:val="18"/>
        </w:rPr>
        <w:t xml:space="preserve"> 2016; </w:t>
      </w:r>
      <w:r w:rsidRPr="00E15313">
        <w:rPr>
          <w:rFonts w:ascii="Helvetica Neue" w:hAnsi="Helvetica Neue"/>
          <w:b/>
          <w:bCs/>
          <w:noProof/>
          <w:sz w:val="18"/>
        </w:rPr>
        <w:t>30</w:t>
      </w:r>
      <w:r w:rsidRPr="00E15313">
        <w:rPr>
          <w:rFonts w:ascii="Helvetica Neue" w:hAnsi="Helvetica Neue"/>
          <w:noProof/>
          <w:sz w:val="18"/>
        </w:rPr>
        <w:t>: 208–14.</w:t>
      </w:r>
    </w:p>
    <w:p w14:paraId="0D3D82E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141</w:t>
      </w:r>
      <w:r w:rsidRPr="00E15313">
        <w:rPr>
          <w:rFonts w:ascii="Helvetica Neue" w:hAnsi="Helvetica Neue"/>
          <w:noProof/>
          <w:sz w:val="18"/>
        </w:rPr>
        <w:tab/>
        <w:t>Centers for Disease Control and Prevention. Legal Status of Expedited Partner Therapy. http://www.cdc.gov/std/ept/legal/default.htm (accessed Oct 4, 2018).</w:t>
      </w:r>
    </w:p>
    <w:p w14:paraId="0BD2C9DC"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142</w:t>
      </w:r>
      <w:r w:rsidRPr="00E15313">
        <w:rPr>
          <w:rFonts w:ascii="Helvetica Neue" w:hAnsi="Helvetica Neue"/>
          <w:noProof/>
          <w:sz w:val="18"/>
        </w:rPr>
        <w:tab/>
        <w:t xml:space="preserve">Malek AM, Chang C-CH, Clark DB, Cook RL. Delay in Seeking Care for Sexually Transmitted Diseases in Young Men and Women Attending a Public STD Clinic. </w:t>
      </w:r>
      <w:r w:rsidRPr="00E15313">
        <w:rPr>
          <w:rFonts w:ascii="Helvetica Neue" w:hAnsi="Helvetica Neue"/>
          <w:i/>
          <w:iCs/>
          <w:noProof/>
          <w:sz w:val="18"/>
        </w:rPr>
        <w:t>Open AIDS J</w:t>
      </w:r>
      <w:r w:rsidRPr="00E15313">
        <w:rPr>
          <w:rFonts w:ascii="Helvetica Neue" w:hAnsi="Helvetica Neue"/>
          <w:noProof/>
          <w:sz w:val="18"/>
        </w:rPr>
        <w:t xml:space="preserve"> 2013; </w:t>
      </w:r>
      <w:r w:rsidRPr="00E15313">
        <w:rPr>
          <w:rFonts w:ascii="Helvetica Neue" w:hAnsi="Helvetica Neue"/>
          <w:b/>
          <w:bCs/>
          <w:noProof/>
          <w:sz w:val="18"/>
        </w:rPr>
        <w:t>7</w:t>
      </w:r>
      <w:r w:rsidRPr="00E15313">
        <w:rPr>
          <w:rFonts w:ascii="Helvetica Neue" w:hAnsi="Helvetica Neue"/>
          <w:noProof/>
          <w:sz w:val="18"/>
        </w:rPr>
        <w:t>: 7–13.</w:t>
      </w:r>
    </w:p>
    <w:p w14:paraId="3096A16A"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143</w:t>
      </w:r>
      <w:r w:rsidRPr="00E15313">
        <w:rPr>
          <w:rFonts w:ascii="Helvetica Neue" w:hAnsi="Helvetica Neue"/>
          <w:noProof/>
          <w:sz w:val="18"/>
        </w:rPr>
        <w:tab/>
        <w:t xml:space="preserve">Kissinger PJ, Reilly K, Taylor SN, Leichliter JS, Rosenthal S, Martin DH. Early repeat Chlamydia trachomatis and Neisseria gonorrhoeae infections among heterosexual men. </w:t>
      </w:r>
      <w:r w:rsidRPr="00E15313">
        <w:rPr>
          <w:rFonts w:ascii="Helvetica Neue" w:hAnsi="Helvetica Neue"/>
          <w:i/>
          <w:iCs/>
          <w:noProof/>
          <w:sz w:val="18"/>
        </w:rPr>
        <w:t>Sex Transm Dis</w:t>
      </w:r>
      <w:r w:rsidRPr="00E15313">
        <w:rPr>
          <w:rFonts w:ascii="Helvetica Neue" w:hAnsi="Helvetica Neue"/>
          <w:noProof/>
          <w:sz w:val="18"/>
        </w:rPr>
        <w:t xml:space="preserve"> 2009; </w:t>
      </w:r>
      <w:r w:rsidRPr="00E15313">
        <w:rPr>
          <w:rFonts w:ascii="Helvetica Neue" w:hAnsi="Helvetica Neue"/>
          <w:b/>
          <w:bCs/>
          <w:noProof/>
          <w:sz w:val="18"/>
        </w:rPr>
        <w:t>36</w:t>
      </w:r>
      <w:r w:rsidRPr="00E15313">
        <w:rPr>
          <w:rFonts w:ascii="Helvetica Neue" w:hAnsi="Helvetica Neue"/>
          <w:noProof/>
          <w:sz w:val="18"/>
        </w:rPr>
        <w:t>: 498–500.</w:t>
      </w:r>
    </w:p>
    <w:p w14:paraId="1DBB249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144</w:t>
      </w:r>
      <w:r w:rsidRPr="00E15313">
        <w:rPr>
          <w:rFonts w:ascii="Helvetica Neue" w:hAnsi="Helvetica Neue"/>
          <w:noProof/>
          <w:sz w:val="18"/>
        </w:rPr>
        <w:tab/>
        <w:t xml:space="preserve">Bell G, Potterat J. Partner notification for sexually transmitted infections in the modern world: a practitioner perspective on challenges and opportunities. </w:t>
      </w:r>
      <w:r w:rsidRPr="00E15313">
        <w:rPr>
          <w:rFonts w:ascii="Helvetica Neue" w:hAnsi="Helvetica Neue"/>
          <w:i/>
          <w:iCs/>
          <w:noProof/>
          <w:sz w:val="18"/>
        </w:rPr>
        <w:t>Sex Transm Infect</w:t>
      </w:r>
      <w:r w:rsidRPr="00E15313">
        <w:rPr>
          <w:rFonts w:ascii="Helvetica Neue" w:hAnsi="Helvetica Neue"/>
          <w:noProof/>
          <w:sz w:val="18"/>
        </w:rPr>
        <w:t xml:space="preserve"> 2011; </w:t>
      </w:r>
      <w:r w:rsidRPr="00E15313">
        <w:rPr>
          <w:rFonts w:ascii="Helvetica Neue" w:hAnsi="Helvetica Neue"/>
          <w:b/>
          <w:bCs/>
          <w:noProof/>
          <w:sz w:val="18"/>
        </w:rPr>
        <w:t>87 Suppl 2</w:t>
      </w:r>
      <w:r w:rsidRPr="00E15313">
        <w:rPr>
          <w:rFonts w:ascii="Helvetica Neue" w:hAnsi="Helvetica Neue"/>
          <w:noProof/>
          <w:sz w:val="18"/>
        </w:rPr>
        <w:t>: ii34-6.</w:t>
      </w:r>
    </w:p>
    <w:p w14:paraId="2F77A0D4"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145</w:t>
      </w:r>
      <w:r w:rsidRPr="00E15313">
        <w:rPr>
          <w:rFonts w:ascii="Helvetica Neue" w:hAnsi="Helvetica Neue"/>
          <w:noProof/>
          <w:sz w:val="18"/>
        </w:rPr>
        <w:tab/>
        <w:t xml:space="preserve">Katz DA, Dombrowski JC, Bell TR, Kerani RP, Golden MR. HIV Incidence Among Men Who Have Sex With Men After Diagnosis With Sexually Transmitted Infections.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249–54.</w:t>
      </w:r>
    </w:p>
    <w:p w14:paraId="1B61B50B"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146</w:t>
      </w:r>
      <w:r w:rsidRPr="00E15313">
        <w:rPr>
          <w:rFonts w:ascii="Helvetica Neue" w:hAnsi="Helvetica Neue"/>
          <w:noProof/>
          <w:sz w:val="18"/>
        </w:rPr>
        <w:tab/>
        <w:t xml:space="preserve">Stekler J, Bachmann L, Brotman RM, </w:t>
      </w:r>
      <w:r w:rsidRPr="00E15313">
        <w:rPr>
          <w:rFonts w:ascii="Helvetica Neue" w:hAnsi="Helvetica Neue"/>
          <w:i/>
          <w:iCs/>
          <w:noProof/>
          <w:sz w:val="18"/>
        </w:rPr>
        <w:t>et al.</w:t>
      </w:r>
      <w:r w:rsidRPr="00E15313">
        <w:rPr>
          <w:rFonts w:ascii="Helvetica Neue" w:hAnsi="Helvetica Neue"/>
          <w:noProof/>
          <w:sz w:val="18"/>
        </w:rPr>
        <w:t xml:space="preserve"> Concurrent sexually transmitted infections (STIs) in sex partners of patients with selected STIs: implications for patient-delivered partner therapy. </w:t>
      </w:r>
      <w:r w:rsidRPr="00E15313">
        <w:rPr>
          <w:rFonts w:ascii="Helvetica Neue" w:hAnsi="Helvetica Neue"/>
          <w:i/>
          <w:iCs/>
          <w:noProof/>
          <w:sz w:val="18"/>
        </w:rPr>
        <w:t>Clin Infect Dis</w:t>
      </w:r>
      <w:r w:rsidRPr="00E15313">
        <w:rPr>
          <w:rFonts w:ascii="Helvetica Neue" w:hAnsi="Helvetica Neue"/>
          <w:noProof/>
          <w:sz w:val="18"/>
        </w:rPr>
        <w:t xml:space="preserve"> 2005; </w:t>
      </w:r>
      <w:r w:rsidRPr="00E15313">
        <w:rPr>
          <w:rFonts w:ascii="Helvetica Neue" w:hAnsi="Helvetica Neue"/>
          <w:b/>
          <w:bCs/>
          <w:noProof/>
          <w:sz w:val="18"/>
        </w:rPr>
        <w:t>40</w:t>
      </w:r>
      <w:r w:rsidRPr="00E15313">
        <w:rPr>
          <w:rFonts w:ascii="Helvetica Neue" w:hAnsi="Helvetica Neue"/>
          <w:noProof/>
          <w:sz w:val="18"/>
        </w:rPr>
        <w:t>: 787–93.</w:t>
      </w:r>
    </w:p>
    <w:p w14:paraId="0E6B1A2D"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147</w:t>
      </w:r>
      <w:r w:rsidRPr="00E15313">
        <w:rPr>
          <w:rFonts w:ascii="Helvetica Neue" w:hAnsi="Helvetica Neue"/>
          <w:noProof/>
          <w:sz w:val="18"/>
        </w:rPr>
        <w:tab/>
        <w:t xml:space="preserve">Golden MR, Estcourt CS. Barriers to the implementation of expedited partner therapy. </w:t>
      </w:r>
      <w:r w:rsidRPr="00E15313">
        <w:rPr>
          <w:rFonts w:ascii="Helvetica Neue" w:hAnsi="Helvetica Neue"/>
          <w:i/>
          <w:iCs/>
          <w:noProof/>
          <w:sz w:val="18"/>
        </w:rPr>
        <w:t>Sex Transm Infect</w:t>
      </w:r>
      <w:r w:rsidRPr="00E15313">
        <w:rPr>
          <w:rFonts w:ascii="Helvetica Neue" w:hAnsi="Helvetica Neue"/>
          <w:noProof/>
          <w:sz w:val="18"/>
        </w:rPr>
        <w:t xml:space="preserve"> 2011; </w:t>
      </w:r>
      <w:r w:rsidRPr="00E15313">
        <w:rPr>
          <w:rFonts w:ascii="Helvetica Neue" w:hAnsi="Helvetica Neue"/>
          <w:b/>
          <w:bCs/>
          <w:noProof/>
          <w:sz w:val="18"/>
        </w:rPr>
        <w:t>87 Suppl 2</w:t>
      </w:r>
      <w:r w:rsidRPr="00E15313">
        <w:rPr>
          <w:rFonts w:ascii="Helvetica Neue" w:hAnsi="Helvetica Neue"/>
          <w:noProof/>
          <w:sz w:val="18"/>
        </w:rPr>
        <w:t>: ii37-8.</w:t>
      </w:r>
    </w:p>
    <w:p w14:paraId="3DD7E62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148</w:t>
      </w:r>
      <w:r w:rsidRPr="00E15313">
        <w:rPr>
          <w:rFonts w:ascii="Helvetica Neue" w:hAnsi="Helvetica Neue"/>
          <w:noProof/>
          <w:sz w:val="18"/>
        </w:rPr>
        <w:tab/>
        <w:t xml:space="preserve">Turner K, Adams E, Grant A, </w:t>
      </w:r>
      <w:r w:rsidRPr="00E15313">
        <w:rPr>
          <w:rFonts w:ascii="Helvetica Neue" w:hAnsi="Helvetica Neue"/>
          <w:i/>
          <w:iCs/>
          <w:noProof/>
          <w:sz w:val="18"/>
        </w:rPr>
        <w:t>et al.</w:t>
      </w:r>
      <w:r w:rsidRPr="00E15313">
        <w:rPr>
          <w:rFonts w:ascii="Helvetica Neue" w:hAnsi="Helvetica Neue"/>
          <w:noProof/>
          <w:sz w:val="18"/>
        </w:rPr>
        <w:t xml:space="preserve"> Costs and cost effectiveness of different strategies for chlamydia screening and partner notification: an economic and mathematical modelling study. </w:t>
      </w:r>
      <w:r w:rsidRPr="00E15313">
        <w:rPr>
          <w:rFonts w:ascii="Helvetica Neue" w:hAnsi="Helvetica Neue"/>
          <w:i/>
          <w:iCs/>
          <w:noProof/>
          <w:sz w:val="18"/>
        </w:rPr>
        <w:t>BMJ</w:t>
      </w:r>
      <w:r w:rsidRPr="00E15313">
        <w:rPr>
          <w:rFonts w:ascii="Helvetica Neue" w:hAnsi="Helvetica Neue"/>
          <w:noProof/>
          <w:sz w:val="18"/>
        </w:rPr>
        <w:t xml:space="preserve"> 2011; </w:t>
      </w:r>
      <w:r w:rsidRPr="00E15313">
        <w:rPr>
          <w:rFonts w:ascii="Helvetica Neue" w:hAnsi="Helvetica Neue"/>
          <w:b/>
          <w:bCs/>
          <w:noProof/>
          <w:sz w:val="18"/>
        </w:rPr>
        <w:t>342</w:t>
      </w:r>
      <w:r w:rsidRPr="00E15313">
        <w:rPr>
          <w:rFonts w:ascii="Helvetica Neue" w:hAnsi="Helvetica Neue"/>
          <w:noProof/>
          <w:sz w:val="18"/>
        </w:rPr>
        <w:t>: c7250.</w:t>
      </w:r>
    </w:p>
    <w:p w14:paraId="1EA5035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149</w:t>
      </w:r>
      <w:r w:rsidRPr="00E15313">
        <w:rPr>
          <w:rFonts w:ascii="Helvetica Neue" w:hAnsi="Helvetica Neue"/>
          <w:noProof/>
          <w:sz w:val="18"/>
        </w:rPr>
        <w:tab/>
        <w:t xml:space="preserve">Hodge JG, Pulver A, Hogben M, Bhattacharya D, Brown EF, Brown EF. Expedited partner therapy for sexually transmitted diseases: assessing the legal environment. </w:t>
      </w:r>
      <w:r w:rsidRPr="00E15313">
        <w:rPr>
          <w:rFonts w:ascii="Helvetica Neue" w:hAnsi="Helvetica Neue"/>
          <w:i/>
          <w:iCs/>
          <w:noProof/>
          <w:sz w:val="18"/>
        </w:rPr>
        <w:t>Am J Public Health</w:t>
      </w:r>
      <w:r w:rsidRPr="00E15313">
        <w:rPr>
          <w:rFonts w:ascii="Helvetica Neue" w:hAnsi="Helvetica Neue"/>
          <w:noProof/>
          <w:sz w:val="18"/>
        </w:rPr>
        <w:t xml:space="preserve"> 2008; </w:t>
      </w:r>
      <w:r w:rsidRPr="00E15313">
        <w:rPr>
          <w:rFonts w:ascii="Helvetica Neue" w:hAnsi="Helvetica Neue"/>
          <w:b/>
          <w:bCs/>
          <w:noProof/>
          <w:sz w:val="18"/>
        </w:rPr>
        <w:t>98</w:t>
      </w:r>
      <w:r w:rsidRPr="00E15313">
        <w:rPr>
          <w:rFonts w:ascii="Helvetica Neue" w:hAnsi="Helvetica Neue"/>
          <w:noProof/>
          <w:sz w:val="18"/>
        </w:rPr>
        <w:t>: 238–43.</w:t>
      </w:r>
    </w:p>
    <w:p w14:paraId="3B7D0727"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150</w:t>
      </w:r>
      <w:r w:rsidRPr="00E15313">
        <w:rPr>
          <w:rFonts w:ascii="Helvetica Neue" w:hAnsi="Helvetica Neue"/>
          <w:noProof/>
          <w:sz w:val="18"/>
        </w:rPr>
        <w:tab/>
        <w:t>Committee on Gynecologic Practice, Committee on Adolescent Health Care. Expedited Partner Therapy in the Management of Gonorrhea and Chlamydial Infection - ACOG. 2018 https://www.acog.org/Clinical-Guidance-and-Publications/Committee-Opinions/Committee-on-Gynecologic-Practice/Expedited-Partner-Therapy.</w:t>
      </w:r>
    </w:p>
    <w:p w14:paraId="46883D02"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151</w:t>
      </w:r>
      <w:r w:rsidRPr="00E15313">
        <w:rPr>
          <w:rFonts w:ascii="Helvetica Neue" w:hAnsi="Helvetica Neue"/>
          <w:noProof/>
          <w:sz w:val="18"/>
        </w:rPr>
        <w:tab/>
        <w:t xml:space="preserve">Hogben M, Kidd S, Burstein GR. Expedited partner therapy for sexually transmitted infections. </w:t>
      </w:r>
      <w:r w:rsidRPr="00E15313">
        <w:rPr>
          <w:rFonts w:ascii="Helvetica Neue" w:hAnsi="Helvetica Neue"/>
          <w:i/>
          <w:iCs/>
          <w:noProof/>
          <w:sz w:val="18"/>
        </w:rPr>
        <w:t>Curr Opin Obstet Gynecol</w:t>
      </w:r>
      <w:r w:rsidRPr="00E15313">
        <w:rPr>
          <w:rFonts w:ascii="Helvetica Neue" w:hAnsi="Helvetica Neue"/>
          <w:noProof/>
          <w:sz w:val="18"/>
        </w:rPr>
        <w:t xml:space="preserve"> 2012; </w:t>
      </w:r>
      <w:r w:rsidRPr="00E15313">
        <w:rPr>
          <w:rFonts w:ascii="Helvetica Neue" w:hAnsi="Helvetica Neue"/>
          <w:b/>
          <w:bCs/>
          <w:noProof/>
          <w:sz w:val="18"/>
        </w:rPr>
        <w:t>24</w:t>
      </w:r>
      <w:r w:rsidRPr="00E15313">
        <w:rPr>
          <w:rFonts w:ascii="Helvetica Neue" w:hAnsi="Helvetica Neue"/>
          <w:noProof/>
          <w:sz w:val="18"/>
        </w:rPr>
        <w:t>: 299–304.</w:t>
      </w:r>
    </w:p>
    <w:p w14:paraId="73994765"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152</w:t>
      </w:r>
      <w:r w:rsidRPr="00E15313">
        <w:rPr>
          <w:rFonts w:ascii="Helvetica Neue" w:hAnsi="Helvetica Neue"/>
          <w:noProof/>
          <w:sz w:val="18"/>
        </w:rPr>
        <w:tab/>
        <w:t xml:space="preserve">Mercer CH, Sutcliffe L, Johnson AM, </w:t>
      </w:r>
      <w:r w:rsidRPr="00E15313">
        <w:rPr>
          <w:rFonts w:ascii="Helvetica Neue" w:hAnsi="Helvetica Neue"/>
          <w:i/>
          <w:iCs/>
          <w:noProof/>
          <w:sz w:val="18"/>
        </w:rPr>
        <w:t>et al.</w:t>
      </w:r>
      <w:r w:rsidRPr="00E15313">
        <w:rPr>
          <w:rFonts w:ascii="Helvetica Neue" w:hAnsi="Helvetica Neue"/>
          <w:noProof/>
          <w:sz w:val="18"/>
        </w:rPr>
        <w:t xml:space="preserve"> How much do delayed healthcare seeking, delayed care provision, and diversion from primary care contribute to the transmission of STIs? </w:t>
      </w:r>
      <w:r w:rsidRPr="00E15313">
        <w:rPr>
          <w:rFonts w:ascii="Helvetica Neue" w:hAnsi="Helvetica Neue"/>
          <w:i/>
          <w:iCs/>
          <w:noProof/>
          <w:sz w:val="18"/>
        </w:rPr>
        <w:t>Sex Transm Infect</w:t>
      </w:r>
      <w:r w:rsidRPr="00E15313">
        <w:rPr>
          <w:rFonts w:ascii="Helvetica Neue" w:hAnsi="Helvetica Neue"/>
          <w:noProof/>
          <w:sz w:val="18"/>
        </w:rPr>
        <w:t xml:space="preserve"> 2007; </w:t>
      </w:r>
      <w:r w:rsidRPr="00E15313">
        <w:rPr>
          <w:rFonts w:ascii="Helvetica Neue" w:hAnsi="Helvetica Neue"/>
          <w:b/>
          <w:bCs/>
          <w:noProof/>
          <w:sz w:val="18"/>
        </w:rPr>
        <w:t>83</w:t>
      </w:r>
      <w:r w:rsidRPr="00E15313">
        <w:rPr>
          <w:rFonts w:ascii="Helvetica Neue" w:hAnsi="Helvetica Neue"/>
          <w:noProof/>
          <w:sz w:val="18"/>
        </w:rPr>
        <w:t>: 400–5.</w:t>
      </w:r>
    </w:p>
    <w:p w14:paraId="5A54ED7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lastRenderedPageBreak/>
        <w:t>153</w:t>
      </w:r>
      <w:r w:rsidRPr="00E15313">
        <w:rPr>
          <w:rFonts w:ascii="Helvetica Neue" w:hAnsi="Helvetica Neue"/>
          <w:noProof/>
          <w:sz w:val="18"/>
        </w:rPr>
        <w:tab/>
        <w:t xml:space="preserve">Trelle S, Shang A, Nartey L, Cassell J a, Low N. Improved effectiveness of partner notification for patients with sexually transmitted infections: systematic review. </w:t>
      </w:r>
      <w:r w:rsidRPr="00E15313">
        <w:rPr>
          <w:rFonts w:ascii="Helvetica Neue" w:hAnsi="Helvetica Neue"/>
          <w:i/>
          <w:iCs/>
          <w:noProof/>
          <w:sz w:val="18"/>
        </w:rPr>
        <w:t>BMJ</w:t>
      </w:r>
      <w:r w:rsidRPr="00E15313">
        <w:rPr>
          <w:rFonts w:ascii="Helvetica Neue" w:hAnsi="Helvetica Neue"/>
          <w:noProof/>
          <w:sz w:val="18"/>
        </w:rPr>
        <w:t xml:space="preserve"> 2007; </w:t>
      </w:r>
      <w:r w:rsidRPr="00E15313">
        <w:rPr>
          <w:rFonts w:ascii="Helvetica Neue" w:hAnsi="Helvetica Neue"/>
          <w:b/>
          <w:bCs/>
          <w:noProof/>
          <w:sz w:val="18"/>
        </w:rPr>
        <w:t>334</w:t>
      </w:r>
      <w:r w:rsidRPr="00E15313">
        <w:rPr>
          <w:rFonts w:ascii="Helvetica Neue" w:hAnsi="Helvetica Neue"/>
          <w:noProof/>
          <w:sz w:val="18"/>
        </w:rPr>
        <w:t>: 354.</w:t>
      </w:r>
    </w:p>
    <w:p w14:paraId="0725FCB8"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154</w:t>
      </w:r>
      <w:r w:rsidRPr="00E15313">
        <w:rPr>
          <w:rFonts w:ascii="Helvetica Neue" w:hAnsi="Helvetica Neue"/>
          <w:noProof/>
          <w:sz w:val="18"/>
        </w:rPr>
        <w:tab/>
        <w:t>Katz D. STD Partner Services to Monitor and Promote PrEP Use among Men who have sex with men. In: Conference on Retroviruses and Opportunistic Infections (CROI). 2017.</w:t>
      </w:r>
    </w:p>
    <w:p w14:paraId="575CCB33"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155</w:t>
      </w:r>
      <w:r w:rsidRPr="00E15313">
        <w:rPr>
          <w:rFonts w:ascii="Helvetica Neue" w:hAnsi="Helvetica Neue"/>
          <w:noProof/>
          <w:sz w:val="18"/>
        </w:rPr>
        <w:tab/>
        <w:t>Reid A, Rogers ME, Arya V, Edelstein ZR, Schillinger JA. Pharmacists</w:t>
      </w:r>
      <w:r w:rsidRPr="00E15313">
        <w:rPr>
          <w:noProof/>
          <w:sz w:val="18"/>
        </w:rPr>
        <w:t>ʼ</w:t>
      </w:r>
      <w:r w:rsidRPr="00E15313">
        <w:rPr>
          <w:rFonts w:ascii="Helvetica Neue" w:hAnsi="Helvetica Neue"/>
          <w:noProof/>
          <w:sz w:val="18"/>
        </w:rPr>
        <w:t xml:space="preserve"> Knowledge and Practices Surrounding Expedited Partner Therapy for Chlamydia trachomatis, New York City, 2012 and 2014.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679–84.</w:t>
      </w:r>
    </w:p>
    <w:p w14:paraId="1DEC51C0"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156</w:t>
      </w:r>
      <w:r w:rsidRPr="00E15313">
        <w:rPr>
          <w:rFonts w:ascii="Helvetica Neue" w:hAnsi="Helvetica Neue"/>
          <w:noProof/>
          <w:sz w:val="18"/>
        </w:rPr>
        <w:tab/>
        <w:t xml:space="preserve">Tan WS, Chen M, Ivan M, </w:t>
      </w:r>
      <w:r w:rsidRPr="00E15313">
        <w:rPr>
          <w:rFonts w:ascii="Helvetica Neue" w:hAnsi="Helvetica Neue"/>
          <w:i/>
          <w:iCs/>
          <w:noProof/>
          <w:sz w:val="18"/>
        </w:rPr>
        <w:t>et al.</w:t>
      </w:r>
      <w:r w:rsidRPr="00E15313">
        <w:rPr>
          <w:rFonts w:ascii="Helvetica Neue" w:hAnsi="Helvetica Neue"/>
          <w:noProof/>
          <w:sz w:val="18"/>
        </w:rPr>
        <w:t xml:space="preserve"> Partner Notification Outcomes for Men Who Have Sex With Men Diagnosed With Syphilis Referred to Partner Notification Officers, Melbourne, Australia. </w:t>
      </w:r>
      <w:r w:rsidRPr="00E15313">
        <w:rPr>
          <w:rFonts w:ascii="Helvetica Neue" w:hAnsi="Helvetica Neue"/>
          <w:i/>
          <w:iCs/>
          <w:noProof/>
          <w:sz w:val="18"/>
        </w:rPr>
        <w:t>Sex Transm Dis</w:t>
      </w:r>
      <w:r w:rsidRPr="00E15313">
        <w:rPr>
          <w:rFonts w:ascii="Helvetica Neue" w:hAnsi="Helvetica Neue"/>
          <w:noProof/>
          <w:sz w:val="18"/>
        </w:rPr>
        <w:t xml:space="preserve"> 2016; </w:t>
      </w:r>
      <w:r w:rsidRPr="00E15313">
        <w:rPr>
          <w:rFonts w:ascii="Helvetica Neue" w:hAnsi="Helvetica Neue"/>
          <w:b/>
          <w:bCs/>
          <w:noProof/>
          <w:sz w:val="18"/>
        </w:rPr>
        <w:t>43</w:t>
      </w:r>
      <w:r w:rsidRPr="00E15313">
        <w:rPr>
          <w:rFonts w:ascii="Helvetica Neue" w:hAnsi="Helvetica Neue"/>
          <w:noProof/>
          <w:sz w:val="18"/>
        </w:rPr>
        <w:t>: 685–9.</w:t>
      </w:r>
    </w:p>
    <w:p w14:paraId="0E08EDA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157</w:t>
      </w:r>
      <w:r w:rsidRPr="00E15313">
        <w:rPr>
          <w:rFonts w:ascii="Helvetica Neue" w:hAnsi="Helvetica Neue"/>
          <w:noProof/>
          <w:sz w:val="18"/>
        </w:rPr>
        <w:tab/>
        <w:t xml:space="preserve">Introcaso CE, Rogers ME, Abbott SA, Gorwitz RJ, Markowitz LE, Schillinger JA. Expedited Partner Therapy in Federally Qualified Health Centers—New York City, 2012. </w:t>
      </w:r>
      <w:r w:rsidRPr="00E15313">
        <w:rPr>
          <w:rFonts w:ascii="Helvetica Neue" w:hAnsi="Helvetica Neue"/>
          <w:i/>
          <w:iCs/>
          <w:noProof/>
          <w:sz w:val="18"/>
        </w:rPr>
        <w:t>Sex Transm Dis</w:t>
      </w:r>
      <w:r w:rsidRPr="00E15313">
        <w:rPr>
          <w:rFonts w:ascii="Helvetica Neue" w:hAnsi="Helvetica Neue"/>
          <w:noProof/>
          <w:sz w:val="18"/>
        </w:rPr>
        <w:t xml:space="preserve"> 2013; </w:t>
      </w:r>
      <w:r w:rsidRPr="00E15313">
        <w:rPr>
          <w:rFonts w:ascii="Helvetica Neue" w:hAnsi="Helvetica Neue"/>
          <w:b/>
          <w:bCs/>
          <w:noProof/>
          <w:sz w:val="18"/>
        </w:rPr>
        <w:t>40</w:t>
      </w:r>
      <w:r w:rsidRPr="00E15313">
        <w:rPr>
          <w:rFonts w:ascii="Helvetica Neue" w:hAnsi="Helvetica Neue"/>
          <w:noProof/>
          <w:sz w:val="18"/>
        </w:rPr>
        <w:t>: 881–5.</w:t>
      </w:r>
    </w:p>
    <w:p w14:paraId="0791A3F1"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158</w:t>
      </w:r>
      <w:r w:rsidRPr="00E15313">
        <w:rPr>
          <w:rFonts w:ascii="Helvetica Neue" w:hAnsi="Helvetica Neue"/>
          <w:noProof/>
          <w:sz w:val="18"/>
        </w:rPr>
        <w:tab/>
        <w:t xml:space="preserve">Kissinger PJ. The Challenges of Implementing and Evaluating Prescription Expedited Partner Treatment. </w:t>
      </w:r>
      <w:r w:rsidRPr="00E15313">
        <w:rPr>
          <w:rFonts w:ascii="Helvetica Neue" w:hAnsi="Helvetica Neue"/>
          <w:i/>
          <w:iCs/>
          <w:noProof/>
          <w:sz w:val="18"/>
        </w:rPr>
        <w:t>Sex Transm Dis</w:t>
      </w:r>
      <w:r w:rsidRPr="00E15313">
        <w:rPr>
          <w:rFonts w:ascii="Helvetica Neue" w:hAnsi="Helvetica Neue"/>
          <w:noProof/>
          <w:sz w:val="18"/>
        </w:rPr>
        <w:t xml:space="preserve"> 2017; </w:t>
      </w:r>
      <w:r w:rsidRPr="00E15313">
        <w:rPr>
          <w:rFonts w:ascii="Helvetica Neue" w:hAnsi="Helvetica Neue"/>
          <w:b/>
          <w:bCs/>
          <w:noProof/>
          <w:sz w:val="18"/>
        </w:rPr>
        <w:t>44</w:t>
      </w:r>
      <w:r w:rsidRPr="00E15313">
        <w:rPr>
          <w:rFonts w:ascii="Helvetica Neue" w:hAnsi="Helvetica Neue"/>
          <w:noProof/>
          <w:sz w:val="18"/>
        </w:rPr>
        <w:t>: 109–10.</w:t>
      </w:r>
    </w:p>
    <w:p w14:paraId="794B1596"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159</w:t>
      </w:r>
      <w:r w:rsidRPr="00E15313">
        <w:rPr>
          <w:rFonts w:ascii="Helvetica Neue" w:hAnsi="Helvetica Neue"/>
          <w:noProof/>
          <w:sz w:val="18"/>
        </w:rPr>
        <w:tab/>
        <w:t xml:space="preserve">Kojima N, Davey DJ, Klausner JD. Pre-exposure prophylaxis for HIV infection and new sexually transmitted infections among men who have sex with men. </w:t>
      </w:r>
      <w:r w:rsidRPr="00E15313">
        <w:rPr>
          <w:rFonts w:ascii="Helvetica Neue" w:hAnsi="Helvetica Neue"/>
          <w:i/>
          <w:iCs/>
          <w:noProof/>
          <w:sz w:val="18"/>
        </w:rPr>
        <w:t>AIDS</w:t>
      </w:r>
      <w:r w:rsidRPr="00E15313">
        <w:rPr>
          <w:rFonts w:ascii="Helvetica Neue" w:hAnsi="Helvetica Neue"/>
          <w:noProof/>
          <w:sz w:val="18"/>
        </w:rPr>
        <w:t xml:space="preserve"> 2016; </w:t>
      </w:r>
      <w:r w:rsidRPr="00E15313">
        <w:rPr>
          <w:rFonts w:ascii="Helvetica Neue" w:hAnsi="Helvetica Neue"/>
          <w:b/>
          <w:bCs/>
          <w:noProof/>
          <w:sz w:val="18"/>
        </w:rPr>
        <w:t>30</w:t>
      </w:r>
      <w:r w:rsidRPr="00E15313">
        <w:rPr>
          <w:rFonts w:ascii="Helvetica Neue" w:hAnsi="Helvetica Neue"/>
          <w:noProof/>
          <w:sz w:val="18"/>
        </w:rPr>
        <w:t>: 2251–2.</w:t>
      </w:r>
    </w:p>
    <w:p w14:paraId="50880ECE"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160</w:t>
      </w:r>
      <w:r w:rsidRPr="00E15313">
        <w:rPr>
          <w:rFonts w:ascii="Helvetica Neue" w:hAnsi="Helvetica Neue"/>
          <w:noProof/>
          <w:sz w:val="18"/>
        </w:rPr>
        <w:tab/>
        <w:t xml:space="preserve">Stenger MR, Pathela P, Anschuetz G, </w:t>
      </w:r>
      <w:r w:rsidRPr="00E15313">
        <w:rPr>
          <w:rFonts w:ascii="Helvetica Neue" w:hAnsi="Helvetica Neue"/>
          <w:i/>
          <w:iCs/>
          <w:noProof/>
          <w:sz w:val="18"/>
        </w:rPr>
        <w:t>et al.</w:t>
      </w:r>
      <w:r w:rsidRPr="00E15313">
        <w:rPr>
          <w:rFonts w:ascii="Helvetica Neue" w:hAnsi="Helvetica Neue"/>
          <w:noProof/>
          <w:sz w:val="18"/>
        </w:rPr>
        <w:t xml:space="preserve"> Increases in the Rate of Neisseria gonorrhoeae Among Gay, Bisexual and Other Men Who Have Sex With Men: Findings From the Sexually Transmitted Disease Surveillance Network 2010-2015. </w:t>
      </w:r>
      <w:r w:rsidRPr="00E15313">
        <w:rPr>
          <w:rFonts w:ascii="Helvetica Neue" w:hAnsi="Helvetica Neue"/>
          <w:i/>
          <w:iCs/>
          <w:noProof/>
          <w:sz w:val="18"/>
        </w:rPr>
        <w:t>Sex Transm Dis</w:t>
      </w:r>
      <w:r w:rsidRPr="00E15313">
        <w:rPr>
          <w:rFonts w:ascii="Helvetica Neue" w:hAnsi="Helvetica Neue"/>
          <w:noProof/>
          <w:sz w:val="18"/>
        </w:rPr>
        <w:t xml:space="preserve"> 2017; </w:t>
      </w:r>
      <w:r w:rsidRPr="00E15313">
        <w:rPr>
          <w:rFonts w:ascii="Helvetica Neue" w:hAnsi="Helvetica Neue"/>
          <w:b/>
          <w:bCs/>
          <w:noProof/>
          <w:sz w:val="18"/>
        </w:rPr>
        <w:t>44</w:t>
      </w:r>
      <w:r w:rsidRPr="00E15313">
        <w:rPr>
          <w:rFonts w:ascii="Helvetica Neue" w:hAnsi="Helvetica Neue"/>
          <w:noProof/>
          <w:sz w:val="18"/>
        </w:rPr>
        <w:t>: 393–7.</w:t>
      </w:r>
    </w:p>
    <w:p w14:paraId="0EACE3A9" w14:textId="77777777" w:rsidR="00E15313" w:rsidRPr="00E15313" w:rsidRDefault="00E15313" w:rsidP="00E15313">
      <w:pPr>
        <w:widowControl w:val="0"/>
        <w:autoSpaceDE w:val="0"/>
        <w:autoSpaceDN w:val="0"/>
        <w:adjustRightInd w:val="0"/>
        <w:spacing w:after="60"/>
        <w:ind w:left="640" w:hanging="640"/>
        <w:rPr>
          <w:rFonts w:ascii="Helvetica Neue" w:hAnsi="Helvetica Neue"/>
          <w:noProof/>
          <w:sz w:val="18"/>
        </w:rPr>
      </w:pPr>
      <w:r w:rsidRPr="00E15313">
        <w:rPr>
          <w:rFonts w:ascii="Helvetica Neue" w:hAnsi="Helvetica Neue"/>
          <w:noProof/>
          <w:sz w:val="18"/>
        </w:rPr>
        <w:t>161</w:t>
      </w:r>
      <w:r w:rsidRPr="00E15313">
        <w:rPr>
          <w:rFonts w:ascii="Helvetica Neue" w:hAnsi="Helvetica Neue"/>
          <w:noProof/>
          <w:sz w:val="18"/>
        </w:rPr>
        <w:tab/>
        <w:t xml:space="preserve">Toni T, Welch D, Strelkowa N, </w:t>
      </w:r>
      <w:r w:rsidRPr="00E15313">
        <w:rPr>
          <w:rFonts w:ascii="Helvetica Neue" w:hAnsi="Helvetica Neue"/>
          <w:i/>
          <w:iCs/>
          <w:noProof/>
          <w:sz w:val="18"/>
        </w:rPr>
        <w:t>et al.</w:t>
      </w:r>
      <w:r w:rsidRPr="00E15313">
        <w:rPr>
          <w:rFonts w:ascii="Helvetica Neue" w:hAnsi="Helvetica Neue"/>
          <w:noProof/>
          <w:sz w:val="18"/>
        </w:rPr>
        <w:t xml:space="preserve"> Approximate Bayesian computation scheme for parameter inference and model selection in dynamical systems. </w:t>
      </w:r>
      <w:r w:rsidRPr="00E15313">
        <w:rPr>
          <w:rFonts w:ascii="Helvetica Neue" w:hAnsi="Helvetica Neue"/>
          <w:i/>
          <w:iCs/>
          <w:noProof/>
          <w:sz w:val="18"/>
        </w:rPr>
        <w:t>J R Soc Interface</w:t>
      </w:r>
      <w:r w:rsidRPr="00E15313">
        <w:rPr>
          <w:rFonts w:ascii="Helvetica Neue" w:hAnsi="Helvetica Neue"/>
          <w:noProof/>
          <w:sz w:val="18"/>
        </w:rPr>
        <w:t xml:space="preserve"> 2009; </w:t>
      </w:r>
      <w:r w:rsidRPr="00E15313">
        <w:rPr>
          <w:rFonts w:ascii="Helvetica Neue" w:hAnsi="Helvetica Neue"/>
          <w:b/>
          <w:bCs/>
          <w:noProof/>
          <w:sz w:val="18"/>
        </w:rPr>
        <w:t>6</w:t>
      </w:r>
      <w:r w:rsidRPr="00E15313">
        <w:rPr>
          <w:rFonts w:ascii="Helvetica Neue" w:hAnsi="Helvetica Neue"/>
          <w:noProof/>
          <w:sz w:val="18"/>
        </w:rPr>
        <w:t>: 187–202.</w:t>
      </w:r>
    </w:p>
    <w:p w14:paraId="16F9B38C" w14:textId="6B17AE1C" w:rsidR="00A415D4" w:rsidRPr="0024409C" w:rsidRDefault="003604D9" w:rsidP="004017C2">
      <w:pPr>
        <w:widowControl w:val="0"/>
        <w:autoSpaceDE w:val="0"/>
        <w:autoSpaceDN w:val="0"/>
        <w:adjustRightInd w:val="0"/>
        <w:spacing w:after="60"/>
        <w:ind w:left="640" w:hanging="640"/>
        <w:rPr>
          <w:rFonts w:ascii="Helvetica Neue" w:hAnsi="Helvetica Neue"/>
          <w:sz w:val="18"/>
          <w:szCs w:val="18"/>
        </w:rPr>
      </w:pPr>
      <w:r w:rsidRPr="0024409C">
        <w:rPr>
          <w:rFonts w:ascii="Helvetica Neue" w:hAnsi="Helvetica Neue"/>
          <w:sz w:val="18"/>
          <w:szCs w:val="18"/>
        </w:rPr>
        <w:fldChar w:fldCharType="end"/>
      </w:r>
    </w:p>
    <w:sectPr w:rsidR="00A415D4" w:rsidRPr="0024409C" w:rsidSect="00CD34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B403A0" w14:textId="77777777" w:rsidR="002A49DF" w:rsidRDefault="002A49DF" w:rsidP="00770CE3">
      <w:r>
        <w:separator/>
      </w:r>
    </w:p>
  </w:endnote>
  <w:endnote w:type="continuationSeparator" w:id="0">
    <w:p w14:paraId="26C004D4" w14:textId="77777777" w:rsidR="002A49DF" w:rsidRDefault="002A49DF" w:rsidP="00770CE3">
      <w:r>
        <w:continuationSeparator/>
      </w:r>
    </w:p>
  </w:endnote>
  <w:endnote w:type="continuationNotice" w:id="1">
    <w:p w14:paraId="438304C5" w14:textId="77777777" w:rsidR="002A49DF" w:rsidRDefault="002A4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8723F" w14:textId="77777777" w:rsidR="00A468E9" w:rsidRDefault="00A468E9" w:rsidP="0008423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E3B0E8" w14:textId="77777777" w:rsidR="00A468E9" w:rsidRDefault="00A468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AC7E" w14:textId="26822104" w:rsidR="00A468E9" w:rsidRPr="00770CE3" w:rsidRDefault="00A468E9" w:rsidP="0008423B">
    <w:pPr>
      <w:pStyle w:val="Footer"/>
      <w:framePr w:wrap="none" w:vAnchor="text" w:hAnchor="margin" w:xAlign="center" w:y="1"/>
      <w:rPr>
        <w:rStyle w:val="PageNumber"/>
        <w:sz w:val="18"/>
      </w:rPr>
    </w:pPr>
    <w:r w:rsidRPr="00770CE3">
      <w:rPr>
        <w:rStyle w:val="PageNumber"/>
        <w:sz w:val="18"/>
      </w:rPr>
      <w:fldChar w:fldCharType="begin"/>
    </w:r>
    <w:r w:rsidRPr="00770CE3">
      <w:rPr>
        <w:rStyle w:val="PageNumber"/>
        <w:sz w:val="18"/>
      </w:rPr>
      <w:instrText xml:space="preserve">PAGE  </w:instrText>
    </w:r>
    <w:r w:rsidRPr="00770CE3">
      <w:rPr>
        <w:rStyle w:val="PageNumber"/>
        <w:sz w:val="18"/>
      </w:rPr>
      <w:fldChar w:fldCharType="separate"/>
    </w:r>
    <w:r w:rsidR="005F60F0">
      <w:rPr>
        <w:rStyle w:val="PageNumber"/>
        <w:noProof/>
        <w:sz w:val="18"/>
      </w:rPr>
      <w:t>45</w:t>
    </w:r>
    <w:r w:rsidRPr="00770CE3">
      <w:rPr>
        <w:rStyle w:val="PageNumber"/>
        <w:sz w:val="18"/>
      </w:rPr>
      <w:fldChar w:fldCharType="end"/>
    </w:r>
  </w:p>
  <w:p w14:paraId="0CEB18E5" w14:textId="77777777" w:rsidR="00A468E9" w:rsidRDefault="00A46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2EC4" w14:textId="77777777" w:rsidR="002A49DF" w:rsidRDefault="002A49DF" w:rsidP="00770CE3">
      <w:r>
        <w:separator/>
      </w:r>
    </w:p>
  </w:footnote>
  <w:footnote w:type="continuationSeparator" w:id="0">
    <w:p w14:paraId="656FD48D" w14:textId="77777777" w:rsidR="002A49DF" w:rsidRDefault="002A49DF" w:rsidP="00770CE3">
      <w:r>
        <w:continuationSeparator/>
      </w:r>
    </w:p>
  </w:footnote>
  <w:footnote w:type="continuationNotice" w:id="1">
    <w:p w14:paraId="658A287D" w14:textId="77777777" w:rsidR="002A49DF" w:rsidRDefault="002A49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34DCC" w14:textId="77777777" w:rsidR="00CC6CB6" w:rsidRDefault="00CC6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F62"/>
    <w:multiLevelType w:val="hybridMultilevel"/>
    <w:tmpl w:val="D0E81486"/>
    <w:lvl w:ilvl="0" w:tplc="4D682188">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F4406"/>
    <w:multiLevelType w:val="hybridMultilevel"/>
    <w:tmpl w:val="BA4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645AD"/>
    <w:multiLevelType w:val="hybridMultilevel"/>
    <w:tmpl w:val="3E4A14E0"/>
    <w:lvl w:ilvl="0" w:tplc="B8BA66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FF3F46"/>
    <w:multiLevelType w:val="hybridMultilevel"/>
    <w:tmpl w:val="F03CAD50"/>
    <w:lvl w:ilvl="0" w:tplc="64C2BE7E">
      <w:start w:val="1"/>
      <w:numFmt w:val="bullet"/>
      <w:lvlText w:val=""/>
      <w:lvlJc w:val="left"/>
      <w:pPr>
        <w:ind w:left="720" w:hanging="360"/>
      </w:pPr>
      <w:rPr>
        <w:rFonts w:ascii="Symbol" w:hAnsi="Symbol"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E53F22"/>
    <w:multiLevelType w:val="multilevel"/>
    <w:tmpl w:val="EDD6E956"/>
    <w:lvl w:ilvl="0">
      <w:start w:val="14"/>
      <w:numFmt w:val="decimal"/>
      <w:lvlText w:val="%1"/>
      <w:lvlJc w:val="left"/>
      <w:pPr>
        <w:ind w:left="384" w:hanging="384"/>
      </w:pPr>
      <w:rPr>
        <w:rFonts w:hint="default"/>
        <w:i/>
        <w:color w:val="auto"/>
      </w:rPr>
    </w:lvl>
    <w:lvl w:ilvl="1">
      <w:start w:val="6"/>
      <w:numFmt w:val="decimal"/>
      <w:lvlText w:val="%1.%2"/>
      <w:lvlJc w:val="left"/>
      <w:pPr>
        <w:ind w:left="384" w:hanging="384"/>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440" w:hanging="1440"/>
      </w:pPr>
      <w:rPr>
        <w:rFonts w:hint="default"/>
        <w:i/>
        <w:color w:val="auto"/>
      </w:rPr>
    </w:lvl>
  </w:abstractNum>
  <w:abstractNum w:abstractNumId="5">
    <w:nsid w:val="07667D8D"/>
    <w:multiLevelType w:val="hybridMultilevel"/>
    <w:tmpl w:val="A62C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9503BB"/>
    <w:multiLevelType w:val="multilevel"/>
    <w:tmpl w:val="B4E08B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6178D8"/>
    <w:multiLevelType w:val="hybridMultilevel"/>
    <w:tmpl w:val="F94C6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143A24"/>
    <w:multiLevelType w:val="hybridMultilevel"/>
    <w:tmpl w:val="47389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D2D57"/>
    <w:multiLevelType w:val="hybridMultilevel"/>
    <w:tmpl w:val="50DA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456485"/>
    <w:multiLevelType w:val="hybridMultilevel"/>
    <w:tmpl w:val="217C09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8B2BBC"/>
    <w:multiLevelType w:val="multilevel"/>
    <w:tmpl w:val="EA2C182C"/>
    <w:lvl w:ilvl="0">
      <w:start w:val="1"/>
      <w:numFmt w:val="bullet"/>
      <w:lvlText w:val="-"/>
      <w:lvlJc w:val="left"/>
      <w:pPr>
        <w:ind w:left="398" w:hanging="360"/>
      </w:pPr>
      <w:rPr>
        <w:rFonts w:ascii="Calibri" w:eastAsiaTheme="minorHAnsi" w:hAnsi="Calibri" w:cs="Times New Roman" w:hint="default"/>
      </w:rPr>
    </w:lvl>
    <w:lvl w:ilvl="1">
      <w:start w:val="1"/>
      <w:numFmt w:val="bullet"/>
      <w:lvlText w:val="o"/>
      <w:lvlJc w:val="left"/>
      <w:pPr>
        <w:ind w:left="1118" w:hanging="360"/>
      </w:pPr>
      <w:rPr>
        <w:rFonts w:ascii="Courier New" w:hAnsi="Courier New" w:cs="Courier New" w:hint="default"/>
      </w:rPr>
    </w:lvl>
    <w:lvl w:ilvl="2">
      <w:start w:val="1"/>
      <w:numFmt w:val="bullet"/>
      <w:lvlText w:val=""/>
      <w:lvlJc w:val="left"/>
      <w:pPr>
        <w:ind w:left="1838" w:hanging="360"/>
      </w:pPr>
      <w:rPr>
        <w:rFonts w:ascii="Wingdings" w:hAnsi="Wingdings" w:hint="default"/>
      </w:rPr>
    </w:lvl>
    <w:lvl w:ilvl="3">
      <w:start w:val="1"/>
      <w:numFmt w:val="bullet"/>
      <w:lvlText w:val=""/>
      <w:lvlJc w:val="left"/>
      <w:pPr>
        <w:ind w:left="2558" w:hanging="360"/>
      </w:pPr>
      <w:rPr>
        <w:rFonts w:ascii="Symbol" w:hAnsi="Symbol" w:hint="default"/>
      </w:rPr>
    </w:lvl>
    <w:lvl w:ilvl="4">
      <w:start w:val="1"/>
      <w:numFmt w:val="bullet"/>
      <w:lvlText w:val="o"/>
      <w:lvlJc w:val="left"/>
      <w:pPr>
        <w:ind w:left="3278" w:hanging="360"/>
      </w:pPr>
      <w:rPr>
        <w:rFonts w:ascii="Courier New" w:hAnsi="Courier New" w:cs="Courier New" w:hint="default"/>
      </w:rPr>
    </w:lvl>
    <w:lvl w:ilvl="5">
      <w:start w:val="1"/>
      <w:numFmt w:val="bullet"/>
      <w:lvlText w:val=""/>
      <w:lvlJc w:val="left"/>
      <w:pPr>
        <w:ind w:left="3998" w:hanging="360"/>
      </w:pPr>
      <w:rPr>
        <w:rFonts w:ascii="Wingdings" w:hAnsi="Wingdings" w:hint="default"/>
      </w:rPr>
    </w:lvl>
    <w:lvl w:ilvl="6">
      <w:start w:val="1"/>
      <w:numFmt w:val="bullet"/>
      <w:lvlText w:val=""/>
      <w:lvlJc w:val="left"/>
      <w:pPr>
        <w:ind w:left="4718" w:hanging="360"/>
      </w:pPr>
      <w:rPr>
        <w:rFonts w:ascii="Symbol" w:hAnsi="Symbol" w:hint="default"/>
      </w:rPr>
    </w:lvl>
    <w:lvl w:ilvl="7">
      <w:start w:val="1"/>
      <w:numFmt w:val="bullet"/>
      <w:lvlText w:val="o"/>
      <w:lvlJc w:val="left"/>
      <w:pPr>
        <w:ind w:left="5438" w:hanging="360"/>
      </w:pPr>
      <w:rPr>
        <w:rFonts w:ascii="Courier New" w:hAnsi="Courier New" w:cs="Courier New" w:hint="default"/>
      </w:rPr>
    </w:lvl>
    <w:lvl w:ilvl="8">
      <w:start w:val="1"/>
      <w:numFmt w:val="bullet"/>
      <w:lvlText w:val=""/>
      <w:lvlJc w:val="left"/>
      <w:pPr>
        <w:ind w:left="6158" w:hanging="360"/>
      </w:pPr>
      <w:rPr>
        <w:rFonts w:ascii="Wingdings" w:hAnsi="Wingdings" w:hint="default"/>
      </w:rPr>
    </w:lvl>
  </w:abstractNum>
  <w:abstractNum w:abstractNumId="12">
    <w:nsid w:val="270823CA"/>
    <w:multiLevelType w:val="hybridMultilevel"/>
    <w:tmpl w:val="90DC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2789B"/>
    <w:multiLevelType w:val="hybridMultilevel"/>
    <w:tmpl w:val="FB963E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A933B1"/>
    <w:multiLevelType w:val="hybridMultilevel"/>
    <w:tmpl w:val="6EA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10012"/>
    <w:multiLevelType w:val="hybridMultilevel"/>
    <w:tmpl w:val="D7AA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06102A"/>
    <w:multiLevelType w:val="hybridMultilevel"/>
    <w:tmpl w:val="7EC4A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21227C"/>
    <w:multiLevelType w:val="hybridMultilevel"/>
    <w:tmpl w:val="34923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412C10"/>
    <w:multiLevelType w:val="hybridMultilevel"/>
    <w:tmpl w:val="07BAB2F2"/>
    <w:lvl w:ilvl="0" w:tplc="7430F7E0">
      <w:start w:val="1"/>
      <w:numFmt w:val="decimal"/>
      <w:lvlText w:val="%1."/>
      <w:lvlJc w:val="left"/>
      <w:pPr>
        <w:tabs>
          <w:tab w:val="num" w:pos="398"/>
        </w:tabs>
        <w:ind w:left="398" w:hanging="360"/>
      </w:pPr>
      <w:rPr>
        <w:rFonts w:hint="default"/>
      </w:rPr>
    </w:lvl>
    <w:lvl w:ilvl="1" w:tplc="04090019" w:tentative="1">
      <w:start w:val="1"/>
      <w:numFmt w:val="lowerLetter"/>
      <w:lvlText w:val="%2."/>
      <w:lvlJc w:val="left"/>
      <w:pPr>
        <w:tabs>
          <w:tab w:val="num" w:pos="1118"/>
        </w:tabs>
        <w:ind w:left="1118" w:hanging="360"/>
      </w:pPr>
    </w:lvl>
    <w:lvl w:ilvl="2" w:tplc="0409001B" w:tentative="1">
      <w:start w:val="1"/>
      <w:numFmt w:val="lowerRoman"/>
      <w:lvlText w:val="%3."/>
      <w:lvlJc w:val="right"/>
      <w:pPr>
        <w:tabs>
          <w:tab w:val="num" w:pos="1838"/>
        </w:tabs>
        <w:ind w:left="1838" w:hanging="180"/>
      </w:pPr>
    </w:lvl>
    <w:lvl w:ilvl="3" w:tplc="0409000F" w:tentative="1">
      <w:start w:val="1"/>
      <w:numFmt w:val="decimal"/>
      <w:lvlText w:val="%4."/>
      <w:lvlJc w:val="left"/>
      <w:pPr>
        <w:tabs>
          <w:tab w:val="num" w:pos="2558"/>
        </w:tabs>
        <w:ind w:left="2558" w:hanging="360"/>
      </w:pPr>
    </w:lvl>
    <w:lvl w:ilvl="4" w:tplc="04090019" w:tentative="1">
      <w:start w:val="1"/>
      <w:numFmt w:val="lowerLetter"/>
      <w:lvlText w:val="%5."/>
      <w:lvlJc w:val="left"/>
      <w:pPr>
        <w:tabs>
          <w:tab w:val="num" w:pos="3278"/>
        </w:tabs>
        <w:ind w:left="3278" w:hanging="360"/>
      </w:pPr>
    </w:lvl>
    <w:lvl w:ilvl="5" w:tplc="0409001B" w:tentative="1">
      <w:start w:val="1"/>
      <w:numFmt w:val="lowerRoman"/>
      <w:lvlText w:val="%6."/>
      <w:lvlJc w:val="right"/>
      <w:pPr>
        <w:tabs>
          <w:tab w:val="num" w:pos="3998"/>
        </w:tabs>
        <w:ind w:left="3998" w:hanging="180"/>
      </w:pPr>
    </w:lvl>
    <w:lvl w:ilvl="6" w:tplc="0409000F" w:tentative="1">
      <w:start w:val="1"/>
      <w:numFmt w:val="decimal"/>
      <w:lvlText w:val="%7."/>
      <w:lvlJc w:val="left"/>
      <w:pPr>
        <w:tabs>
          <w:tab w:val="num" w:pos="4718"/>
        </w:tabs>
        <w:ind w:left="4718" w:hanging="360"/>
      </w:pPr>
    </w:lvl>
    <w:lvl w:ilvl="7" w:tplc="04090019" w:tentative="1">
      <w:start w:val="1"/>
      <w:numFmt w:val="lowerLetter"/>
      <w:lvlText w:val="%8."/>
      <w:lvlJc w:val="left"/>
      <w:pPr>
        <w:tabs>
          <w:tab w:val="num" w:pos="5438"/>
        </w:tabs>
        <w:ind w:left="5438" w:hanging="360"/>
      </w:pPr>
    </w:lvl>
    <w:lvl w:ilvl="8" w:tplc="0409001B" w:tentative="1">
      <w:start w:val="1"/>
      <w:numFmt w:val="lowerRoman"/>
      <w:lvlText w:val="%9."/>
      <w:lvlJc w:val="right"/>
      <w:pPr>
        <w:tabs>
          <w:tab w:val="num" w:pos="6158"/>
        </w:tabs>
        <w:ind w:left="6158" w:hanging="180"/>
      </w:pPr>
    </w:lvl>
  </w:abstractNum>
  <w:abstractNum w:abstractNumId="19">
    <w:nsid w:val="32AE7869"/>
    <w:multiLevelType w:val="multilevel"/>
    <w:tmpl w:val="6B06655C"/>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4C81219"/>
    <w:multiLevelType w:val="hybridMultilevel"/>
    <w:tmpl w:val="EC2E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6F62BBA"/>
    <w:multiLevelType w:val="hybridMultilevel"/>
    <w:tmpl w:val="645ED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FB74B0"/>
    <w:multiLevelType w:val="hybridMultilevel"/>
    <w:tmpl w:val="946447B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nsid w:val="38C21A1B"/>
    <w:multiLevelType w:val="hybridMultilevel"/>
    <w:tmpl w:val="DEF01B1C"/>
    <w:lvl w:ilvl="0" w:tplc="74683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739DF"/>
    <w:multiLevelType w:val="hybridMultilevel"/>
    <w:tmpl w:val="ACDA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DB65B2"/>
    <w:multiLevelType w:val="hybridMultilevel"/>
    <w:tmpl w:val="97A4DE4E"/>
    <w:lvl w:ilvl="0" w:tplc="A51CA9AA">
      <w:start w:val="1"/>
      <w:numFmt w:val="decimal"/>
      <w:lvlText w:val="%1."/>
      <w:lvlJc w:val="left"/>
      <w:pPr>
        <w:tabs>
          <w:tab w:val="num" w:pos="720"/>
        </w:tabs>
        <w:ind w:left="720" w:hanging="360"/>
      </w:pPr>
      <w:rPr>
        <w:rFonts w:ascii="Times New Roman" w:eastAsia="Calibri" w:hAnsi="Times New Roman" w:cs="Times New Roman"/>
      </w:rPr>
    </w:lvl>
    <w:lvl w:ilvl="1" w:tplc="0E10FF0A">
      <w:start w:val="5"/>
      <w:numFmt w:val="decimal"/>
      <w:lvlText w:val="%2."/>
      <w:lvlJc w:val="left"/>
      <w:pPr>
        <w:tabs>
          <w:tab w:val="num" w:pos="1440"/>
        </w:tabs>
        <w:ind w:left="1440" w:hanging="360"/>
      </w:pPr>
      <w:rPr>
        <w:rFonts w:ascii="Times New Roman" w:eastAsia="Batang"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0860EB6"/>
    <w:multiLevelType w:val="hybridMultilevel"/>
    <w:tmpl w:val="0C80D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B04DE7"/>
    <w:multiLevelType w:val="hybridMultilevel"/>
    <w:tmpl w:val="A1EC6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C86D04"/>
    <w:multiLevelType w:val="hybridMultilevel"/>
    <w:tmpl w:val="0EAC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F12986"/>
    <w:multiLevelType w:val="hybridMultilevel"/>
    <w:tmpl w:val="03A40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81FC4"/>
    <w:multiLevelType w:val="multilevel"/>
    <w:tmpl w:val="900493B2"/>
    <w:lvl w:ilvl="0">
      <w:start w:val="12"/>
      <w:numFmt w:val="decimal"/>
      <w:lvlText w:val="%1"/>
      <w:lvlJc w:val="left"/>
      <w:pPr>
        <w:ind w:left="384" w:hanging="384"/>
      </w:pPr>
      <w:rPr>
        <w:rFonts w:hint="default"/>
        <w:i/>
        <w:color w:val="auto"/>
      </w:rPr>
    </w:lvl>
    <w:lvl w:ilvl="1">
      <w:start w:val="6"/>
      <w:numFmt w:val="decimal"/>
      <w:lvlText w:val="%1.%2"/>
      <w:lvlJc w:val="left"/>
      <w:pPr>
        <w:ind w:left="384" w:hanging="384"/>
      </w:pPr>
      <w:rPr>
        <w:rFonts w:hint="default"/>
        <w:i/>
        <w:color w:val="auto"/>
      </w:rPr>
    </w:lvl>
    <w:lvl w:ilvl="2">
      <w:start w:val="1"/>
      <w:numFmt w:val="decimal"/>
      <w:lvlText w:val="%1.%2.%3"/>
      <w:lvlJc w:val="left"/>
      <w:pPr>
        <w:ind w:left="720" w:hanging="720"/>
      </w:pPr>
      <w:rPr>
        <w:rFonts w:hint="default"/>
        <w:i/>
        <w:color w:val="auto"/>
      </w:rPr>
    </w:lvl>
    <w:lvl w:ilvl="3">
      <w:start w:val="1"/>
      <w:numFmt w:val="decimal"/>
      <w:lvlText w:val="%1.%2.%3.%4"/>
      <w:lvlJc w:val="left"/>
      <w:pPr>
        <w:ind w:left="720" w:hanging="720"/>
      </w:pPr>
      <w:rPr>
        <w:rFonts w:hint="default"/>
        <w:i/>
        <w:color w:val="auto"/>
      </w:rPr>
    </w:lvl>
    <w:lvl w:ilvl="4">
      <w:start w:val="1"/>
      <w:numFmt w:val="decimal"/>
      <w:lvlText w:val="%1.%2.%3.%4.%5"/>
      <w:lvlJc w:val="left"/>
      <w:pPr>
        <w:ind w:left="1080" w:hanging="1080"/>
      </w:pPr>
      <w:rPr>
        <w:rFonts w:hint="default"/>
        <w:i/>
        <w:color w:val="auto"/>
      </w:rPr>
    </w:lvl>
    <w:lvl w:ilvl="5">
      <w:start w:val="1"/>
      <w:numFmt w:val="decimal"/>
      <w:lvlText w:val="%1.%2.%3.%4.%5.%6"/>
      <w:lvlJc w:val="left"/>
      <w:pPr>
        <w:ind w:left="1080" w:hanging="1080"/>
      </w:pPr>
      <w:rPr>
        <w:rFonts w:hint="default"/>
        <w:i/>
        <w:color w:val="auto"/>
      </w:rPr>
    </w:lvl>
    <w:lvl w:ilvl="6">
      <w:start w:val="1"/>
      <w:numFmt w:val="decimal"/>
      <w:lvlText w:val="%1.%2.%3.%4.%5.%6.%7"/>
      <w:lvlJc w:val="left"/>
      <w:pPr>
        <w:ind w:left="1440" w:hanging="1440"/>
      </w:pPr>
      <w:rPr>
        <w:rFonts w:hint="default"/>
        <w:i/>
        <w:color w:val="auto"/>
      </w:rPr>
    </w:lvl>
    <w:lvl w:ilvl="7">
      <w:start w:val="1"/>
      <w:numFmt w:val="decimal"/>
      <w:lvlText w:val="%1.%2.%3.%4.%5.%6.%7.%8"/>
      <w:lvlJc w:val="left"/>
      <w:pPr>
        <w:ind w:left="1440" w:hanging="1440"/>
      </w:pPr>
      <w:rPr>
        <w:rFonts w:hint="default"/>
        <w:i/>
        <w:color w:val="auto"/>
      </w:rPr>
    </w:lvl>
    <w:lvl w:ilvl="8">
      <w:start w:val="1"/>
      <w:numFmt w:val="decimal"/>
      <w:lvlText w:val="%1.%2.%3.%4.%5.%6.%7.%8.%9"/>
      <w:lvlJc w:val="left"/>
      <w:pPr>
        <w:ind w:left="1440" w:hanging="1440"/>
      </w:pPr>
      <w:rPr>
        <w:rFonts w:hint="default"/>
        <w:i/>
        <w:color w:val="auto"/>
      </w:rPr>
    </w:lvl>
  </w:abstractNum>
  <w:abstractNum w:abstractNumId="31">
    <w:nsid w:val="4CCC708F"/>
    <w:multiLevelType w:val="hybridMultilevel"/>
    <w:tmpl w:val="E2F0B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5F7076"/>
    <w:multiLevelType w:val="hybridMultilevel"/>
    <w:tmpl w:val="5868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F4660"/>
    <w:multiLevelType w:val="hybridMultilevel"/>
    <w:tmpl w:val="4E5A3E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4">
    <w:nsid w:val="5C334EED"/>
    <w:multiLevelType w:val="hybridMultilevel"/>
    <w:tmpl w:val="0A2E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4B4191"/>
    <w:multiLevelType w:val="hybridMultilevel"/>
    <w:tmpl w:val="3EB2A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760579"/>
    <w:multiLevelType w:val="hybridMultilevel"/>
    <w:tmpl w:val="2B387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6916D3"/>
    <w:multiLevelType w:val="hybridMultilevel"/>
    <w:tmpl w:val="7D22F4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8">
    <w:nsid w:val="62B750FE"/>
    <w:multiLevelType w:val="hybridMultilevel"/>
    <w:tmpl w:val="39747E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10BCC"/>
    <w:multiLevelType w:val="hybridMultilevel"/>
    <w:tmpl w:val="70863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6A480A65"/>
    <w:multiLevelType w:val="hybridMultilevel"/>
    <w:tmpl w:val="5E14A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DE8337D"/>
    <w:multiLevelType w:val="hybridMultilevel"/>
    <w:tmpl w:val="EA2C182C"/>
    <w:lvl w:ilvl="0" w:tplc="C21EAADA">
      <w:start w:val="1"/>
      <w:numFmt w:val="bullet"/>
      <w:lvlText w:val="-"/>
      <w:lvlJc w:val="left"/>
      <w:pPr>
        <w:ind w:left="398" w:hanging="360"/>
      </w:pPr>
      <w:rPr>
        <w:rFonts w:ascii="Calibri" w:eastAsiaTheme="minorHAnsi" w:hAnsi="Calibri" w:cs="Times New Roman"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abstractNum w:abstractNumId="42">
    <w:nsid w:val="6E5A402A"/>
    <w:multiLevelType w:val="hybridMultilevel"/>
    <w:tmpl w:val="BCA69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233859"/>
    <w:multiLevelType w:val="hybridMultilevel"/>
    <w:tmpl w:val="DA28DAB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4">
    <w:nsid w:val="70BC3952"/>
    <w:multiLevelType w:val="hybridMultilevel"/>
    <w:tmpl w:val="9B3AA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3930D6E"/>
    <w:multiLevelType w:val="hybridMultilevel"/>
    <w:tmpl w:val="1F6E1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1B3776"/>
    <w:multiLevelType w:val="hybridMultilevel"/>
    <w:tmpl w:val="AB48845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7">
    <w:nsid w:val="77AD00EB"/>
    <w:multiLevelType w:val="hybridMultilevel"/>
    <w:tmpl w:val="B914D054"/>
    <w:lvl w:ilvl="0" w:tplc="E62A9306">
      <w:start w:val="8"/>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8">
    <w:nsid w:val="7C5C34E9"/>
    <w:multiLevelType w:val="hybridMultilevel"/>
    <w:tmpl w:val="E8905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013007"/>
    <w:multiLevelType w:val="hybridMultilevel"/>
    <w:tmpl w:val="5D7C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118" w:hanging="360"/>
      </w:pPr>
      <w:rPr>
        <w:rFonts w:ascii="Courier New" w:hAnsi="Courier New" w:cs="Courier New" w:hint="default"/>
      </w:rPr>
    </w:lvl>
    <w:lvl w:ilvl="2" w:tplc="04090005" w:tentative="1">
      <w:start w:val="1"/>
      <w:numFmt w:val="bullet"/>
      <w:lvlText w:val=""/>
      <w:lvlJc w:val="left"/>
      <w:pPr>
        <w:ind w:left="1838"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Courier New"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Courier New" w:hint="default"/>
      </w:rPr>
    </w:lvl>
    <w:lvl w:ilvl="8" w:tplc="04090005" w:tentative="1">
      <w:start w:val="1"/>
      <w:numFmt w:val="bullet"/>
      <w:lvlText w:val=""/>
      <w:lvlJc w:val="left"/>
      <w:pPr>
        <w:ind w:left="6158" w:hanging="360"/>
      </w:pPr>
      <w:rPr>
        <w:rFonts w:ascii="Wingdings" w:hAnsi="Wingdings" w:hint="default"/>
      </w:rPr>
    </w:lvl>
  </w:abstractNum>
  <w:num w:numId="1">
    <w:abstractNumId w:val="7"/>
  </w:num>
  <w:num w:numId="2">
    <w:abstractNumId w:val="48"/>
  </w:num>
  <w:num w:numId="3">
    <w:abstractNumId w:val="47"/>
  </w:num>
  <w:num w:numId="4">
    <w:abstractNumId w:val="32"/>
  </w:num>
  <w:num w:numId="5">
    <w:abstractNumId w:val="46"/>
  </w:num>
  <w:num w:numId="6">
    <w:abstractNumId w:val="36"/>
  </w:num>
  <w:num w:numId="7">
    <w:abstractNumId w:val="35"/>
  </w:num>
  <w:num w:numId="8">
    <w:abstractNumId w:val="24"/>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22"/>
  </w:num>
  <w:num w:numId="13">
    <w:abstractNumId w:val="27"/>
  </w:num>
  <w:num w:numId="14">
    <w:abstractNumId w:val="25"/>
  </w:num>
  <w:num w:numId="15">
    <w:abstractNumId w:val="18"/>
  </w:num>
  <w:num w:numId="16">
    <w:abstractNumId w:val="2"/>
  </w:num>
  <w:num w:numId="17">
    <w:abstractNumId w:val="44"/>
  </w:num>
  <w:num w:numId="18">
    <w:abstractNumId w:val="43"/>
  </w:num>
  <w:num w:numId="19">
    <w:abstractNumId w:val="39"/>
  </w:num>
  <w:num w:numId="20">
    <w:abstractNumId w:val="23"/>
  </w:num>
  <w:num w:numId="21">
    <w:abstractNumId w:val="33"/>
  </w:num>
  <w:num w:numId="22">
    <w:abstractNumId w:val="13"/>
  </w:num>
  <w:num w:numId="23">
    <w:abstractNumId w:val="34"/>
  </w:num>
  <w:num w:numId="24">
    <w:abstractNumId w:val="8"/>
  </w:num>
  <w:num w:numId="25">
    <w:abstractNumId w:val="6"/>
  </w:num>
  <w:num w:numId="26">
    <w:abstractNumId w:val="41"/>
  </w:num>
  <w:num w:numId="27">
    <w:abstractNumId w:val="0"/>
  </w:num>
  <w:num w:numId="28">
    <w:abstractNumId w:val="42"/>
  </w:num>
  <w:num w:numId="29">
    <w:abstractNumId w:val="40"/>
  </w:num>
  <w:num w:numId="30">
    <w:abstractNumId w:val="10"/>
  </w:num>
  <w:num w:numId="31">
    <w:abstractNumId w:val="5"/>
  </w:num>
  <w:num w:numId="32">
    <w:abstractNumId w:val="9"/>
  </w:num>
  <w:num w:numId="33">
    <w:abstractNumId w:val="31"/>
  </w:num>
  <w:num w:numId="34">
    <w:abstractNumId w:val="11"/>
  </w:num>
  <w:num w:numId="35">
    <w:abstractNumId w:val="49"/>
  </w:num>
  <w:num w:numId="36">
    <w:abstractNumId w:val="17"/>
  </w:num>
  <w:num w:numId="37">
    <w:abstractNumId w:val="15"/>
  </w:num>
  <w:num w:numId="38">
    <w:abstractNumId w:val="20"/>
  </w:num>
  <w:num w:numId="39">
    <w:abstractNumId w:val="1"/>
  </w:num>
  <w:num w:numId="40">
    <w:abstractNumId w:val="45"/>
  </w:num>
  <w:num w:numId="41">
    <w:abstractNumId w:val="12"/>
  </w:num>
  <w:num w:numId="42">
    <w:abstractNumId w:val="21"/>
  </w:num>
  <w:num w:numId="43">
    <w:abstractNumId w:val="26"/>
  </w:num>
  <w:num w:numId="44">
    <w:abstractNumId w:val="16"/>
  </w:num>
  <w:num w:numId="45">
    <w:abstractNumId w:val="28"/>
  </w:num>
  <w:num w:numId="46">
    <w:abstractNumId w:val="29"/>
  </w:num>
  <w:num w:numId="47">
    <w:abstractNumId w:val="3"/>
  </w:num>
  <w:num w:numId="48">
    <w:abstractNumId w:val="19"/>
  </w:num>
  <w:num w:numId="49">
    <w:abstractNumId w:val="38"/>
  </w:num>
  <w:num w:numId="50">
    <w:abstractNumId w:val="30"/>
  </w:num>
  <w:num w:numId="51">
    <w:abstractNumId w:val="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iss, Kevin">
    <w15:presenceInfo w15:providerId="AD" w15:userId="S-1-5-21-4279633407-28481931-2677731258-329452"/>
  </w15:person>
  <w15:person w15:author="Kevin Weiss">
    <w15:presenceInfo w15:providerId="Windows Live" w15:userId="fb2d81e72193ba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D6"/>
    <w:rsid w:val="000011C0"/>
    <w:rsid w:val="00003E22"/>
    <w:rsid w:val="0001315B"/>
    <w:rsid w:val="00013D11"/>
    <w:rsid w:val="00015588"/>
    <w:rsid w:val="00015FD9"/>
    <w:rsid w:val="000174C4"/>
    <w:rsid w:val="00017ECD"/>
    <w:rsid w:val="00021D61"/>
    <w:rsid w:val="00022465"/>
    <w:rsid w:val="00022D75"/>
    <w:rsid w:val="00022DA7"/>
    <w:rsid w:val="000236BC"/>
    <w:rsid w:val="00026461"/>
    <w:rsid w:val="00026C77"/>
    <w:rsid w:val="00026C7E"/>
    <w:rsid w:val="000309FB"/>
    <w:rsid w:val="0003106F"/>
    <w:rsid w:val="0003451A"/>
    <w:rsid w:val="0003703E"/>
    <w:rsid w:val="00040A06"/>
    <w:rsid w:val="00040C48"/>
    <w:rsid w:val="000439A9"/>
    <w:rsid w:val="000458A9"/>
    <w:rsid w:val="00047D77"/>
    <w:rsid w:val="00051F9D"/>
    <w:rsid w:val="00053A78"/>
    <w:rsid w:val="000548B9"/>
    <w:rsid w:val="00054BFC"/>
    <w:rsid w:val="00055F3D"/>
    <w:rsid w:val="00056561"/>
    <w:rsid w:val="00057B02"/>
    <w:rsid w:val="00060AE0"/>
    <w:rsid w:val="00060DAA"/>
    <w:rsid w:val="00062A34"/>
    <w:rsid w:val="000722E9"/>
    <w:rsid w:val="00072929"/>
    <w:rsid w:val="00075559"/>
    <w:rsid w:val="00075BBC"/>
    <w:rsid w:val="00077B0C"/>
    <w:rsid w:val="000804A1"/>
    <w:rsid w:val="0008105C"/>
    <w:rsid w:val="0008171A"/>
    <w:rsid w:val="00083545"/>
    <w:rsid w:val="000840B3"/>
    <w:rsid w:val="0008423B"/>
    <w:rsid w:val="00084BB8"/>
    <w:rsid w:val="0008615D"/>
    <w:rsid w:val="00087AD3"/>
    <w:rsid w:val="00090774"/>
    <w:rsid w:val="00092E55"/>
    <w:rsid w:val="00094359"/>
    <w:rsid w:val="00094758"/>
    <w:rsid w:val="00094E33"/>
    <w:rsid w:val="000963FE"/>
    <w:rsid w:val="00096B02"/>
    <w:rsid w:val="000978A3"/>
    <w:rsid w:val="00097902"/>
    <w:rsid w:val="000A1356"/>
    <w:rsid w:val="000A4046"/>
    <w:rsid w:val="000A4560"/>
    <w:rsid w:val="000A4B30"/>
    <w:rsid w:val="000A64E8"/>
    <w:rsid w:val="000B0221"/>
    <w:rsid w:val="000B4B98"/>
    <w:rsid w:val="000B54F6"/>
    <w:rsid w:val="000B56F8"/>
    <w:rsid w:val="000B583D"/>
    <w:rsid w:val="000B6B1F"/>
    <w:rsid w:val="000B6E74"/>
    <w:rsid w:val="000C4C38"/>
    <w:rsid w:val="000C4F8D"/>
    <w:rsid w:val="000C6BAC"/>
    <w:rsid w:val="000C79EA"/>
    <w:rsid w:val="000D0A43"/>
    <w:rsid w:val="000D1D82"/>
    <w:rsid w:val="000D1DA0"/>
    <w:rsid w:val="000D249B"/>
    <w:rsid w:val="000D6DA0"/>
    <w:rsid w:val="000D7F4C"/>
    <w:rsid w:val="000E501C"/>
    <w:rsid w:val="000E78AE"/>
    <w:rsid w:val="000F1217"/>
    <w:rsid w:val="000F4379"/>
    <w:rsid w:val="000F69B8"/>
    <w:rsid w:val="001002FC"/>
    <w:rsid w:val="0010064A"/>
    <w:rsid w:val="00106EDE"/>
    <w:rsid w:val="00110F83"/>
    <w:rsid w:val="0011160E"/>
    <w:rsid w:val="00111965"/>
    <w:rsid w:val="00111A41"/>
    <w:rsid w:val="00112748"/>
    <w:rsid w:val="001133CC"/>
    <w:rsid w:val="001143E0"/>
    <w:rsid w:val="001155B2"/>
    <w:rsid w:val="00116CF8"/>
    <w:rsid w:val="001249D5"/>
    <w:rsid w:val="00126C5D"/>
    <w:rsid w:val="00133C6A"/>
    <w:rsid w:val="0013409D"/>
    <w:rsid w:val="001369D4"/>
    <w:rsid w:val="00137487"/>
    <w:rsid w:val="0013795F"/>
    <w:rsid w:val="00140356"/>
    <w:rsid w:val="00140FAC"/>
    <w:rsid w:val="00141AAD"/>
    <w:rsid w:val="001505D0"/>
    <w:rsid w:val="00154060"/>
    <w:rsid w:val="00160308"/>
    <w:rsid w:val="001646D0"/>
    <w:rsid w:val="00166A34"/>
    <w:rsid w:val="00166E1C"/>
    <w:rsid w:val="00167E87"/>
    <w:rsid w:val="001704B1"/>
    <w:rsid w:val="001727AF"/>
    <w:rsid w:val="0017335E"/>
    <w:rsid w:val="0017358D"/>
    <w:rsid w:val="001740A6"/>
    <w:rsid w:val="001748F3"/>
    <w:rsid w:val="00184ABE"/>
    <w:rsid w:val="00193053"/>
    <w:rsid w:val="00194D7F"/>
    <w:rsid w:val="00197323"/>
    <w:rsid w:val="001A06FB"/>
    <w:rsid w:val="001A1066"/>
    <w:rsid w:val="001A11E4"/>
    <w:rsid w:val="001A13EA"/>
    <w:rsid w:val="001A1D4A"/>
    <w:rsid w:val="001A73DB"/>
    <w:rsid w:val="001A7A4A"/>
    <w:rsid w:val="001B1A34"/>
    <w:rsid w:val="001B1D5B"/>
    <w:rsid w:val="001B5927"/>
    <w:rsid w:val="001B67A7"/>
    <w:rsid w:val="001B6BD3"/>
    <w:rsid w:val="001B7E11"/>
    <w:rsid w:val="001C028C"/>
    <w:rsid w:val="001C0A82"/>
    <w:rsid w:val="001C2905"/>
    <w:rsid w:val="001C763D"/>
    <w:rsid w:val="001D0BD0"/>
    <w:rsid w:val="001D18F9"/>
    <w:rsid w:val="001D1B4A"/>
    <w:rsid w:val="001D35D7"/>
    <w:rsid w:val="001D548F"/>
    <w:rsid w:val="001D63D5"/>
    <w:rsid w:val="001D6B99"/>
    <w:rsid w:val="001E0FFB"/>
    <w:rsid w:val="001E4678"/>
    <w:rsid w:val="001E5FD6"/>
    <w:rsid w:val="001F1E58"/>
    <w:rsid w:val="001F3DC9"/>
    <w:rsid w:val="001F4FA0"/>
    <w:rsid w:val="00205332"/>
    <w:rsid w:val="0021197C"/>
    <w:rsid w:val="00213364"/>
    <w:rsid w:val="002133C3"/>
    <w:rsid w:val="00217EEA"/>
    <w:rsid w:val="002226B4"/>
    <w:rsid w:val="00222821"/>
    <w:rsid w:val="002232EA"/>
    <w:rsid w:val="0022392A"/>
    <w:rsid w:val="00224C50"/>
    <w:rsid w:val="00225422"/>
    <w:rsid w:val="00225A51"/>
    <w:rsid w:val="00225CB4"/>
    <w:rsid w:val="0022748C"/>
    <w:rsid w:val="002314FD"/>
    <w:rsid w:val="00232595"/>
    <w:rsid w:val="002334CA"/>
    <w:rsid w:val="00236347"/>
    <w:rsid w:val="00237ECC"/>
    <w:rsid w:val="002405DE"/>
    <w:rsid w:val="00241EC1"/>
    <w:rsid w:val="00241F3C"/>
    <w:rsid w:val="0024214F"/>
    <w:rsid w:val="00242F2D"/>
    <w:rsid w:val="0024409C"/>
    <w:rsid w:val="00245DDB"/>
    <w:rsid w:val="002475F9"/>
    <w:rsid w:val="00247BB6"/>
    <w:rsid w:val="00247E44"/>
    <w:rsid w:val="002500E7"/>
    <w:rsid w:val="0025059C"/>
    <w:rsid w:val="002527E7"/>
    <w:rsid w:val="00253E03"/>
    <w:rsid w:val="00253F53"/>
    <w:rsid w:val="0026362D"/>
    <w:rsid w:val="002639DE"/>
    <w:rsid w:val="00267917"/>
    <w:rsid w:val="0027106B"/>
    <w:rsid w:val="002714E6"/>
    <w:rsid w:val="002718B1"/>
    <w:rsid w:val="00272A14"/>
    <w:rsid w:val="00273CDD"/>
    <w:rsid w:val="0027452E"/>
    <w:rsid w:val="00276301"/>
    <w:rsid w:val="002768F0"/>
    <w:rsid w:val="00277378"/>
    <w:rsid w:val="00281188"/>
    <w:rsid w:val="002817A2"/>
    <w:rsid w:val="00284B57"/>
    <w:rsid w:val="00287153"/>
    <w:rsid w:val="00290F5D"/>
    <w:rsid w:val="00291558"/>
    <w:rsid w:val="00291ACF"/>
    <w:rsid w:val="002931A7"/>
    <w:rsid w:val="0029368C"/>
    <w:rsid w:val="00294713"/>
    <w:rsid w:val="00294FD3"/>
    <w:rsid w:val="002A02BE"/>
    <w:rsid w:val="002A49DF"/>
    <w:rsid w:val="002A5F09"/>
    <w:rsid w:val="002A6796"/>
    <w:rsid w:val="002B2673"/>
    <w:rsid w:val="002B683D"/>
    <w:rsid w:val="002C01EA"/>
    <w:rsid w:val="002C1E8A"/>
    <w:rsid w:val="002C41BC"/>
    <w:rsid w:val="002C41F1"/>
    <w:rsid w:val="002C4F35"/>
    <w:rsid w:val="002C63AE"/>
    <w:rsid w:val="002C7562"/>
    <w:rsid w:val="002D077C"/>
    <w:rsid w:val="002D565A"/>
    <w:rsid w:val="002D764B"/>
    <w:rsid w:val="002E6505"/>
    <w:rsid w:val="002F0C03"/>
    <w:rsid w:val="002F0CC3"/>
    <w:rsid w:val="002F23C7"/>
    <w:rsid w:val="002F26DA"/>
    <w:rsid w:val="002F42E4"/>
    <w:rsid w:val="002F5BAA"/>
    <w:rsid w:val="00306A9D"/>
    <w:rsid w:val="00307CFC"/>
    <w:rsid w:val="0031300E"/>
    <w:rsid w:val="0031415C"/>
    <w:rsid w:val="003147FC"/>
    <w:rsid w:val="003160B5"/>
    <w:rsid w:val="00321E8A"/>
    <w:rsid w:val="0032440F"/>
    <w:rsid w:val="00325CFA"/>
    <w:rsid w:val="00326945"/>
    <w:rsid w:val="00327580"/>
    <w:rsid w:val="00331F0B"/>
    <w:rsid w:val="00332030"/>
    <w:rsid w:val="003332B5"/>
    <w:rsid w:val="003357A0"/>
    <w:rsid w:val="00337D72"/>
    <w:rsid w:val="003419AA"/>
    <w:rsid w:val="003439BA"/>
    <w:rsid w:val="003449DB"/>
    <w:rsid w:val="0034543C"/>
    <w:rsid w:val="00346A4B"/>
    <w:rsid w:val="0034791A"/>
    <w:rsid w:val="00347C13"/>
    <w:rsid w:val="003521CB"/>
    <w:rsid w:val="00354253"/>
    <w:rsid w:val="003565AD"/>
    <w:rsid w:val="003604D9"/>
    <w:rsid w:val="0036077B"/>
    <w:rsid w:val="003619D2"/>
    <w:rsid w:val="00363EE8"/>
    <w:rsid w:val="00364370"/>
    <w:rsid w:val="00365E9A"/>
    <w:rsid w:val="003737C3"/>
    <w:rsid w:val="0037689A"/>
    <w:rsid w:val="00381DA6"/>
    <w:rsid w:val="00381F0C"/>
    <w:rsid w:val="00382A0D"/>
    <w:rsid w:val="003838FC"/>
    <w:rsid w:val="00384F34"/>
    <w:rsid w:val="00386DBF"/>
    <w:rsid w:val="003875F5"/>
    <w:rsid w:val="0039011F"/>
    <w:rsid w:val="00390555"/>
    <w:rsid w:val="00390C7B"/>
    <w:rsid w:val="0039210B"/>
    <w:rsid w:val="00392451"/>
    <w:rsid w:val="00397773"/>
    <w:rsid w:val="003A095E"/>
    <w:rsid w:val="003A0FF1"/>
    <w:rsid w:val="003A1F7B"/>
    <w:rsid w:val="003A266F"/>
    <w:rsid w:val="003A5CD3"/>
    <w:rsid w:val="003A74D0"/>
    <w:rsid w:val="003B0C4E"/>
    <w:rsid w:val="003B0C6F"/>
    <w:rsid w:val="003B31F1"/>
    <w:rsid w:val="003B33BB"/>
    <w:rsid w:val="003B3753"/>
    <w:rsid w:val="003B55E6"/>
    <w:rsid w:val="003B5B8F"/>
    <w:rsid w:val="003B600E"/>
    <w:rsid w:val="003C114A"/>
    <w:rsid w:val="003C2261"/>
    <w:rsid w:val="003C3E6F"/>
    <w:rsid w:val="003C5A30"/>
    <w:rsid w:val="003D13FF"/>
    <w:rsid w:val="003D3FFF"/>
    <w:rsid w:val="003D738D"/>
    <w:rsid w:val="003E0862"/>
    <w:rsid w:val="003E0D07"/>
    <w:rsid w:val="003E4927"/>
    <w:rsid w:val="003E6B36"/>
    <w:rsid w:val="003F2429"/>
    <w:rsid w:val="003F350C"/>
    <w:rsid w:val="003F52E1"/>
    <w:rsid w:val="003F63CC"/>
    <w:rsid w:val="004017C2"/>
    <w:rsid w:val="0040743E"/>
    <w:rsid w:val="0040790C"/>
    <w:rsid w:val="00411AE7"/>
    <w:rsid w:val="004122D3"/>
    <w:rsid w:val="004220D6"/>
    <w:rsid w:val="004250F1"/>
    <w:rsid w:val="00425DA1"/>
    <w:rsid w:val="0042651B"/>
    <w:rsid w:val="00426A41"/>
    <w:rsid w:val="004322F7"/>
    <w:rsid w:val="00433640"/>
    <w:rsid w:val="00433986"/>
    <w:rsid w:val="004355DD"/>
    <w:rsid w:val="004359A2"/>
    <w:rsid w:val="00437BCD"/>
    <w:rsid w:val="004416D9"/>
    <w:rsid w:val="00442168"/>
    <w:rsid w:val="0044297B"/>
    <w:rsid w:val="00446304"/>
    <w:rsid w:val="00447A69"/>
    <w:rsid w:val="004517C2"/>
    <w:rsid w:val="0045309D"/>
    <w:rsid w:val="004539FA"/>
    <w:rsid w:val="00462725"/>
    <w:rsid w:val="004639D9"/>
    <w:rsid w:val="004679EF"/>
    <w:rsid w:val="00474A51"/>
    <w:rsid w:val="00474E09"/>
    <w:rsid w:val="00476E7B"/>
    <w:rsid w:val="004774BC"/>
    <w:rsid w:val="0047782A"/>
    <w:rsid w:val="004824DC"/>
    <w:rsid w:val="00487796"/>
    <w:rsid w:val="00490F2B"/>
    <w:rsid w:val="00490FEA"/>
    <w:rsid w:val="0049269F"/>
    <w:rsid w:val="004961A9"/>
    <w:rsid w:val="0049670D"/>
    <w:rsid w:val="004977A8"/>
    <w:rsid w:val="004A10A8"/>
    <w:rsid w:val="004A160D"/>
    <w:rsid w:val="004A1707"/>
    <w:rsid w:val="004A2B0D"/>
    <w:rsid w:val="004A4ACE"/>
    <w:rsid w:val="004A7155"/>
    <w:rsid w:val="004B118F"/>
    <w:rsid w:val="004B25B5"/>
    <w:rsid w:val="004B3747"/>
    <w:rsid w:val="004B3B0B"/>
    <w:rsid w:val="004B569A"/>
    <w:rsid w:val="004B6F75"/>
    <w:rsid w:val="004C15D7"/>
    <w:rsid w:val="004C33A3"/>
    <w:rsid w:val="004C3BBA"/>
    <w:rsid w:val="004C3E3B"/>
    <w:rsid w:val="004C4402"/>
    <w:rsid w:val="004C75C5"/>
    <w:rsid w:val="004D0635"/>
    <w:rsid w:val="004D0821"/>
    <w:rsid w:val="004D568E"/>
    <w:rsid w:val="004E1BCD"/>
    <w:rsid w:val="004E2837"/>
    <w:rsid w:val="004E2A35"/>
    <w:rsid w:val="004E32E5"/>
    <w:rsid w:val="004F1034"/>
    <w:rsid w:val="004F1DC1"/>
    <w:rsid w:val="004F21CB"/>
    <w:rsid w:val="004F3165"/>
    <w:rsid w:val="004F321B"/>
    <w:rsid w:val="004F341D"/>
    <w:rsid w:val="004F37EF"/>
    <w:rsid w:val="004F581F"/>
    <w:rsid w:val="004F61AD"/>
    <w:rsid w:val="004F734C"/>
    <w:rsid w:val="00511627"/>
    <w:rsid w:val="0051281F"/>
    <w:rsid w:val="00512F49"/>
    <w:rsid w:val="00513CB4"/>
    <w:rsid w:val="00515A07"/>
    <w:rsid w:val="00522C8D"/>
    <w:rsid w:val="00524A64"/>
    <w:rsid w:val="005252D2"/>
    <w:rsid w:val="00530256"/>
    <w:rsid w:val="0053165C"/>
    <w:rsid w:val="00531B75"/>
    <w:rsid w:val="00531C2D"/>
    <w:rsid w:val="005451D3"/>
    <w:rsid w:val="0054675A"/>
    <w:rsid w:val="00547C8D"/>
    <w:rsid w:val="00550019"/>
    <w:rsid w:val="00551434"/>
    <w:rsid w:val="00553214"/>
    <w:rsid w:val="00556845"/>
    <w:rsid w:val="00556AC0"/>
    <w:rsid w:val="00557A10"/>
    <w:rsid w:val="00560FBC"/>
    <w:rsid w:val="00564F76"/>
    <w:rsid w:val="00567098"/>
    <w:rsid w:val="005676AD"/>
    <w:rsid w:val="00567DA0"/>
    <w:rsid w:val="00571622"/>
    <w:rsid w:val="00571DC7"/>
    <w:rsid w:val="00571F5F"/>
    <w:rsid w:val="00574651"/>
    <w:rsid w:val="0057521B"/>
    <w:rsid w:val="0057589A"/>
    <w:rsid w:val="00575C0C"/>
    <w:rsid w:val="00582A2B"/>
    <w:rsid w:val="005845A0"/>
    <w:rsid w:val="005849CF"/>
    <w:rsid w:val="0058503A"/>
    <w:rsid w:val="005858A1"/>
    <w:rsid w:val="00586341"/>
    <w:rsid w:val="00587AEA"/>
    <w:rsid w:val="00591266"/>
    <w:rsid w:val="005968E9"/>
    <w:rsid w:val="00597587"/>
    <w:rsid w:val="005A0206"/>
    <w:rsid w:val="005A0AF7"/>
    <w:rsid w:val="005A132D"/>
    <w:rsid w:val="005A17B6"/>
    <w:rsid w:val="005A2719"/>
    <w:rsid w:val="005A5E89"/>
    <w:rsid w:val="005A5F6F"/>
    <w:rsid w:val="005B1863"/>
    <w:rsid w:val="005B1AD6"/>
    <w:rsid w:val="005B4FB6"/>
    <w:rsid w:val="005B5D00"/>
    <w:rsid w:val="005C0355"/>
    <w:rsid w:val="005C302D"/>
    <w:rsid w:val="005C450E"/>
    <w:rsid w:val="005C58FD"/>
    <w:rsid w:val="005C5B79"/>
    <w:rsid w:val="005C638A"/>
    <w:rsid w:val="005C73C0"/>
    <w:rsid w:val="005C74E2"/>
    <w:rsid w:val="005C7632"/>
    <w:rsid w:val="005D069B"/>
    <w:rsid w:val="005D79FA"/>
    <w:rsid w:val="005E28A0"/>
    <w:rsid w:val="005E3643"/>
    <w:rsid w:val="005E3CEC"/>
    <w:rsid w:val="005E48B7"/>
    <w:rsid w:val="005E57BF"/>
    <w:rsid w:val="005E79AE"/>
    <w:rsid w:val="005E7F2C"/>
    <w:rsid w:val="005F0689"/>
    <w:rsid w:val="005F22CC"/>
    <w:rsid w:val="005F2FAC"/>
    <w:rsid w:val="005F39F3"/>
    <w:rsid w:val="005F495D"/>
    <w:rsid w:val="005F567A"/>
    <w:rsid w:val="005F60F0"/>
    <w:rsid w:val="005F65EA"/>
    <w:rsid w:val="00600B08"/>
    <w:rsid w:val="006017E2"/>
    <w:rsid w:val="00601EFA"/>
    <w:rsid w:val="0060226B"/>
    <w:rsid w:val="0060227C"/>
    <w:rsid w:val="00606788"/>
    <w:rsid w:val="00606A25"/>
    <w:rsid w:val="006107F6"/>
    <w:rsid w:val="00611C48"/>
    <w:rsid w:val="0061249D"/>
    <w:rsid w:val="006157DC"/>
    <w:rsid w:val="00620A8A"/>
    <w:rsid w:val="006227D4"/>
    <w:rsid w:val="00625005"/>
    <w:rsid w:val="00625A21"/>
    <w:rsid w:val="0062760F"/>
    <w:rsid w:val="006317CA"/>
    <w:rsid w:val="00631DC5"/>
    <w:rsid w:val="00635794"/>
    <w:rsid w:val="00635965"/>
    <w:rsid w:val="00637331"/>
    <w:rsid w:val="006413F1"/>
    <w:rsid w:val="00644242"/>
    <w:rsid w:val="00645329"/>
    <w:rsid w:val="006459AF"/>
    <w:rsid w:val="00646940"/>
    <w:rsid w:val="006505E7"/>
    <w:rsid w:val="00651277"/>
    <w:rsid w:val="00654338"/>
    <w:rsid w:val="006600A9"/>
    <w:rsid w:val="00660624"/>
    <w:rsid w:val="00660F9A"/>
    <w:rsid w:val="00661AB1"/>
    <w:rsid w:val="00661E07"/>
    <w:rsid w:val="00662C10"/>
    <w:rsid w:val="00665BF2"/>
    <w:rsid w:val="006700EB"/>
    <w:rsid w:val="006734D6"/>
    <w:rsid w:val="00673ABE"/>
    <w:rsid w:val="006745BC"/>
    <w:rsid w:val="00674D16"/>
    <w:rsid w:val="00676040"/>
    <w:rsid w:val="00676107"/>
    <w:rsid w:val="00676C2A"/>
    <w:rsid w:val="00677318"/>
    <w:rsid w:val="00677F54"/>
    <w:rsid w:val="00680533"/>
    <w:rsid w:val="00683ECE"/>
    <w:rsid w:val="00685948"/>
    <w:rsid w:val="00690949"/>
    <w:rsid w:val="0069268E"/>
    <w:rsid w:val="0069523E"/>
    <w:rsid w:val="00696DB1"/>
    <w:rsid w:val="006976D2"/>
    <w:rsid w:val="006A10A0"/>
    <w:rsid w:val="006A1664"/>
    <w:rsid w:val="006A1C86"/>
    <w:rsid w:val="006A1D82"/>
    <w:rsid w:val="006A64D0"/>
    <w:rsid w:val="006B0135"/>
    <w:rsid w:val="006B2B16"/>
    <w:rsid w:val="006B3B6D"/>
    <w:rsid w:val="006B3C35"/>
    <w:rsid w:val="006B6820"/>
    <w:rsid w:val="006C054F"/>
    <w:rsid w:val="006C0743"/>
    <w:rsid w:val="006C1CA6"/>
    <w:rsid w:val="006C219B"/>
    <w:rsid w:val="006C2C61"/>
    <w:rsid w:val="006C2CB5"/>
    <w:rsid w:val="006C614C"/>
    <w:rsid w:val="006C7E13"/>
    <w:rsid w:val="006D2F96"/>
    <w:rsid w:val="006D418C"/>
    <w:rsid w:val="006D43ED"/>
    <w:rsid w:val="006D5116"/>
    <w:rsid w:val="006D6BB1"/>
    <w:rsid w:val="006D6FA1"/>
    <w:rsid w:val="006E0D35"/>
    <w:rsid w:val="006E1C90"/>
    <w:rsid w:val="006E2408"/>
    <w:rsid w:val="006E4540"/>
    <w:rsid w:val="006E49BA"/>
    <w:rsid w:val="006E52F3"/>
    <w:rsid w:val="006E5C1F"/>
    <w:rsid w:val="006F25E8"/>
    <w:rsid w:val="006F3CFF"/>
    <w:rsid w:val="006F4E16"/>
    <w:rsid w:val="006F57EC"/>
    <w:rsid w:val="006F79EA"/>
    <w:rsid w:val="00702CF6"/>
    <w:rsid w:val="00703AF4"/>
    <w:rsid w:val="0070415A"/>
    <w:rsid w:val="00704F88"/>
    <w:rsid w:val="0071285F"/>
    <w:rsid w:val="00716024"/>
    <w:rsid w:val="00717EB3"/>
    <w:rsid w:val="007215FC"/>
    <w:rsid w:val="00722669"/>
    <w:rsid w:val="00722C11"/>
    <w:rsid w:val="00723C19"/>
    <w:rsid w:val="007265DF"/>
    <w:rsid w:val="00726D88"/>
    <w:rsid w:val="00730744"/>
    <w:rsid w:val="00730957"/>
    <w:rsid w:val="00730BCC"/>
    <w:rsid w:val="0073502C"/>
    <w:rsid w:val="00735AB1"/>
    <w:rsid w:val="0073745C"/>
    <w:rsid w:val="007411AE"/>
    <w:rsid w:val="0074172C"/>
    <w:rsid w:val="00742529"/>
    <w:rsid w:val="00742752"/>
    <w:rsid w:val="0074292E"/>
    <w:rsid w:val="00745DEB"/>
    <w:rsid w:val="00750A39"/>
    <w:rsid w:val="00751CAC"/>
    <w:rsid w:val="007577AF"/>
    <w:rsid w:val="00761521"/>
    <w:rsid w:val="00763A77"/>
    <w:rsid w:val="00767541"/>
    <w:rsid w:val="00770B45"/>
    <w:rsid w:val="00770CE3"/>
    <w:rsid w:val="00772D69"/>
    <w:rsid w:val="00773534"/>
    <w:rsid w:val="007742F5"/>
    <w:rsid w:val="00775153"/>
    <w:rsid w:val="007751E4"/>
    <w:rsid w:val="00775272"/>
    <w:rsid w:val="00776B50"/>
    <w:rsid w:val="00776C41"/>
    <w:rsid w:val="00777511"/>
    <w:rsid w:val="00777796"/>
    <w:rsid w:val="00777E3C"/>
    <w:rsid w:val="00780F61"/>
    <w:rsid w:val="00781389"/>
    <w:rsid w:val="00781BD4"/>
    <w:rsid w:val="00782595"/>
    <w:rsid w:val="00783340"/>
    <w:rsid w:val="007849A7"/>
    <w:rsid w:val="00786191"/>
    <w:rsid w:val="007861ED"/>
    <w:rsid w:val="00787C96"/>
    <w:rsid w:val="00787CF0"/>
    <w:rsid w:val="0079245E"/>
    <w:rsid w:val="00792EA8"/>
    <w:rsid w:val="00794FBF"/>
    <w:rsid w:val="007A0820"/>
    <w:rsid w:val="007A3D4A"/>
    <w:rsid w:val="007A6506"/>
    <w:rsid w:val="007A66E1"/>
    <w:rsid w:val="007A7B47"/>
    <w:rsid w:val="007B02E5"/>
    <w:rsid w:val="007B0ABC"/>
    <w:rsid w:val="007B16B4"/>
    <w:rsid w:val="007B20C7"/>
    <w:rsid w:val="007B2FED"/>
    <w:rsid w:val="007B4A12"/>
    <w:rsid w:val="007B4BAE"/>
    <w:rsid w:val="007B4BD8"/>
    <w:rsid w:val="007C0268"/>
    <w:rsid w:val="007C2205"/>
    <w:rsid w:val="007C4187"/>
    <w:rsid w:val="007C5047"/>
    <w:rsid w:val="007C7B76"/>
    <w:rsid w:val="007D2125"/>
    <w:rsid w:val="007D2AC0"/>
    <w:rsid w:val="007D5177"/>
    <w:rsid w:val="007D5FA6"/>
    <w:rsid w:val="007E090F"/>
    <w:rsid w:val="007E1372"/>
    <w:rsid w:val="007E1377"/>
    <w:rsid w:val="007E1CC0"/>
    <w:rsid w:val="007E1F27"/>
    <w:rsid w:val="007E2123"/>
    <w:rsid w:val="007E301C"/>
    <w:rsid w:val="007E3E53"/>
    <w:rsid w:val="007F3517"/>
    <w:rsid w:val="007F464D"/>
    <w:rsid w:val="0080102A"/>
    <w:rsid w:val="00801F0F"/>
    <w:rsid w:val="008032E5"/>
    <w:rsid w:val="0081081C"/>
    <w:rsid w:val="00812E0D"/>
    <w:rsid w:val="00813371"/>
    <w:rsid w:val="0081431E"/>
    <w:rsid w:val="00814AC8"/>
    <w:rsid w:val="0081537B"/>
    <w:rsid w:val="00816352"/>
    <w:rsid w:val="00816764"/>
    <w:rsid w:val="00816B61"/>
    <w:rsid w:val="0081769D"/>
    <w:rsid w:val="0082400F"/>
    <w:rsid w:val="00827D41"/>
    <w:rsid w:val="008329A5"/>
    <w:rsid w:val="00834441"/>
    <w:rsid w:val="00835A80"/>
    <w:rsid w:val="00836187"/>
    <w:rsid w:val="00836D6E"/>
    <w:rsid w:val="00837818"/>
    <w:rsid w:val="00840DD7"/>
    <w:rsid w:val="008427B7"/>
    <w:rsid w:val="00845592"/>
    <w:rsid w:val="0084653B"/>
    <w:rsid w:val="0084655D"/>
    <w:rsid w:val="00846EED"/>
    <w:rsid w:val="00847345"/>
    <w:rsid w:val="008505BF"/>
    <w:rsid w:val="008540A8"/>
    <w:rsid w:val="008562AA"/>
    <w:rsid w:val="008566FF"/>
    <w:rsid w:val="0085751C"/>
    <w:rsid w:val="00857BE3"/>
    <w:rsid w:val="0086190D"/>
    <w:rsid w:val="00872443"/>
    <w:rsid w:val="008744A9"/>
    <w:rsid w:val="00875949"/>
    <w:rsid w:val="00875DE4"/>
    <w:rsid w:val="0087743E"/>
    <w:rsid w:val="00881C87"/>
    <w:rsid w:val="008850B6"/>
    <w:rsid w:val="00886491"/>
    <w:rsid w:val="00886BF8"/>
    <w:rsid w:val="00887EBC"/>
    <w:rsid w:val="008914B7"/>
    <w:rsid w:val="008955AD"/>
    <w:rsid w:val="00897854"/>
    <w:rsid w:val="008A0159"/>
    <w:rsid w:val="008A473B"/>
    <w:rsid w:val="008B06D5"/>
    <w:rsid w:val="008B0D4A"/>
    <w:rsid w:val="008B2773"/>
    <w:rsid w:val="008B3B36"/>
    <w:rsid w:val="008B3B60"/>
    <w:rsid w:val="008B3F12"/>
    <w:rsid w:val="008B4100"/>
    <w:rsid w:val="008B7EF6"/>
    <w:rsid w:val="008C38B7"/>
    <w:rsid w:val="008C41A8"/>
    <w:rsid w:val="008C4F65"/>
    <w:rsid w:val="008C5199"/>
    <w:rsid w:val="008C6717"/>
    <w:rsid w:val="008C6FD9"/>
    <w:rsid w:val="008C797D"/>
    <w:rsid w:val="008D011B"/>
    <w:rsid w:val="008D1471"/>
    <w:rsid w:val="008D4321"/>
    <w:rsid w:val="008D7CB2"/>
    <w:rsid w:val="008E56A9"/>
    <w:rsid w:val="008E76A4"/>
    <w:rsid w:val="008F65C3"/>
    <w:rsid w:val="008F739B"/>
    <w:rsid w:val="0090370F"/>
    <w:rsid w:val="009046D9"/>
    <w:rsid w:val="009048BD"/>
    <w:rsid w:val="00905CC2"/>
    <w:rsid w:val="0090720B"/>
    <w:rsid w:val="00907D10"/>
    <w:rsid w:val="00915CE9"/>
    <w:rsid w:val="00920333"/>
    <w:rsid w:val="00921D69"/>
    <w:rsid w:val="00927323"/>
    <w:rsid w:val="00927839"/>
    <w:rsid w:val="00927DEA"/>
    <w:rsid w:val="0093094E"/>
    <w:rsid w:val="009325BC"/>
    <w:rsid w:val="009329E5"/>
    <w:rsid w:val="00933615"/>
    <w:rsid w:val="00936B1F"/>
    <w:rsid w:val="009424AC"/>
    <w:rsid w:val="00942F81"/>
    <w:rsid w:val="00943FDA"/>
    <w:rsid w:val="00944E3B"/>
    <w:rsid w:val="009503F6"/>
    <w:rsid w:val="00950F8E"/>
    <w:rsid w:val="00952527"/>
    <w:rsid w:val="0095390A"/>
    <w:rsid w:val="00954F63"/>
    <w:rsid w:val="009567E0"/>
    <w:rsid w:val="009607E9"/>
    <w:rsid w:val="00962A93"/>
    <w:rsid w:val="00962C57"/>
    <w:rsid w:val="009636C5"/>
    <w:rsid w:val="0096455F"/>
    <w:rsid w:val="00965559"/>
    <w:rsid w:val="00967223"/>
    <w:rsid w:val="0096740D"/>
    <w:rsid w:val="009678BA"/>
    <w:rsid w:val="00967B07"/>
    <w:rsid w:val="0097049A"/>
    <w:rsid w:val="009711B6"/>
    <w:rsid w:val="00971F2E"/>
    <w:rsid w:val="00974B77"/>
    <w:rsid w:val="00980538"/>
    <w:rsid w:val="0098174C"/>
    <w:rsid w:val="00981AAE"/>
    <w:rsid w:val="00983432"/>
    <w:rsid w:val="009846E6"/>
    <w:rsid w:val="009871CF"/>
    <w:rsid w:val="00990EF5"/>
    <w:rsid w:val="0099181A"/>
    <w:rsid w:val="0099238A"/>
    <w:rsid w:val="00995E68"/>
    <w:rsid w:val="0099741E"/>
    <w:rsid w:val="00997E9B"/>
    <w:rsid w:val="009A0374"/>
    <w:rsid w:val="009A03C2"/>
    <w:rsid w:val="009A1FAB"/>
    <w:rsid w:val="009A5052"/>
    <w:rsid w:val="009A7A7A"/>
    <w:rsid w:val="009B0BDC"/>
    <w:rsid w:val="009B20C2"/>
    <w:rsid w:val="009B3B3D"/>
    <w:rsid w:val="009B3BB0"/>
    <w:rsid w:val="009B4CF5"/>
    <w:rsid w:val="009C263F"/>
    <w:rsid w:val="009C47F3"/>
    <w:rsid w:val="009C5C9D"/>
    <w:rsid w:val="009C7425"/>
    <w:rsid w:val="009D31E0"/>
    <w:rsid w:val="009D34B2"/>
    <w:rsid w:val="009D6232"/>
    <w:rsid w:val="009D649E"/>
    <w:rsid w:val="009D6954"/>
    <w:rsid w:val="009D69BE"/>
    <w:rsid w:val="009D7446"/>
    <w:rsid w:val="009D76D7"/>
    <w:rsid w:val="009E0B56"/>
    <w:rsid w:val="009E2DCC"/>
    <w:rsid w:val="009E3788"/>
    <w:rsid w:val="009E3A23"/>
    <w:rsid w:val="009E3F66"/>
    <w:rsid w:val="009F60E3"/>
    <w:rsid w:val="00A01511"/>
    <w:rsid w:val="00A01AE3"/>
    <w:rsid w:val="00A01CE1"/>
    <w:rsid w:val="00A01DB6"/>
    <w:rsid w:val="00A03556"/>
    <w:rsid w:val="00A10467"/>
    <w:rsid w:val="00A105A0"/>
    <w:rsid w:val="00A111E8"/>
    <w:rsid w:val="00A11C1C"/>
    <w:rsid w:val="00A12E56"/>
    <w:rsid w:val="00A13831"/>
    <w:rsid w:val="00A143FE"/>
    <w:rsid w:val="00A14E49"/>
    <w:rsid w:val="00A15912"/>
    <w:rsid w:val="00A20503"/>
    <w:rsid w:val="00A20D58"/>
    <w:rsid w:val="00A21729"/>
    <w:rsid w:val="00A2194A"/>
    <w:rsid w:val="00A2582E"/>
    <w:rsid w:val="00A266C5"/>
    <w:rsid w:val="00A305D5"/>
    <w:rsid w:val="00A30A8F"/>
    <w:rsid w:val="00A31987"/>
    <w:rsid w:val="00A32D34"/>
    <w:rsid w:val="00A3425A"/>
    <w:rsid w:val="00A35391"/>
    <w:rsid w:val="00A36507"/>
    <w:rsid w:val="00A36642"/>
    <w:rsid w:val="00A37ADE"/>
    <w:rsid w:val="00A415D4"/>
    <w:rsid w:val="00A431DC"/>
    <w:rsid w:val="00A4403C"/>
    <w:rsid w:val="00A44E82"/>
    <w:rsid w:val="00A45CF0"/>
    <w:rsid w:val="00A4635F"/>
    <w:rsid w:val="00A468E9"/>
    <w:rsid w:val="00A476F2"/>
    <w:rsid w:val="00A513AF"/>
    <w:rsid w:val="00A5457A"/>
    <w:rsid w:val="00A66AA1"/>
    <w:rsid w:val="00A70B90"/>
    <w:rsid w:val="00A718F6"/>
    <w:rsid w:val="00A7366E"/>
    <w:rsid w:val="00A73BC2"/>
    <w:rsid w:val="00A75815"/>
    <w:rsid w:val="00A75A49"/>
    <w:rsid w:val="00A76FC1"/>
    <w:rsid w:val="00A772D2"/>
    <w:rsid w:val="00A8272C"/>
    <w:rsid w:val="00A828EF"/>
    <w:rsid w:val="00A831AC"/>
    <w:rsid w:val="00A8643C"/>
    <w:rsid w:val="00A86861"/>
    <w:rsid w:val="00A87B19"/>
    <w:rsid w:val="00A94F55"/>
    <w:rsid w:val="00A954C1"/>
    <w:rsid w:val="00AA1910"/>
    <w:rsid w:val="00AA343F"/>
    <w:rsid w:val="00AA5E32"/>
    <w:rsid w:val="00AA63AE"/>
    <w:rsid w:val="00AA7EF2"/>
    <w:rsid w:val="00AB1254"/>
    <w:rsid w:val="00AB18C2"/>
    <w:rsid w:val="00AB2579"/>
    <w:rsid w:val="00AB2AA1"/>
    <w:rsid w:val="00AB48C5"/>
    <w:rsid w:val="00AB4C86"/>
    <w:rsid w:val="00AB561E"/>
    <w:rsid w:val="00AB5C56"/>
    <w:rsid w:val="00AB7DF1"/>
    <w:rsid w:val="00AC00C5"/>
    <w:rsid w:val="00AC296D"/>
    <w:rsid w:val="00AC79E2"/>
    <w:rsid w:val="00AC7A22"/>
    <w:rsid w:val="00AD0ED3"/>
    <w:rsid w:val="00AD1715"/>
    <w:rsid w:val="00AD3300"/>
    <w:rsid w:val="00AE05B6"/>
    <w:rsid w:val="00AE08D8"/>
    <w:rsid w:val="00AE1596"/>
    <w:rsid w:val="00AE21F6"/>
    <w:rsid w:val="00AE2306"/>
    <w:rsid w:val="00AE4C9D"/>
    <w:rsid w:val="00AF1256"/>
    <w:rsid w:val="00AF456C"/>
    <w:rsid w:val="00AF5E4E"/>
    <w:rsid w:val="00AF6A60"/>
    <w:rsid w:val="00AF6F5A"/>
    <w:rsid w:val="00AF7357"/>
    <w:rsid w:val="00B020AF"/>
    <w:rsid w:val="00B0424C"/>
    <w:rsid w:val="00B04DF2"/>
    <w:rsid w:val="00B050C9"/>
    <w:rsid w:val="00B07DE0"/>
    <w:rsid w:val="00B1022C"/>
    <w:rsid w:val="00B10CEF"/>
    <w:rsid w:val="00B127BC"/>
    <w:rsid w:val="00B1312E"/>
    <w:rsid w:val="00B14E9F"/>
    <w:rsid w:val="00B1695F"/>
    <w:rsid w:val="00B2084A"/>
    <w:rsid w:val="00B211C5"/>
    <w:rsid w:val="00B21477"/>
    <w:rsid w:val="00B22A67"/>
    <w:rsid w:val="00B23F81"/>
    <w:rsid w:val="00B243FE"/>
    <w:rsid w:val="00B24CD8"/>
    <w:rsid w:val="00B26845"/>
    <w:rsid w:val="00B27FA2"/>
    <w:rsid w:val="00B33858"/>
    <w:rsid w:val="00B34636"/>
    <w:rsid w:val="00B3585F"/>
    <w:rsid w:val="00B43259"/>
    <w:rsid w:val="00B52172"/>
    <w:rsid w:val="00B54056"/>
    <w:rsid w:val="00B55A9D"/>
    <w:rsid w:val="00B63A79"/>
    <w:rsid w:val="00B64454"/>
    <w:rsid w:val="00B65948"/>
    <w:rsid w:val="00B66CCE"/>
    <w:rsid w:val="00B72DAB"/>
    <w:rsid w:val="00B769C9"/>
    <w:rsid w:val="00B7716C"/>
    <w:rsid w:val="00B865DB"/>
    <w:rsid w:val="00B91058"/>
    <w:rsid w:val="00B91911"/>
    <w:rsid w:val="00B941AB"/>
    <w:rsid w:val="00B97FCD"/>
    <w:rsid w:val="00BB3A1A"/>
    <w:rsid w:val="00BB535D"/>
    <w:rsid w:val="00BB5E93"/>
    <w:rsid w:val="00BB6623"/>
    <w:rsid w:val="00BB7B59"/>
    <w:rsid w:val="00BC2CC0"/>
    <w:rsid w:val="00BC4528"/>
    <w:rsid w:val="00BC4695"/>
    <w:rsid w:val="00BC6955"/>
    <w:rsid w:val="00BC6FE7"/>
    <w:rsid w:val="00BD002B"/>
    <w:rsid w:val="00BD3226"/>
    <w:rsid w:val="00BD3F74"/>
    <w:rsid w:val="00BD4085"/>
    <w:rsid w:val="00BD4D46"/>
    <w:rsid w:val="00BD5DA3"/>
    <w:rsid w:val="00BE026E"/>
    <w:rsid w:val="00BE3A9B"/>
    <w:rsid w:val="00BE4399"/>
    <w:rsid w:val="00BE445D"/>
    <w:rsid w:val="00BF01C4"/>
    <w:rsid w:val="00BF3CB3"/>
    <w:rsid w:val="00BF4F03"/>
    <w:rsid w:val="00BF6BFE"/>
    <w:rsid w:val="00C014C0"/>
    <w:rsid w:val="00C0250E"/>
    <w:rsid w:val="00C104A0"/>
    <w:rsid w:val="00C10B8A"/>
    <w:rsid w:val="00C113D9"/>
    <w:rsid w:val="00C114F6"/>
    <w:rsid w:val="00C128B7"/>
    <w:rsid w:val="00C13232"/>
    <w:rsid w:val="00C145C6"/>
    <w:rsid w:val="00C160F7"/>
    <w:rsid w:val="00C23D2D"/>
    <w:rsid w:val="00C23F4D"/>
    <w:rsid w:val="00C26CA1"/>
    <w:rsid w:val="00C340B0"/>
    <w:rsid w:val="00C35E5A"/>
    <w:rsid w:val="00C36921"/>
    <w:rsid w:val="00C37920"/>
    <w:rsid w:val="00C43890"/>
    <w:rsid w:val="00C43C01"/>
    <w:rsid w:val="00C45986"/>
    <w:rsid w:val="00C459C9"/>
    <w:rsid w:val="00C51F39"/>
    <w:rsid w:val="00C524E9"/>
    <w:rsid w:val="00C5656A"/>
    <w:rsid w:val="00C6242E"/>
    <w:rsid w:val="00C62AD7"/>
    <w:rsid w:val="00C6363D"/>
    <w:rsid w:val="00C64231"/>
    <w:rsid w:val="00C64D80"/>
    <w:rsid w:val="00C656DC"/>
    <w:rsid w:val="00C6598D"/>
    <w:rsid w:val="00C755DE"/>
    <w:rsid w:val="00C761A4"/>
    <w:rsid w:val="00C80E13"/>
    <w:rsid w:val="00C82BDF"/>
    <w:rsid w:val="00C83692"/>
    <w:rsid w:val="00C8617F"/>
    <w:rsid w:val="00C86F66"/>
    <w:rsid w:val="00C9047D"/>
    <w:rsid w:val="00C90674"/>
    <w:rsid w:val="00C90C95"/>
    <w:rsid w:val="00C910A4"/>
    <w:rsid w:val="00C91431"/>
    <w:rsid w:val="00C9143E"/>
    <w:rsid w:val="00C9185D"/>
    <w:rsid w:val="00C919EB"/>
    <w:rsid w:val="00C93060"/>
    <w:rsid w:val="00C96BB7"/>
    <w:rsid w:val="00C96BD0"/>
    <w:rsid w:val="00CA0990"/>
    <w:rsid w:val="00CA39FA"/>
    <w:rsid w:val="00CA44EC"/>
    <w:rsid w:val="00CA46DA"/>
    <w:rsid w:val="00CA5C93"/>
    <w:rsid w:val="00CB00CA"/>
    <w:rsid w:val="00CB0405"/>
    <w:rsid w:val="00CB19A9"/>
    <w:rsid w:val="00CB4AE5"/>
    <w:rsid w:val="00CB4FDC"/>
    <w:rsid w:val="00CB5C84"/>
    <w:rsid w:val="00CC006D"/>
    <w:rsid w:val="00CC0AA0"/>
    <w:rsid w:val="00CC13FE"/>
    <w:rsid w:val="00CC240D"/>
    <w:rsid w:val="00CC4E2C"/>
    <w:rsid w:val="00CC552E"/>
    <w:rsid w:val="00CC6CB6"/>
    <w:rsid w:val="00CC7025"/>
    <w:rsid w:val="00CC774A"/>
    <w:rsid w:val="00CD07EE"/>
    <w:rsid w:val="00CD1AE5"/>
    <w:rsid w:val="00CD340B"/>
    <w:rsid w:val="00CD4EFB"/>
    <w:rsid w:val="00CD755E"/>
    <w:rsid w:val="00CE2FAE"/>
    <w:rsid w:val="00CE487C"/>
    <w:rsid w:val="00CE5A4B"/>
    <w:rsid w:val="00CF16D8"/>
    <w:rsid w:val="00CF5C88"/>
    <w:rsid w:val="00CF6600"/>
    <w:rsid w:val="00CF75E3"/>
    <w:rsid w:val="00D0098B"/>
    <w:rsid w:val="00D00D2E"/>
    <w:rsid w:val="00D0180F"/>
    <w:rsid w:val="00D019E1"/>
    <w:rsid w:val="00D02301"/>
    <w:rsid w:val="00D02D0E"/>
    <w:rsid w:val="00D06A1F"/>
    <w:rsid w:val="00D1076E"/>
    <w:rsid w:val="00D12C54"/>
    <w:rsid w:val="00D13317"/>
    <w:rsid w:val="00D21242"/>
    <w:rsid w:val="00D2486C"/>
    <w:rsid w:val="00D3019C"/>
    <w:rsid w:val="00D309F1"/>
    <w:rsid w:val="00D30D34"/>
    <w:rsid w:val="00D310E4"/>
    <w:rsid w:val="00D3256C"/>
    <w:rsid w:val="00D330C8"/>
    <w:rsid w:val="00D34122"/>
    <w:rsid w:val="00D35720"/>
    <w:rsid w:val="00D409C8"/>
    <w:rsid w:val="00D429F0"/>
    <w:rsid w:val="00D51CE0"/>
    <w:rsid w:val="00D52DA7"/>
    <w:rsid w:val="00D55B5C"/>
    <w:rsid w:val="00D56514"/>
    <w:rsid w:val="00D606C2"/>
    <w:rsid w:val="00D6369B"/>
    <w:rsid w:val="00D65A60"/>
    <w:rsid w:val="00D661FD"/>
    <w:rsid w:val="00D7095B"/>
    <w:rsid w:val="00D71B66"/>
    <w:rsid w:val="00D72ED8"/>
    <w:rsid w:val="00D730B2"/>
    <w:rsid w:val="00D80A88"/>
    <w:rsid w:val="00D810EA"/>
    <w:rsid w:val="00D811D5"/>
    <w:rsid w:val="00D821A1"/>
    <w:rsid w:val="00D826D0"/>
    <w:rsid w:val="00D83C56"/>
    <w:rsid w:val="00D8670D"/>
    <w:rsid w:val="00D8688C"/>
    <w:rsid w:val="00D86C65"/>
    <w:rsid w:val="00D90740"/>
    <w:rsid w:val="00D913C1"/>
    <w:rsid w:val="00D91B53"/>
    <w:rsid w:val="00D92DFF"/>
    <w:rsid w:val="00D95BFB"/>
    <w:rsid w:val="00D963B6"/>
    <w:rsid w:val="00D96B6B"/>
    <w:rsid w:val="00DA18D6"/>
    <w:rsid w:val="00DA18E5"/>
    <w:rsid w:val="00DA3364"/>
    <w:rsid w:val="00DA379E"/>
    <w:rsid w:val="00DA69D3"/>
    <w:rsid w:val="00DA6BEE"/>
    <w:rsid w:val="00DA7862"/>
    <w:rsid w:val="00DA7A2E"/>
    <w:rsid w:val="00DB022B"/>
    <w:rsid w:val="00DB1A5C"/>
    <w:rsid w:val="00DB2F35"/>
    <w:rsid w:val="00DB3069"/>
    <w:rsid w:val="00DB36AE"/>
    <w:rsid w:val="00DB71E4"/>
    <w:rsid w:val="00DB7F06"/>
    <w:rsid w:val="00DC1945"/>
    <w:rsid w:val="00DC47D6"/>
    <w:rsid w:val="00DD3D99"/>
    <w:rsid w:val="00DD4C84"/>
    <w:rsid w:val="00DD56ED"/>
    <w:rsid w:val="00DD6DD4"/>
    <w:rsid w:val="00DD78E4"/>
    <w:rsid w:val="00DE0FB8"/>
    <w:rsid w:val="00DE1F1C"/>
    <w:rsid w:val="00DE26AB"/>
    <w:rsid w:val="00DE437D"/>
    <w:rsid w:val="00DE4572"/>
    <w:rsid w:val="00DE4DAD"/>
    <w:rsid w:val="00DE792C"/>
    <w:rsid w:val="00DF0087"/>
    <w:rsid w:val="00DF02E8"/>
    <w:rsid w:val="00DF1CCA"/>
    <w:rsid w:val="00DF36B2"/>
    <w:rsid w:val="00DF4339"/>
    <w:rsid w:val="00DF5474"/>
    <w:rsid w:val="00E00DCC"/>
    <w:rsid w:val="00E02758"/>
    <w:rsid w:val="00E050CC"/>
    <w:rsid w:val="00E05736"/>
    <w:rsid w:val="00E057B0"/>
    <w:rsid w:val="00E05B64"/>
    <w:rsid w:val="00E06541"/>
    <w:rsid w:val="00E11026"/>
    <w:rsid w:val="00E11605"/>
    <w:rsid w:val="00E119FF"/>
    <w:rsid w:val="00E11D0E"/>
    <w:rsid w:val="00E15040"/>
    <w:rsid w:val="00E15313"/>
    <w:rsid w:val="00E16283"/>
    <w:rsid w:val="00E17BB4"/>
    <w:rsid w:val="00E2010D"/>
    <w:rsid w:val="00E2046A"/>
    <w:rsid w:val="00E2236D"/>
    <w:rsid w:val="00E22B16"/>
    <w:rsid w:val="00E23942"/>
    <w:rsid w:val="00E25C9D"/>
    <w:rsid w:val="00E26676"/>
    <w:rsid w:val="00E27AC2"/>
    <w:rsid w:val="00E302DE"/>
    <w:rsid w:val="00E31B97"/>
    <w:rsid w:val="00E34A42"/>
    <w:rsid w:val="00E3666D"/>
    <w:rsid w:val="00E37897"/>
    <w:rsid w:val="00E4055C"/>
    <w:rsid w:val="00E44CBE"/>
    <w:rsid w:val="00E450D6"/>
    <w:rsid w:val="00E46813"/>
    <w:rsid w:val="00E50341"/>
    <w:rsid w:val="00E508C4"/>
    <w:rsid w:val="00E50D5A"/>
    <w:rsid w:val="00E519C5"/>
    <w:rsid w:val="00E52119"/>
    <w:rsid w:val="00E55439"/>
    <w:rsid w:val="00E555EB"/>
    <w:rsid w:val="00E577F6"/>
    <w:rsid w:val="00E61D3E"/>
    <w:rsid w:val="00E627CC"/>
    <w:rsid w:val="00E62A7A"/>
    <w:rsid w:val="00E63C17"/>
    <w:rsid w:val="00E64135"/>
    <w:rsid w:val="00E65C61"/>
    <w:rsid w:val="00E67CD7"/>
    <w:rsid w:val="00E67E0B"/>
    <w:rsid w:val="00E70FD6"/>
    <w:rsid w:val="00E7183F"/>
    <w:rsid w:val="00E72959"/>
    <w:rsid w:val="00E73D6C"/>
    <w:rsid w:val="00E747A6"/>
    <w:rsid w:val="00E7538F"/>
    <w:rsid w:val="00E754EF"/>
    <w:rsid w:val="00E7629E"/>
    <w:rsid w:val="00E85FBA"/>
    <w:rsid w:val="00E87853"/>
    <w:rsid w:val="00E9072B"/>
    <w:rsid w:val="00E924EF"/>
    <w:rsid w:val="00E935C6"/>
    <w:rsid w:val="00E952E5"/>
    <w:rsid w:val="00E9669B"/>
    <w:rsid w:val="00EA16D9"/>
    <w:rsid w:val="00EA31CE"/>
    <w:rsid w:val="00EA384A"/>
    <w:rsid w:val="00EA3BCD"/>
    <w:rsid w:val="00EA5859"/>
    <w:rsid w:val="00EA5897"/>
    <w:rsid w:val="00EA6BA9"/>
    <w:rsid w:val="00EB237D"/>
    <w:rsid w:val="00EB6FEA"/>
    <w:rsid w:val="00EB7C3D"/>
    <w:rsid w:val="00EB7E9A"/>
    <w:rsid w:val="00EC0D68"/>
    <w:rsid w:val="00EC0EED"/>
    <w:rsid w:val="00EC3AC5"/>
    <w:rsid w:val="00EC456B"/>
    <w:rsid w:val="00EC6064"/>
    <w:rsid w:val="00EC6330"/>
    <w:rsid w:val="00EC7981"/>
    <w:rsid w:val="00EC7A9D"/>
    <w:rsid w:val="00ED0C8B"/>
    <w:rsid w:val="00ED2E37"/>
    <w:rsid w:val="00ED3FEC"/>
    <w:rsid w:val="00ED4D1F"/>
    <w:rsid w:val="00ED7101"/>
    <w:rsid w:val="00ED736D"/>
    <w:rsid w:val="00EE0961"/>
    <w:rsid w:val="00EE14D5"/>
    <w:rsid w:val="00EE2002"/>
    <w:rsid w:val="00EE3DAF"/>
    <w:rsid w:val="00EE5CD6"/>
    <w:rsid w:val="00EF0995"/>
    <w:rsid w:val="00EF2BFD"/>
    <w:rsid w:val="00EF3321"/>
    <w:rsid w:val="00EF3A1F"/>
    <w:rsid w:val="00EF3C98"/>
    <w:rsid w:val="00EF3EF7"/>
    <w:rsid w:val="00EF5BA7"/>
    <w:rsid w:val="00EF6B7F"/>
    <w:rsid w:val="00F00655"/>
    <w:rsid w:val="00F00946"/>
    <w:rsid w:val="00F00BF7"/>
    <w:rsid w:val="00F01B43"/>
    <w:rsid w:val="00F038E5"/>
    <w:rsid w:val="00F03FC0"/>
    <w:rsid w:val="00F068AD"/>
    <w:rsid w:val="00F15379"/>
    <w:rsid w:val="00F16548"/>
    <w:rsid w:val="00F23270"/>
    <w:rsid w:val="00F23F42"/>
    <w:rsid w:val="00F2449F"/>
    <w:rsid w:val="00F24A3D"/>
    <w:rsid w:val="00F258D5"/>
    <w:rsid w:val="00F3042C"/>
    <w:rsid w:val="00F32C5A"/>
    <w:rsid w:val="00F33255"/>
    <w:rsid w:val="00F35B99"/>
    <w:rsid w:val="00F35FDC"/>
    <w:rsid w:val="00F37E4B"/>
    <w:rsid w:val="00F4664C"/>
    <w:rsid w:val="00F50B58"/>
    <w:rsid w:val="00F51174"/>
    <w:rsid w:val="00F517A5"/>
    <w:rsid w:val="00F517A6"/>
    <w:rsid w:val="00F57418"/>
    <w:rsid w:val="00F6670F"/>
    <w:rsid w:val="00F70D6E"/>
    <w:rsid w:val="00F71DA8"/>
    <w:rsid w:val="00F743AB"/>
    <w:rsid w:val="00F774DE"/>
    <w:rsid w:val="00F805ED"/>
    <w:rsid w:val="00F82993"/>
    <w:rsid w:val="00F82C27"/>
    <w:rsid w:val="00F83CC6"/>
    <w:rsid w:val="00F84020"/>
    <w:rsid w:val="00F853FB"/>
    <w:rsid w:val="00F85E22"/>
    <w:rsid w:val="00F85F69"/>
    <w:rsid w:val="00F86CFD"/>
    <w:rsid w:val="00F93C44"/>
    <w:rsid w:val="00F9543B"/>
    <w:rsid w:val="00F957A4"/>
    <w:rsid w:val="00F96529"/>
    <w:rsid w:val="00F97CA3"/>
    <w:rsid w:val="00FA4124"/>
    <w:rsid w:val="00FA48EC"/>
    <w:rsid w:val="00FA4A88"/>
    <w:rsid w:val="00FA6121"/>
    <w:rsid w:val="00FB3977"/>
    <w:rsid w:val="00FB4DEC"/>
    <w:rsid w:val="00FB7F82"/>
    <w:rsid w:val="00FC0771"/>
    <w:rsid w:val="00FC3939"/>
    <w:rsid w:val="00FC3BA6"/>
    <w:rsid w:val="00FC3BCB"/>
    <w:rsid w:val="00FC67DC"/>
    <w:rsid w:val="00FD0351"/>
    <w:rsid w:val="00FD0D91"/>
    <w:rsid w:val="00FD207A"/>
    <w:rsid w:val="00FD394C"/>
    <w:rsid w:val="00FD4822"/>
    <w:rsid w:val="00FD4C9A"/>
    <w:rsid w:val="00FD5873"/>
    <w:rsid w:val="00FD5A26"/>
    <w:rsid w:val="00FD793B"/>
    <w:rsid w:val="00FE03C1"/>
    <w:rsid w:val="00FE2955"/>
    <w:rsid w:val="00FE5FF1"/>
    <w:rsid w:val="00FE6CB3"/>
    <w:rsid w:val="00FF118E"/>
    <w:rsid w:val="00FF203D"/>
    <w:rsid w:val="00FF2327"/>
    <w:rsid w:val="00FF2DA9"/>
    <w:rsid w:val="00FF33BA"/>
    <w:rsid w:val="00FF4C14"/>
    <w:rsid w:val="00FF4C71"/>
    <w:rsid w:val="00FF5BE4"/>
    <w:rsid w:val="00FF6A73"/>
    <w:rsid w:val="00FF7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4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BB0"/>
    <w:pPr>
      <w:tabs>
        <w:tab w:val="left" w:pos="540"/>
      </w:tabs>
      <w:spacing w:line="360" w:lineRule="auto"/>
      <w:outlineLvl w:val="0"/>
    </w:pPr>
    <w:rPr>
      <w:b/>
    </w:rPr>
  </w:style>
  <w:style w:type="paragraph" w:styleId="Heading2">
    <w:name w:val="heading 2"/>
    <w:basedOn w:val="Normal"/>
    <w:next w:val="Normal"/>
    <w:link w:val="Heading2Char"/>
    <w:unhideWhenUsed/>
    <w:qFormat/>
    <w:rsid w:val="009B3BB0"/>
    <w:pPr>
      <w:keepNext/>
      <w:keepLines/>
      <w:tabs>
        <w:tab w:val="left" w:pos="540"/>
      </w:tabs>
      <w:spacing w:before="180" w:line="36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AA7E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BB0"/>
    <w:rPr>
      <w:rFonts w:ascii="Arial" w:hAnsi="Arial" w:cs="Arial"/>
      <w:b/>
    </w:rPr>
  </w:style>
  <w:style w:type="character" w:customStyle="1" w:styleId="Heading2Char">
    <w:name w:val="Heading 2 Char"/>
    <w:basedOn w:val="DefaultParagraphFont"/>
    <w:link w:val="Heading2"/>
    <w:rsid w:val="009B3BB0"/>
    <w:rPr>
      <w:rFonts w:ascii="Arial" w:eastAsiaTheme="majorEastAsia" w:hAnsi="Arial" w:cstheme="majorBidi"/>
      <w:i/>
      <w:color w:val="000000" w:themeColor="text1"/>
      <w:szCs w:val="26"/>
    </w:rPr>
  </w:style>
  <w:style w:type="paragraph" w:styleId="ListParagraph">
    <w:name w:val="List Paragraph"/>
    <w:basedOn w:val="Normal"/>
    <w:uiPriority w:val="34"/>
    <w:qFormat/>
    <w:rsid w:val="009B3BB0"/>
    <w:pPr>
      <w:ind w:left="720"/>
      <w:contextualSpacing/>
    </w:pPr>
  </w:style>
  <w:style w:type="character" w:styleId="Hyperlink">
    <w:name w:val="Hyperlink"/>
    <w:basedOn w:val="DefaultParagraphFont"/>
    <w:unhideWhenUsed/>
    <w:rsid w:val="009B3BB0"/>
    <w:rPr>
      <w:color w:val="0563C1" w:themeColor="hyperlink"/>
      <w:u w:val="single"/>
    </w:rPr>
  </w:style>
  <w:style w:type="paragraph" w:styleId="Footer">
    <w:name w:val="footer"/>
    <w:basedOn w:val="Normal"/>
    <w:link w:val="FooterChar"/>
    <w:uiPriority w:val="99"/>
    <w:unhideWhenUsed/>
    <w:rsid w:val="009B3BB0"/>
    <w:pPr>
      <w:tabs>
        <w:tab w:val="center" w:pos="4680"/>
        <w:tab w:val="right" w:pos="9360"/>
      </w:tabs>
    </w:pPr>
  </w:style>
  <w:style w:type="character" w:customStyle="1" w:styleId="FooterChar">
    <w:name w:val="Footer Char"/>
    <w:basedOn w:val="DefaultParagraphFont"/>
    <w:link w:val="Footer"/>
    <w:uiPriority w:val="99"/>
    <w:rsid w:val="009B3BB0"/>
    <w:rPr>
      <w:rFonts w:ascii="Arial" w:hAnsi="Arial" w:cs="Arial"/>
    </w:rPr>
  </w:style>
  <w:style w:type="character" w:styleId="PageNumber">
    <w:name w:val="page number"/>
    <w:basedOn w:val="DefaultParagraphFont"/>
    <w:unhideWhenUsed/>
    <w:rsid w:val="009B3BB0"/>
  </w:style>
  <w:style w:type="paragraph" w:styleId="Header">
    <w:name w:val="header"/>
    <w:basedOn w:val="Normal"/>
    <w:link w:val="HeaderChar"/>
    <w:unhideWhenUsed/>
    <w:rsid w:val="009B3BB0"/>
    <w:pPr>
      <w:tabs>
        <w:tab w:val="center" w:pos="4680"/>
        <w:tab w:val="right" w:pos="9360"/>
      </w:tabs>
    </w:pPr>
  </w:style>
  <w:style w:type="character" w:customStyle="1" w:styleId="HeaderChar">
    <w:name w:val="Header Char"/>
    <w:basedOn w:val="DefaultParagraphFont"/>
    <w:link w:val="Header"/>
    <w:rsid w:val="009B3BB0"/>
    <w:rPr>
      <w:rFonts w:ascii="Arial" w:hAnsi="Arial" w:cs="Arial"/>
    </w:rPr>
  </w:style>
  <w:style w:type="table" w:styleId="TableGrid">
    <w:name w:val="Table Grid"/>
    <w:basedOn w:val="TableNormal"/>
    <w:uiPriority w:val="39"/>
    <w:rsid w:val="009B3BB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B3BB0"/>
  </w:style>
  <w:style w:type="character" w:customStyle="1" w:styleId="CommentTextChar">
    <w:name w:val="Comment Text Char"/>
    <w:basedOn w:val="DefaultParagraphFont"/>
    <w:link w:val="CommentText"/>
    <w:rsid w:val="009B3BB0"/>
    <w:rPr>
      <w:rFonts w:ascii="Arial" w:hAnsi="Arial" w:cs="Arial"/>
      <w:sz w:val="24"/>
      <w:szCs w:val="24"/>
    </w:rPr>
  </w:style>
  <w:style w:type="character" w:styleId="CommentReference">
    <w:name w:val="annotation reference"/>
    <w:basedOn w:val="DefaultParagraphFont"/>
    <w:unhideWhenUsed/>
    <w:rsid w:val="009B3BB0"/>
    <w:rPr>
      <w:sz w:val="16"/>
      <w:szCs w:val="16"/>
    </w:rPr>
  </w:style>
  <w:style w:type="paragraph" w:styleId="BalloonText">
    <w:name w:val="Balloon Text"/>
    <w:basedOn w:val="Normal"/>
    <w:link w:val="BalloonTextChar"/>
    <w:unhideWhenUsed/>
    <w:rsid w:val="009B3BB0"/>
    <w:rPr>
      <w:sz w:val="18"/>
      <w:szCs w:val="18"/>
    </w:rPr>
  </w:style>
  <w:style w:type="character" w:customStyle="1" w:styleId="BalloonTextChar">
    <w:name w:val="Balloon Text Char"/>
    <w:basedOn w:val="DefaultParagraphFont"/>
    <w:link w:val="BalloonText"/>
    <w:rsid w:val="009B3BB0"/>
    <w:rPr>
      <w:rFonts w:ascii="Times New Roman" w:hAnsi="Times New Roman" w:cs="Times New Roman"/>
      <w:sz w:val="18"/>
      <w:szCs w:val="18"/>
    </w:rPr>
  </w:style>
  <w:style w:type="paragraph" w:styleId="TOC1">
    <w:name w:val="toc 1"/>
    <w:basedOn w:val="Normal"/>
    <w:next w:val="Normal"/>
    <w:autoRedefine/>
    <w:uiPriority w:val="39"/>
    <w:unhideWhenUsed/>
    <w:rsid w:val="009B3BB0"/>
    <w:pPr>
      <w:tabs>
        <w:tab w:val="left" w:pos="440"/>
        <w:tab w:val="right" w:leader="dot" w:pos="9350"/>
      </w:tabs>
      <w:spacing w:before="120" w:line="276" w:lineRule="auto"/>
    </w:pPr>
    <w:rPr>
      <w:b/>
    </w:rPr>
  </w:style>
  <w:style w:type="paragraph" w:styleId="TOC2">
    <w:name w:val="toc 2"/>
    <w:basedOn w:val="Normal"/>
    <w:next w:val="Normal"/>
    <w:autoRedefine/>
    <w:uiPriority w:val="39"/>
    <w:unhideWhenUsed/>
    <w:rsid w:val="009B3BB0"/>
    <w:pPr>
      <w:tabs>
        <w:tab w:val="left" w:pos="880"/>
        <w:tab w:val="right" w:leader="dot" w:pos="9350"/>
      </w:tabs>
      <w:spacing w:line="276" w:lineRule="auto"/>
      <w:ind w:left="432"/>
    </w:pPr>
    <w:rPr>
      <w:i/>
      <w:sz w:val="21"/>
    </w:rPr>
  </w:style>
  <w:style w:type="paragraph" w:styleId="TOC3">
    <w:name w:val="toc 3"/>
    <w:basedOn w:val="Normal"/>
    <w:next w:val="Normal"/>
    <w:autoRedefine/>
    <w:uiPriority w:val="39"/>
    <w:unhideWhenUsed/>
    <w:rsid w:val="009B3BB0"/>
    <w:pPr>
      <w:ind w:left="440"/>
    </w:pPr>
    <w:rPr>
      <w:rFonts w:asciiTheme="minorHAnsi" w:hAnsiTheme="minorHAnsi"/>
    </w:rPr>
  </w:style>
  <w:style w:type="paragraph" w:styleId="TOC4">
    <w:name w:val="toc 4"/>
    <w:basedOn w:val="Normal"/>
    <w:next w:val="Normal"/>
    <w:autoRedefine/>
    <w:uiPriority w:val="39"/>
    <w:unhideWhenUsed/>
    <w:rsid w:val="009B3BB0"/>
    <w:pPr>
      <w:ind w:left="660"/>
    </w:pPr>
    <w:rPr>
      <w:rFonts w:asciiTheme="minorHAnsi" w:hAnsiTheme="minorHAnsi"/>
      <w:sz w:val="20"/>
      <w:szCs w:val="20"/>
    </w:rPr>
  </w:style>
  <w:style w:type="paragraph" w:styleId="TOC5">
    <w:name w:val="toc 5"/>
    <w:basedOn w:val="Normal"/>
    <w:next w:val="Normal"/>
    <w:autoRedefine/>
    <w:uiPriority w:val="39"/>
    <w:unhideWhenUsed/>
    <w:rsid w:val="009B3BB0"/>
    <w:pPr>
      <w:ind w:left="880"/>
    </w:pPr>
    <w:rPr>
      <w:rFonts w:asciiTheme="minorHAnsi" w:hAnsiTheme="minorHAnsi"/>
      <w:sz w:val="20"/>
      <w:szCs w:val="20"/>
    </w:rPr>
  </w:style>
  <w:style w:type="paragraph" w:styleId="TOC6">
    <w:name w:val="toc 6"/>
    <w:basedOn w:val="Normal"/>
    <w:next w:val="Normal"/>
    <w:autoRedefine/>
    <w:uiPriority w:val="39"/>
    <w:unhideWhenUsed/>
    <w:rsid w:val="009B3BB0"/>
    <w:pPr>
      <w:ind w:left="1100"/>
    </w:pPr>
    <w:rPr>
      <w:rFonts w:asciiTheme="minorHAnsi" w:hAnsiTheme="minorHAnsi"/>
      <w:sz w:val="20"/>
      <w:szCs w:val="20"/>
    </w:rPr>
  </w:style>
  <w:style w:type="paragraph" w:styleId="TOC7">
    <w:name w:val="toc 7"/>
    <w:basedOn w:val="Normal"/>
    <w:next w:val="Normal"/>
    <w:autoRedefine/>
    <w:uiPriority w:val="39"/>
    <w:unhideWhenUsed/>
    <w:rsid w:val="009B3BB0"/>
    <w:pPr>
      <w:ind w:left="1320"/>
    </w:pPr>
    <w:rPr>
      <w:rFonts w:asciiTheme="minorHAnsi" w:hAnsiTheme="minorHAnsi"/>
      <w:sz w:val="20"/>
      <w:szCs w:val="20"/>
    </w:rPr>
  </w:style>
  <w:style w:type="paragraph" w:styleId="TOC8">
    <w:name w:val="toc 8"/>
    <w:basedOn w:val="Normal"/>
    <w:next w:val="Normal"/>
    <w:autoRedefine/>
    <w:uiPriority w:val="39"/>
    <w:unhideWhenUsed/>
    <w:rsid w:val="009B3BB0"/>
    <w:pPr>
      <w:ind w:left="1540"/>
    </w:pPr>
    <w:rPr>
      <w:rFonts w:asciiTheme="minorHAnsi" w:hAnsiTheme="minorHAnsi"/>
      <w:sz w:val="20"/>
      <w:szCs w:val="20"/>
    </w:rPr>
  </w:style>
  <w:style w:type="paragraph" w:styleId="TOC9">
    <w:name w:val="toc 9"/>
    <w:basedOn w:val="Normal"/>
    <w:next w:val="Normal"/>
    <w:autoRedefine/>
    <w:uiPriority w:val="39"/>
    <w:unhideWhenUsed/>
    <w:rsid w:val="009B3BB0"/>
    <w:pPr>
      <w:ind w:left="1760"/>
    </w:pPr>
    <w:rPr>
      <w:rFonts w:asciiTheme="minorHAnsi" w:hAnsiTheme="minorHAnsi"/>
      <w:sz w:val="20"/>
      <w:szCs w:val="20"/>
    </w:rPr>
  </w:style>
  <w:style w:type="paragraph" w:styleId="TOCHeading">
    <w:name w:val="TOC Heading"/>
    <w:basedOn w:val="Heading1"/>
    <w:next w:val="Normal"/>
    <w:uiPriority w:val="39"/>
    <w:unhideWhenUsed/>
    <w:qFormat/>
    <w:rsid w:val="009B3BB0"/>
    <w:pPr>
      <w:spacing w:before="480" w:line="276" w:lineRule="auto"/>
      <w:outlineLvl w:val="9"/>
    </w:pPr>
    <w:rPr>
      <w:b w:val="0"/>
      <w:bCs/>
      <w:sz w:val="28"/>
      <w:szCs w:val="28"/>
    </w:rPr>
  </w:style>
  <w:style w:type="paragraph" w:styleId="HTMLPreformatted">
    <w:name w:val="HTML Preformatted"/>
    <w:basedOn w:val="Normal"/>
    <w:link w:val="HTMLPreformattedChar"/>
    <w:uiPriority w:val="99"/>
    <w:rsid w:val="009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9B3BB0"/>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rsid w:val="009B3BB0"/>
    <w:rPr>
      <w:rFonts w:eastAsia="Batang"/>
      <w:b/>
      <w:bCs/>
      <w:sz w:val="20"/>
      <w:szCs w:val="20"/>
      <w:lang w:eastAsia="ko-KR"/>
    </w:rPr>
  </w:style>
  <w:style w:type="character" w:customStyle="1" w:styleId="CommentSubjectChar">
    <w:name w:val="Comment Subject Char"/>
    <w:basedOn w:val="CommentTextChar"/>
    <w:link w:val="CommentSubject"/>
    <w:rsid w:val="009B3BB0"/>
    <w:rPr>
      <w:rFonts w:ascii="Times New Roman" w:eastAsia="Batang" w:hAnsi="Times New Roman" w:cs="Times New Roman"/>
      <w:b/>
      <w:bCs/>
      <w:sz w:val="20"/>
      <w:szCs w:val="20"/>
      <w:lang w:eastAsia="ko-KR"/>
    </w:rPr>
  </w:style>
  <w:style w:type="paragraph" w:styleId="List2">
    <w:name w:val="List 2"/>
    <w:basedOn w:val="Normal"/>
    <w:rsid w:val="009B3BB0"/>
    <w:pPr>
      <w:ind w:left="720" w:hanging="360"/>
      <w:contextualSpacing/>
    </w:pPr>
    <w:rPr>
      <w:rFonts w:eastAsia="Batang"/>
      <w:lang w:eastAsia="ko-KR"/>
    </w:rPr>
  </w:style>
  <w:style w:type="paragraph" w:styleId="BodyText">
    <w:name w:val="Body Text"/>
    <w:basedOn w:val="Normal"/>
    <w:link w:val="BodyTextChar"/>
    <w:rsid w:val="009B3BB0"/>
    <w:pPr>
      <w:spacing w:after="120"/>
    </w:pPr>
    <w:rPr>
      <w:rFonts w:eastAsia="Batang"/>
      <w:lang w:eastAsia="ko-KR"/>
    </w:rPr>
  </w:style>
  <w:style w:type="character" w:customStyle="1" w:styleId="BodyTextChar">
    <w:name w:val="Body Text Char"/>
    <w:basedOn w:val="DefaultParagraphFont"/>
    <w:link w:val="BodyText"/>
    <w:rsid w:val="009B3BB0"/>
    <w:rPr>
      <w:rFonts w:ascii="Times New Roman" w:eastAsia="Batang" w:hAnsi="Times New Roman" w:cs="Times New Roman"/>
      <w:sz w:val="24"/>
      <w:szCs w:val="24"/>
      <w:lang w:eastAsia="ko-KR"/>
    </w:rPr>
  </w:style>
  <w:style w:type="paragraph" w:styleId="BodyTextFirstIndent">
    <w:name w:val="Body Text First Indent"/>
    <w:basedOn w:val="BodyText"/>
    <w:link w:val="BodyTextFirstIndentChar"/>
    <w:rsid w:val="009B3BB0"/>
    <w:pPr>
      <w:spacing w:after="0"/>
      <w:ind w:firstLine="360"/>
    </w:pPr>
  </w:style>
  <w:style w:type="character" w:customStyle="1" w:styleId="BodyTextFirstIndentChar">
    <w:name w:val="Body Text First Indent Char"/>
    <w:basedOn w:val="BodyTextChar"/>
    <w:link w:val="BodyTextFirstIndent"/>
    <w:rsid w:val="009B3BB0"/>
    <w:rPr>
      <w:rFonts w:ascii="Times New Roman" w:eastAsia="Batang" w:hAnsi="Times New Roman" w:cs="Times New Roman"/>
      <w:sz w:val="24"/>
      <w:szCs w:val="24"/>
      <w:lang w:eastAsia="ko-KR"/>
    </w:rPr>
  </w:style>
  <w:style w:type="paragraph" w:styleId="List">
    <w:name w:val="List"/>
    <w:basedOn w:val="Normal"/>
    <w:rsid w:val="009B3BB0"/>
    <w:pPr>
      <w:ind w:left="360" w:hanging="360"/>
      <w:contextualSpacing/>
    </w:pPr>
    <w:rPr>
      <w:rFonts w:eastAsia="Batang"/>
      <w:lang w:eastAsia="ko-KR"/>
    </w:rPr>
  </w:style>
  <w:style w:type="character" w:styleId="PlaceholderText">
    <w:name w:val="Placeholder Text"/>
    <w:basedOn w:val="DefaultParagraphFont"/>
    <w:uiPriority w:val="99"/>
    <w:semiHidden/>
    <w:rsid w:val="009B3BB0"/>
    <w:rPr>
      <w:color w:val="808080"/>
    </w:rPr>
  </w:style>
  <w:style w:type="table" w:customStyle="1" w:styleId="PlainTable21">
    <w:name w:val="Plain Table 21"/>
    <w:basedOn w:val="TableNormal"/>
    <w:uiPriority w:val="42"/>
    <w:rsid w:val="009B3B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Revision">
    <w:name w:val="Revision"/>
    <w:hidden/>
    <w:uiPriority w:val="99"/>
    <w:semiHidden/>
    <w:rsid w:val="00C43C01"/>
    <w:pPr>
      <w:spacing w:after="0" w:line="240" w:lineRule="auto"/>
    </w:pPr>
    <w:rPr>
      <w:rFonts w:ascii="Arial" w:hAnsi="Arial" w:cs="Arial"/>
    </w:rPr>
  </w:style>
  <w:style w:type="paragraph" w:customStyle="1" w:styleId="p">
    <w:name w:val="p"/>
    <w:basedOn w:val="Normal"/>
    <w:rsid w:val="000236BC"/>
    <w:pPr>
      <w:spacing w:before="100" w:beforeAutospacing="1" w:after="100" w:afterAutospacing="1"/>
    </w:pPr>
  </w:style>
  <w:style w:type="table" w:styleId="LightShading">
    <w:name w:val="Light Shading"/>
    <w:basedOn w:val="TableNormal"/>
    <w:uiPriority w:val="60"/>
    <w:rsid w:val="0060226B"/>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C761A4"/>
    <w:rPr>
      <w:rFonts w:ascii="Helvetica" w:hAnsi="Helvetica"/>
      <w:color w:val="454545"/>
      <w:sz w:val="18"/>
      <w:szCs w:val="18"/>
    </w:rPr>
  </w:style>
  <w:style w:type="character" w:customStyle="1" w:styleId="Heading3Char">
    <w:name w:val="Heading 3 Char"/>
    <w:basedOn w:val="DefaultParagraphFont"/>
    <w:link w:val="Heading3"/>
    <w:uiPriority w:val="9"/>
    <w:rsid w:val="00AA7EF2"/>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3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3BB0"/>
    <w:pPr>
      <w:tabs>
        <w:tab w:val="left" w:pos="540"/>
      </w:tabs>
      <w:spacing w:line="360" w:lineRule="auto"/>
      <w:outlineLvl w:val="0"/>
    </w:pPr>
    <w:rPr>
      <w:b/>
    </w:rPr>
  </w:style>
  <w:style w:type="paragraph" w:styleId="Heading2">
    <w:name w:val="heading 2"/>
    <w:basedOn w:val="Normal"/>
    <w:next w:val="Normal"/>
    <w:link w:val="Heading2Char"/>
    <w:unhideWhenUsed/>
    <w:qFormat/>
    <w:rsid w:val="009B3BB0"/>
    <w:pPr>
      <w:keepNext/>
      <w:keepLines/>
      <w:tabs>
        <w:tab w:val="left" w:pos="540"/>
      </w:tabs>
      <w:spacing w:before="180" w:line="360" w:lineRule="auto"/>
      <w:outlineLvl w:val="1"/>
    </w:pPr>
    <w:rPr>
      <w:rFonts w:eastAsiaTheme="majorEastAsia" w:cstheme="majorBidi"/>
      <w:i/>
      <w:color w:val="000000" w:themeColor="text1"/>
      <w:szCs w:val="26"/>
    </w:rPr>
  </w:style>
  <w:style w:type="paragraph" w:styleId="Heading3">
    <w:name w:val="heading 3"/>
    <w:basedOn w:val="Normal"/>
    <w:next w:val="Normal"/>
    <w:link w:val="Heading3Char"/>
    <w:uiPriority w:val="9"/>
    <w:unhideWhenUsed/>
    <w:qFormat/>
    <w:rsid w:val="00AA7EF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3BB0"/>
    <w:rPr>
      <w:rFonts w:ascii="Arial" w:hAnsi="Arial" w:cs="Arial"/>
      <w:b/>
    </w:rPr>
  </w:style>
  <w:style w:type="character" w:customStyle="1" w:styleId="Heading2Char">
    <w:name w:val="Heading 2 Char"/>
    <w:basedOn w:val="DefaultParagraphFont"/>
    <w:link w:val="Heading2"/>
    <w:rsid w:val="009B3BB0"/>
    <w:rPr>
      <w:rFonts w:ascii="Arial" w:eastAsiaTheme="majorEastAsia" w:hAnsi="Arial" w:cstheme="majorBidi"/>
      <w:i/>
      <w:color w:val="000000" w:themeColor="text1"/>
      <w:szCs w:val="26"/>
    </w:rPr>
  </w:style>
  <w:style w:type="paragraph" w:styleId="ListParagraph">
    <w:name w:val="List Paragraph"/>
    <w:basedOn w:val="Normal"/>
    <w:uiPriority w:val="34"/>
    <w:qFormat/>
    <w:rsid w:val="009B3BB0"/>
    <w:pPr>
      <w:ind w:left="720"/>
      <w:contextualSpacing/>
    </w:pPr>
  </w:style>
  <w:style w:type="character" w:styleId="Hyperlink">
    <w:name w:val="Hyperlink"/>
    <w:basedOn w:val="DefaultParagraphFont"/>
    <w:unhideWhenUsed/>
    <w:rsid w:val="009B3BB0"/>
    <w:rPr>
      <w:color w:val="0563C1" w:themeColor="hyperlink"/>
      <w:u w:val="single"/>
    </w:rPr>
  </w:style>
  <w:style w:type="paragraph" w:styleId="Footer">
    <w:name w:val="footer"/>
    <w:basedOn w:val="Normal"/>
    <w:link w:val="FooterChar"/>
    <w:uiPriority w:val="99"/>
    <w:unhideWhenUsed/>
    <w:rsid w:val="009B3BB0"/>
    <w:pPr>
      <w:tabs>
        <w:tab w:val="center" w:pos="4680"/>
        <w:tab w:val="right" w:pos="9360"/>
      </w:tabs>
    </w:pPr>
  </w:style>
  <w:style w:type="character" w:customStyle="1" w:styleId="FooterChar">
    <w:name w:val="Footer Char"/>
    <w:basedOn w:val="DefaultParagraphFont"/>
    <w:link w:val="Footer"/>
    <w:uiPriority w:val="99"/>
    <w:rsid w:val="009B3BB0"/>
    <w:rPr>
      <w:rFonts w:ascii="Arial" w:hAnsi="Arial" w:cs="Arial"/>
    </w:rPr>
  </w:style>
  <w:style w:type="character" w:styleId="PageNumber">
    <w:name w:val="page number"/>
    <w:basedOn w:val="DefaultParagraphFont"/>
    <w:unhideWhenUsed/>
    <w:rsid w:val="009B3BB0"/>
  </w:style>
  <w:style w:type="paragraph" w:styleId="Header">
    <w:name w:val="header"/>
    <w:basedOn w:val="Normal"/>
    <w:link w:val="HeaderChar"/>
    <w:unhideWhenUsed/>
    <w:rsid w:val="009B3BB0"/>
    <w:pPr>
      <w:tabs>
        <w:tab w:val="center" w:pos="4680"/>
        <w:tab w:val="right" w:pos="9360"/>
      </w:tabs>
    </w:pPr>
  </w:style>
  <w:style w:type="character" w:customStyle="1" w:styleId="HeaderChar">
    <w:name w:val="Header Char"/>
    <w:basedOn w:val="DefaultParagraphFont"/>
    <w:link w:val="Header"/>
    <w:rsid w:val="009B3BB0"/>
    <w:rPr>
      <w:rFonts w:ascii="Arial" w:hAnsi="Arial" w:cs="Arial"/>
    </w:rPr>
  </w:style>
  <w:style w:type="table" w:styleId="TableGrid">
    <w:name w:val="Table Grid"/>
    <w:basedOn w:val="TableNormal"/>
    <w:uiPriority w:val="39"/>
    <w:rsid w:val="009B3BB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9B3BB0"/>
  </w:style>
  <w:style w:type="character" w:customStyle="1" w:styleId="CommentTextChar">
    <w:name w:val="Comment Text Char"/>
    <w:basedOn w:val="DefaultParagraphFont"/>
    <w:link w:val="CommentText"/>
    <w:rsid w:val="009B3BB0"/>
    <w:rPr>
      <w:rFonts w:ascii="Arial" w:hAnsi="Arial" w:cs="Arial"/>
      <w:sz w:val="24"/>
      <w:szCs w:val="24"/>
    </w:rPr>
  </w:style>
  <w:style w:type="character" w:styleId="CommentReference">
    <w:name w:val="annotation reference"/>
    <w:basedOn w:val="DefaultParagraphFont"/>
    <w:unhideWhenUsed/>
    <w:rsid w:val="009B3BB0"/>
    <w:rPr>
      <w:sz w:val="16"/>
      <w:szCs w:val="16"/>
    </w:rPr>
  </w:style>
  <w:style w:type="paragraph" w:styleId="BalloonText">
    <w:name w:val="Balloon Text"/>
    <w:basedOn w:val="Normal"/>
    <w:link w:val="BalloonTextChar"/>
    <w:unhideWhenUsed/>
    <w:rsid w:val="009B3BB0"/>
    <w:rPr>
      <w:sz w:val="18"/>
      <w:szCs w:val="18"/>
    </w:rPr>
  </w:style>
  <w:style w:type="character" w:customStyle="1" w:styleId="BalloonTextChar">
    <w:name w:val="Balloon Text Char"/>
    <w:basedOn w:val="DefaultParagraphFont"/>
    <w:link w:val="BalloonText"/>
    <w:rsid w:val="009B3BB0"/>
    <w:rPr>
      <w:rFonts w:ascii="Times New Roman" w:hAnsi="Times New Roman" w:cs="Times New Roman"/>
      <w:sz w:val="18"/>
      <w:szCs w:val="18"/>
    </w:rPr>
  </w:style>
  <w:style w:type="paragraph" w:styleId="TOC1">
    <w:name w:val="toc 1"/>
    <w:basedOn w:val="Normal"/>
    <w:next w:val="Normal"/>
    <w:autoRedefine/>
    <w:uiPriority w:val="39"/>
    <w:unhideWhenUsed/>
    <w:rsid w:val="009B3BB0"/>
    <w:pPr>
      <w:tabs>
        <w:tab w:val="left" w:pos="440"/>
        <w:tab w:val="right" w:leader="dot" w:pos="9350"/>
      </w:tabs>
      <w:spacing w:before="120" w:line="276" w:lineRule="auto"/>
    </w:pPr>
    <w:rPr>
      <w:b/>
    </w:rPr>
  </w:style>
  <w:style w:type="paragraph" w:styleId="TOC2">
    <w:name w:val="toc 2"/>
    <w:basedOn w:val="Normal"/>
    <w:next w:val="Normal"/>
    <w:autoRedefine/>
    <w:uiPriority w:val="39"/>
    <w:unhideWhenUsed/>
    <w:rsid w:val="009B3BB0"/>
    <w:pPr>
      <w:tabs>
        <w:tab w:val="left" w:pos="880"/>
        <w:tab w:val="right" w:leader="dot" w:pos="9350"/>
      </w:tabs>
      <w:spacing w:line="276" w:lineRule="auto"/>
      <w:ind w:left="432"/>
    </w:pPr>
    <w:rPr>
      <w:i/>
      <w:sz w:val="21"/>
    </w:rPr>
  </w:style>
  <w:style w:type="paragraph" w:styleId="TOC3">
    <w:name w:val="toc 3"/>
    <w:basedOn w:val="Normal"/>
    <w:next w:val="Normal"/>
    <w:autoRedefine/>
    <w:uiPriority w:val="39"/>
    <w:unhideWhenUsed/>
    <w:rsid w:val="009B3BB0"/>
    <w:pPr>
      <w:ind w:left="440"/>
    </w:pPr>
    <w:rPr>
      <w:rFonts w:asciiTheme="minorHAnsi" w:hAnsiTheme="minorHAnsi"/>
    </w:rPr>
  </w:style>
  <w:style w:type="paragraph" w:styleId="TOC4">
    <w:name w:val="toc 4"/>
    <w:basedOn w:val="Normal"/>
    <w:next w:val="Normal"/>
    <w:autoRedefine/>
    <w:uiPriority w:val="39"/>
    <w:unhideWhenUsed/>
    <w:rsid w:val="009B3BB0"/>
    <w:pPr>
      <w:ind w:left="660"/>
    </w:pPr>
    <w:rPr>
      <w:rFonts w:asciiTheme="minorHAnsi" w:hAnsiTheme="minorHAnsi"/>
      <w:sz w:val="20"/>
      <w:szCs w:val="20"/>
    </w:rPr>
  </w:style>
  <w:style w:type="paragraph" w:styleId="TOC5">
    <w:name w:val="toc 5"/>
    <w:basedOn w:val="Normal"/>
    <w:next w:val="Normal"/>
    <w:autoRedefine/>
    <w:uiPriority w:val="39"/>
    <w:unhideWhenUsed/>
    <w:rsid w:val="009B3BB0"/>
    <w:pPr>
      <w:ind w:left="880"/>
    </w:pPr>
    <w:rPr>
      <w:rFonts w:asciiTheme="minorHAnsi" w:hAnsiTheme="minorHAnsi"/>
      <w:sz w:val="20"/>
      <w:szCs w:val="20"/>
    </w:rPr>
  </w:style>
  <w:style w:type="paragraph" w:styleId="TOC6">
    <w:name w:val="toc 6"/>
    <w:basedOn w:val="Normal"/>
    <w:next w:val="Normal"/>
    <w:autoRedefine/>
    <w:uiPriority w:val="39"/>
    <w:unhideWhenUsed/>
    <w:rsid w:val="009B3BB0"/>
    <w:pPr>
      <w:ind w:left="1100"/>
    </w:pPr>
    <w:rPr>
      <w:rFonts w:asciiTheme="minorHAnsi" w:hAnsiTheme="minorHAnsi"/>
      <w:sz w:val="20"/>
      <w:szCs w:val="20"/>
    </w:rPr>
  </w:style>
  <w:style w:type="paragraph" w:styleId="TOC7">
    <w:name w:val="toc 7"/>
    <w:basedOn w:val="Normal"/>
    <w:next w:val="Normal"/>
    <w:autoRedefine/>
    <w:uiPriority w:val="39"/>
    <w:unhideWhenUsed/>
    <w:rsid w:val="009B3BB0"/>
    <w:pPr>
      <w:ind w:left="1320"/>
    </w:pPr>
    <w:rPr>
      <w:rFonts w:asciiTheme="minorHAnsi" w:hAnsiTheme="minorHAnsi"/>
      <w:sz w:val="20"/>
      <w:szCs w:val="20"/>
    </w:rPr>
  </w:style>
  <w:style w:type="paragraph" w:styleId="TOC8">
    <w:name w:val="toc 8"/>
    <w:basedOn w:val="Normal"/>
    <w:next w:val="Normal"/>
    <w:autoRedefine/>
    <w:uiPriority w:val="39"/>
    <w:unhideWhenUsed/>
    <w:rsid w:val="009B3BB0"/>
    <w:pPr>
      <w:ind w:left="1540"/>
    </w:pPr>
    <w:rPr>
      <w:rFonts w:asciiTheme="minorHAnsi" w:hAnsiTheme="minorHAnsi"/>
      <w:sz w:val="20"/>
      <w:szCs w:val="20"/>
    </w:rPr>
  </w:style>
  <w:style w:type="paragraph" w:styleId="TOC9">
    <w:name w:val="toc 9"/>
    <w:basedOn w:val="Normal"/>
    <w:next w:val="Normal"/>
    <w:autoRedefine/>
    <w:uiPriority w:val="39"/>
    <w:unhideWhenUsed/>
    <w:rsid w:val="009B3BB0"/>
    <w:pPr>
      <w:ind w:left="1760"/>
    </w:pPr>
    <w:rPr>
      <w:rFonts w:asciiTheme="minorHAnsi" w:hAnsiTheme="minorHAnsi"/>
      <w:sz w:val="20"/>
      <w:szCs w:val="20"/>
    </w:rPr>
  </w:style>
  <w:style w:type="paragraph" w:styleId="TOCHeading">
    <w:name w:val="TOC Heading"/>
    <w:basedOn w:val="Heading1"/>
    <w:next w:val="Normal"/>
    <w:uiPriority w:val="39"/>
    <w:unhideWhenUsed/>
    <w:qFormat/>
    <w:rsid w:val="009B3BB0"/>
    <w:pPr>
      <w:spacing w:before="480" w:line="276" w:lineRule="auto"/>
      <w:outlineLvl w:val="9"/>
    </w:pPr>
    <w:rPr>
      <w:b w:val="0"/>
      <w:bCs/>
      <w:sz w:val="28"/>
      <w:szCs w:val="28"/>
    </w:rPr>
  </w:style>
  <w:style w:type="paragraph" w:styleId="HTMLPreformatted">
    <w:name w:val="HTML Preformatted"/>
    <w:basedOn w:val="Normal"/>
    <w:link w:val="HTMLPreformattedChar"/>
    <w:uiPriority w:val="99"/>
    <w:rsid w:val="009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9B3BB0"/>
    <w:rPr>
      <w:rFonts w:ascii="Courier New" w:eastAsia="Batang" w:hAnsi="Courier New" w:cs="Courier New"/>
      <w:sz w:val="20"/>
      <w:szCs w:val="20"/>
      <w:lang w:eastAsia="ko-KR"/>
    </w:rPr>
  </w:style>
  <w:style w:type="paragraph" w:styleId="CommentSubject">
    <w:name w:val="annotation subject"/>
    <w:basedOn w:val="CommentText"/>
    <w:next w:val="CommentText"/>
    <w:link w:val="CommentSubjectChar"/>
    <w:rsid w:val="009B3BB0"/>
    <w:rPr>
      <w:rFonts w:eastAsia="Batang"/>
      <w:b/>
      <w:bCs/>
      <w:sz w:val="20"/>
      <w:szCs w:val="20"/>
      <w:lang w:eastAsia="ko-KR"/>
    </w:rPr>
  </w:style>
  <w:style w:type="character" w:customStyle="1" w:styleId="CommentSubjectChar">
    <w:name w:val="Comment Subject Char"/>
    <w:basedOn w:val="CommentTextChar"/>
    <w:link w:val="CommentSubject"/>
    <w:rsid w:val="009B3BB0"/>
    <w:rPr>
      <w:rFonts w:ascii="Times New Roman" w:eastAsia="Batang" w:hAnsi="Times New Roman" w:cs="Times New Roman"/>
      <w:b/>
      <w:bCs/>
      <w:sz w:val="20"/>
      <w:szCs w:val="20"/>
      <w:lang w:eastAsia="ko-KR"/>
    </w:rPr>
  </w:style>
  <w:style w:type="paragraph" w:styleId="List2">
    <w:name w:val="List 2"/>
    <w:basedOn w:val="Normal"/>
    <w:rsid w:val="009B3BB0"/>
    <w:pPr>
      <w:ind w:left="720" w:hanging="360"/>
      <w:contextualSpacing/>
    </w:pPr>
    <w:rPr>
      <w:rFonts w:eastAsia="Batang"/>
      <w:lang w:eastAsia="ko-KR"/>
    </w:rPr>
  </w:style>
  <w:style w:type="paragraph" w:styleId="BodyText">
    <w:name w:val="Body Text"/>
    <w:basedOn w:val="Normal"/>
    <w:link w:val="BodyTextChar"/>
    <w:rsid w:val="009B3BB0"/>
    <w:pPr>
      <w:spacing w:after="120"/>
    </w:pPr>
    <w:rPr>
      <w:rFonts w:eastAsia="Batang"/>
      <w:lang w:eastAsia="ko-KR"/>
    </w:rPr>
  </w:style>
  <w:style w:type="character" w:customStyle="1" w:styleId="BodyTextChar">
    <w:name w:val="Body Text Char"/>
    <w:basedOn w:val="DefaultParagraphFont"/>
    <w:link w:val="BodyText"/>
    <w:rsid w:val="009B3BB0"/>
    <w:rPr>
      <w:rFonts w:ascii="Times New Roman" w:eastAsia="Batang" w:hAnsi="Times New Roman" w:cs="Times New Roman"/>
      <w:sz w:val="24"/>
      <w:szCs w:val="24"/>
      <w:lang w:eastAsia="ko-KR"/>
    </w:rPr>
  </w:style>
  <w:style w:type="paragraph" w:styleId="BodyTextFirstIndent">
    <w:name w:val="Body Text First Indent"/>
    <w:basedOn w:val="BodyText"/>
    <w:link w:val="BodyTextFirstIndentChar"/>
    <w:rsid w:val="009B3BB0"/>
    <w:pPr>
      <w:spacing w:after="0"/>
      <w:ind w:firstLine="360"/>
    </w:pPr>
  </w:style>
  <w:style w:type="character" w:customStyle="1" w:styleId="BodyTextFirstIndentChar">
    <w:name w:val="Body Text First Indent Char"/>
    <w:basedOn w:val="BodyTextChar"/>
    <w:link w:val="BodyTextFirstIndent"/>
    <w:rsid w:val="009B3BB0"/>
    <w:rPr>
      <w:rFonts w:ascii="Times New Roman" w:eastAsia="Batang" w:hAnsi="Times New Roman" w:cs="Times New Roman"/>
      <w:sz w:val="24"/>
      <w:szCs w:val="24"/>
      <w:lang w:eastAsia="ko-KR"/>
    </w:rPr>
  </w:style>
  <w:style w:type="paragraph" w:styleId="List">
    <w:name w:val="List"/>
    <w:basedOn w:val="Normal"/>
    <w:rsid w:val="009B3BB0"/>
    <w:pPr>
      <w:ind w:left="360" w:hanging="360"/>
      <w:contextualSpacing/>
    </w:pPr>
    <w:rPr>
      <w:rFonts w:eastAsia="Batang"/>
      <w:lang w:eastAsia="ko-KR"/>
    </w:rPr>
  </w:style>
  <w:style w:type="character" w:styleId="PlaceholderText">
    <w:name w:val="Placeholder Text"/>
    <w:basedOn w:val="DefaultParagraphFont"/>
    <w:uiPriority w:val="99"/>
    <w:semiHidden/>
    <w:rsid w:val="009B3BB0"/>
    <w:rPr>
      <w:color w:val="808080"/>
    </w:rPr>
  </w:style>
  <w:style w:type="table" w:customStyle="1" w:styleId="PlainTable21">
    <w:name w:val="Plain Table 21"/>
    <w:basedOn w:val="TableNormal"/>
    <w:uiPriority w:val="42"/>
    <w:rsid w:val="009B3B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
    <w:name w:val="Body"/>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customStyle="1" w:styleId="BodyA">
    <w:name w:val="Body A"/>
    <w:rsid w:val="009B3BB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rPr>
  </w:style>
  <w:style w:type="paragraph" w:styleId="Revision">
    <w:name w:val="Revision"/>
    <w:hidden/>
    <w:uiPriority w:val="99"/>
    <w:semiHidden/>
    <w:rsid w:val="00C43C01"/>
    <w:pPr>
      <w:spacing w:after="0" w:line="240" w:lineRule="auto"/>
    </w:pPr>
    <w:rPr>
      <w:rFonts w:ascii="Arial" w:hAnsi="Arial" w:cs="Arial"/>
    </w:rPr>
  </w:style>
  <w:style w:type="paragraph" w:customStyle="1" w:styleId="p">
    <w:name w:val="p"/>
    <w:basedOn w:val="Normal"/>
    <w:rsid w:val="000236BC"/>
    <w:pPr>
      <w:spacing w:before="100" w:beforeAutospacing="1" w:after="100" w:afterAutospacing="1"/>
    </w:pPr>
  </w:style>
  <w:style w:type="table" w:styleId="LightShading">
    <w:name w:val="Light Shading"/>
    <w:basedOn w:val="TableNormal"/>
    <w:uiPriority w:val="60"/>
    <w:rsid w:val="0060226B"/>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1">
    <w:name w:val="p1"/>
    <w:basedOn w:val="Normal"/>
    <w:rsid w:val="00C761A4"/>
    <w:rPr>
      <w:rFonts w:ascii="Helvetica" w:hAnsi="Helvetica"/>
      <w:color w:val="454545"/>
      <w:sz w:val="18"/>
      <w:szCs w:val="18"/>
    </w:rPr>
  </w:style>
  <w:style w:type="character" w:customStyle="1" w:styleId="Heading3Char">
    <w:name w:val="Heading 3 Char"/>
    <w:basedOn w:val="DefaultParagraphFont"/>
    <w:link w:val="Heading3"/>
    <w:uiPriority w:val="9"/>
    <w:rsid w:val="00AA7EF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217362">
      <w:bodyDiv w:val="1"/>
      <w:marLeft w:val="0"/>
      <w:marRight w:val="0"/>
      <w:marTop w:val="0"/>
      <w:marBottom w:val="0"/>
      <w:divBdr>
        <w:top w:val="none" w:sz="0" w:space="0" w:color="auto"/>
        <w:left w:val="none" w:sz="0" w:space="0" w:color="auto"/>
        <w:bottom w:val="none" w:sz="0" w:space="0" w:color="auto"/>
        <w:right w:val="none" w:sz="0" w:space="0" w:color="auto"/>
      </w:divBdr>
    </w:div>
    <w:div w:id="525487322">
      <w:bodyDiv w:val="1"/>
      <w:marLeft w:val="0"/>
      <w:marRight w:val="0"/>
      <w:marTop w:val="0"/>
      <w:marBottom w:val="0"/>
      <w:divBdr>
        <w:top w:val="none" w:sz="0" w:space="0" w:color="auto"/>
        <w:left w:val="none" w:sz="0" w:space="0" w:color="auto"/>
        <w:bottom w:val="none" w:sz="0" w:space="0" w:color="auto"/>
        <w:right w:val="none" w:sz="0" w:space="0" w:color="auto"/>
      </w:divBdr>
    </w:div>
    <w:div w:id="533348783">
      <w:bodyDiv w:val="1"/>
      <w:marLeft w:val="0"/>
      <w:marRight w:val="0"/>
      <w:marTop w:val="0"/>
      <w:marBottom w:val="0"/>
      <w:divBdr>
        <w:top w:val="none" w:sz="0" w:space="0" w:color="auto"/>
        <w:left w:val="none" w:sz="0" w:space="0" w:color="auto"/>
        <w:bottom w:val="none" w:sz="0" w:space="0" w:color="auto"/>
        <w:right w:val="none" w:sz="0" w:space="0" w:color="auto"/>
      </w:divBdr>
    </w:div>
    <w:div w:id="609747896">
      <w:bodyDiv w:val="1"/>
      <w:marLeft w:val="0"/>
      <w:marRight w:val="0"/>
      <w:marTop w:val="0"/>
      <w:marBottom w:val="0"/>
      <w:divBdr>
        <w:top w:val="none" w:sz="0" w:space="0" w:color="auto"/>
        <w:left w:val="none" w:sz="0" w:space="0" w:color="auto"/>
        <w:bottom w:val="none" w:sz="0" w:space="0" w:color="auto"/>
        <w:right w:val="none" w:sz="0" w:space="0" w:color="auto"/>
      </w:divBdr>
    </w:div>
    <w:div w:id="719522634">
      <w:bodyDiv w:val="1"/>
      <w:marLeft w:val="0"/>
      <w:marRight w:val="0"/>
      <w:marTop w:val="0"/>
      <w:marBottom w:val="0"/>
      <w:divBdr>
        <w:top w:val="none" w:sz="0" w:space="0" w:color="auto"/>
        <w:left w:val="none" w:sz="0" w:space="0" w:color="auto"/>
        <w:bottom w:val="none" w:sz="0" w:space="0" w:color="auto"/>
        <w:right w:val="none" w:sz="0" w:space="0" w:color="auto"/>
      </w:divBdr>
    </w:div>
    <w:div w:id="730150455">
      <w:bodyDiv w:val="1"/>
      <w:marLeft w:val="0"/>
      <w:marRight w:val="0"/>
      <w:marTop w:val="0"/>
      <w:marBottom w:val="0"/>
      <w:divBdr>
        <w:top w:val="none" w:sz="0" w:space="0" w:color="auto"/>
        <w:left w:val="none" w:sz="0" w:space="0" w:color="auto"/>
        <w:bottom w:val="none" w:sz="0" w:space="0" w:color="auto"/>
        <w:right w:val="none" w:sz="0" w:space="0" w:color="auto"/>
      </w:divBdr>
    </w:div>
    <w:div w:id="790516736">
      <w:bodyDiv w:val="1"/>
      <w:marLeft w:val="0"/>
      <w:marRight w:val="0"/>
      <w:marTop w:val="0"/>
      <w:marBottom w:val="0"/>
      <w:divBdr>
        <w:top w:val="none" w:sz="0" w:space="0" w:color="auto"/>
        <w:left w:val="none" w:sz="0" w:space="0" w:color="auto"/>
        <w:bottom w:val="none" w:sz="0" w:space="0" w:color="auto"/>
        <w:right w:val="none" w:sz="0" w:space="0" w:color="auto"/>
      </w:divBdr>
    </w:div>
    <w:div w:id="826940907">
      <w:bodyDiv w:val="1"/>
      <w:marLeft w:val="0"/>
      <w:marRight w:val="0"/>
      <w:marTop w:val="0"/>
      <w:marBottom w:val="0"/>
      <w:divBdr>
        <w:top w:val="none" w:sz="0" w:space="0" w:color="auto"/>
        <w:left w:val="none" w:sz="0" w:space="0" w:color="auto"/>
        <w:bottom w:val="none" w:sz="0" w:space="0" w:color="auto"/>
        <w:right w:val="none" w:sz="0" w:space="0" w:color="auto"/>
      </w:divBdr>
    </w:div>
    <w:div w:id="932081592">
      <w:bodyDiv w:val="1"/>
      <w:marLeft w:val="0"/>
      <w:marRight w:val="0"/>
      <w:marTop w:val="0"/>
      <w:marBottom w:val="0"/>
      <w:divBdr>
        <w:top w:val="none" w:sz="0" w:space="0" w:color="auto"/>
        <w:left w:val="none" w:sz="0" w:space="0" w:color="auto"/>
        <w:bottom w:val="none" w:sz="0" w:space="0" w:color="auto"/>
        <w:right w:val="none" w:sz="0" w:space="0" w:color="auto"/>
      </w:divBdr>
    </w:div>
    <w:div w:id="1215771726">
      <w:bodyDiv w:val="1"/>
      <w:marLeft w:val="0"/>
      <w:marRight w:val="0"/>
      <w:marTop w:val="0"/>
      <w:marBottom w:val="0"/>
      <w:divBdr>
        <w:top w:val="none" w:sz="0" w:space="0" w:color="auto"/>
        <w:left w:val="none" w:sz="0" w:space="0" w:color="auto"/>
        <w:bottom w:val="none" w:sz="0" w:space="0" w:color="auto"/>
        <w:right w:val="none" w:sz="0" w:space="0" w:color="auto"/>
      </w:divBdr>
    </w:div>
    <w:div w:id="1232080891">
      <w:bodyDiv w:val="1"/>
      <w:marLeft w:val="0"/>
      <w:marRight w:val="0"/>
      <w:marTop w:val="0"/>
      <w:marBottom w:val="0"/>
      <w:divBdr>
        <w:top w:val="none" w:sz="0" w:space="0" w:color="auto"/>
        <w:left w:val="none" w:sz="0" w:space="0" w:color="auto"/>
        <w:bottom w:val="none" w:sz="0" w:space="0" w:color="auto"/>
        <w:right w:val="none" w:sz="0" w:space="0" w:color="auto"/>
      </w:divBdr>
    </w:div>
    <w:div w:id="1337878333">
      <w:bodyDiv w:val="1"/>
      <w:marLeft w:val="0"/>
      <w:marRight w:val="0"/>
      <w:marTop w:val="0"/>
      <w:marBottom w:val="0"/>
      <w:divBdr>
        <w:top w:val="none" w:sz="0" w:space="0" w:color="auto"/>
        <w:left w:val="none" w:sz="0" w:space="0" w:color="auto"/>
        <w:bottom w:val="none" w:sz="0" w:space="0" w:color="auto"/>
        <w:right w:val="none" w:sz="0" w:space="0" w:color="auto"/>
      </w:divBdr>
    </w:div>
    <w:div w:id="1342270623">
      <w:bodyDiv w:val="1"/>
      <w:marLeft w:val="0"/>
      <w:marRight w:val="0"/>
      <w:marTop w:val="0"/>
      <w:marBottom w:val="0"/>
      <w:divBdr>
        <w:top w:val="none" w:sz="0" w:space="0" w:color="auto"/>
        <w:left w:val="none" w:sz="0" w:space="0" w:color="auto"/>
        <w:bottom w:val="none" w:sz="0" w:space="0" w:color="auto"/>
        <w:right w:val="none" w:sz="0" w:space="0" w:color="auto"/>
      </w:divBdr>
    </w:div>
    <w:div w:id="1552307279">
      <w:bodyDiv w:val="1"/>
      <w:marLeft w:val="0"/>
      <w:marRight w:val="0"/>
      <w:marTop w:val="0"/>
      <w:marBottom w:val="0"/>
      <w:divBdr>
        <w:top w:val="none" w:sz="0" w:space="0" w:color="auto"/>
        <w:left w:val="none" w:sz="0" w:space="0" w:color="auto"/>
        <w:bottom w:val="none" w:sz="0" w:space="0" w:color="auto"/>
        <w:right w:val="none" w:sz="0" w:space="0" w:color="auto"/>
      </w:divBdr>
    </w:div>
    <w:div w:id="1585795390">
      <w:bodyDiv w:val="1"/>
      <w:marLeft w:val="0"/>
      <w:marRight w:val="0"/>
      <w:marTop w:val="0"/>
      <w:marBottom w:val="0"/>
      <w:divBdr>
        <w:top w:val="none" w:sz="0" w:space="0" w:color="auto"/>
        <w:left w:val="none" w:sz="0" w:space="0" w:color="auto"/>
        <w:bottom w:val="none" w:sz="0" w:space="0" w:color="auto"/>
        <w:right w:val="none" w:sz="0" w:space="0" w:color="auto"/>
      </w:divBdr>
    </w:div>
    <w:div w:id="1678924438">
      <w:bodyDiv w:val="1"/>
      <w:marLeft w:val="0"/>
      <w:marRight w:val="0"/>
      <w:marTop w:val="0"/>
      <w:marBottom w:val="0"/>
      <w:divBdr>
        <w:top w:val="none" w:sz="0" w:space="0" w:color="auto"/>
        <w:left w:val="none" w:sz="0" w:space="0" w:color="auto"/>
        <w:bottom w:val="none" w:sz="0" w:space="0" w:color="auto"/>
        <w:right w:val="none" w:sz="0" w:space="0" w:color="auto"/>
      </w:divBdr>
    </w:div>
    <w:div w:id="1691300773">
      <w:bodyDiv w:val="1"/>
      <w:marLeft w:val="0"/>
      <w:marRight w:val="0"/>
      <w:marTop w:val="0"/>
      <w:marBottom w:val="0"/>
      <w:divBdr>
        <w:top w:val="none" w:sz="0" w:space="0" w:color="auto"/>
        <w:left w:val="none" w:sz="0" w:space="0" w:color="auto"/>
        <w:bottom w:val="none" w:sz="0" w:space="0" w:color="auto"/>
        <w:right w:val="none" w:sz="0" w:space="0" w:color="auto"/>
      </w:divBdr>
    </w:div>
    <w:div w:id="1803962127">
      <w:bodyDiv w:val="1"/>
      <w:marLeft w:val="0"/>
      <w:marRight w:val="0"/>
      <w:marTop w:val="0"/>
      <w:marBottom w:val="0"/>
      <w:divBdr>
        <w:top w:val="none" w:sz="0" w:space="0" w:color="auto"/>
        <w:left w:val="none" w:sz="0" w:space="0" w:color="auto"/>
        <w:bottom w:val="none" w:sz="0" w:space="0" w:color="auto"/>
        <w:right w:val="none" w:sz="0" w:space="0" w:color="auto"/>
      </w:divBdr>
    </w:div>
    <w:div w:id="1845393868">
      <w:bodyDiv w:val="1"/>
      <w:marLeft w:val="0"/>
      <w:marRight w:val="0"/>
      <w:marTop w:val="0"/>
      <w:marBottom w:val="0"/>
      <w:divBdr>
        <w:top w:val="none" w:sz="0" w:space="0" w:color="auto"/>
        <w:left w:val="none" w:sz="0" w:space="0" w:color="auto"/>
        <w:bottom w:val="none" w:sz="0" w:space="0" w:color="auto"/>
        <w:right w:val="none" w:sz="0" w:space="0" w:color="auto"/>
      </w:divBdr>
    </w:div>
    <w:div w:id="1864204079">
      <w:bodyDiv w:val="1"/>
      <w:marLeft w:val="0"/>
      <w:marRight w:val="0"/>
      <w:marTop w:val="0"/>
      <w:marBottom w:val="0"/>
      <w:divBdr>
        <w:top w:val="none" w:sz="0" w:space="0" w:color="auto"/>
        <w:left w:val="none" w:sz="0" w:space="0" w:color="auto"/>
        <w:bottom w:val="none" w:sz="0" w:space="0" w:color="auto"/>
        <w:right w:val="none" w:sz="0" w:space="0" w:color="auto"/>
      </w:divBdr>
    </w:div>
    <w:div w:id="1874270596">
      <w:bodyDiv w:val="1"/>
      <w:marLeft w:val="0"/>
      <w:marRight w:val="0"/>
      <w:marTop w:val="0"/>
      <w:marBottom w:val="0"/>
      <w:divBdr>
        <w:top w:val="none" w:sz="0" w:space="0" w:color="auto"/>
        <w:left w:val="none" w:sz="0" w:space="0" w:color="auto"/>
        <w:bottom w:val="none" w:sz="0" w:space="0" w:color="auto"/>
        <w:right w:val="none" w:sz="0" w:space="0" w:color="auto"/>
      </w:divBdr>
    </w:div>
    <w:div w:id="1902935416">
      <w:bodyDiv w:val="1"/>
      <w:marLeft w:val="0"/>
      <w:marRight w:val="0"/>
      <w:marTop w:val="0"/>
      <w:marBottom w:val="0"/>
      <w:divBdr>
        <w:top w:val="none" w:sz="0" w:space="0" w:color="auto"/>
        <w:left w:val="none" w:sz="0" w:space="0" w:color="auto"/>
        <w:bottom w:val="none" w:sz="0" w:space="0" w:color="auto"/>
        <w:right w:val="none" w:sz="0" w:space="0" w:color="auto"/>
      </w:divBdr>
    </w:div>
    <w:div w:id="1938638596">
      <w:bodyDiv w:val="1"/>
      <w:marLeft w:val="0"/>
      <w:marRight w:val="0"/>
      <w:marTop w:val="0"/>
      <w:marBottom w:val="0"/>
      <w:divBdr>
        <w:top w:val="none" w:sz="0" w:space="0" w:color="auto"/>
        <w:left w:val="none" w:sz="0" w:space="0" w:color="auto"/>
        <w:bottom w:val="none" w:sz="0" w:space="0" w:color="auto"/>
        <w:right w:val="none" w:sz="0" w:space="0" w:color="auto"/>
      </w:divBdr>
    </w:div>
    <w:div w:id="2030567917">
      <w:bodyDiv w:val="1"/>
      <w:marLeft w:val="0"/>
      <w:marRight w:val="0"/>
      <w:marTop w:val="0"/>
      <w:marBottom w:val="0"/>
      <w:divBdr>
        <w:top w:val="none" w:sz="0" w:space="0" w:color="auto"/>
        <w:left w:val="none" w:sz="0" w:space="0" w:color="auto"/>
        <w:bottom w:val="none" w:sz="0" w:space="0" w:color="auto"/>
        <w:right w:val="none" w:sz="0" w:space="0" w:color="auto"/>
      </w:divBdr>
    </w:div>
    <w:div w:id="2037777275">
      <w:bodyDiv w:val="1"/>
      <w:marLeft w:val="0"/>
      <w:marRight w:val="0"/>
      <w:marTop w:val="0"/>
      <w:marBottom w:val="0"/>
      <w:divBdr>
        <w:top w:val="none" w:sz="0" w:space="0" w:color="auto"/>
        <w:left w:val="none" w:sz="0" w:space="0" w:color="auto"/>
        <w:bottom w:val="none" w:sz="0" w:space="0" w:color="auto"/>
        <w:right w:val="none" w:sz="0" w:space="0" w:color="auto"/>
      </w:divBdr>
    </w:div>
    <w:div w:id="206930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35C78-EE9A-4DFE-AE35-FA7975B0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235514</Words>
  <Characters>1342431</Characters>
  <Application>Microsoft Office Word</Application>
  <DocSecurity>0</DocSecurity>
  <Lines>11186</Lines>
  <Paragraphs>3149</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1574796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Weiss, Kevin</dc:creator>
  <cp:keywords/>
  <dc:description/>
  <cp:lastModifiedBy>Ronel, Mirano</cp:lastModifiedBy>
  <cp:revision>5</cp:revision>
  <dcterms:created xsi:type="dcterms:W3CDTF">2019-07-05T12:36:00Z</dcterms:created>
  <dcterms:modified xsi:type="dcterms:W3CDTF">2019-09-12T14:57:00Z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http://www.zotero.org/styles/the-lancet-infectious-diseases</vt:lpwstr>
  </property>
  <property fmtid="{D5CDD505-2E9C-101B-9397-08002B2CF9AE}" pid="4" name="Mendeley Recent Style Id 0_1">
    <vt:lpwstr>http://www.zotero.org/styles/american-journal-of-public-health</vt:lpwstr>
  </property>
  <property fmtid="{D5CDD505-2E9C-101B-9397-08002B2CF9AE}" pid="5" name="Mendeley Recent Style Name 0_1">
    <vt:lpwstr>American Journal of Public Health</vt:lpwstr>
  </property>
  <property fmtid="{D5CDD505-2E9C-101B-9397-08002B2CF9AE}" pid="6" name="Mendeley Recent Style Id 1_1">
    <vt:lpwstr>http://www.zotero.org/styles/american-medical-association</vt:lpwstr>
  </property>
  <property fmtid="{D5CDD505-2E9C-101B-9397-08002B2CF9AE}" pid="7" name="Mendeley Recent Style Name 1_1">
    <vt:lpwstr>American Medical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16th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http://www.zotero.org/styles/journal-of-urban-health</vt:lpwstr>
  </property>
  <property fmtid="{D5CDD505-2E9C-101B-9397-08002B2CF9AE}" pid="17" name="Mendeley Recent Style Name 6_1">
    <vt:lpwstr>Journal of Urban Health</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http://www.zotero.org/styles/the-lancet-infectious-diseases</vt:lpwstr>
  </property>
  <property fmtid="{D5CDD505-2E9C-101B-9397-08002B2CF9AE}" pid="23" name="Mendeley Recent Style Name 9_1">
    <vt:lpwstr>The Lancet Infectious Diseases</vt:lpwstr>
  </property>
  <property fmtid="{D5CDD505-2E9C-101B-9397-08002B2CF9AE}" pid="24" name="Mendeley Unique User Id_1">
    <vt:lpwstr>0f7ed650-4ca9-3df2-9d37-dea1e43ce207</vt:lpwstr>
  </property>
</Properties>
</file>