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7DD5" w:rsidRDefault="00000000">
      <w:pPr>
        <w:spacing w:line="480" w:lineRule="auto"/>
        <w:jc w:val="both"/>
        <w:rPr>
          <w:rFonts w:ascii="Arial" w:eastAsia="Arial" w:hAnsi="Arial" w:cs="Arial"/>
        </w:rPr>
      </w:pPr>
      <w:r>
        <w:rPr>
          <w:rFonts w:ascii="Arial" w:eastAsia="Arial" w:hAnsi="Arial" w:cs="Arial"/>
          <w:b/>
        </w:rPr>
        <w:t>Title:</w:t>
      </w:r>
      <w:r>
        <w:rPr>
          <w:rFonts w:ascii="Arial" w:eastAsia="Arial" w:hAnsi="Arial" w:cs="Arial"/>
        </w:rPr>
        <w:t xml:space="preserve"> Epidemiologic evidence on the role of </w:t>
      </w:r>
      <w:r>
        <w:rPr>
          <w:rFonts w:ascii="Arial" w:eastAsia="Arial" w:hAnsi="Arial" w:cs="Arial"/>
          <w:i/>
        </w:rPr>
        <w:t xml:space="preserve">Lactobacillus iners </w:t>
      </w:r>
      <w:r>
        <w:rPr>
          <w:rFonts w:ascii="Arial" w:eastAsia="Arial" w:hAnsi="Arial" w:cs="Arial"/>
        </w:rPr>
        <w:t xml:space="preserve">in sexually transmitted infections and bacterial vaginosis: a series of systematic reviews and meta-analyses </w:t>
      </w:r>
    </w:p>
    <w:p w14:paraId="00000002" w14:textId="77777777" w:rsidR="00C37DD5" w:rsidRDefault="00C37DD5">
      <w:pPr>
        <w:spacing w:line="480" w:lineRule="auto"/>
        <w:jc w:val="both"/>
        <w:rPr>
          <w:rFonts w:ascii="Arial" w:eastAsia="Arial" w:hAnsi="Arial" w:cs="Arial"/>
        </w:rPr>
      </w:pPr>
    </w:p>
    <w:p w14:paraId="00000003" w14:textId="190C0496" w:rsidR="00C37DD5" w:rsidRDefault="00000000">
      <w:pPr>
        <w:spacing w:line="480" w:lineRule="auto"/>
        <w:jc w:val="both"/>
        <w:rPr>
          <w:rFonts w:ascii="Arial" w:eastAsia="Arial" w:hAnsi="Arial" w:cs="Arial"/>
        </w:rPr>
      </w:pPr>
      <w:r>
        <w:rPr>
          <w:rFonts w:ascii="Arial" w:eastAsia="Arial" w:hAnsi="Arial" w:cs="Arial"/>
          <w:b/>
        </w:rPr>
        <w:t>Authors:</w:t>
      </w:r>
      <w:r>
        <w:rPr>
          <w:rFonts w:ascii="Arial" w:eastAsia="Arial" w:hAnsi="Arial" w:cs="Arial"/>
        </w:rPr>
        <w:t xml:space="preserve"> Kayla A. Carter</w:t>
      </w:r>
      <w:r>
        <w:rPr>
          <w:rFonts w:ascii="Arial" w:eastAsia="Arial" w:hAnsi="Arial" w:cs="Arial"/>
          <w:vertAlign w:val="superscript"/>
        </w:rPr>
        <w:t>1</w:t>
      </w:r>
      <w:r>
        <w:rPr>
          <w:rFonts w:ascii="Arial" w:eastAsia="Arial" w:hAnsi="Arial" w:cs="Arial"/>
        </w:rPr>
        <w:t xml:space="preserve">, </w:t>
      </w:r>
      <w:r w:rsidR="001E64AF">
        <w:rPr>
          <w:rFonts w:ascii="Arial" w:eastAsia="Arial" w:hAnsi="Arial" w:cs="Arial"/>
        </w:rPr>
        <w:t>PhD</w:t>
      </w:r>
      <w:r>
        <w:rPr>
          <w:rFonts w:ascii="Arial" w:eastAsia="Arial" w:hAnsi="Arial" w:cs="Arial"/>
        </w:rPr>
        <w:t>; Molly</w:t>
      </w:r>
      <w:r w:rsidR="006E4C75">
        <w:rPr>
          <w:rFonts w:ascii="Arial" w:eastAsia="Arial" w:hAnsi="Arial" w:cs="Arial"/>
        </w:rPr>
        <w:t xml:space="preserve"> D.</w:t>
      </w:r>
      <w:r>
        <w:rPr>
          <w:rFonts w:ascii="Arial" w:eastAsia="Arial" w:hAnsi="Arial" w:cs="Arial"/>
        </w:rPr>
        <w:t xml:space="preserve"> Fischer</w:t>
      </w:r>
      <w:r>
        <w:rPr>
          <w:rFonts w:ascii="Arial" w:eastAsia="Arial" w:hAnsi="Arial" w:cs="Arial"/>
          <w:vertAlign w:val="superscript"/>
        </w:rPr>
        <w:t>1</w:t>
      </w:r>
      <w:r>
        <w:rPr>
          <w:rFonts w:ascii="Arial" w:eastAsia="Arial" w:hAnsi="Arial" w:cs="Arial"/>
        </w:rPr>
        <w:t xml:space="preserve">, </w:t>
      </w:r>
      <w:r w:rsidR="001E64AF">
        <w:rPr>
          <w:rFonts w:ascii="Arial" w:eastAsia="Arial" w:hAnsi="Arial" w:cs="Arial"/>
        </w:rPr>
        <w:t>MS</w:t>
      </w:r>
      <w:r>
        <w:rPr>
          <w:rFonts w:ascii="Arial" w:eastAsia="Arial" w:hAnsi="Arial" w:cs="Arial"/>
        </w:rPr>
        <w:t>; Mariya I. Petrova</w:t>
      </w:r>
      <w:r>
        <w:rPr>
          <w:rFonts w:ascii="Arial" w:eastAsia="Arial" w:hAnsi="Arial" w:cs="Arial"/>
          <w:vertAlign w:val="superscript"/>
        </w:rPr>
        <w:t>2</w:t>
      </w:r>
      <w:r>
        <w:rPr>
          <w:rFonts w:ascii="Arial" w:eastAsia="Arial" w:hAnsi="Arial" w:cs="Arial"/>
        </w:rPr>
        <w:t>, PhD; Jennifer E. Balkus</w:t>
      </w:r>
      <w:r>
        <w:rPr>
          <w:rFonts w:ascii="Arial" w:eastAsia="Arial" w:hAnsi="Arial" w:cs="Arial"/>
          <w:vertAlign w:val="superscript"/>
        </w:rPr>
        <w:t>1,3</w:t>
      </w:r>
      <w:r>
        <w:rPr>
          <w:rFonts w:ascii="Arial" w:eastAsia="Arial" w:hAnsi="Arial" w:cs="Arial"/>
        </w:rPr>
        <w:t>, PhD</w:t>
      </w:r>
    </w:p>
    <w:p w14:paraId="00000004" w14:textId="77777777" w:rsidR="00C37DD5" w:rsidRDefault="00000000">
      <w:pPr>
        <w:spacing w:line="480" w:lineRule="auto"/>
        <w:jc w:val="both"/>
        <w:rPr>
          <w:rFonts w:ascii="Arial" w:eastAsia="Arial" w:hAnsi="Arial" w:cs="Arial"/>
        </w:rPr>
      </w:pPr>
      <w:r>
        <w:rPr>
          <w:rFonts w:ascii="Arial" w:eastAsia="Arial" w:hAnsi="Arial" w:cs="Arial"/>
          <w:vertAlign w:val="superscript"/>
        </w:rPr>
        <w:t>1</w:t>
      </w:r>
      <w:r>
        <w:rPr>
          <w:rFonts w:ascii="Arial" w:eastAsia="Arial" w:hAnsi="Arial" w:cs="Arial"/>
        </w:rPr>
        <w:t>Department of Epidemiology, University of Washington; Seattle, WA, USA</w:t>
      </w:r>
    </w:p>
    <w:p w14:paraId="00000005" w14:textId="77777777" w:rsidR="00C37DD5" w:rsidRDefault="00000000">
      <w:pPr>
        <w:spacing w:line="480" w:lineRule="auto"/>
        <w:jc w:val="both"/>
        <w:rPr>
          <w:rFonts w:ascii="Arial" w:eastAsia="Arial" w:hAnsi="Arial" w:cs="Arial"/>
        </w:rPr>
      </w:pPr>
      <w:r>
        <w:rPr>
          <w:rFonts w:ascii="Arial" w:eastAsia="Arial" w:hAnsi="Arial" w:cs="Arial"/>
          <w:vertAlign w:val="superscript"/>
        </w:rPr>
        <w:t>2</w:t>
      </w:r>
      <w:r>
        <w:rPr>
          <w:rFonts w:ascii="Arial" w:eastAsia="Arial" w:hAnsi="Arial" w:cs="Arial"/>
        </w:rPr>
        <w:t>Microbiome Insights and Probiotics Consultancy; Karlovo, Bulgaria</w:t>
      </w:r>
    </w:p>
    <w:p w14:paraId="00000006" w14:textId="77777777" w:rsidR="00C37DD5" w:rsidRDefault="00000000">
      <w:pPr>
        <w:spacing w:line="480" w:lineRule="auto"/>
        <w:jc w:val="both"/>
        <w:rPr>
          <w:rFonts w:ascii="Arial" w:eastAsia="Arial" w:hAnsi="Arial" w:cs="Arial"/>
        </w:rPr>
      </w:pPr>
      <w:r>
        <w:rPr>
          <w:rFonts w:ascii="Arial" w:eastAsia="Arial" w:hAnsi="Arial" w:cs="Arial"/>
          <w:vertAlign w:val="superscript"/>
        </w:rPr>
        <w:t>3</w:t>
      </w:r>
      <w:r>
        <w:rPr>
          <w:rFonts w:ascii="Arial" w:eastAsia="Arial" w:hAnsi="Arial" w:cs="Arial"/>
        </w:rPr>
        <w:t>Vaccine and Infectious Disease Division, Fred Hutchinson Cancer Research Center; Seattle, WA, USA</w:t>
      </w:r>
    </w:p>
    <w:p w14:paraId="00000007" w14:textId="77777777" w:rsidR="00C37DD5" w:rsidRDefault="00C37DD5">
      <w:pPr>
        <w:spacing w:line="480" w:lineRule="auto"/>
        <w:jc w:val="both"/>
        <w:rPr>
          <w:rFonts w:ascii="Arial" w:eastAsia="Arial" w:hAnsi="Arial" w:cs="Arial"/>
          <w:vertAlign w:val="superscript"/>
        </w:rPr>
      </w:pPr>
    </w:p>
    <w:p w14:paraId="00000008" w14:textId="77777777" w:rsidR="00C37DD5" w:rsidRDefault="00000000">
      <w:pPr>
        <w:spacing w:line="480" w:lineRule="auto"/>
        <w:jc w:val="both"/>
        <w:rPr>
          <w:rFonts w:ascii="Arial" w:eastAsia="Arial" w:hAnsi="Arial" w:cs="Arial"/>
        </w:rPr>
      </w:pPr>
      <w:r>
        <w:rPr>
          <w:rFonts w:ascii="Arial" w:eastAsia="Arial" w:hAnsi="Arial" w:cs="Arial"/>
          <w:b/>
        </w:rPr>
        <w:t>Corresponding author:</w:t>
      </w:r>
      <w:r>
        <w:rPr>
          <w:rFonts w:ascii="Arial" w:eastAsia="Arial" w:hAnsi="Arial" w:cs="Arial"/>
        </w:rPr>
        <w:t xml:space="preserve"> Kayla A. Carter, MPH</w:t>
      </w:r>
    </w:p>
    <w:p w14:paraId="00000009" w14:textId="77777777" w:rsidR="00C37DD5" w:rsidRDefault="00000000">
      <w:pPr>
        <w:spacing w:line="480" w:lineRule="auto"/>
        <w:jc w:val="both"/>
        <w:rPr>
          <w:rFonts w:ascii="Arial" w:eastAsia="Arial" w:hAnsi="Arial" w:cs="Arial"/>
        </w:rPr>
      </w:pPr>
      <w:r>
        <w:rPr>
          <w:rFonts w:ascii="Arial" w:eastAsia="Arial" w:hAnsi="Arial" w:cs="Arial"/>
        </w:rPr>
        <w:t>Hans Rosling Center for Population Health</w:t>
      </w:r>
    </w:p>
    <w:p w14:paraId="0000000A" w14:textId="77777777" w:rsidR="00C37DD5" w:rsidRDefault="00000000">
      <w:pPr>
        <w:spacing w:line="480" w:lineRule="auto"/>
        <w:jc w:val="both"/>
        <w:rPr>
          <w:rFonts w:ascii="Arial" w:eastAsia="Arial" w:hAnsi="Arial" w:cs="Arial"/>
        </w:rPr>
      </w:pPr>
      <w:r>
        <w:rPr>
          <w:rFonts w:ascii="Arial" w:eastAsia="Arial" w:hAnsi="Arial" w:cs="Arial"/>
        </w:rPr>
        <w:t>3980 15</w:t>
      </w:r>
      <w:r>
        <w:rPr>
          <w:rFonts w:ascii="Arial" w:eastAsia="Arial" w:hAnsi="Arial" w:cs="Arial"/>
          <w:vertAlign w:val="superscript"/>
        </w:rPr>
        <w:t>th</w:t>
      </w:r>
      <w:r>
        <w:rPr>
          <w:rFonts w:ascii="Arial" w:eastAsia="Arial" w:hAnsi="Arial" w:cs="Arial"/>
        </w:rPr>
        <w:t xml:space="preserve"> Ave NE</w:t>
      </w:r>
    </w:p>
    <w:p w14:paraId="0000000B" w14:textId="77777777" w:rsidR="00C37DD5" w:rsidRDefault="00000000">
      <w:pPr>
        <w:spacing w:line="480" w:lineRule="auto"/>
        <w:jc w:val="both"/>
        <w:rPr>
          <w:rFonts w:ascii="Arial" w:eastAsia="Arial" w:hAnsi="Arial" w:cs="Arial"/>
        </w:rPr>
      </w:pPr>
      <w:r>
        <w:rPr>
          <w:rFonts w:ascii="Arial" w:eastAsia="Arial" w:hAnsi="Arial" w:cs="Arial"/>
        </w:rPr>
        <w:t>Seattle, WA 98195</w:t>
      </w:r>
    </w:p>
    <w:p w14:paraId="0000000C" w14:textId="77777777" w:rsidR="00C37DD5" w:rsidRDefault="00000000">
      <w:pPr>
        <w:spacing w:line="480" w:lineRule="auto"/>
        <w:jc w:val="both"/>
        <w:rPr>
          <w:rFonts w:ascii="Arial" w:eastAsia="Arial" w:hAnsi="Arial" w:cs="Arial"/>
        </w:rPr>
      </w:pPr>
      <w:r>
        <w:rPr>
          <w:rFonts w:ascii="Arial" w:eastAsia="Arial" w:hAnsi="Arial" w:cs="Arial"/>
        </w:rPr>
        <w:t>Phone: (443) 812-1972</w:t>
      </w:r>
    </w:p>
    <w:p w14:paraId="0000000D" w14:textId="77777777" w:rsidR="00C37DD5" w:rsidRDefault="00000000">
      <w:pPr>
        <w:spacing w:line="480" w:lineRule="auto"/>
        <w:jc w:val="both"/>
        <w:rPr>
          <w:rFonts w:ascii="Arial" w:eastAsia="Arial" w:hAnsi="Arial" w:cs="Arial"/>
        </w:rPr>
      </w:pPr>
      <w:hyperlink r:id="rId7">
        <w:r>
          <w:rPr>
            <w:rFonts w:ascii="Arial" w:eastAsia="Arial" w:hAnsi="Arial" w:cs="Arial"/>
            <w:color w:val="0563C1"/>
            <w:u w:val="single"/>
          </w:rPr>
          <w:t>kaycart@uw.edu</w:t>
        </w:r>
      </w:hyperlink>
    </w:p>
    <w:p w14:paraId="0000000E" w14:textId="77777777" w:rsidR="00C37DD5" w:rsidRDefault="00C37DD5">
      <w:pPr>
        <w:spacing w:line="480" w:lineRule="auto"/>
        <w:jc w:val="both"/>
        <w:rPr>
          <w:rFonts w:ascii="Arial" w:eastAsia="Arial" w:hAnsi="Arial" w:cs="Arial"/>
          <w:b/>
        </w:rPr>
      </w:pPr>
    </w:p>
    <w:p w14:paraId="0000000F" w14:textId="77777777" w:rsidR="00C37DD5" w:rsidRDefault="00000000">
      <w:pPr>
        <w:spacing w:line="480" w:lineRule="auto"/>
        <w:jc w:val="both"/>
        <w:rPr>
          <w:rFonts w:ascii="Arial" w:eastAsia="Arial" w:hAnsi="Arial" w:cs="Arial"/>
          <w:b/>
        </w:rPr>
      </w:pPr>
      <w:r>
        <w:rPr>
          <w:rFonts w:ascii="Arial" w:eastAsia="Arial" w:hAnsi="Arial" w:cs="Arial"/>
          <w:b/>
        </w:rPr>
        <w:t>Supplemental methods</w:t>
      </w:r>
    </w:p>
    <w:p w14:paraId="00000010" w14:textId="77777777" w:rsidR="00C37DD5" w:rsidRDefault="00000000">
      <w:pPr>
        <w:spacing w:line="480" w:lineRule="auto"/>
        <w:jc w:val="both"/>
        <w:rPr>
          <w:rFonts w:ascii="Arial" w:eastAsia="Arial" w:hAnsi="Arial" w:cs="Arial"/>
          <w:i/>
        </w:rPr>
      </w:pPr>
      <w:r>
        <w:rPr>
          <w:rFonts w:ascii="Arial" w:eastAsia="Arial" w:hAnsi="Arial" w:cs="Arial"/>
          <w:i/>
        </w:rPr>
        <w:t>Search strategy</w:t>
      </w:r>
    </w:p>
    <w:p w14:paraId="00000011" w14:textId="5814D391" w:rsidR="00C37DD5" w:rsidRDefault="00000000">
      <w:pPr>
        <w:spacing w:line="480" w:lineRule="auto"/>
        <w:jc w:val="both"/>
        <w:rPr>
          <w:rFonts w:ascii="Arial" w:eastAsia="Arial" w:hAnsi="Arial" w:cs="Arial"/>
        </w:rPr>
      </w:pPr>
      <w:r>
        <w:rPr>
          <w:rFonts w:ascii="Arial" w:eastAsia="Arial" w:hAnsi="Arial" w:cs="Arial"/>
        </w:rPr>
        <w:t>Only studies conducted among reproductive-age, nonpregnant, cisgender women were eligible for inclusion. We defined reproductive-age as post-menarchal and pre-menopausal with the bounds of 1</w:t>
      </w:r>
      <w:r w:rsidR="00417D4F">
        <w:rPr>
          <w:rFonts w:ascii="Arial" w:eastAsia="Arial" w:hAnsi="Arial" w:cs="Arial"/>
        </w:rPr>
        <w:t>3</w:t>
      </w:r>
      <w:r>
        <w:rPr>
          <w:rFonts w:ascii="Arial" w:eastAsia="Arial" w:hAnsi="Arial" w:cs="Arial"/>
        </w:rPr>
        <w:t>-50 years</w:t>
      </w:r>
      <w:r w:rsidR="00417D4F">
        <w:rPr>
          <w:rFonts w:ascii="Arial" w:eastAsia="Arial" w:hAnsi="Arial" w:cs="Arial"/>
        </w:rPr>
        <w:t xml:space="preserve"> (</w:t>
      </w:r>
      <w:r>
        <w:rPr>
          <w:rFonts w:ascii="Arial" w:eastAsia="Arial" w:hAnsi="Arial" w:cs="Arial"/>
        </w:rPr>
        <w:t>inclusive</w:t>
      </w:r>
      <w:r w:rsidR="00417D4F">
        <w:rPr>
          <w:rFonts w:ascii="Arial" w:eastAsia="Arial" w:hAnsi="Arial" w:cs="Arial"/>
        </w:rPr>
        <w:t>)</w:t>
      </w:r>
      <w:r>
        <w:rPr>
          <w:rFonts w:ascii="Arial" w:eastAsia="Arial" w:hAnsi="Arial" w:cs="Arial"/>
        </w:rPr>
        <w:t xml:space="preserve">. If search results did not report an age-based eligibility criterion nor participant age range, we assumed the study was </w:t>
      </w:r>
      <w:r>
        <w:rPr>
          <w:rFonts w:ascii="Arial" w:eastAsia="Arial" w:hAnsi="Arial" w:cs="Arial"/>
        </w:rPr>
        <w:lastRenderedPageBreak/>
        <w:t xml:space="preserve">conducted among reproductive-age women. If authors did not clearly articulate participants’ gender identity, we assumed participants were cisgender women. </w:t>
      </w:r>
    </w:p>
    <w:p w14:paraId="00000012" w14:textId="77777777" w:rsidR="00C37DD5" w:rsidRDefault="00C37DD5">
      <w:pPr>
        <w:spacing w:line="480" w:lineRule="auto"/>
        <w:jc w:val="both"/>
        <w:rPr>
          <w:rFonts w:ascii="Arial" w:eastAsia="Arial" w:hAnsi="Arial" w:cs="Arial"/>
        </w:rPr>
      </w:pPr>
    </w:p>
    <w:p w14:paraId="00000013" w14:textId="07D5BDF8" w:rsidR="00C37DD5" w:rsidRDefault="00000000">
      <w:pPr>
        <w:spacing w:line="480" w:lineRule="auto"/>
        <w:jc w:val="both"/>
        <w:rPr>
          <w:rFonts w:ascii="Arial" w:eastAsia="Arial" w:hAnsi="Arial" w:cs="Arial"/>
        </w:rPr>
      </w:pPr>
      <w:r>
        <w:rPr>
          <w:rFonts w:ascii="Arial" w:eastAsia="Arial" w:hAnsi="Arial" w:cs="Arial"/>
        </w:rPr>
        <w:t xml:space="preserve">Studies of cross-sectional, case-control, cohort, or clinical trial designs were eligible. </w:t>
      </w:r>
      <w:r w:rsidR="00BD3539">
        <w:rPr>
          <w:rFonts w:ascii="Arial" w:eastAsia="Arial" w:hAnsi="Arial" w:cs="Arial"/>
        </w:rPr>
        <w:t xml:space="preserve">Cross-sectional studies were eligible because much of the published literature on relationships between vaginal bacteria and sexual health outcomes represents cross-sectional studies. Excluding these studies would have substantially limited the evidence reviewed. </w:t>
      </w:r>
      <w:r>
        <w:rPr>
          <w:rFonts w:ascii="Arial" w:eastAsia="Arial" w:hAnsi="Arial" w:cs="Arial"/>
        </w:rPr>
        <w:t>Case reports and case series were not eligible.</w:t>
      </w:r>
    </w:p>
    <w:p w14:paraId="00000014" w14:textId="77777777" w:rsidR="00C37DD5" w:rsidRDefault="00C37DD5">
      <w:pPr>
        <w:spacing w:line="480" w:lineRule="auto"/>
        <w:jc w:val="both"/>
        <w:rPr>
          <w:rFonts w:ascii="Arial" w:eastAsia="Arial" w:hAnsi="Arial" w:cs="Arial"/>
        </w:rPr>
      </w:pPr>
    </w:p>
    <w:p w14:paraId="00000015" w14:textId="77777777" w:rsidR="00C37DD5" w:rsidRDefault="00000000">
      <w:pPr>
        <w:spacing w:line="480" w:lineRule="auto"/>
        <w:jc w:val="both"/>
        <w:rPr>
          <w:rFonts w:ascii="Arial" w:eastAsia="Arial" w:hAnsi="Arial" w:cs="Arial"/>
          <w:i/>
        </w:rPr>
      </w:pPr>
      <w:r>
        <w:rPr>
          <w:rFonts w:ascii="Arial" w:eastAsia="Arial" w:hAnsi="Arial" w:cs="Arial"/>
          <w:i/>
        </w:rPr>
        <w:t>Data collection</w:t>
      </w:r>
    </w:p>
    <w:p w14:paraId="00000016" w14:textId="1F6899AC" w:rsidR="00C37DD5" w:rsidRDefault="00000000">
      <w:pPr>
        <w:spacing w:line="480" w:lineRule="auto"/>
        <w:jc w:val="both"/>
        <w:rPr>
          <w:rFonts w:ascii="Arial" w:eastAsia="Arial" w:hAnsi="Arial" w:cs="Arial"/>
        </w:rPr>
      </w:pPr>
      <w:r>
        <w:rPr>
          <w:rFonts w:ascii="Arial" w:eastAsia="Arial" w:hAnsi="Arial" w:cs="Arial"/>
        </w:rPr>
        <w:t>Two reviewers (KAC</w:t>
      </w:r>
      <w:r w:rsidR="00417D4F">
        <w:rPr>
          <w:rFonts w:ascii="Arial" w:eastAsia="Arial" w:hAnsi="Arial" w:cs="Arial"/>
        </w:rPr>
        <w:t xml:space="preserve">, </w:t>
      </w:r>
      <w:r>
        <w:rPr>
          <w:rFonts w:ascii="Arial" w:eastAsia="Arial" w:hAnsi="Arial" w:cs="Arial"/>
        </w:rPr>
        <w:t>M</w:t>
      </w:r>
      <w:r w:rsidR="00417D4F">
        <w:rPr>
          <w:rFonts w:ascii="Arial" w:eastAsia="Arial" w:hAnsi="Arial" w:cs="Arial"/>
        </w:rPr>
        <w:t>D</w:t>
      </w:r>
      <w:r>
        <w:rPr>
          <w:rFonts w:ascii="Arial" w:eastAsia="Arial" w:hAnsi="Arial" w:cs="Arial"/>
        </w:rPr>
        <w:t xml:space="preserve">F) used the REDCap surveys to independently record eligible studies’ bibliographic information; study design; study site(s); years of participant enrollment and data collection; study population characteristics; vaginal microbiota characterization method; outcome assessment method; exposure and outcome summary statistics; relevant effect estimate(s) and corresponding measure(s) of uncertainty; and information related to risk of bias assessment. </w:t>
      </w:r>
    </w:p>
    <w:p w14:paraId="0ADC28AA" w14:textId="73EEC555" w:rsidR="001D2F30" w:rsidRDefault="001D2F30">
      <w:pPr>
        <w:spacing w:line="480" w:lineRule="auto"/>
        <w:jc w:val="both"/>
        <w:rPr>
          <w:rFonts w:ascii="Arial" w:eastAsia="Arial" w:hAnsi="Arial" w:cs="Arial"/>
        </w:rPr>
      </w:pPr>
    </w:p>
    <w:p w14:paraId="2A154C82" w14:textId="678A2935" w:rsidR="001D2F30" w:rsidRDefault="001D2F30" w:rsidP="001D2F30">
      <w:pPr>
        <w:spacing w:line="480" w:lineRule="auto"/>
        <w:jc w:val="both"/>
        <w:rPr>
          <w:rFonts w:ascii="Arial" w:eastAsia="Arial" w:hAnsi="Arial" w:cs="Arial"/>
        </w:rPr>
      </w:pPr>
      <w:r>
        <w:rPr>
          <w:rFonts w:ascii="Arial" w:eastAsia="Arial" w:hAnsi="Arial" w:cs="Arial"/>
        </w:rPr>
        <w:t xml:space="preserve">For studies that did not present an effect estimate of interest but presented sufficient exposure and outcome data to calculate an effect estimate, we calculated effect estimates as </w:t>
      </w:r>
      <w:r w:rsidR="00857D40">
        <w:rPr>
          <w:rFonts w:ascii="Arial" w:eastAsia="Arial" w:hAnsi="Arial" w:cs="Arial"/>
        </w:rPr>
        <w:t xml:space="preserve">follows: </w:t>
      </w:r>
      <w:r>
        <w:rPr>
          <w:rFonts w:ascii="Arial" w:eastAsia="Arial" w:hAnsi="Arial" w:cs="Arial"/>
        </w:rPr>
        <w:t xml:space="preserve">prevalence ratios (PR) for cross-sectional studies and cohort studies (when exposure and outcome data were collected at the same time point) that cross-tabulated categorical exposure and outcome data; odds ratios (OR) for case-control studies that cross-tabulated categorical exposure and outcome data; relative abundance ratio of ratios </w:t>
      </w:r>
      <w:r>
        <w:rPr>
          <w:rFonts w:ascii="Arial" w:eastAsia="Arial" w:hAnsi="Arial" w:cs="Arial"/>
        </w:rPr>
        <w:lastRenderedPageBreak/>
        <w:t xml:space="preserve">for studies that presented mean </w:t>
      </w:r>
      <w:r>
        <w:rPr>
          <w:rFonts w:ascii="Arial" w:eastAsia="Arial" w:hAnsi="Arial" w:cs="Arial"/>
          <w:i/>
        </w:rPr>
        <w:t>L. iners</w:t>
      </w:r>
      <w:r>
        <w:rPr>
          <w:rFonts w:ascii="Arial" w:eastAsia="Arial" w:hAnsi="Arial" w:cs="Arial"/>
        </w:rPr>
        <w:t xml:space="preserve"> and </w:t>
      </w:r>
      <w:r>
        <w:rPr>
          <w:rFonts w:ascii="Arial" w:eastAsia="Arial" w:hAnsi="Arial" w:cs="Arial"/>
          <w:i/>
        </w:rPr>
        <w:t>L. crispatus</w:t>
      </w:r>
      <w:r>
        <w:rPr>
          <w:rFonts w:ascii="Arial" w:eastAsia="Arial" w:hAnsi="Arial" w:cs="Arial"/>
        </w:rPr>
        <w:t xml:space="preserve"> relative abundances according to outcome status; and Spearman correlation coefficient differences for studies that presented Spearman correlation coefficients between </w:t>
      </w:r>
      <w:r>
        <w:rPr>
          <w:rFonts w:ascii="Arial" w:eastAsia="Arial" w:hAnsi="Arial" w:cs="Arial"/>
          <w:i/>
        </w:rPr>
        <w:t>L. iners</w:t>
      </w:r>
      <w:r>
        <w:rPr>
          <w:rFonts w:ascii="Arial" w:eastAsia="Arial" w:hAnsi="Arial" w:cs="Arial"/>
        </w:rPr>
        <w:t xml:space="preserve"> relative abundance and the outcome and between </w:t>
      </w:r>
      <w:r>
        <w:rPr>
          <w:rFonts w:ascii="Arial" w:eastAsia="Arial" w:hAnsi="Arial" w:cs="Arial"/>
          <w:i/>
        </w:rPr>
        <w:t>L. crispatus</w:t>
      </w:r>
      <w:r>
        <w:rPr>
          <w:rFonts w:ascii="Arial" w:eastAsia="Arial" w:hAnsi="Arial" w:cs="Arial"/>
        </w:rPr>
        <w:t xml:space="preserve"> relative abundance and the outcome. </w:t>
      </w:r>
    </w:p>
    <w:p w14:paraId="00000017" w14:textId="77777777" w:rsidR="00C37DD5" w:rsidRDefault="00C37DD5">
      <w:pPr>
        <w:spacing w:line="480" w:lineRule="auto"/>
        <w:jc w:val="both"/>
        <w:rPr>
          <w:rFonts w:ascii="Arial" w:eastAsia="Arial" w:hAnsi="Arial" w:cs="Arial"/>
          <w:highlight w:val="magenta"/>
        </w:rPr>
      </w:pPr>
    </w:p>
    <w:p w14:paraId="209CC2AE" w14:textId="47F24CEF" w:rsidR="00AE5142" w:rsidRDefault="00000000">
      <w:pPr>
        <w:spacing w:line="480" w:lineRule="auto"/>
        <w:jc w:val="both"/>
        <w:rPr>
          <w:rFonts w:ascii="Arial" w:eastAsia="Arial" w:hAnsi="Arial" w:cs="Arial"/>
        </w:rPr>
      </w:pPr>
      <w:r>
        <w:rPr>
          <w:rFonts w:ascii="Arial" w:eastAsia="Arial" w:hAnsi="Arial" w:cs="Arial"/>
        </w:rPr>
        <w:t xml:space="preserve">We estimated relative abundance ratio of ratios according to Equation 1. We were unable to estimate confidence intervals for relative abundance ratio of ratios. A relative abundance ratio of ratios &gt;1 indicates </w:t>
      </w:r>
      <w:r>
        <w:rPr>
          <w:rFonts w:ascii="Arial" w:eastAsia="Arial" w:hAnsi="Arial" w:cs="Arial"/>
          <w:i/>
        </w:rPr>
        <w:t>L. iners</w:t>
      </w:r>
      <w:r>
        <w:rPr>
          <w:rFonts w:ascii="Arial" w:eastAsia="Arial" w:hAnsi="Arial" w:cs="Arial"/>
        </w:rPr>
        <w:t xml:space="preserve"> enrichment among those with the outcome is greater than </w:t>
      </w:r>
      <w:r>
        <w:rPr>
          <w:rFonts w:ascii="Arial" w:eastAsia="Arial" w:hAnsi="Arial" w:cs="Arial"/>
          <w:i/>
        </w:rPr>
        <w:t>L. crispatus</w:t>
      </w:r>
      <w:r>
        <w:rPr>
          <w:rFonts w:ascii="Arial" w:eastAsia="Arial" w:hAnsi="Arial" w:cs="Arial"/>
        </w:rPr>
        <w:t xml:space="preserve"> enrichment among those with the outcome. A relative abundance ratio of ratios &lt;1 indicates </w:t>
      </w:r>
      <w:r>
        <w:rPr>
          <w:rFonts w:ascii="Arial" w:eastAsia="Arial" w:hAnsi="Arial" w:cs="Arial"/>
          <w:i/>
        </w:rPr>
        <w:t>L. crispatus</w:t>
      </w:r>
      <w:r>
        <w:rPr>
          <w:rFonts w:ascii="Arial" w:eastAsia="Arial" w:hAnsi="Arial" w:cs="Arial"/>
        </w:rPr>
        <w:t xml:space="preserve"> enrichment among those with the outcome is greater than </w:t>
      </w:r>
      <w:r>
        <w:rPr>
          <w:rFonts w:ascii="Arial" w:eastAsia="Arial" w:hAnsi="Arial" w:cs="Arial"/>
          <w:i/>
        </w:rPr>
        <w:t>L. iners</w:t>
      </w:r>
      <w:r>
        <w:rPr>
          <w:rFonts w:ascii="Arial" w:eastAsia="Arial" w:hAnsi="Arial" w:cs="Arial"/>
        </w:rPr>
        <w:t xml:space="preserve"> enrichment among those with the outcome. A relative abundance ratio of ratios of 1 indicates </w:t>
      </w:r>
      <w:r>
        <w:rPr>
          <w:rFonts w:ascii="Arial" w:eastAsia="Arial" w:hAnsi="Arial" w:cs="Arial"/>
          <w:i/>
        </w:rPr>
        <w:t>L. iners</w:t>
      </w:r>
      <w:r>
        <w:rPr>
          <w:rFonts w:ascii="Arial" w:eastAsia="Arial" w:hAnsi="Arial" w:cs="Arial"/>
        </w:rPr>
        <w:t xml:space="preserve"> and </w:t>
      </w:r>
      <w:r>
        <w:rPr>
          <w:rFonts w:ascii="Arial" w:eastAsia="Arial" w:hAnsi="Arial" w:cs="Arial"/>
          <w:i/>
        </w:rPr>
        <w:t>L. crispatus</w:t>
      </w:r>
      <w:r>
        <w:rPr>
          <w:rFonts w:ascii="Arial" w:eastAsia="Arial" w:hAnsi="Arial" w:cs="Arial"/>
        </w:rPr>
        <w:t xml:space="preserve"> are enriched to the same degree among those with the outcome.</w:t>
      </w:r>
      <w:r w:rsidR="00857D40">
        <w:rPr>
          <w:rFonts w:ascii="Arial" w:eastAsia="Arial" w:hAnsi="Arial" w:cs="Arial"/>
        </w:rPr>
        <w:t xml:space="preserve"> </w:t>
      </w:r>
    </w:p>
    <w:p w14:paraId="00000019" w14:textId="0C39CDE7" w:rsidR="00C37DD5" w:rsidRDefault="00000000">
      <w:pPr>
        <w:spacing w:line="480" w:lineRule="auto"/>
        <w:jc w:val="both"/>
        <w:rPr>
          <w:rFonts w:ascii="Arial" w:eastAsia="Arial" w:hAnsi="Arial" w:cs="Arial"/>
        </w:rPr>
      </w:pPr>
      <w:r>
        <w:rPr>
          <w:rFonts w:ascii="Arial" w:eastAsia="Arial" w:hAnsi="Arial" w:cs="Arial"/>
        </w:rPr>
        <w:t>Equation 1:</w:t>
      </w:r>
    </w:p>
    <w:p w14:paraId="0000001A" w14:textId="15FC8856" w:rsidR="00C37DD5" w:rsidRDefault="00000000">
      <w:pPr>
        <w:spacing w:line="480" w:lineRule="auto"/>
        <w:jc w:val="both"/>
        <w:rPr>
          <w:rFonts w:ascii="Arial" w:eastAsia="Arial" w:hAnsi="Arial" w:cs="Arial"/>
        </w:rPr>
      </w:pPr>
      <m:oMath>
        <m:f>
          <m:fPr>
            <m:ctrlPr>
              <w:rPr>
                <w:rFonts w:ascii="Cambria Math" w:hAnsi="Cambria Math"/>
                <w:sz w:val="40"/>
                <w:szCs w:val="40"/>
              </w:rPr>
            </m:ctrlPr>
          </m:fPr>
          <m:num>
            <m:f>
              <m:fPr>
                <m:ctrlPr>
                  <w:rPr>
                    <w:rFonts w:ascii="Cambria Math" w:eastAsia="Cambria Math" w:hAnsi="Cambria Math" w:cs="Cambria Math"/>
                    <w:sz w:val="40"/>
                    <w:szCs w:val="40"/>
                  </w:rPr>
                </m:ctrlPr>
              </m:fPr>
              <m:num>
                <m:r>
                  <w:rPr>
                    <w:rFonts w:ascii="Cambria Math" w:eastAsia="Cambria Math" w:hAnsi="Cambria Math" w:cs="Cambria Math"/>
                    <w:sz w:val="40"/>
                    <w:szCs w:val="40"/>
                  </w:rPr>
                  <m:t>Mean</m:t>
                </m:r>
                <m:d>
                  <m:dPr>
                    <m:ctrlPr>
                      <w:rPr>
                        <w:rFonts w:ascii="Cambria Math" w:eastAsia="Cambria Math" w:hAnsi="Cambria Math" w:cs="Cambria Math"/>
                        <w:sz w:val="40"/>
                        <w:szCs w:val="40"/>
                      </w:rPr>
                    </m:ctrlPr>
                  </m:dPr>
                  <m:e>
                    <m:r>
                      <w:rPr>
                        <w:rFonts w:ascii="Cambria Math" w:eastAsia="Cambria Math" w:hAnsi="Cambria Math" w:cs="Cambria Math"/>
                        <w:sz w:val="40"/>
                        <w:szCs w:val="40"/>
                      </w:rPr>
                      <m:t>Lactobacillus iners relative abundance</m:t>
                    </m:r>
                  </m:e>
                </m:d>
                <m:r>
                  <w:rPr>
                    <w:rFonts w:ascii="Cambria Math" w:eastAsia="Cambria Math" w:hAnsi="Cambria Math" w:cs="Cambria Math"/>
                    <w:sz w:val="40"/>
                    <w:szCs w:val="40"/>
                  </w:rPr>
                  <m:t>|Outcome present</m:t>
                </m:r>
              </m:num>
              <m:den>
                <m:r>
                  <w:rPr>
                    <w:rFonts w:ascii="Cambria Math" w:eastAsia="Cambria Math" w:hAnsi="Cambria Math" w:cs="Cambria Math"/>
                    <w:sz w:val="40"/>
                    <w:szCs w:val="40"/>
                  </w:rPr>
                  <m:t>Mean</m:t>
                </m:r>
                <m:d>
                  <m:dPr>
                    <m:ctrlPr>
                      <w:rPr>
                        <w:rFonts w:ascii="Cambria Math" w:eastAsia="Cambria Math" w:hAnsi="Cambria Math" w:cs="Cambria Math"/>
                        <w:sz w:val="40"/>
                        <w:szCs w:val="40"/>
                      </w:rPr>
                    </m:ctrlPr>
                  </m:dPr>
                  <m:e>
                    <m:r>
                      <w:rPr>
                        <w:rFonts w:ascii="Cambria Math" w:eastAsia="Cambria Math" w:hAnsi="Cambria Math" w:cs="Cambria Math"/>
                        <w:sz w:val="40"/>
                        <w:szCs w:val="40"/>
                      </w:rPr>
                      <m:t>Lactobacillus crispatus relative abundance</m:t>
                    </m:r>
                  </m:e>
                </m:d>
                <m:r>
                  <w:rPr>
                    <w:rFonts w:ascii="Cambria Math" w:eastAsia="Cambria Math" w:hAnsi="Cambria Math" w:cs="Cambria Math"/>
                    <w:sz w:val="40"/>
                    <w:szCs w:val="40"/>
                  </w:rPr>
                  <m:t>|Outcome present</m:t>
                </m:r>
              </m:den>
            </m:f>
          </m:num>
          <m:den>
            <m:f>
              <m:fPr>
                <m:ctrlPr>
                  <w:rPr>
                    <w:rFonts w:ascii="Cambria Math" w:eastAsia="Cambria Math" w:hAnsi="Cambria Math" w:cs="Cambria Math"/>
                    <w:sz w:val="40"/>
                    <w:szCs w:val="40"/>
                  </w:rPr>
                </m:ctrlPr>
              </m:fPr>
              <m:num>
                <m:r>
                  <w:rPr>
                    <w:rFonts w:ascii="Cambria Math" w:eastAsia="Cambria Math" w:hAnsi="Cambria Math" w:cs="Cambria Math"/>
                    <w:sz w:val="40"/>
                    <w:szCs w:val="40"/>
                  </w:rPr>
                  <m:t>Mean</m:t>
                </m:r>
                <m:d>
                  <m:dPr>
                    <m:ctrlPr>
                      <w:rPr>
                        <w:rFonts w:ascii="Cambria Math" w:eastAsia="Cambria Math" w:hAnsi="Cambria Math" w:cs="Cambria Math"/>
                        <w:sz w:val="40"/>
                        <w:szCs w:val="40"/>
                      </w:rPr>
                    </m:ctrlPr>
                  </m:dPr>
                  <m:e>
                    <m:r>
                      <w:rPr>
                        <w:rFonts w:ascii="Cambria Math" w:eastAsia="Cambria Math" w:hAnsi="Cambria Math" w:cs="Cambria Math"/>
                        <w:sz w:val="40"/>
                        <w:szCs w:val="40"/>
                      </w:rPr>
                      <m:t>Lactobacillus iners relative abundance</m:t>
                    </m:r>
                  </m:e>
                </m:d>
                <m:r>
                  <w:rPr>
                    <w:rFonts w:ascii="Cambria Math" w:eastAsia="Cambria Math" w:hAnsi="Cambria Math" w:cs="Cambria Math"/>
                    <w:sz w:val="40"/>
                    <w:szCs w:val="40"/>
                  </w:rPr>
                  <m:t>|Outcome absent</m:t>
                </m:r>
              </m:num>
              <m:den>
                <m:r>
                  <w:rPr>
                    <w:rFonts w:ascii="Cambria Math" w:eastAsia="Cambria Math" w:hAnsi="Cambria Math" w:cs="Cambria Math"/>
                    <w:sz w:val="40"/>
                    <w:szCs w:val="40"/>
                  </w:rPr>
                  <m:t>Mean</m:t>
                </m:r>
                <m:d>
                  <m:dPr>
                    <m:ctrlPr>
                      <w:rPr>
                        <w:rFonts w:ascii="Cambria Math" w:eastAsia="Cambria Math" w:hAnsi="Cambria Math" w:cs="Cambria Math"/>
                        <w:sz w:val="40"/>
                        <w:szCs w:val="40"/>
                      </w:rPr>
                    </m:ctrlPr>
                  </m:dPr>
                  <m:e>
                    <m:r>
                      <w:rPr>
                        <w:rFonts w:ascii="Cambria Math" w:eastAsia="Cambria Math" w:hAnsi="Cambria Math" w:cs="Cambria Math"/>
                        <w:sz w:val="40"/>
                        <w:szCs w:val="40"/>
                      </w:rPr>
                      <m:t>Lactobacillus crispatus relative abundance</m:t>
                    </m:r>
                  </m:e>
                </m:d>
                <m:r>
                  <w:rPr>
                    <w:rFonts w:ascii="Cambria Math" w:eastAsia="Cambria Math" w:hAnsi="Cambria Math" w:cs="Cambria Math"/>
                    <w:sz w:val="40"/>
                    <w:szCs w:val="40"/>
                  </w:rPr>
                  <m:t>|Outcome absent</m:t>
                </m:r>
              </m:den>
            </m:f>
          </m:den>
        </m:f>
      </m:oMath>
      <w:r>
        <w:rPr>
          <w:rFonts w:ascii="Arial" w:eastAsia="Arial" w:hAnsi="Arial" w:cs="Arial"/>
        </w:rPr>
        <w:t xml:space="preserve"> </w:t>
      </w:r>
      <w:sdt>
        <w:sdtPr>
          <w:tag w:val="goog_rdk_1"/>
          <w:id w:val="1965920862"/>
        </w:sdtPr>
        <w:sdtContent/>
      </w:sdt>
      <w:sdt>
        <w:sdtPr>
          <w:tag w:val="goog_rdk_2"/>
          <w:id w:val="-1853938324"/>
        </w:sdtPr>
        <w:sdtContent/>
      </w:sdt>
    </w:p>
    <w:p w14:paraId="0000001B" w14:textId="77777777" w:rsidR="00C37DD5" w:rsidRDefault="00C37DD5">
      <w:pPr>
        <w:spacing w:line="480" w:lineRule="auto"/>
        <w:jc w:val="both"/>
        <w:rPr>
          <w:rFonts w:ascii="Arial" w:eastAsia="Arial" w:hAnsi="Arial" w:cs="Arial"/>
        </w:rPr>
      </w:pPr>
    </w:p>
    <w:p w14:paraId="0000001C" w14:textId="0228474E" w:rsidR="00C37DD5" w:rsidRDefault="00000000">
      <w:pPr>
        <w:spacing w:line="480" w:lineRule="auto"/>
        <w:jc w:val="both"/>
        <w:rPr>
          <w:rFonts w:ascii="Arial" w:eastAsia="Arial" w:hAnsi="Arial" w:cs="Arial"/>
        </w:rPr>
      </w:pPr>
      <w:r>
        <w:rPr>
          <w:rFonts w:ascii="Arial" w:eastAsia="Arial" w:hAnsi="Arial" w:cs="Arial"/>
        </w:rPr>
        <w:t xml:space="preserve">We estimated Spearman correlation coefficient differences according to Equation 2. We were unable to estimate confidence intervals for Spearman correlation coefficient differences. A Spearman correlation coefficient difference &gt;0 indicates </w:t>
      </w:r>
      <w:r>
        <w:rPr>
          <w:rFonts w:ascii="Arial" w:eastAsia="Arial" w:hAnsi="Arial" w:cs="Arial"/>
          <w:i/>
        </w:rPr>
        <w:t>L. iners</w:t>
      </w:r>
      <w:r>
        <w:rPr>
          <w:rFonts w:ascii="Arial" w:eastAsia="Arial" w:hAnsi="Arial" w:cs="Arial"/>
        </w:rPr>
        <w:t xml:space="preserve">-dominated microbiotas are more strongly positively correlated with </w:t>
      </w:r>
      <w:r w:rsidR="00F57C38">
        <w:rPr>
          <w:rFonts w:ascii="Arial" w:eastAsia="Arial" w:hAnsi="Arial" w:cs="Arial"/>
        </w:rPr>
        <w:t xml:space="preserve">the </w:t>
      </w:r>
      <w:r>
        <w:rPr>
          <w:rFonts w:ascii="Arial" w:eastAsia="Arial" w:hAnsi="Arial" w:cs="Arial"/>
        </w:rPr>
        <w:t xml:space="preserve">outcome than </w:t>
      </w:r>
      <w:r>
        <w:rPr>
          <w:rFonts w:ascii="Arial" w:eastAsia="Arial" w:hAnsi="Arial" w:cs="Arial"/>
          <w:i/>
        </w:rPr>
        <w:t>L. crispatus</w:t>
      </w:r>
      <w:r>
        <w:rPr>
          <w:rFonts w:ascii="Arial" w:eastAsia="Arial" w:hAnsi="Arial" w:cs="Arial"/>
        </w:rPr>
        <w:t xml:space="preserve">-dominated microbiotas. A Spearman correlation coefficient difference &gt;0 indicates </w:t>
      </w:r>
      <w:r>
        <w:rPr>
          <w:rFonts w:ascii="Arial" w:eastAsia="Arial" w:hAnsi="Arial" w:cs="Arial"/>
          <w:i/>
        </w:rPr>
        <w:t xml:space="preserve">L. </w:t>
      </w:r>
      <w:r>
        <w:rPr>
          <w:rFonts w:ascii="Arial" w:eastAsia="Arial" w:hAnsi="Arial" w:cs="Arial"/>
          <w:i/>
        </w:rPr>
        <w:lastRenderedPageBreak/>
        <w:t>crispatus</w:t>
      </w:r>
      <w:r>
        <w:rPr>
          <w:rFonts w:ascii="Arial" w:eastAsia="Arial" w:hAnsi="Arial" w:cs="Arial"/>
        </w:rPr>
        <w:t xml:space="preserve">-dominated microbiotas are more strongly positively correlated with </w:t>
      </w:r>
      <w:r w:rsidR="00F57C38">
        <w:rPr>
          <w:rFonts w:ascii="Arial" w:eastAsia="Arial" w:hAnsi="Arial" w:cs="Arial"/>
        </w:rPr>
        <w:t xml:space="preserve">the </w:t>
      </w:r>
      <w:r>
        <w:rPr>
          <w:rFonts w:ascii="Arial" w:eastAsia="Arial" w:hAnsi="Arial" w:cs="Arial"/>
        </w:rPr>
        <w:t xml:space="preserve">outcome than </w:t>
      </w:r>
      <w:r>
        <w:rPr>
          <w:rFonts w:ascii="Arial" w:eastAsia="Arial" w:hAnsi="Arial" w:cs="Arial"/>
          <w:i/>
        </w:rPr>
        <w:t>L. iners</w:t>
      </w:r>
      <w:r>
        <w:rPr>
          <w:rFonts w:ascii="Arial" w:eastAsia="Arial" w:hAnsi="Arial" w:cs="Arial"/>
        </w:rPr>
        <w:t xml:space="preserve">-dominated microbiotas. A Spearman correlation coefficient difference of 0 indicates </w:t>
      </w:r>
      <w:r>
        <w:rPr>
          <w:rFonts w:ascii="Arial" w:eastAsia="Arial" w:hAnsi="Arial" w:cs="Arial"/>
          <w:i/>
        </w:rPr>
        <w:t>L. iners</w:t>
      </w:r>
      <w:r>
        <w:rPr>
          <w:rFonts w:ascii="Arial" w:eastAsia="Arial" w:hAnsi="Arial" w:cs="Arial"/>
        </w:rPr>
        <w:t xml:space="preserve">-dominated and </w:t>
      </w:r>
      <w:r>
        <w:rPr>
          <w:rFonts w:ascii="Arial" w:eastAsia="Arial" w:hAnsi="Arial" w:cs="Arial"/>
          <w:i/>
        </w:rPr>
        <w:t>L. crispatus</w:t>
      </w:r>
      <w:r>
        <w:rPr>
          <w:rFonts w:ascii="Arial" w:eastAsia="Arial" w:hAnsi="Arial" w:cs="Arial"/>
        </w:rPr>
        <w:t>-dominated microbiotas are correlated with the outcome to the same degree.</w:t>
      </w:r>
      <w:r w:rsidR="00857D40">
        <w:rPr>
          <w:rFonts w:ascii="Arial" w:eastAsia="Arial" w:hAnsi="Arial" w:cs="Arial"/>
        </w:rPr>
        <w:t xml:space="preserve"> </w:t>
      </w:r>
    </w:p>
    <w:p w14:paraId="0000001D" w14:textId="07E4A2B3" w:rsidR="00C37DD5" w:rsidRDefault="00000000">
      <w:pPr>
        <w:spacing w:line="480" w:lineRule="auto"/>
        <w:jc w:val="both"/>
        <w:rPr>
          <w:rFonts w:ascii="Arial" w:eastAsia="Arial" w:hAnsi="Arial" w:cs="Arial"/>
        </w:rPr>
      </w:pPr>
      <w:r>
        <w:rPr>
          <w:rFonts w:ascii="Arial" w:eastAsia="Arial" w:hAnsi="Arial" w:cs="Arial"/>
        </w:rPr>
        <w:t>Equation 2:</w:t>
      </w:r>
    </w:p>
    <w:p w14:paraId="0000001E" w14:textId="2F54983B" w:rsidR="00C37DD5" w:rsidRDefault="00000000">
      <w:pPr>
        <w:spacing w:line="480" w:lineRule="auto"/>
        <w:jc w:val="both"/>
        <w:rPr>
          <w:rFonts w:ascii="Arial" w:eastAsia="Arial" w:hAnsi="Arial" w:cs="Arial"/>
        </w:rPr>
      </w:pPr>
      <m:oMath>
        <m:r>
          <w:rPr>
            <w:rFonts w:ascii="Cambria Math" w:eastAsia="Cambria Math" w:hAnsi="Cambria Math" w:cs="Cambria Math"/>
          </w:rPr>
          <m:t>Spearman correlation coefficient</m:t>
        </m:r>
        <m:d>
          <m:dPr>
            <m:ctrlPr>
              <w:rPr>
                <w:rFonts w:ascii="Cambria Math" w:eastAsia="Cambria Math" w:hAnsi="Cambria Math" w:cs="Cambria Math"/>
              </w:rPr>
            </m:ctrlPr>
          </m:dPr>
          <m:e>
            <m:r>
              <w:rPr>
                <w:rFonts w:ascii="Cambria Math" w:eastAsia="Cambria Math" w:hAnsi="Cambria Math" w:cs="Cambria Math"/>
              </w:rPr>
              <m:t>Lactobacillus iners relative abundance, Outcome</m:t>
            </m:r>
          </m:e>
        </m:d>
        <m:r>
          <w:rPr>
            <w:rFonts w:ascii="Cambria Math" w:eastAsia="Cambria Math" w:hAnsi="Cambria Math" w:cs="Cambria Math"/>
          </w:rPr>
          <m:t>-Spearman correlation coefficient</m:t>
        </m:r>
        <m:d>
          <m:dPr>
            <m:ctrlPr>
              <w:rPr>
                <w:rFonts w:ascii="Cambria Math" w:eastAsia="Cambria Math" w:hAnsi="Cambria Math" w:cs="Cambria Math"/>
              </w:rPr>
            </m:ctrlPr>
          </m:dPr>
          <m:e>
            <m:r>
              <w:rPr>
                <w:rFonts w:ascii="Cambria Math" w:eastAsia="Cambria Math" w:hAnsi="Cambria Math" w:cs="Cambria Math"/>
              </w:rPr>
              <m:t>Lactobacillus crispatus relative abundance, Outcome</m:t>
            </m:r>
          </m:e>
        </m:d>
      </m:oMath>
      <w:r>
        <w:rPr>
          <w:rFonts w:ascii="Arial" w:eastAsia="Arial" w:hAnsi="Arial" w:cs="Arial"/>
        </w:rPr>
        <w:t xml:space="preserve">       </w:t>
      </w:r>
    </w:p>
    <w:p w14:paraId="0000001F" w14:textId="77777777" w:rsidR="00C37DD5" w:rsidRDefault="00C37DD5">
      <w:pPr>
        <w:spacing w:line="480" w:lineRule="auto"/>
        <w:jc w:val="both"/>
        <w:rPr>
          <w:rFonts w:ascii="Arial" w:eastAsia="Arial" w:hAnsi="Arial" w:cs="Arial"/>
        </w:rPr>
      </w:pPr>
    </w:p>
    <w:p w14:paraId="00000020" w14:textId="6F7C9E01" w:rsidR="00C37DD5" w:rsidRDefault="00000000">
      <w:pPr>
        <w:spacing w:line="480" w:lineRule="auto"/>
        <w:jc w:val="both"/>
        <w:rPr>
          <w:rFonts w:ascii="Arial" w:eastAsia="Arial" w:hAnsi="Arial" w:cs="Arial"/>
        </w:rPr>
      </w:pPr>
      <w:r>
        <w:rPr>
          <w:rFonts w:ascii="Arial" w:eastAsia="Arial" w:hAnsi="Arial" w:cs="Arial"/>
        </w:rPr>
        <w:t>For one study included for any HPV and hrHPV (Reimers et al. 2016</w:t>
      </w:r>
      <w:r w:rsidR="00413A76">
        <w:rPr>
          <w:rFonts w:ascii="Arial" w:eastAsia="Arial" w:hAnsi="Arial" w:cs="Arial"/>
          <w:vertAlign w:val="superscript"/>
        </w:rPr>
        <w:t>43s</w:t>
      </w:r>
      <w:r>
        <w:rPr>
          <w:rFonts w:ascii="Arial" w:eastAsia="Arial" w:hAnsi="Arial" w:cs="Arial"/>
        </w:rPr>
        <w:t>), we estimated odds ratios according to Equation 3. We were unable to estimate confidence intervals for these odds ratios.</w:t>
      </w:r>
    </w:p>
    <w:p w14:paraId="00000021" w14:textId="77777777" w:rsidR="00C37DD5" w:rsidRDefault="00000000">
      <w:pPr>
        <w:spacing w:line="480" w:lineRule="auto"/>
        <w:jc w:val="both"/>
        <w:rPr>
          <w:rFonts w:ascii="Arial" w:eastAsia="Arial" w:hAnsi="Arial" w:cs="Arial"/>
        </w:rPr>
      </w:pPr>
      <w:r>
        <w:rPr>
          <w:rFonts w:ascii="Arial" w:eastAsia="Arial" w:hAnsi="Arial" w:cs="Arial"/>
        </w:rPr>
        <w:t>Equation 3:</w:t>
      </w:r>
    </w:p>
    <w:p w14:paraId="00000022" w14:textId="77777777" w:rsidR="00C37DD5" w:rsidRPr="006E4C75" w:rsidRDefault="00000000">
      <w:pPr>
        <w:spacing w:line="480" w:lineRule="auto"/>
        <w:jc w:val="both"/>
        <w:rPr>
          <w:rFonts w:ascii="Arial" w:eastAsia="Arial" w:hAnsi="Arial" w:cs="Arial"/>
          <w:sz w:val="32"/>
          <w:szCs w:val="32"/>
        </w:rPr>
      </w:pPr>
      <m:oMath>
        <m:f>
          <m:fPr>
            <m:ctrlPr>
              <w:rPr>
                <w:rFonts w:ascii="Cambria Math" w:eastAsia="Cambria Math" w:hAnsi="Cambria Math" w:cs="Cambria Math"/>
                <w:sz w:val="32"/>
                <w:szCs w:val="32"/>
              </w:rPr>
            </m:ctrlPr>
          </m:fPr>
          <m:num>
            <m:r>
              <w:rPr>
                <w:rFonts w:ascii="Cambria Math" w:eastAsia="Cambria Math" w:hAnsi="Cambria Math" w:cs="Cambria Math"/>
                <w:sz w:val="32"/>
                <w:szCs w:val="32"/>
              </w:rPr>
              <m:t>OR(Lactobacillus iners-dominated v. Diverse, (hr)HPV v. no HPV)</m:t>
            </m:r>
          </m:num>
          <m:den>
            <m:r>
              <w:rPr>
                <w:rFonts w:ascii="Cambria Math" w:eastAsia="Cambria Math" w:hAnsi="Cambria Math" w:cs="Cambria Math"/>
                <w:sz w:val="32"/>
                <w:szCs w:val="32"/>
              </w:rPr>
              <m:t>OR(Lactobacillus crispatus-dominated v. Diverse,(hr)HPV v. no HPV)</m:t>
            </m:r>
          </m:den>
        </m:f>
        <m:r>
          <w:rPr>
            <w:rFonts w:ascii="Cambria Math" w:eastAsia="Cambria Math" w:hAnsi="Cambria Math" w:cs="Cambria Math"/>
            <w:sz w:val="32"/>
            <w:szCs w:val="32"/>
          </w:rPr>
          <m:t xml:space="preserve"> </m:t>
        </m:r>
      </m:oMath>
      <w:r w:rsidRPr="006E4C75">
        <w:rPr>
          <w:rFonts w:ascii="Arial" w:eastAsia="Arial" w:hAnsi="Arial" w:cs="Arial"/>
          <w:sz w:val="32"/>
          <w:szCs w:val="32"/>
        </w:rPr>
        <w:t xml:space="preserve"> </w:t>
      </w:r>
    </w:p>
    <w:p w14:paraId="00000023" w14:textId="77777777" w:rsidR="00C37DD5" w:rsidRDefault="00C37DD5">
      <w:pPr>
        <w:spacing w:line="480" w:lineRule="auto"/>
        <w:jc w:val="both"/>
        <w:rPr>
          <w:rFonts w:ascii="Arial" w:eastAsia="Arial" w:hAnsi="Arial" w:cs="Arial"/>
        </w:rPr>
      </w:pPr>
    </w:p>
    <w:p w14:paraId="00000024" w14:textId="77777777" w:rsidR="00C37DD5" w:rsidRDefault="00000000">
      <w:pPr>
        <w:spacing w:line="480" w:lineRule="auto"/>
        <w:jc w:val="both"/>
        <w:rPr>
          <w:rFonts w:ascii="Arial" w:eastAsia="Arial" w:hAnsi="Arial" w:cs="Arial"/>
          <w:i/>
        </w:rPr>
      </w:pPr>
      <w:r>
        <w:rPr>
          <w:rFonts w:ascii="Arial" w:eastAsia="Arial" w:hAnsi="Arial" w:cs="Arial"/>
          <w:i/>
        </w:rPr>
        <w:t>Systematic review</w:t>
      </w:r>
      <w:r>
        <w:rPr>
          <w:rFonts w:ascii="Arial" w:eastAsia="Arial" w:hAnsi="Arial" w:cs="Arial"/>
        </w:rPr>
        <w:t xml:space="preserve"> e</w:t>
      </w:r>
      <w:r>
        <w:rPr>
          <w:rFonts w:ascii="Arial" w:eastAsia="Arial" w:hAnsi="Arial" w:cs="Arial"/>
          <w:i/>
        </w:rPr>
        <w:t>vidence synthesis and meta-analysis</w:t>
      </w:r>
    </w:p>
    <w:p w14:paraId="00000025" w14:textId="13F7499A" w:rsidR="00C37DD5" w:rsidRDefault="00000000">
      <w:pPr>
        <w:spacing w:line="480" w:lineRule="auto"/>
        <w:jc w:val="both"/>
        <w:rPr>
          <w:rFonts w:ascii="Arial" w:eastAsia="Arial" w:hAnsi="Arial" w:cs="Arial"/>
        </w:rPr>
      </w:pPr>
      <w:r>
        <w:rPr>
          <w:rFonts w:ascii="Arial" w:eastAsia="Arial" w:hAnsi="Arial" w:cs="Arial"/>
        </w:rPr>
        <w:t xml:space="preserve">We selected random-effects meta-analysis </w:t>
      </w:r>
      <w:r w:rsidR="00905F7B">
        <w:rPr>
          <w:rFonts w:ascii="Arial" w:eastAsia="Arial" w:hAnsi="Arial" w:cs="Arial"/>
        </w:rPr>
        <w:t xml:space="preserve">(RE-MA) </w:t>
      </w:r>
      <w:r>
        <w:rPr>
          <w:rFonts w:ascii="Arial" w:eastAsia="Arial" w:hAnsi="Arial" w:cs="Arial"/>
        </w:rPr>
        <w:t>(as opposed to fixed-effects meta-analysis) because random-effects meta-analysis assumes that observed effect estimates vary between studies due to real differences in the effect across studies.</w:t>
      </w:r>
      <w:r w:rsidR="00413A76">
        <w:rPr>
          <w:rFonts w:ascii="Arial" w:eastAsia="Arial" w:hAnsi="Arial" w:cs="Arial"/>
          <w:vertAlign w:val="superscript"/>
        </w:rPr>
        <w:t>70s</w:t>
      </w:r>
      <w:r>
        <w:rPr>
          <w:rFonts w:ascii="Arial" w:eastAsia="Arial" w:hAnsi="Arial" w:cs="Arial"/>
        </w:rPr>
        <w:t xml:space="preserve"> This is appropriate for meta-analyses of associations with the vaginal microbiota with sexual and reproductive health outcomes because there is evidence that these associations vary between populations.</w:t>
      </w:r>
      <w:r w:rsidR="00413A76">
        <w:rPr>
          <w:rFonts w:ascii="Arial" w:eastAsia="Arial" w:hAnsi="Arial" w:cs="Arial"/>
          <w:vertAlign w:val="superscript"/>
        </w:rPr>
        <w:t>3,71s-73s</w:t>
      </w:r>
      <w:r w:rsidR="00413A76">
        <w:rPr>
          <w:rFonts w:ascii="Arial" w:eastAsia="Arial" w:hAnsi="Arial" w:cs="Arial"/>
        </w:rPr>
        <w:t xml:space="preserve"> </w:t>
      </w:r>
    </w:p>
    <w:p w14:paraId="00000026" w14:textId="77777777" w:rsidR="00C37DD5" w:rsidRDefault="00C37DD5">
      <w:pPr>
        <w:spacing w:line="480" w:lineRule="auto"/>
        <w:jc w:val="both"/>
        <w:rPr>
          <w:rFonts w:ascii="Arial" w:eastAsia="Arial" w:hAnsi="Arial" w:cs="Arial"/>
        </w:rPr>
      </w:pPr>
    </w:p>
    <w:p w14:paraId="00000027" w14:textId="11A78CB0" w:rsidR="00C37DD5" w:rsidRDefault="00000000">
      <w:pPr>
        <w:spacing w:line="480" w:lineRule="auto"/>
        <w:jc w:val="both"/>
        <w:rPr>
          <w:rFonts w:ascii="Arial" w:eastAsia="Arial" w:hAnsi="Arial" w:cs="Arial"/>
        </w:rPr>
      </w:pPr>
      <w:r>
        <w:rPr>
          <w:rFonts w:ascii="Arial" w:eastAsia="Arial" w:hAnsi="Arial" w:cs="Arial"/>
        </w:rPr>
        <w:lastRenderedPageBreak/>
        <w:t>For each</w:t>
      </w:r>
      <w:r>
        <w:t xml:space="preserve"> </w:t>
      </w:r>
      <w:r>
        <w:rPr>
          <w:rFonts w:ascii="Arial" w:eastAsia="Arial" w:hAnsi="Arial" w:cs="Arial"/>
        </w:rPr>
        <w:t>meta-analysis, we constructed a forest plot indicating the included studies; number of participants in each exposure category; number of outcome events in each exposure category; effect estimate and 95% confidence interval (CI); RE-MA weight; RE-MA summary estimate and 95% CI; Cochrane’s Q and p value; and I</w:t>
      </w:r>
      <w:r>
        <w:rPr>
          <w:rFonts w:ascii="Arial" w:eastAsia="Arial" w:hAnsi="Arial" w:cs="Arial"/>
          <w:vertAlign w:val="superscript"/>
        </w:rPr>
        <w:t>2</w:t>
      </w:r>
      <w:r>
        <w:rPr>
          <w:rFonts w:ascii="Arial" w:eastAsia="Arial" w:hAnsi="Arial" w:cs="Arial"/>
        </w:rPr>
        <w:t>. We used the forest and addpoly functions of the metafor package in R for constructing forest plots.</w:t>
      </w:r>
      <w:r w:rsidR="00413A76">
        <w:rPr>
          <w:rFonts w:ascii="Arial" w:eastAsia="Arial" w:hAnsi="Arial" w:cs="Arial"/>
          <w:vertAlign w:val="superscript"/>
        </w:rPr>
        <w:t>39s</w:t>
      </w:r>
      <w:r>
        <w:rPr>
          <w:rFonts w:ascii="Arial" w:eastAsia="Arial" w:hAnsi="Arial" w:cs="Arial"/>
        </w:rPr>
        <w:t xml:space="preserve"> </w:t>
      </w:r>
    </w:p>
    <w:p w14:paraId="705D1EE2" w14:textId="1B421DDD" w:rsidR="00EC67DA" w:rsidRDefault="00EC67DA">
      <w:pPr>
        <w:spacing w:line="480" w:lineRule="auto"/>
        <w:jc w:val="both"/>
        <w:rPr>
          <w:rFonts w:ascii="Arial" w:eastAsia="Arial" w:hAnsi="Arial" w:cs="Arial"/>
        </w:rPr>
      </w:pPr>
    </w:p>
    <w:p w14:paraId="1E39D4E9" w14:textId="77777777" w:rsidR="00EC67DA" w:rsidRDefault="00EC67DA" w:rsidP="00EC67DA">
      <w:pPr>
        <w:spacing w:line="480" w:lineRule="auto"/>
        <w:jc w:val="both"/>
        <w:rPr>
          <w:rFonts w:ascii="Arial" w:eastAsia="Arial" w:hAnsi="Arial" w:cs="Arial"/>
          <w:i/>
        </w:rPr>
      </w:pPr>
      <w:r>
        <w:rPr>
          <w:rFonts w:ascii="Arial" w:eastAsia="Arial" w:hAnsi="Arial" w:cs="Arial"/>
          <w:i/>
        </w:rPr>
        <w:t>Risk of bias and quality of evidence assessments</w:t>
      </w:r>
    </w:p>
    <w:p w14:paraId="12BF9BC2" w14:textId="6DA0DB89" w:rsidR="00D92104" w:rsidRDefault="00EC67DA">
      <w:pPr>
        <w:spacing w:line="480" w:lineRule="auto"/>
        <w:jc w:val="both"/>
        <w:rPr>
          <w:rFonts w:ascii="Arial" w:eastAsia="Arial" w:hAnsi="Arial" w:cs="Arial"/>
        </w:rPr>
      </w:pPr>
      <w:r>
        <w:rPr>
          <w:rFonts w:ascii="Arial" w:eastAsia="Arial" w:hAnsi="Arial" w:cs="Arial"/>
        </w:rPr>
        <w:t>The confounders we considered were vaginal sex (e.g. frequency, number of partners, condom use), hormonal contraception, vaginal washing, race/ethnicity, and variables race/ethnicity may be a proxy for (e.g. socioeconomic status, site/region). We selected these confounders based on expected substantial prevalence/variation of each factor and expected strong confounding.</w:t>
      </w:r>
      <w:r w:rsidR="00594DEB">
        <w:rPr>
          <w:rFonts w:ascii="Arial" w:eastAsia="Arial" w:hAnsi="Arial" w:cs="Arial"/>
        </w:rPr>
        <w:t xml:space="preserve"> We did not consider recent </w:t>
      </w:r>
      <w:r w:rsidR="00D92104">
        <w:rPr>
          <w:rFonts w:ascii="Arial" w:eastAsia="Arial" w:hAnsi="Arial" w:cs="Arial"/>
        </w:rPr>
        <w:t>use</w:t>
      </w:r>
      <w:r w:rsidR="00594DEB">
        <w:rPr>
          <w:rFonts w:ascii="Arial" w:eastAsia="Arial" w:hAnsi="Arial" w:cs="Arial"/>
        </w:rPr>
        <w:t xml:space="preserve"> of antibiotics or antimycotics as a confounder because many vaginal microbiota studies exclude individuals who recently received either antibiotics or antimycotics. As such, we felt it was a reasonable assumption that the prevalence of recent</w:t>
      </w:r>
      <w:r w:rsidR="00D92104">
        <w:rPr>
          <w:rFonts w:ascii="Arial" w:eastAsia="Arial" w:hAnsi="Arial" w:cs="Arial"/>
        </w:rPr>
        <w:t xml:space="preserve"> use of</w:t>
      </w:r>
      <w:r w:rsidR="00594DEB">
        <w:rPr>
          <w:rFonts w:ascii="Arial" w:eastAsia="Arial" w:hAnsi="Arial" w:cs="Arial"/>
        </w:rPr>
        <w:t xml:space="preserve"> antibiotic</w:t>
      </w:r>
      <w:r w:rsidR="00D92104">
        <w:rPr>
          <w:rFonts w:ascii="Arial" w:eastAsia="Arial" w:hAnsi="Arial" w:cs="Arial"/>
        </w:rPr>
        <w:t>s</w:t>
      </w:r>
      <w:r w:rsidR="00594DEB">
        <w:rPr>
          <w:rFonts w:ascii="Arial" w:eastAsia="Arial" w:hAnsi="Arial" w:cs="Arial"/>
        </w:rPr>
        <w:t xml:space="preserve"> or antimycotic</w:t>
      </w:r>
      <w:r w:rsidR="00D92104">
        <w:rPr>
          <w:rFonts w:ascii="Arial" w:eastAsia="Arial" w:hAnsi="Arial" w:cs="Arial"/>
        </w:rPr>
        <w:t>s</w:t>
      </w:r>
      <w:r>
        <w:rPr>
          <w:rFonts w:ascii="Arial" w:eastAsia="Arial" w:hAnsi="Arial" w:cs="Arial"/>
        </w:rPr>
        <w:t xml:space="preserve"> </w:t>
      </w:r>
      <w:r w:rsidR="00D92104">
        <w:rPr>
          <w:rFonts w:ascii="Arial" w:eastAsia="Arial" w:hAnsi="Arial" w:cs="Arial"/>
        </w:rPr>
        <w:t xml:space="preserve">would be low enough that any resulting confounding would be small in magnitude. We did not consider co-infection(s) as a confounder because, while co-infection may act as a confounder (co-infection </w:t>
      </w:r>
      <w:r w:rsidR="006E782A">
        <w:rPr>
          <w:rFonts w:ascii="Arial" w:eastAsia="Arial" w:hAnsi="Arial" w:cs="Arial"/>
        </w:rPr>
        <w:t>contributing to both</w:t>
      </w:r>
      <w:r w:rsidR="00D92104">
        <w:rPr>
          <w:rFonts w:ascii="Arial" w:eastAsia="Arial" w:hAnsi="Arial" w:cs="Arial"/>
        </w:rPr>
        <w:t xml:space="preserve"> exposure and outcome), it likely also acts as a mediator (co-infection as an intermediate between exposure and outcome). </w:t>
      </w:r>
      <w:r w:rsidR="006E782A">
        <w:rPr>
          <w:rFonts w:ascii="Arial" w:eastAsia="Arial" w:hAnsi="Arial" w:cs="Arial"/>
        </w:rPr>
        <w:t>We assumed manuscripts would not present sufficiently detailed data to identify whether co-infection was acting as a confounder or mediator, so we did not consider it as a confounder.</w:t>
      </w:r>
    </w:p>
    <w:p w14:paraId="21BFA5F5" w14:textId="77777777" w:rsidR="00D92104" w:rsidRDefault="00D92104">
      <w:pPr>
        <w:spacing w:line="480" w:lineRule="auto"/>
        <w:jc w:val="both"/>
        <w:rPr>
          <w:rFonts w:ascii="Arial" w:eastAsia="Arial" w:hAnsi="Arial" w:cs="Arial"/>
        </w:rPr>
      </w:pPr>
    </w:p>
    <w:p w14:paraId="52805BE2" w14:textId="33A1F995" w:rsidR="00EC67DA" w:rsidRDefault="00EC67DA">
      <w:pPr>
        <w:spacing w:line="480" w:lineRule="auto"/>
        <w:jc w:val="both"/>
        <w:rPr>
          <w:rFonts w:ascii="Arial" w:eastAsia="Arial" w:hAnsi="Arial" w:cs="Arial"/>
        </w:rPr>
      </w:pPr>
      <w:r>
        <w:rPr>
          <w:rFonts w:ascii="Arial" w:eastAsia="Arial" w:hAnsi="Arial" w:cs="Arial"/>
        </w:rPr>
        <w:lastRenderedPageBreak/>
        <w:t>As a baseline, we rated risk of bias due to exposure assessment as moderate for all studies due to the compositional nature of marker gene sequencing data, which are, by definition, not well-defined exposures.</w:t>
      </w:r>
      <w:r w:rsidR="00413A76">
        <w:rPr>
          <w:rFonts w:ascii="Arial" w:eastAsia="Arial" w:hAnsi="Arial" w:cs="Arial"/>
          <w:vertAlign w:val="superscript"/>
        </w:rPr>
        <w:t>67s</w:t>
      </w:r>
      <w:r>
        <w:rPr>
          <w:rFonts w:ascii="Arial" w:eastAsia="Arial" w:hAnsi="Arial" w:cs="Arial"/>
        </w:rPr>
        <w:t xml:space="preserve"> </w:t>
      </w:r>
      <w:r w:rsidRPr="009E605D">
        <w:rPr>
          <w:rFonts w:ascii="Arial" w:eastAsia="Arial" w:hAnsi="Arial" w:cs="Arial"/>
        </w:rPr>
        <w:t>For the BV outcome, we rated risk of bias due to outcome measurement as not enough information for studies that did not provide details on training, quality control, or quality assurance for evaluating BV by Nugent score or Amsel criteria.</w:t>
      </w:r>
      <w:r>
        <w:rPr>
          <w:rFonts w:ascii="Arial" w:eastAsia="Arial" w:hAnsi="Arial" w:cs="Arial"/>
        </w:rPr>
        <w:t xml:space="preserve"> We used the conservative approach of rating overall risk of bias in each study to be equivalent to its highest-rated domain-specific risk of bias. For example, if all domains other than confounding were rated as moderate, but confounding was rated as critical, we rated overall risk of bias as critical.</w:t>
      </w:r>
    </w:p>
    <w:p w14:paraId="2F3D1A67" w14:textId="4FAE9731" w:rsidR="00EC67DA" w:rsidRDefault="00EC67DA">
      <w:pPr>
        <w:spacing w:line="480" w:lineRule="auto"/>
        <w:jc w:val="both"/>
        <w:rPr>
          <w:rFonts w:ascii="Arial" w:eastAsia="Arial" w:hAnsi="Arial" w:cs="Arial"/>
        </w:rPr>
      </w:pPr>
    </w:p>
    <w:p w14:paraId="77EB0EF6" w14:textId="78108A92" w:rsidR="00EC67DA" w:rsidRDefault="00EC67DA">
      <w:pPr>
        <w:spacing w:line="480" w:lineRule="auto"/>
        <w:jc w:val="both"/>
        <w:rPr>
          <w:rFonts w:ascii="Arial" w:eastAsia="Arial" w:hAnsi="Arial" w:cs="Arial"/>
        </w:rPr>
      </w:pPr>
      <w:r>
        <w:rPr>
          <w:rFonts w:ascii="Arial" w:eastAsia="Arial" w:hAnsi="Arial" w:cs="Arial"/>
        </w:rPr>
        <w:t xml:space="preserve">The GRADE system applies an initial low quality rating to observational evidence. Quality can be down-rated due to risk of bias, effect estimate inconsistency and imprecision, indirectness, and publication bias. Quality can be up-rated due to large effect, dose response, and if residual confounding increases confidence in effect estimates. We down-rated quality of evidence for indirectness when </w:t>
      </w:r>
      <w:proofErr w:type="gramStart"/>
      <w:r>
        <w:rPr>
          <w:rFonts w:ascii="Arial" w:eastAsia="Arial" w:hAnsi="Arial" w:cs="Arial"/>
        </w:rPr>
        <w:t>the majority of</w:t>
      </w:r>
      <w:proofErr w:type="gramEnd"/>
      <w:r>
        <w:rPr>
          <w:rFonts w:ascii="Arial" w:eastAsia="Arial" w:hAnsi="Arial" w:cs="Arial"/>
        </w:rPr>
        <w:t xml:space="preserve"> studies for an outcome evaluated prevalent outcomes because prevalent outcomes are of less interest to individuals at risk for BV, STI, and cervical dysplasia than incident outcomes. We down-rated quality of evidence for each review for likely publication bias due to insignificant vaginal microbiota</w:t>
      </w:r>
      <w:r>
        <w:rPr>
          <w:rFonts w:ascii="Arial" w:eastAsia="Arial" w:hAnsi="Arial" w:cs="Arial"/>
          <w:i/>
        </w:rPr>
        <w:t>, L. iners</w:t>
      </w:r>
      <w:r>
        <w:rPr>
          <w:rFonts w:ascii="Arial" w:eastAsia="Arial" w:hAnsi="Arial" w:cs="Arial"/>
        </w:rPr>
        <w:t xml:space="preserve">, and/or </w:t>
      </w:r>
      <w:r>
        <w:rPr>
          <w:rFonts w:ascii="Arial" w:eastAsia="Arial" w:hAnsi="Arial" w:cs="Arial"/>
          <w:i/>
        </w:rPr>
        <w:t>L. crispatus</w:t>
      </w:r>
      <w:r>
        <w:rPr>
          <w:rFonts w:ascii="Arial" w:eastAsia="Arial" w:hAnsi="Arial" w:cs="Arial"/>
        </w:rPr>
        <w:t xml:space="preserve"> findings being less likely to be published or reported</w:t>
      </w:r>
      <w:r w:rsidR="005A652F">
        <w:rPr>
          <w:rFonts w:ascii="Arial" w:eastAsia="Arial" w:hAnsi="Arial" w:cs="Arial"/>
        </w:rPr>
        <w:t>.</w:t>
      </w:r>
    </w:p>
    <w:p w14:paraId="06348B11" w14:textId="28C7C46C" w:rsidR="00E5253B" w:rsidRDefault="00E5253B">
      <w:pPr>
        <w:spacing w:line="480" w:lineRule="auto"/>
        <w:jc w:val="both"/>
        <w:rPr>
          <w:rFonts w:ascii="Arial" w:eastAsia="Arial" w:hAnsi="Arial" w:cs="Arial"/>
        </w:rPr>
      </w:pPr>
    </w:p>
    <w:p w14:paraId="12C73463" w14:textId="2EA41121" w:rsidR="00E5253B" w:rsidRDefault="00E5253B">
      <w:pPr>
        <w:spacing w:line="480" w:lineRule="auto"/>
        <w:jc w:val="both"/>
        <w:rPr>
          <w:rFonts w:ascii="Arial" w:eastAsia="Arial" w:hAnsi="Arial" w:cs="Arial"/>
          <w:i/>
          <w:iCs/>
        </w:rPr>
      </w:pPr>
      <w:r w:rsidRPr="00E5253B">
        <w:rPr>
          <w:rFonts w:ascii="Arial" w:eastAsia="Arial" w:hAnsi="Arial" w:cs="Arial"/>
          <w:i/>
          <w:iCs/>
        </w:rPr>
        <w:t>Deviations from registered protocol</w:t>
      </w:r>
    </w:p>
    <w:p w14:paraId="64D57E46" w14:textId="213BAD97" w:rsidR="00AB1EF5" w:rsidRDefault="00AB1EF5">
      <w:pPr>
        <w:spacing w:line="480" w:lineRule="auto"/>
        <w:jc w:val="both"/>
        <w:rPr>
          <w:rFonts w:ascii="Arial" w:eastAsia="Arial" w:hAnsi="Arial" w:cs="Arial"/>
        </w:rPr>
      </w:pPr>
      <w:r>
        <w:rPr>
          <w:rFonts w:ascii="Arial" w:eastAsia="Arial" w:hAnsi="Arial" w:cs="Arial"/>
        </w:rPr>
        <w:lastRenderedPageBreak/>
        <w:t xml:space="preserve">To be eligible, studies had to be conducted among reproductive-age, nonpregnant, cisgender populations. In the registered protocol, we defined reproductive age as 15-50 (inclusive). We adjusted this age range to 13-50 (inclusive) because a single otherwise eligible study included participants as young as 13, and it is reasonable to assume that individuals 13 years old are post- or peri-menarchal and can be considered reproductive age. To clarify, this was one search result across the eight outcomes, and it was for the </w:t>
      </w:r>
      <w:r w:rsidR="00D876BA" w:rsidRPr="00D876BA">
        <w:rPr>
          <w:rFonts w:ascii="Arial" w:eastAsia="Arial" w:hAnsi="Arial" w:cs="Arial"/>
          <w:i/>
          <w:iCs/>
        </w:rPr>
        <w:t>Chlamydia trachomatis</w:t>
      </w:r>
      <w:r>
        <w:rPr>
          <w:rFonts w:ascii="Arial" w:eastAsia="Arial" w:hAnsi="Arial" w:cs="Arial"/>
        </w:rPr>
        <w:t xml:space="preserve"> review</w:t>
      </w:r>
      <w:r w:rsidR="00D876BA">
        <w:rPr>
          <w:rFonts w:ascii="Arial" w:eastAsia="Arial" w:hAnsi="Arial" w:cs="Arial"/>
        </w:rPr>
        <w:t xml:space="preserve"> (Tamarelle et al. 2020</w:t>
      </w:r>
      <w:r w:rsidR="00413A76">
        <w:rPr>
          <w:rFonts w:ascii="Arial" w:eastAsia="Arial" w:hAnsi="Arial" w:cs="Arial"/>
          <w:vertAlign w:val="superscript"/>
        </w:rPr>
        <w:t>17</w:t>
      </w:r>
      <w:r w:rsidR="00D876BA">
        <w:rPr>
          <w:rFonts w:ascii="Arial" w:eastAsia="Arial" w:hAnsi="Arial" w:cs="Arial"/>
        </w:rPr>
        <w:t>)</w:t>
      </w:r>
      <w:r>
        <w:rPr>
          <w:rFonts w:ascii="Arial" w:eastAsia="Arial" w:hAnsi="Arial" w:cs="Arial"/>
        </w:rPr>
        <w:t>.</w:t>
      </w:r>
    </w:p>
    <w:p w14:paraId="3646E48C" w14:textId="77777777" w:rsidR="00AB1EF5" w:rsidRDefault="00AB1EF5">
      <w:pPr>
        <w:spacing w:line="480" w:lineRule="auto"/>
        <w:jc w:val="both"/>
        <w:rPr>
          <w:rFonts w:ascii="Arial" w:eastAsia="Arial" w:hAnsi="Arial" w:cs="Arial"/>
        </w:rPr>
      </w:pPr>
    </w:p>
    <w:p w14:paraId="1A570027" w14:textId="6D5A24E9" w:rsidR="00E5489E" w:rsidRDefault="00477915">
      <w:pPr>
        <w:spacing w:line="480" w:lineRule="auto"/>
        <w:jc w:val="both"/>
        <w:rPr>
          <w:rFonts w:ascii="Arial" w:eastAsia="Arial" w:hAnsi="Arial" w:cs="Arial"/>
        </w:rPr>
      </w:pPr>
      <w:r>
        <w:rPr>
          <w:rFonts w:ascii="Arial" w:eastAsia="Arial" w:hAnsi="Arial" w:cs="Arial"/>
        </w:rPr>
        <w:t xml:space="preserve">We made the exposure and reference of interest specified in the registered protocol (exposure: </w:t>
      </w:r>
      <w:r w:rsidRPr="00477915">
        <w:rPr>
          <w:rFonts w:ascii="Arial" w:eastAsia="Arial" w:hAnsi="Arial" w:cs="Arial"/>
          <w:i/>
          <w:iCs/>
        </w:rPr>
        <w:t>Lactobacillus iners</w:t>
      </w:r>
      <w:r>
        <w:rPr>
          <w:rFonts w:ascii="Arial" w:eastAsia="Arial" w:hAnsi="Arial" w:cs="Arial"/>
        </w:rPr>
        <w:t xml:space="preserve">-dominated microbiota, reference: </w:t>
      </w:r>
      <w:r w:rsidRPr="00477915">
        <w:rPr>
          <w:rFonts w:ascii="Arial" w:eastAsia="Arial" w:hAnsi="Arial" w:cs="Arial"/>
          <w:i/>
          <w:iCs/>
        </w:rPr>
        <w:t>Lactobacillus crispatus</w:t>
      </w:r>
      <w:r>
        <w:rPr>
          <w:rFonts w:ascii="Arial" w:eastAsia="Arial" w:hAnsi="Arial" w:cs="Arial"/>
        </w:rPr>
        <w:t xml:space="preserve">-dominated microbiota) our primary exposure and reference of interest. We added a secondary exposure and reference of interest (exposure: </w:t>
      </w:r>
      <w:r w:rsidRPr="00477915">
        <w:rPr>
          <w:rFonts w:ascii="Arial" w:eastAsia="Arial" w:hAnsi="Arial" w:cs="Arial"/>
          <w:i/>
          <w:iCs/>
        </w:rPr>
        <w:t>L. iners</w:t>
      </w:r>
      <w:r>
        <w:rPr>
          <w:rFonts w:ascii="Arial" w:eastAsia="Arial" w:hAnsi="Arial" w:cs="Arial"/>
        </w:rPr>
        <w:t xml:space="preserve"> relative abundance, reference: </w:t>
      </w:r>
      <w:r w:rsidRPr="00477915">
        <w:rPr>
          <w:rFonts w:ascii="Arial" w:eastAsia="Arial" w:hAnsi="Arial" w:cs="Arial"/>
          <w:i/>
          <w:iCs/>
        </w:rPr>
        <w:t>L. crispatus</w:t>
      </w:r>
      <w:r>
        <w:rPr>
          <w:rFonts w:ascii="Arial" w:eastAsia="Arial" w:hAnsi="Arial" w:cs="Arial"/>
        </w:rPr>
        <w:t xml:space="preserve"> relative abundance</w:t>
      </w:r>
      <w:r w:rsidR="00E5489E">
        <w:rPr>
          <w:rFonts w:ascii="Arial" w:eastAsia="Arial" w:hAnsi="Arial" w:cs="Arial"/>
        </w:rPr>
        <w:t>, Supplemental Table 5</w:t>
      </w:r>
      <w:r>
        <w:rPr>
          <w:rFonts w:ascii="Arial" w:eastAsia="Arial" w:hAnsi="Arial" w:cs="Arial"/>
        </w:rPr>
        <w:t xml:space="preserve">) because </w:t>
      </w:r>
      <w:r w:rsidR="003A42E6">
        <w:rPr>
          <w:rFonts w:ascii="Arial" w:eastAsia="Arial" w:hAnsi="Arial" w:cs="Arial"/>
        </w:rPr>
        <w:t>several</w:t>
      </w:r>
      <w:r>
        <w:rPr>
          <w:rFonts w:ascii="Arial" w:eastAsia="Arial" w:hAnsi="Arial" w:cs="Arial"/>
        </w:rPr>
        <w:t xml:space="preserve"> otherwise eligible studies did not report </w:t>
      </w:r>
      <w:r w:rsidR="003A42E6">
        <w:rPr>
          <w:rFonts w:ascii="Arial" w:eastAsia="Arial" w:hAnsi="Arial" w:cs="Arial"/>
        </w:rPr>
        <w:t xml:space="preserve">on </w:t>
      </w:r>
      <w:r w:rsidR="003A42E6" w:rsidRPr="003A42E6">
        <w:rPr>
          <w:rFonts w:ascii="Arial" w:eastAsia="Arial" w:hAnsi="Arial" w:cs="Arial"/>
          <w:i/>
          <w:iCs/>
        </w:rPr>
        <w:t>L. iners</w:t>
      </w:r>
      <w:r w:rsidR="003A42E6">
        <w:rPr>
          <w:rFonts w:ascii="Arial" w:eastAsia="Arial" w:hAnsi="Arial" w:cs="Arial"/>
        </w:rPr>
        <w:t xml:space="preserve">- and </w:t>
      </w:r>
      <w:r w:rsidR="003A42E6" w:rsidRPr="003A42E6">
        <w:rPr>
          <w:rFonts w:ascii="Arial" w:eastAsia="Arial" w:hAnsi="Arial" w:cs="Arial"/>
          <w:i/>
          <w:iCs/>
        </w:rPr>
        <w:t>L. crispatus</w:t>
      </w:r>
      <w:r w:rsidR="003A42E6">
        <w:rPr>
          <w:rFonts w:ascii="Arial" w:eastAsia="Arial" w:hAnsi="Arial" w:cs="Arial"/>
        </w:rPr>
        <w:t xml:space="preserve">-dominated microbiotas but did report summary measures of </w:t>
      </w:r>
      <w:r w:rsidR="003A42E6" w:rsidRPr="003A42E6">
        <w:rPr>
          <w:rFonts w:ascii="Arial" w:eastAsia="Arial" w:hAnsi="Arial" w:cs="Arial"/>
          <w:i/>
          <w:iCs/>
        </w:rPr>
        <w:t>L. iners</w:t>
      </w:r>
      <w:r w:rsidR="003A42E6">
        <w:rPr>
          <w:rFonts w:ascii="Arial" w:eastAsia="Arial" w:hAnsi="Arial" w:cs="Arial"/>
        </w:rPr>
        <w:t xml:space="preserve"> and </w:t>
      </w:r>
      <w:r w:rsidR="003A42E6" w:rsidRPr="003A42E6">
        <w:rPr>
          <w:rFonts w:ascii="Arial" w:eastAsia="Arial" w:hAnsi="Arial" w:cs="Arial"/>
          <w:i/>
          <w:iCs/>
        </w:rPr>
        <w:t>L. crispatus</w:t>
      </w:r>
      <w:r w:rsidR="003A42E6">
        <w:rPr>
          <w:rFonts w:ascii="Arial" w:eastAsia="Arial" w:hAnsi="Arial" w:cs="Arial"/>
        </w:rPr>
        <w:t xml:space="preserve"> relative abundances by outcome status</w:t>
      </w:r>
      <w:r w:rsidR="00E5489E">
        <w:rPr>
          <w:rFonts w:ascii="Arial" w:eastAsia="Arial" w:hAnsi="Arial" w:cs="Arial"/>
        </w:rPr>
        <w:t xml:space="preserve">, which </w:t>
      </w:r>
      <w:r w:rsidR="003A42E6">
        <w:rPr>
          <w:rFonts w:ascii="Arial" w:eastAsia="Arial" w:hAnsi="Arial" w:cs="Arial"/>
        </w:rPr>
        <w:t>reviewers could use to calculate an effect estimate/statistic of interest.</w:t>
      </w:r>
    </w:p>
    <w:p w14:paraId="1F8D342B" w14:textId="77777777" w:rsidR="00E5489E" w:rsidRDefault="00E5489E">
      <w:pPr>
        <w:spacing w:line="480" w:lineRule="auto"/>
        <w:jc w:val="both"/>
        <w:rPr>
          <w:rFonts w:ascii="Arial" w:eastAsia="Arial" w:hAnsi="Arial" w:cs="Arial"/>
        </w:rPr>
      </w:pPr>
    </w:p>
    <w:p w14:paraId="12114BE0" w14:textId="16ADAB31" w:rsidR="00AE32AC" w:rsidRDefault="006A721D">
      <w:pPr>
        <w:spacing w:line="480" w:lineRule="auto"/>
        <w:jc w:val="both"/>
        <w:rPr>
          <w:rFonts w:ascii="Arial" w:eastAsia="Arial" w:hAnsi="Arial" w:cs="Arial"/>
        </w:rPr>
      </w:pPr>
      <w:r>
        <w:rPr>
          <w:rFonts w:ascii="Arial" w:eastAsia="Arial" w:hAnsi="Arial" w:cs="Arial"/>
        </w:rPr>
        <w:t>For eligible clinical trials, we included data from baseline prior to intervention receipt instead of including any relevant data from participants randomized to the placebo/standard of care arm of the trial.</w:t>
      </w:r>
      <w:r w:rsidR="00477915">
        <w:rPr>
          <w:rFonts w:ascii="Arial" w:eastAsia="Arial" w:hAnsi="Arial" w:cs="Arial"/>
        </w:rPr>
        <w:t xml:space="preserve"> The primary outcomes of eligible trials were generally not our outcomes of interest, and eligible trials generally did not report on our </w:t>
      </w:r>
      <w:r w:rsidR="00477915">
        <w:rPr>
          <w:rFonts w:ascii="Arial" w:eastAsia="Arial" w:hAnsi="Arial" w:cs="Arial"/>
        </w:rPr>
        <w:lastRenderedPageBreak/>
        <w:t>outcomes of interest among participants randomized to placebo during/at the end of follow-up.</w:t>
      </w:r>
    </w:p>
    <w:p w14:paraId="10BF14BD" w14:textId="77777777" w:rsidR="00AE32AC" w:rsidRDefault="00AE32AC">
      <w:pPr>
        <w:spacing w:line="480" w:lineRule="auto"/>
        <w:jc w:val="both"/>
        <w:rPr>
          <w:rFonts w:ascii="Arial" w:eastAsia="Arial" w:hAnsi="Arial" w:cs="Arial"/>
        </w:rPr>
      </w:pPr>
    </w:p>
    <w:p w14:paraId="79E3784D" w14:textId="0134EA3B" w:rsidR="00AE32AC" w:rsidRPr="006A721D" w:rsidRDefault="006A721D">
      <w:pPr>
        <w:spacing w:line="480" w:lineRule="auto"/>
        <w:jc w:val="both"/>
        <w:rPr>
          <w:rFonts w:ascii="Arial" w:eastAsia="Arial" w:hAnsi="Arial" w:cs="Arial"/>
        </w:rPr>
      </w:pPr>
      <w:r>
        <w:rPr>
          <w:rFonts w:ascii="Arial" w:eastAsia="Arial" w:hAnsi="Arial" w:cs="Arial"/>
        </w:rPr>
        <w:t xml:space="preserve">In addition to relative risks (RR), odds ratios (OR), and hazard ratios (HR), we also included prevalence ratios (PR) in meta-analysis for outcomes with at least three eligible studies reporting PRs for the association between </w:t>
      </w:r>
      <w:r w:rsidRPr="006A721D">
        <w:rPr>
          <w:rFonts w:ascii="Arial" w:eastAsia="Arial" w:hAnsi="Arial" w:cs="Arial"/>
          <w:i/>
          <w:iCs/>
        </w:rPr>
        <w:t>L</w:t>
      </w:r>
      <w:r w:rsidR="00477915">
        <w:rPr>
          <w:rFonts w:ascii="Arial" w:eastAsia="Arial" w:hAnsi="Arial" w:cs="Arial"/>
          <w:i/>
          <w:iCs/>
        </w:rPr>
        <w:t>.</w:t>
      </w:r>
      <w:r w:rsidRPr="006A721D">
        <w:rPr>
          <w:rFonts w:ascii="Arial" w:eastAsia="Arial" w:hAnsi="Arial" w:cs="Arial"/>
          <w:i/>
          <w:iCs/>
        </w:rPr>
        <w:t xml:space="preserve"> iners</w:t>
      </w:r>
      <w:r>
        <w:rPr>
          <w:rFonts w:ascii="Arial" w:eastAsia="Arial" w:hAnsi="Arial" w:cs="Arial"/>
        </w:rPr>
        <w:t xml:space="preserve">, compared to </w:t>
      </w:r>
      <w:r w:rsidRPr="006A721D">
        <w:rPr>
          <w:rFonts w:ascii="Arial" w:eastAsia="Arial" w:hAnsi="Arial" w:cs="Arial"/>
          <w:i/>
          <w:iCs/>
        </w:rPr>
        <w:t>L</w:t>
      </w:r>
      <w:r w:rsidR="00477915">
        <w:rPr>
          <w:rFonts w:ascii="Arial" w:eastAsia="Arial" w:hAnsi="Arial" w:cs="Arial"/>
          <w:i/>
          <w:iCs/>
        </w:rPr>
        <w:t>.</w:t>
      </w:r>
      <w:r w:rsidRPr="006A721D">
        <w:rPr>
          <w:rFonts w:ascii="Arial" w:eastAsia="Arial" w:hAnsi="Arial" w:cs="Arial"/>
          <w:i/>
          <w:iCs/>
        </w:rPr>
        <w:t xml:space="preserve"> crispatus</w:t>
      </w:r>
      <w:r>
        <w:rPr>
          <w:rFonts w:ascii="Arial" w:eastAsia="Arial" w:hAnsi="Arial" w:cs="Arial"/>
        </w:rPr>
        <w:t>, and the outcome of interest.</w:t>
      </w:r>
    </w:p>
    <w:p w14:paraId="347F88B0" w14:textId="77777777" w:rsidR="00AE32AC" w:rsidRDefault="00AE32AC">
      <w:pPr>
        <w:spacing w:line="480" w:lineRule="auto"/>
        <w:jc w:val="both"/>
        <w:rPr>
          <w:rFonts w:ascii="Arial" w:eastAsia="Arial" w:hAnsi="Arial" w:cs="Arial"/>
        </w:rPr>
      </w:pPr>
    </w:p>
    <w:p w14:paraId="6731F84D" w14:textId="2D73798D" w:rsidR="00A06713" w:rsidRDefault="00FA288C">
      <w:pPr>
        <w:spacing w:line="480" w:lineRule="auto"/>
        <w:jc w:val="both"/>
        <w:rPr>
          <w:rFonts w:ascii="Arial" w:eastAsia="Arial" w:hAnsi="Arial" w:cs="Arial"/>
        </w:rPr>
      </w:pPr>
      <w:r>
        <w:rPr>
          <w:rFonts w:ascii="Arial" w:eastAsia="Arial" w:hAnsi="Arial" w:cs="Arial"/>
        </w:rPr>
        <w:t>For otherwise eligible manuscripts that did not present an effect estimate/statistic of interest and did not present sufficient data for reviewers to calculate an effect estimate/statistic of interest, we did not contact authors to obtain data nor did we retrieve publicly available data to calculate an effect estimate/statistic of interest. A total of 57 manuscripts (98 total instances of these 57 manuscripts across the eight outcomes</w:t>
      </w:r>
      <w:r w:rsidR="00417D4F">
        <w:rPr>
          <w:rFonts w:ascii="Arial" w:eastAsia="Arial" w:hAnsi="Arial" w:cs="Arial"/>
        </w:rPr>
        <w:t>, Supplemental Table 7</w:t>
      </w:r>
      <w:r>
        <w:rPr>
          <w:rFonts w:ascii="Arial" w:eastAsia="Arial" w:hAnsi="Arial" w:cs="Arial"/>
        </w:rPr>
        <w:t xml:space="preserve">) were excluded because they did not present an effect estimate/statistic of interest and did not present sufficient data for reviewers to calculate an effect estimate/statistic of interest. We determined it was not feasible to contact authors or retrieve publicly available data </w:t>
      </w:r>
      <w:r w:rsidR="006A721D">
        <w:rPr>
          <w:rFonts w:ascii="Arial" w:eastAsia="Arial" w:hAnsi="Arial" w:cs="Arial"/>
        </w:rPr>
        <w:t xml:space="preserve">to analyze </w:t>
      </w:r>
      <w:r>
        <w:rPr>
          <w:rFonts w:ascii="Arial" w:eastAsia="Arial" w:hAnsi="Arial" w:cs="Arial"/>
        </w:rPr>
        <w:t>for these 57 studies</w:t>
      </w:r>
      <w:r w:rsidR="006A721D">
        <w:rPr>
          <w:rFonts w:ascii="Arial" w:eastAsia="Arial" w:hAnsi="Arial" w:cs="Arial"/>
        </w:rPr>
        <w:t xml:space="preserve">. </w:t>
      </w:r>
    </w:p>
    <w:p w14:paraId="5AB76FF3" w14:textId="77777777" w:rsidR="00AE32AC" w:rsidRDefault="00AE32AC">
      <w:pPr>
        <w:spacing w:line="480" w:lineRule="auto"/>
        <w:jc w:val="both"/>
        <w:rPr>
          <w:rFonts w:ascii="Arial" w:eastAsia="Arial" w:hAnsi="Arial" w:cs="Arial"/>
        </w:rPr>
      </w:pPr>
    </w:p>
    <w:p w14:paraId="3128EE22" w14:textId="77777777" w:rsidR="006A6FEA" w:rsidRDefault="00AE32AC">
      <w:pPr>
        <w:spacing w:line="480" w:lineRule="auto"/>
        <w:jc w:val="both"/>
        <w:rPr>
          <w:rFonts w:ascii="Arial" w:eastAsia="Arial" w:hAnsi="Arial" w:cs="Arial"/>
        </w:rPr>
      </w:pPr>
      <w:r>
        <w:rPr>
          <w:rFonts w:ascii="Arial" w:eastAsia="Arial" w:hAnsi="Arial" w:cs="Arial"/>
        </w:rPr>
        <w:t xml:space="preserve">We did not cross-check references for all eligible manuscripts for additional potentially eligible manuscripts due to the nature of our eligibility screening process. </w:t>
      </w:r>
      <w:r w:rsidR="002A4127">
        <w:rPr>
          <w:rFonts w:ascii="Arial" w:eastAsia="Arial" w:hAnsi="Arial" w:cs="Arial"/>
        </w:rPr>
        <w:t>We screened full texts for all search results, and eligible manuscripts</w:t>
      </w:r>
      <w:r>
        <w:rPr>
          <w:rFonts w:ascii="Arial" w:eastAsia="Arial" w:hAnsi="Arial" w:cs="Arial"/>
        </w:rPr>
        <w:t xml:space="preserve"> </w:t>
      </w:r>
      <w:r w:rsidR="002A4127">
        <w:rPr>
          <w:rFonts w:ascii="Arial" w:eastAsia="Arial" w:hAnsi="Arial" w:cs="Arial"/>
        </w:rPr>
        <w:t xml:space="preserve">typically </w:t>
      </w:r>
      <w:r>
        <w:rPr>
          <w:rFonts w:ascii="Arial" w:eastAsia="Arial" w:hAnsi="Arial" w:cs="Arial"/>
        </w:rPr>
        <w:t xml:space="preserve">did not report </w:t>
      </w:r>
      <w:r w:rsidR="002A4127">
        <w:rPr>
          <w:rFonts w:ascii="Arial" w:eastAsia="Arial" w:hAnsi="Arial" w:cs="Arial"/>
        </w:rPr>
        <w:t xml:space="preserve">sufficient information in the title or abstract to determine whether they may or may not be eligible. As such, cross-checking references for all eligible manuscripts would have amounted to </w:t>
      </w:r>
      <w:r w:rsidR="002A4127">
        <w:rPr>
          <w:rFonts w:ascii="Arial" w:eastAsia="Arial" w:hAnsi="Arial" w:cs="Arial"/>
        </w:rPr>
        <w:lastRenderedPageBreak/>
        <w:t>full-text screenings of all referenced studies</w:t>
      </w:r>
      <w:r w:rsidR="005F6619">
        <w:rPr>
          <w:rFonts w:ascii="Arial" w:eastAsia="Arial" w:hAnsi="Arial" w:cs="Arial"/>
        </w:rPr>
        <w:t xml:space="preserve"> (as many as 922 additional manuscripts)</w:t>
      </w:r>
      <w:r w:rsidR="002A4127">
        <w:rPr>
          <w:rFonts w:ascii="Arial" w:eastAsia="Arial" w:hAnsi="Arial" w:cs="Arial"/>
        </w:rPr>
        <w:t>, which was not feasible.</w:t>
      </w:r>
    </w:p>
    <w:p w14:paraId="7D01F59C" w14:textId="77777777" w:rsidR="006A6FEA" w:rsidRDefault="006A6FEA">
      <w:pPr>
        <w:spacing w:line="480" w:lineRule="auto"/>
        <w:jc w:val="both"/>
        <w:rPr>
          <w:rFonts w:ascii="Arial" w:eastAsia="Arial" w:hAnsi="Arial" w:cs="Arial"/>
        </w:rPr>
      </w:pPr>
    </w:p>
    <w:p w14:paraId="2378D49F" w14:textId="77777777" w:rsidR="006A6FEA" w:rsidRPr="00456D4C" w:rsidRDefault="006A6FEA">
      <w:pPr>
        <w:spacing w:line="480" w:lineRule="auto"/>
        <w:jc w:val="both"/>
        <w:rPr>
          <w:rFonts w:ascii="Arial" w:eastAsia="Arial" w:hAnsi="Arial" w:cs="Arial"/>
          <w:i/>
          <w:iCs/>
        </w:rPr>
      </w:pPr>
      <w:r w:rsidRPr="00456D4C">
        <w:rPr>
          <w:rFonts w:ascii="Arial" w:eastAsia="Arial" w:hAnsi="Arial" w:cs="Arial"/>
          <w:i/>
          <w:iCs/>
        </w:rPr>
        <w:t>Limitations of search strategy</w:t>
      </w:r>
    </w:p>
    <w:p w14:paraId="418A8DB6" w14:textId="010F4B91" w:rsidR="00AE32AC" w:rsidRPr="005D2A21" w:rsidRDefault="006A6FEA">
      <w:pPr>
        <w:spacing w:line="480" w:lineRule="auto"/>
        <w:jc w:val="both"/>
        <w:rPr>
          <w:rFonts w:ascii="Arial" w:eastAsia="Arial" w:hAnsi="Arial" w:cs="Arial"/>
        </w:rPr>
      </w:pPr>
      <w:r>
        <w:rPr>
          <w:rFonts w:ascii="Arial" w:eastAsia="Arial" w:hAnsi="Arial" w:cs="Arial"/>
        </w:rPr>
        <w:t xml:space="preserve">The results of these systematic reviews and meta-analyses should be interpreted in the context of the search strategy’s limitations. </w:t>
      </w:r>
      <w:r w:rsidR="005C513A">
        <w:rPr>
          <w:rFonts w:ascii="Arial" w:eastAsia="Arial" w:hAnsi="Arial" w:cs="Arial"/>
        </w:rPr>
        <w:t>We searched four databases, which excludes relevant publications not indexed in these databases. Only English, full-text, peer-reviewed, original research manuscripts were eligible, which excludes any search results that were unavailable in English as well as evidence from search results that are not original research manuscripts (e.g. conference abstracts).</w:t>
      </w:r>
      <w:r w:rsidR="007E7AFB">
        <w:rPr>
          <w:rFonts w:ascii="Arial" w:eastAsia="Arial" w:hAnsi="Arial" w:cs="Arial"/>
        </w:rPr>
        <w:t xml:space="preserve"> </w:t>
      </w:r>
      <w:r w:rsidR="005D2A21">
        <w:rPr>
          <w:rFonts w:ascii="Arial" w:eastAsia="Arial" w:hAnsi="Arial" w:cs="Arial"/>
        </w:rPr>
        <w:t xml:space="preserve">Only studies that were conducted among reproductive age, nonpregnant, cisgender women were eligible, limiting the generalizability of our findings to </w:t>
      </w:r>
      <w:r w:rsidR="005C513A">
        <w:rPr>
          <w:rFonts w:ascii="Arial" w:eastAsia="Arial" w:hAnsi="Arial" w:cs="Arial"/>
        </w:rPr>
        <w:t xml:space="preserve">non-reproductive age populations, pregnant populations, populations of transgender individuals assigned female at birth, and populations of transgender individuals with neovaginas. </w:t>
      </w:r>
    </w:p>
    <w:p w14:paraId="4FFE01FB" w14:textId="7526EEF6" w:rsidR="00413A76" w:rsidRDefault="00413A76">
      <w:pPr>
        <w:spacing w:line="480" w:lineRule="auto"/>
        <w:jc w:val="both"/>
        <w:rPr>
          <w:rFonts w:ascii="Arial" w:eastAsia="Arial" w:hAnsi="Arial" w:cs="Arial"/>
          <w:b/>
        </w:rPr>
      </w:pPr>
    </w:p>
    <w:p w14:paraId="00000029" w14:textId="77777777" w:rsidR="00C37DD5" w:rsidRDefault="00000000">
      <w:pPr>
        <w:spacing w:line="480" w:lineRule="auto"/>
        <w:jc w:val="both"/>
        <w:rPr>
          <w:rFonts w:ascii="Arial" w:eastAsia="Arial" w:hAnsi="Arial" w:cs="Arial"/>
          <w:b/>
        </w:rPr>
      </w:pPr>
      <w:sdt>
        <w:sdtPr>
          <w:tag w:val="goog_rdk_5"/>
          <w:id w:val="-1740549634"/>
        </w:sdtPr>
        <w:sdtContent/>
      </w:sdt>
      <w:sdt>
        <w:sdtPr>
          <w:tag w:val="goog_rdk_6"/>
          <w:id w:val="-598326555"/>
        </w:sdtPr>
        <w:sdtContent/>
      </w:sdt>
      <w:sdt>
        <w:sdtPr>
          <w:tag w:val="goog_rdk_7"/>
          <w:id w:val="-1373144101"/>
        </w:sdtPr>
        <w:sdtContent/>
      </w:sdt>
      <w:r>
        <w:rPr>
          <w:rFonts w:ascii="Arial" w:eastAsia="Arial" w:hAnsi="Arial" w:cs="Arial"/>
          <w:b/>
        </w:rPr>
        <w:t>References</w:t>
      </w:r>
    </w:p>
    <w:p w14:paraId="2C500604" w14:textId="2E58FDD0"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3. </w:t>
      </w:r>
      <w:r w:rsidRPr="00413A76">
        <w:rPr>
          <w:rFonts w:cs="Arial"/>
          <w:color w:val="auto"/>
          <w:sz w:val="24"/>
        </w:rPr>
        <w:tab/>
      </w:r>
      <w:proofErr w:type="spellStart"/>
      <w:r w:rsidRPr="00413A76">
        <w:rPr>
          <w:rFonts w:cs="Arial"/>
          <w:color w:val="auto"/>
          <w:sz w:val="24"/>
        </w:rPr>
        <w:t>Brotman</w:t>
      </w:r>
      <w:proofErr w:type="spellEnd"/>
      <w:r w:rsidRPr="00413A76">
        <w:rPr>
          <w:rFonts w:cs="Arial"/>
          <w:color w:val="auto"/>
          <w:sz w:val="24"/>
        </w:rPr>
        <w:t xml:space="preserve"> RM, </w:t>
      </w:r>
      <w:proofErr w:type="spellStart"/>
      <w:r w:rsidRPr="00413A76">
        <w:rPr>
          <w:rFonts w:cs="Arial"/>
          <w:color w:val="auto"/>
          <w:sz w:val="24"/>
        </w:rPr>
        <w:t>Shardell</w:t>
      </w:r>
      <w:proofErr w:type="spellEnd"/>
      <w:r w:rsidRPr="00413A76">
        <w:rPr>
          <w:rFonts w:cs="Arial"/>
          <w:color w:val="auto"/>
          <w:sz w:val="24"/>
        </w:rPr>
        <w:t xml:space="preserve"> MD, </w:t>
      </w:r>
      <w:proofErr w:type="spellStart"/>
      <w:r w:rsidRPr="00413A76">
        <w:rPr>
          <w:rFonts w:cs="Arial"/>
          <w:color w:val="auto"/>
          <w:sz w:val="24"/>
        </w:rPr>
        <w:t>Gajer</w:t>
      </w:r>
      <w:proofErr w:type="spellEnd"/>
      <w:r w:rsidRPr="00413A76">
        <w:rPr>
          <w:rFonts w:cs="Arial"/>
          <w:color w:val="auto"/>
          <w:sz w:val="24"/>
        </w:rPr>
        <w:t xml:space="preserve"> P, et al. Interplay between the temporal dynamics of the vaginal microbiota and human papillomavirus detection. J Infect Dis 2014; 210(11): 1723–1733.</w:t>
      </w:r>
      <w:r w:rsidR="00E5253B" w:rsidRPr="00413A76">
        <w:rPr>
          <w:rFonts w:eastAsia="Arial" w:cs="Arial"/>
          <w:color w:val="000000"/>
          <w:sz w:val="24"/>
        </w:rPr>
        <w:fldChar w:fldCharType="begin"/>
      </w:r>
      <w:r w:rsidR="005563A5" w:rsidRPr="00413A76">
        <w:rPr>
          <w:rFonts w:eastAsia="Arial" w:cs="Arial"/>
          <w:color w:val="000000"/>
          <w:sz w:val="24"/>
        </w:rPr>
        <w:instrText xml:space="preserve"> ADDIN ZOTERO_BIBL {"uncited":[],"omitted":[],"custom":[]} CSL_BIBLIOGRAPHY </w:instrText>
      </w:r>
      <w:r w:rsidR="00E5253B" w:rsidRPr="00413A76">
        <w:rPr>
          <w:rFonts w:eastAsia="Arial" w:cs="Arial"/>
          <w:color w:val="000000"/>
          <w:sz w:val="24"/>
        </w:rPr>
        <w:fldChar w:fldCharType="separate"/>
      </w:r>
      <w:r w:rsidRPr="00413A76">
        <w:rPr>
          <w:rFonts w:eastAsia="Arial" w:cs="Arial"/>
          <w:color w:val="000000"/>
          <w:sz w:val="24"/>
        </w:rPr>
        <w:fldChar w:fldCharType="begin"/>
      </w:r>
      <w:r w:rsidRPr="00413A76">
        <w:rPr>
          <w:rFonts w:eastAsia="Arial" w:cs="Arial"/>
          <w:color w:val="000000"/>
          <w:sz w:val="24"/>
        </w:rPr>
        <w:instrText xml:space="preserve"> ADDIN ZOTERO_BIBL {"uncited":[],"omitted":[],"custom":[]} CSL_BIBLIOGRAPHY </w:instrText>
      </w:r>
      <w:r w:rsidRPr="00413A76">
        <w:rPr>
          <w:rFonts w:eastAsia="Arial" w:cs="Arial"/>
          <w:color w:val="000000"/>
          <w:sz w:val="24"/>
        </w:rPr>
        <w:fldChar w:fldCharType="separate"/>
      </w:r>
    </w:p>
    <w:p w14:paraId="0E48EE80" w14:textId="2C574DCA"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17. </w:t>
      </w:r>
      <w:r w:rsidRPr="00413A76">
        <w:rPr>
          <w:rFonts w:cs="Arial"/>
          <w:color w:val="auto"/>
          <w:sz w:val="24"/>
        </w:rPr>
        <w:tab/>
        <w:t>Tamarelle J, Ma B, Gajer P, et al. Nonoptimal Vaginal Microbiota After Azithromycin Treatment for Chlamydia trachomatis Infection. J Infect Dis 2020; 221(4): 627–635.</w:t>
      </w:r>
    </w:p>
    <w:p w14:paraId="1EF25AE6" w14:textId="08B257A5" w:rsidR="00413A76" w:rsidRPr="00413A76" w:rsidRDefault="00413A76" w:rsidP="00413A76">
      <w:pPr>
        <w:pStyle w:val="Bibliography"/>
        <w:spacing w:line="480" w:lineRule="auto"/>
        <w:rPr>
          <w:rFonts w:cs="Arial"/>
          <w:color w:val="auto"/>
          <w:sz w:val="24"/>
        </w:rPr>
      </w:pPr>
      <w:r w:rsidRPr="00413A76">
        <w:rPr>
          <w:rFonts w:cs="Arial"/>
          <w:color w:val="auto"/>
          <w:sz w:val="24"/>
        </w:rPr>
        <w:lastRenderedPageBreak/>
        <w:t xml:space="preserve">31s. Cohen CR, Wierzbicki MR, French AL, et al. Randomized Trial of Lactin-V to Prevent Recurrence of Bacterial Vaginosis. N Engl J Med 2020; 382(20): 1906–1915. </w:t>
      </w:r>
    </w:p>
    <w:p w14:paraId="5295FE73" w14:textId="6B95D56F"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32s. Pentikis H, Adetoro N, Tipping D, et al. An Integrated Efficacy and Safety Analysis of Single-Dose Secnidazole 2 g in the Treatment of Bacterial Vaginosis. Reprod Sci 2020/02/13 ed. 2020; 27(2): 523–528. </w:t>
      </w:r>
    </w:p>
    <w:p w14:paraId="5F4F53E6" w14:textId="0AB2713E"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33s. Vieira-Baptista P, De Seta F, Verstraelen H, et al. The Vaginal Microbiome: V. Therapeutic Modalities of Vaginal Microbiome Engineering and Research Challenges. J Low Genit Tract Dis 2022; 26: 99–104. </w:t>
      </w:r>
    </w:p>
    <w:p w14:paraId="01527B65" w14:textId="6B26AA6B"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34s. Page MJ, McKenzie JE, Bossuyt PM, et al. The PRISMA 2020 statement: an updated guideline for reporting systematic reviews. BMJ 2021; 372: n71. </w:t>
      </w:r>
    </w:p>
    <w:p w14:paraId="54548730" w14:textId="017C6C08"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35s. Dekkers OM, Vandenbroucke JP, Cevallos M, et al. COSMOS-E: Guidance on conducting systematic reviews and meta-analyses of observational studies of etiology. PLoS Med 2019; 16(2): e1002742. </w:t>
      </w:r>
    </w:p>
    <w:p w14:paraId="49D330CD" w14:textId="60737AC3"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36s. Amsel R, Totten PA, Spiegel CA, et al. Nonspecific vaginitis: diagnostic criteria and microbial and epidemiologic associations. Am J Med 1983; 74(1): 14–22. </w:t>
      </w:r>
    </w:p>
    <w:p w14:paraId="46041126" w14:textId="4BC3EB24"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37s. Nugent RP, Krohn MA, Hillier SL. Reliability of diagnosing bacterial vaginosis is improved by a standardized method of gram stain interpretation. J Clin Microbiol 1991; 29(2): 297–301. </w:t>
      </w:r>
    </w:p>
    <w:p w14:paraId="2512AF21" w14:textId="0EE0450F" w:rsidR="00413A76" w:rsidRPr="00413A76" w:rsidRDefault="00413A76" w:rsidP="00413A76">
      <w:pPr>
        <w:pStyle w:val="Bibliography"/>
        <w:spacing w:line="480" w:lineRule="auto"/>
        <w:rPr>
          <w:rFonts w:cs="Arial"/>
          <w:color w:val="auto"/>
          <w:sz w:val="24"/>
        </w:rPr>
      </w:pPr>
      <w:r w:rsidRPr="00413A76">
        <w:rPr>
          <w:rFonts w:cs="Arial"/>
          <w:color w:val="auto"/>
          <w:sz w:val="24"/>
        </w:rPr>
        <w:lastRenderedPageBreak/>
        <w:t xml:space="preserve">38s. Higgins JPT, Thompson SG, Deeks JJ, et al. Measuring inconsistency in meta-analyses. BMJ 2003; 327(7414): 557. </w:t>
      </w:r>
    </w:p>
    <w:p w14:paraId="58D55409" w14:textId="436D110F"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39s. Viechtbauer W. Conducting Meta-Analyses in R with the metafor Package. J Stat Softw 2010; 36(3): 1–48. </w:t>
      </w:r>
    </w:p>
    <w:p w14:paraId="0B05CF50" w14:textId="47B9404C"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40s. Wolfgang Viechtbauer. I2 for Multilevel and Multivariate Models [Internet]. The metafor Package. 2022. </w:t>
      </w:r>
    </w:p>
    <w:p w14:paraId="78EEF511" w14:textId="23EE8B25"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41s. Morgan RL, Thayer KA, Santesso N, et al. Evaluation of the risk of bias in non-randomized studies of interventions (ROBINS-I) and the ‘target experiment’ concept in studies of exposures: Rationale and preliminary instrument development. Environ Int 2018; 120: 382–387. </w:t>
      </w:r>
    </w:p>
    <w:p w14:paraId="023C988C" w14:textId="022DB0B8"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42s. Balshem H, Helfand M, Schünemann HJ, et al. GRADE guidelines: 3. Rating the quality of evidence. J Clin Epidemiol 2011; 64(4): 401–406. </w:t>
      </w:r>
    </w:p>
    <w:p w14:paraId="69B4E0A3" w14:textId="0F2EF8CC"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43s. Reimers LL, Mehta SD, Massad LS, et al. The Cervicovaginal Microbiota and Its Associations With Human Papillomavirus Detection in HIV-Infected and HIV-Uninfected Women. J Infect Dis 2016; 214(9): 1361–1369. </w:t>
      </w:r>
    </w:p>
    <w:p w14:paraId="5B1ACCBE" w14:textId="46083872"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44s. Ceccarani C, Foschi C, Parolin C, et al. Diversity of vaginal microbiome and metabolome during genital infections. Sci Rep 2019; 9(1): 14095. </w:t>
      </w:r>
    </w:p>
    <w:p w14:paraId="2E2D8BB6" w14:textId="69BE7FAD"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45s. Mehta SD, Donovan B, Weber KM, et al. The Vaginal Microbiota over an 8- to 10-Year Period in a Cohort of HIV-Infected and HIV-Uninfected Women. PLoS ONE 2015; 10(2): e0116894. </w:t>
      </w:r>
    </w:p>
    <w:p w14:paraId="2455942B" w14:textId="3D2B487A" w:rsidR="00413A76" w:rsidRPr="00413A76" w:rsidRDefault="00413A76" w:rsidP="00413A76">
      <w:pPr>
        <w:pStyle w:val="Bibliography"/>
        <w:spacing w:line="480" w:lineRule="auto"/>
        <w:rPr>
          <w:rFonts w:cs="Arial"/>
          <w:color w:val="auto"/>
          <w:sz w:val="24"/>
        </w:rPr>
      </w:pPr>
      <w:r w:rsidRPr="00413A76">
        <w:rPr>
          <w:rFonts w:cs="Arial"/>
          <w:color w:val="auto"/>
          <w:sz w:val="24"/>
        </w:rPr>
        <w:lastRenderedPageBreak/>
        <w:t xml:space="preserve">46s. Campisciano G, Florian F, D’Eustacchio A, et al. Subclinical alteration of the cervical–vaginal microbiome in women with idiopathic infertility. J Cell Physiol 2017; 232(7): 1681–1688. </w:t>
      </w:r>
    </w:p>
    <w:p w14:paraId="0222014E" w14:textId="78715262"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47s. Smidt I, Kiiker R, Oopkaup H, et al. Comparison of detection methods for vaginal lactobacilli. Benef Microbes 2015; 6(5): 747–751. </w:t>
      </w:r>
    </w:p>
    <w:p w14:paraId="6D98ABFB" w14:textId="6A28FE18"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48s. Borgogna JC, Shardell MD, Santori EK, et al. The vaginal metabolome and microbiota of cervical HPV-positive and HPV-negative women: a cross-sectional analysis. BJOG 2020; 127(2): 182–192. </w:t>
      </w:r>
    </w:p>
    <w:p w14:paraId="150AA131" w14:textId="05BA8A91"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49s. Berggrund M, Gustavsson I, Aarnio R, et al. Temporal changes in the vaginal microbiota in self-samples and its association with persistent HPV16 infection and CIN2+. Virol J 2020; 17(1): 147. </w:t>
      </w:r>
    </w:p>
    <w:p w14:paraId="53D699A9" w14:textId="42F000D1"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50s. Spear GT, Gilbert D, Landay AL, et al. Pyrosequencing of the Genital Microbiotas of HIV-Seropositive and -Seronegative Women Reveals Lactobacillus iners as the Predominant Lactobacillus Species. Appl Environ Microbiol 2011; 77(1): 378–381. </w:t>
      </w:r>
    </w:p>
    <w:p w14:paraId="6AD1BF75" w14:textId="23858C2E"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51s. Brotman RM, Bradford LL, Conrad M, et al. Association between Trichomonas vaginalis and vaginal bacterial community composition among reproductive-age women. Sex Transm Dis 2012; 39(10): 807–812. </w:t>
      </w:r>
    </w:p>
    <w:p w14:paraId="0BAAEE42" w14:textId="76B9A8A8"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52s. Macklaim JM, Gloor GB, Anukam KC, et al. At the crossroads of vaginal health and disease, the genome sequence of Lactobacillus iners AB-1. Proc Natl Acad Sci 2011; 108(Supplement 1): 4688–4695. </w:t>
      </w:r>
    </w:p>
    <w:p w14:paraId="37830C1B" w14:textId="56AACBAD" w:rsidR="00413A76" w:rsidRPr="00413A76" w:rsidRDefault="00413A76" w:rsidP="00413A76">
      <w:pPr>
        <w:pStyle w:val="Bibliography"/>
        <w:spacing w:line="480" w:lineRule="auto"/>
        <w:rPr>
          <w:rFonts w:cs="Arial"/>
          <w:color w:val="auto"/>
          <w:sz w:val="24"/>
        </w:rPr>
      </w:pPr>
      <w:r w:rsidRPr="00413A76">
        <w:rPr>
          <w:rFonts w:cs="Arial"/>
          <w:color w:val="auto"/>
          <w:sz w:val="24"/>
        </w:rPr>
        <w:lastRenderedPageBreak/>
        <w:t xml:space="preserve">53s. France MT, Mendes-Soares H, Forney LJ. Genomic Comparisons of Lactobacillus crispatus and Lactobacillus iners Reveal Potential Ecological Drivers of Community Composition in the Vagina. Appl Env Microbiol 2016; 82(24): 7063–7073. </w:t>
      </w:r>
    </w:p>
    <w:p w14:paraId="39742F24" w14:textId="293259A0"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54s. Hudson PL, Hung KJ, Bergerat A, et al. Effect of Vaginal Lactobacillus Species on Escherichia coli Growth. Female Pelvic Med Reconstr Surg 2020; 26(2): 146–151. </w:t>
      </w:r>
    </w:p>
    <w:p w14:paraId="39414EEC" w14:textId="7C29C103"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55s. Witkin SS, Mendes-Soares H, Linhares IM, et al. Influence of Vaginal Bacteria and d- and l-Lactic Acid Isomers on Vaginal Extracellular Matrix Metalloproteinase Inducer: Implications for Protection against Upper Genital Tract Infections. mBio 2013; 4(4): e00460-13. </w:t>
      </w:r>
    </w:p>
    <w:p w14:paraId="197D7B38" w14:textId="1B5E0720"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56s. Edwards VL, Smith SB, McComb EJ, et al. The Cervicovaginal Microbiota-Host Interaction Modulates Chlamydia trachomatis Infection. mBio 2019; 10(4): e01548-19. </w:t>
      </w:r>
    </w:p>
    <w:p w14:paraId="7DECD1C1" w14:textId="11AE5FB3"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57s. Amabebe E, Anumba DOC. The Vaginal Microenvironment: The Physiologic Role of Lactobacilli. Front Med 2018; 5: 181. </w:t>
      </w:r>
    </w:p>
    <w:p w14:paraId="0137E515" w14:textId="0FF86FF2"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58s. Kim H, Kim T, Kang J, et al. Is Lactobacillus Gram-Positive? A Case Study of Lactobacillus iners. Microorganisms 2020; 8(7): 969. </w:t>
      </w:r>
    </w:p>
    <w:p w14:paraId="585C15CB" w14:textId="6743DB7E"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59s. De Backer E, Verhelst R, Verstraelen H, et al. Quantitative determination by real-time PCR of four vaginal Lactobacillus species, Gardnerella vaginalis and Atopobium vaginae indicates an inverse relationship between L. gasseri and L. iners. BMC Microbiol 2007; 7(1): 115. </w:t>
      </w:r>
    </w:p>
    <w:p w14:paraId="5FBCEB4E" w14:textId="31ED37C8" w:rsidR="00413A76" w:rsidRPr="00413A76" w:rsidRDefault="00413A76" w:rsidP="00413A76">
      <w:pPr>
        <w:pStyle w:val="Bibliography"/>
        <w:spacing w:line="480" w:lineRule="auto"/>
        <w:rPr>
          <w:rFonts w:cs="Arial"/>
          <w:color w:val="auto"/>
          <w:sz w:val="24"/>
        </w:rPr>
      </w:pPr>
      <w:r w:rsidRPr="00413A76">
        <w:rPr>
          <w:rFonts w:cs="Arial"/>
          <w:color w:val="auto"/>
          <w:sz w:val="24"/>
        </w:rPr>
        <w:lastRenderedPageBreak/>
        <w:t xml:space="preserve">60s. Pleckaityte M. Cholesterol-Dependent Cytolysins Produced by Vaginal Bacteria: Certainties and Controversies. Front Cell Infect Microbiol 2019; 9: 452. </w:t>
      </w:r>
    </w:p>
    <w:p w14:paraId="6D9BFD7A" w14:textId="7032E725"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61s. Ragaliauskas T, Plečkaitytė M, Jankunec M, et al. Inerolysin and vaginolysin, the cytolysins implicated in vaginal dysbiosis, differently impair molecular integrity of phospholipid membranes. Sci Rep 2019; 9(1): 10606. </w:t>
      </w:r>
    </w:p>
    <w:p w14:paraId="145831FA" w14:textId="479E539A"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62s. Macklaim JM, Fernandes AD, Di Bella JM, et al. Comparative meta-RNA-seq of the vaginal microbiota and differential expression by Lactobacillus iners in health and dysbiosis. Microbiome 2013; 1(1): 12. </w:t>
      </w:r>
    </w:p>
    <w:p w14:paraId="1681F2A7" w14:textId="7B4F2767"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63s. Castro J, Henriques A, Machado A, et al. Reciprocal interference between Lactobacillus spp. and Gardnerella vaginalis on initial adherence to epithelial cells. Int J Med Sci 2013; 10(9): 1193–1198. </w:t>
      </w:r>
    </w:p>
    <w:p w14:paraId="1246B84D" w14:textId="143534CC"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64s. Munoz A, Hayward MR, Bloom SM, et al. Modeling the temporal dynamics of cervicovaginal microbiota identifies targets that may promote reproductive health. Microbiome 2021; 9(1): 163. </w:t>
      </w:r>
    </w:p>
    <w:p w14:paraId="3E192E53" w14:textId="3412742B"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65s. Savitz DA, Wellenius GA. Can Cross-Sectional Studies Contribute to Causal Inference? It Depends. Am J Epidemiol 2022; : kwac037. </w:t>
      </w:r>
    </w:p>
    <w:p w14:paraId="67130383" w14:textId="385A3FDC"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66s. VanderWeele TJ, Hernán MA, Robins JM. Causal directed acyclic graphs and the direction of unmeasured confounding bias. Epidemiology 2008; 19(5): 720–728. </w:t>
      </w:r>
    </w:p>
    <w:p w14:paraId="5F7A9EDE" w14:textId="452B8867"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67s. Fernandes AD, Reid JNS, Macklaim JM, et al. Unifying the analysis of high-throughput sequencing datasets: characterizing RNA-seq, 16S rRNA gene </w:t>
      </w:r>
      <w:r w:rsidRPr="00413A76">
        <w:rPr>
          <w:rFonts w:cs="Arial"/>
          <w:color w:val="auto"/>
          <w:sz w:val="24"/>
        </w:rPr>
        <w:lastRenderedPageBreak/>
        <w:t xml:space="preserve">sequencing and selective growth experiments by compositional data analysis. Microbiome 2014; 2(1): 15. </w:t>
      </w:r>
    </w:p>
    <w:p w14:paraId="7E2D8229" w14:textId="7393185F"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68s. Puebla-Barragan S, Watson E, van der Veer C, et al. Interstrain Variability of Human Vaginal Lactobacillus crispatus for Metabolism of Biogenic Amines and Antimicrobial Activity against Urogenital Pathogens. Mol Basel Switz 2021; 26(15). </w:t>
      </w:r>
    </w:p>
    <w:p w14:paraId="32E76518" w14:textId="5EF5ECC0" w:rsidR="00413A76" w:rsidRPr="00413A76" w:rsidRDefault="00413A76" w:rsidP="00413A76">
      <w:pPr>
        <w:pStyle w:val="Bibliography"/>
        <w:spacing w:line="480" w:lineRule="auto"/>
        <w:rPr>
          <w:rFonts w:cs="Arial"/>
          <w:color w:val="auto"/>
          <w:sz w:val="24"/>
        </w:rPr>
      </w:pPr>
      <w:r w:rsidRPr="00413A76">
        <w:rPr>
          <w:rFonts w:cs="Arial"/>
          <w:color w:val="auto"/>
          <w:sz w:val="24"/>
        </w:rPr>
        <w:t xml:space="preserve">69s. Mendes-Soares H, Suzuki H, Hickey RJ, et al. Comparative Functional Genomics of Lactobacillus spp. Reveals Possible Mechanisms for Specialization of Vaginal Lactobacilli to Their Environment. J Bacteriol 2014; 196(7): 1458–1470. </w:t>
      </w:r>
    </w:p>
    <w:p w14:paraId="721E097B" w14:textId="77777777" w:rsidR="00413A76" w:rsidRPr="00413A76" w:rsidRDefault="00413A76" w:rsidP="00413A76">
      <w:pPr>
        <w:spacing w:line="480" w:lineRule="auto"/>
        <w:rPr>
          <w:rFonts w:ascii="Arial" w:eastAsia="Arial" w:hAnsi="Arial" w:cs="Arial"/>
          <w:color w:val="000000"/>
        </w:rPr>
      </w:pPr>
      <w:r w:rsidRPr="00413A76">
        <w:rPr>
          <w:rFonts w:ascii="Arial" w:eastAsia="Arial" w:hAnsi="Arial" w:cs="Arial"/>
          <w:color w:val="000000"/>
        </w:rPr>
        <w:fldChar w:fldCharType="end"/>
      </w:r>
    </w:p>
    <w:p w14:paraId="055EA3A1" w14:textId="77777777" w:rsidR="00413A76" w:rsidRPr="00413A76" w:rsidRDefault="00413A76" w:rsidP="00413A76">
      <w:pPr>
        <w:pStyle w:val="Bibliography"/>
        <w:spacing w:line="480" w:lineRule="auto"/>
        <w:rPr>
          <w:rFonts w:cs="Arial"/>
          <w:color w:val="000000"/>
          <w:sz w:val="24"/>
        </w:rPr>
      </w:pPr>
      <w:r w:rsidRPr="00413A76">
        <w:rPr>
          <w:rFonts w:cs="Arial"/>
          <w:color w:val="000000"/>
          <w:sz w:val="24"/>
        </w:rPr>
        <w:t xml:space="preserve">70s. Riley RD, Higgins JPT, Deeks JJ. Interpretation of random effects meta-analyses. BMJ 2011; 342: d549. </w:t>
      </w:r>
    </w:p>
    <w:p w14:paraId="1AB8195A" w14:textId="77777777" w:rsidR="00413A76" w:rsidRPr="00413A76" w:rsidRDefault="00413A76" w:rsidP="00413A76">
      <w:pPr>
        <w:pStyle w:val="Bibliography"/>
        <w:spacing w:line="480" w:lineRule="auto"/>
        <w:rPr>
          <w:rFonts w:cs="Arial"/>
          <w:color w:val="000000"/>
          <w:sz w:val="24"/>
        </w:rPr>
      </w:pPr>
      <w:r w:rsidRPr="00413A76">
        <w:rPr>
          <w:rFonts w:cs="Arial"/>
          <w:color w:val="000000"/>
          <w:sz w:val="24"/>
        </w:rPr>
        <w:t xml:space="preserve">71s. McClelland RS, Lingappa JR, Srinivasan S, et al. Evaluation of the association between the concentrations of key vaginal bacteria and the increased risk of HIV acquisition in African women from five cohorts: a nested case-control study. Lancet Infect Dis 2018; 18(5): 554–564. </w:t>
      </w:r>
    </w:p>
    <w:p w14:paraId="23B15E93" w14:textId="77777777" w:rsidR="00413A76" w:rsidRPr="00413A76" w:rsidRDefault="00413A76" w:rsidP="00413A76">
      <w:pPr>
        <w:pStyle w:val="Bibliography"/>
        <w:spacing w:line="480" w:lineRule="auto"/>
        <w:rPr>
          <w:rFonts w:cs="Arial"/>
          <w:color w:val="000000"/>
          <w:sz w:val="24"/>
        </w:rPr>
      </w:pPr>
      <w:r w:rsidRPr="00413A76">
        <w:rPr>
          <w:rFonts w:cs="Arial"/>
          <w:color w:val="000000"/>
          <w:sz w:val="24"/>
        </w:rPr>
        <w:t xml:space="preserve">72s. Lee JE, Lee S, Lee H, et al. Association of the vaginal microbiota with human papillomavirus infection in a Korean twin cohort. PLoS ONE 2013; 8(5): e63514. </w:t>
      </w:r>
    </w:p>
    <w:p w14:paraId="78A855FE" w14:textId="31735A34" w:rsidR="001B0AC3" w:rsidRPr="001B0AC3" w:rsidRDefault="00413A76" w:rsidP="001B0AC3">
      <w:pPr>
        <w:pStyle w:val="Bibliography"/>
        <w:spacing w:line="480" w:lineRule="auto"/>
        <w:rPr>
          <w:rFonts w:cs="Arial"/>
          <w:color w:val="000000"/>
          <w:sz w:val="24"/>
        </w:rPr>
      </w:pPr>
      <w:r w:rsidRPr="00413A76">
        <w:rPr>
          <w:rFonts w:cs="Arial"/>
          <w:color w:val="000000"/>
          <w:sz w:val="24"/>
        </w:rPr>
        <w:t xml:space="preserve">73s. Benning L, Golub ET, Anastos K, et al. Comparison of Lower Genital Tract Microbiota in HIV-Infected and Uninfected Women from Rwanda and the US. PLoS ONE 2014; 9(5): e96844. </w:t>
      </w:r>
    </w:p>
    <w:p w14:paraId="000001E1" w14:textId="225FBBFB" w:rsidR="00C37DD5" w:rsidRDefault="00E5253B" w:rsidP="007B2172">
      <w:pPr>
        <w:spacing w:line="480" w:lineRule="auto"/>
        <w:rPr>
          <w:rFonts w:ascii="Arial" w:eastAsia="Arial" w:hAnsi="Arial" w:cs="Arial"/>
        </w:rPr>
      </w:pPr>
      <w:r w:rsidRPr="00413A76">
        <w:rPr>
          <w:rFonts w:ascii="Arial" w:eastAsia="Arial" w:hAnsi="Arial" w:cs="Arial"/>
          <w:color w:val="000000"/>
        </w:rPr>
        <w:lastRenderedPageBreak/>
        <w:fldChar w:fldCharType="end"/>
      </w:r>
    </w:p>
    <w:sectPr w:rsidR="00C37DD5" w:rsidSect="001B0AC3">
      <w:footerReference w:type="even" r:id="rId8"/>
      <w:footerReference w:type="default" r:id="rId9"/>
      <w:pgSz w:w="12240" w:h="15840"/>
      <w:pgMar w:top="1440" w:right="1440" w:bottom="1440" w:left="1440" w:header="720" w:footer="72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DCA0" w14:textId="77777777" w:rsidR="00DE2822" w:rsidRDefault="00DE2822">
      <w:r>
        <w:separator/>
      </w:r>
    </w:p>
  </w:endnote>
  <w:endnote w:type="continuationSeparator" w:id="0">
    <w:p w14:paraId="075745DB" w14:textId="77777777" w:rsidR="00DE2822" w:rsidRDefault="00DE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4" w14:textId="7D5A29C6" w:rsidR="00C37DD5" w:rsidRDefault="00000000">
    <w:pPr>
      <w:pBdr>
        <w:top w:val="nil"/>
        <w:left w:val="nil"/>
        <w:bottom w:val="nil"/>
        <w:right w:val="nil"/>
        <w:between w:val="nil"/>
      </w:pBdr>
      <w:tabs>
        <w:tab w:val="center" w:pos="4680"/>
        <w:tab w:val="right" w:pos="9360"/>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1B0AC3">
      <w:rPr>
        <w:rFonts w:ascii="Arial" w:eastAsia="Arial" w:hAnsi="Arial" w:cs="Arial"/>
        <w:noProof/>
        <w:color w:val="000000"/>
        <w:sz w:val="22"/>
        <w:szCs w:val="22"/>
      </w:rPr>
      <w:t>8</w:t>
    </w:r>
    <w:r>
      <w:rPr>
        <w:rFonts w:ascii="Arial" w:eastAsia="Arial" w:hAnsi="Arial" w:cs="Arial"/>
        <w:color w:val="000000"/>
        <w:sz w:val="22"/>
        <w:szCs w:val="22"/>
      </w:rPr>
      <w:fldChar w:fldCharType="end"/>
    </w:r>
  </w:p>
  <w:p w14:paraId="000001E5" w14:textId="77777777" w:rsidR="00C37DD5" w:rsidRDefault="00C37DD5">
    <w:pPr>
      <w:pBdr>
        <w:top w:val="nil"/>
        <w:left w:val="nil"/>
        <w:bottom w:val="nil"/>
        <w:right w:val="nil"/>
        <w:between w:val="nil"/>
      </w:pBdr>
      <w:tabs>
        <w:tab w:val="center" w:pos="4680"/>
        <w:tab w:val="right" w:pos="9360"/>
      </w:tabs>
      <w:ind w:right="360"/>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2" w14:textId="6592DFAB" w:rsidR="00C37DD5" w:rsidRDefault="00000000">
    <w:pPr>
      <w:pBdr>
        <w:top w:val="nil"/>
        <w:left w:val="nil"/>
        <w:bottom w:val="nil"/>
        <w:right w:val="nil"/>
        <w:between w:val="nil"/>
      </w:pBdr>
      <w:tabs>
        <w:tab w:val="center" w:pos="4680"/>
        <w:tab w:val="right" w:pos="9360"/>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E47B03">
      <w:rPr>
        <w:rFonts w:ascii="Arial" w:eastAsia="Arial" w:hAnsi="Arial" w:cs="Arial"/>
        <w:noProof/>
        <w:color w:val="000000"/>
        <w:sz w:val="22"/>
        <w:szCs w:val="22"/>
      </w:rPr>
      <w:t>1</w:t>
    </w:r>
    <w:r>
      <w:rPr>
        <w:rFonts w:ascii="Arial" w:eastAsia="Arial" w:hAnsi="Arial" w:cs="Arial"/>
        <w:color w:val="000000"/>
        <w:sz w:val="22"/>
        <w:szCs w:val="22"/>
      </w:rPr>
      <w:fldChar w:fldCharType="end"/>
    </w:r>
  </w:p>
  <w:p w14:paraId="000001E3" w14:textId="77777777" w:rsidR="00C37DD5" w:rsidRDefault="00C37DD5">
    <w:pPr>
      <w:pBdr>
        <w:top w:val="nil"/>
        <w:left w:val="nil"/>
        <w:bottom w:val="nil"/>
        <w:right w:val="nil"/>
        <w:between w:val="nil"/>
      </w:pBdr>
      <w:tabs>
        <w:tab w:val="center" w:pos="4680"/>
        <w:tab w:val="right" w:pos="9360"/>
      </w:tabs>
      <w:ind w:right="360"/>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2DB5" w14:textId="77777777" w:rsidR="00DE2822" w:rsidRDefault="00DE2822">
      <w:r>
        <w:separator/>
      </w:r>
    </w:p>
  </w:footnote>
  <w:footnote w:type="continuationSeparator" w:id="0">
    <w:p w14:paraId="5E40E04D" w14:textId="77777777" w:rsidR="00DE2822" w:rsidRDefault="00DE2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D5"/>
    <w:rsid w:val="00001319"/>
    <w:rsid w:val="00043A83"/>
    <w:rsid w:val="000653E6"/>
    <w:rsid w:val="00087339"/>
    <w:rsid w:val="000F276F"/>
    <w:rsid w:val="00112786"/>
    <w:rsid w:val="00155FC5"/>
    <w:rsid w:val="001B0AC3"/>
    <w:rsid w:val="001D2F30"/>
    <w:rsid w:val="001E64AF"/>
    <w:rsid w:val="00255555"/>
    <w:rsid w:val="002928E0"/>
    <w:rsid w:val="002A4127"/>
    <w:rsid w:val="002A5A5E"/>
    <w:rsid w:val="00345989"/>
    <w:rsid w:val="003A42E6"/>
    <w:rsid w:val="00413A76"/>
    <w:rsid w:val="00417D4F"/>
    <w:rsid w:val="00437F76"/>
    <w:rsid w:val="00456D4C"/>
    <w:rsid w:val="00477915"/>
    <w:rsid w:val="0048121E"/>
    <w:rsid w:val="00494FA7"/>
    <w:rsid w:val="004C5801"/>
    <w:rsid w:val="00511ACE"/>
    <w:rsid w:val="005128CD"/>
    <w:rsid w:val="005563A5"/>
    <w:rsid w:val="00594DEB"/>
    <w:rsid w:val="005A652F"/>
    <w:rsid w:val="005B1CE1"/>
    <w:rsid w:val="005C513A"/>
    <w:rsid w:val="005D2A21"/>
    <w:rsid w:val="005F6619"/>
    <w:rsid w:val="00612054"/>
    <w:rsid w:val="0062461F"/>
    <w:rsid w:val="006A0BB0"/>
    <w:rsid w:val="006A6FEA"/>
    <w:rsid w:val="006A721D"/>
    <w:rsid w:val="006E4C75"/>
    <w:rsid w:val="006E782A"/>
    <w:rsid w:val="00754833"/>
    <w:rsid w:val="007B2172"/>
    <w:rsid w:val="007E7AFB"/>
    <w:rsid w:val="00857D40"/>
    <w:rsid w:val="008708D3"/>
    <w:rsid w:val="008E1239"/>
    <w:rsid w:val="00905F7B"/>
    <w:rsid w:val="00936A1E"/>
    <w:rsid w:val="00A06713"/>
    <w:rsid w:val="00AB1EF5"/>
    <w:rsid w:val="00AE32AC"/>
    <w:rsid w:val="00AE5142"/>
    <w:rsid w:val="00BD3539"/>
    <w:rsid w:val="00C1610E"/>
    <w:rsid w:val="00C37DD5"/>
    <w:rsid w:val="00C9227C"/>
    <w:rsid w:val="00D56486"/>
    <w:rsid w:val="00D876BA"/>
    <w:rsid w:val="00D92104"/>
    <w:rsid w:val="00DD64A9"/>
    <w:rsid w:val="00DE029C"/>
    <w:rsid w:val="00DE2822"/>
    <w:rsid w:val="00E47B03"/>
    <w:rsid w:val="00E5253B"/>
    <w:rsid w:val="00E5489E"/>
    <w:rsid w:val="00E623F5"/>
    <w:rsid w:val="00EC67DA"/>
    <w:rsid w:val="00F309B7"/>
    <w:rsid w:val="00F57C38"/>
    <w:rsid w:val="00FA288C"/>
    <w:rsid w:val="00FD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4AA61"/>
  <w15:docId w15:val="{4BC46DFF-DA89-F940-A883-E2568C7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77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FF48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219C6"/>
    <w:rPr>
      <w:rFonts w:eastAsiaTheme="minorHAnsi"/>
      <w:color w:val="000000" w:themeColor="text1"/>
      <w:sz w:val="18"/>
      <w:szCs w:val="18"/>
    </w:rPr>
  </w:style>
  <w:style w:type="character" w:customStyle="1" w:styleId="BalloonTextChar">
    <w:name w:val="Balloon Text Char"/>
    <w:basedOn w:val="DefaultParagraphFont"/>
    <w:link w:val="BalloonText"/>
    <w:uiPriority w:val="99"/>
    <w:semiHidden/>
    <w:rsid w:val="00B219C6"/>
    <w:rPr>
      <w:rFonts w:ascii="Times New Roman" w:hAnsi="Times New Roman" w:cs="Times New Roman"/>
      <w:sz w:val="18"/>
      <w:szCs w:val="18"/>
    </w:rPr>
  </w:style>
  <w:style w:type="paragraph" w:styleId="Footer">
    <w:name w:val="footer"/>
    <w:basedOn w:val="Normal"/>
    <w:link w:val="FooterChar"/>
    <w:uiPriority w:val="99"/>
    <w:unhideWhenUsed/>
    <w:rsid w:val="00FF4842"/>
    <w:pPr>
      <w:tabs>
        <w:tab w:val="center" w:pos="4680"/>
        <w:tab w:val="right" w:pos="9360"/>
      </w:tabs>
    </w:pPr>
    <w:rPr>
      <w:rFonts w:ascii="Arial" w:eastAsiaTheme="minorHAnsi" w:hAnsi="Arial" w:cs="Times New Roman (Body CS)"/>
      <w:color w:val="000000" w:themeColor="text1"/>
      <w:sz w:val="22"/>
    </w:rPr>
  </w:style>
  <w:style w:type="character" w:customStyle="1" w:styleId="FooterChar">
    <w:name w:val="Footer Char"/>
    <w:basedOn w:val="DefaultParagraphFont"/>
    <w:link w:val="Footer"/>
    <w:uiPriority w:val="99"/>
    <w:rsid w:val="00FF4842"/>
  </w:style>
  <w:style w:type="character" w:styleId="PageNumber">
    <w:name w:val="page number"/>
    <w:basedOn w:val="DefaultParagraphFont"/>
    <w:uiPriority w:val="99"/>
    <w:semiHidden/>
    <w:unhideWhenUsed/>
    <w:rsid w:val="00FF4842"/>
  </w:style>
  <w:style w:type="character" w:styleId="CommentReference">
    <w:name w:val="annotation reference"/>
    <w:basedOn w:val="DefaultParagraphFont"/>
    <w:uiPriority w:val="99"/>
    <w:semiHidden/>
    <w:unhideWhenUsed/>
    <w:rsid w:val="00FF4842"/>
    <w:rPr>
      <w:sz w:val="16"/>
      <w:szCs w:val="16"/>
    </w:rPr>
  </w:style>
  <w:style w:type="paragraph" w:styleId="CommentText">
    <w:name w:val="annotation text"/>
    <w:basedOn w:val="Normal"/>
    <w:link w:val="CommentTextChar"/>
    <w:uiPriority w:val="99"/>
    <w:semiHidden/>
    <w:unhideWhenUsed/>
    <w:rsid w:val="00FF4842"/>
    <w:rPr>
      <w:rFonts w:ascii="Arial" w:eastAsiaTheme="minorHAnsi" w:hAnsi="Arial" w:cs="Times New Roman (Body CS)"/>
      <w:color w:val="000000" w:themeColor="text1"/>
      <w:sz w:val="20"/>
      <w:szCs w:val="20"/>
    </w:rPr>
  </w:style>
  <w:style w:type="character" w:customStyle="1" w:styleId="CommentTextChar">
    <w:name w:val="Comment Text Char"/>
    <w:basedOn w:val="DefaultParagraphFont"/>
    <w:link w:val="CommentText"/>
    <w:uiPriority w:val="99"/>
    <w:semiHidden/>
    <w:rsid w:val="00FF4842"/>
    <w:rPr>
      <w:sz w:val="20"/>
      <w:szCs w:val="20"/>
    </w:rPr>
  </w:style>
  <w:style w:type="paragraph" w:styleId="CommentSubject">
    <w:name w:val="annotation subject"/>
    <w:basedOn w:val="CommentText"/>
    <w:next w:val="CommentText"/>
    <w:link w:val="CommentSubjectChar"/>
    <w:uiPriority w:val="99"/>
    <w:semiHidden/>
    <w:unhideWhenUsed/>
    <w:rsid w:val="00FF4842"/>
    <w:rPr>
      <w:b/>
      <w:bCs/>
    </w:rPr>
  </w:style>
  <w:style w:type="character" w:customStyle="1" w:styleId="CommentSubjectChar">
    <w:name w:val="Comment Subject Char"/>
    <w:basedOn w:val="CommentTextChar"/>
    <w:link w:val="CommentSubject"/>
    <w:uiPriority w:val="99"/>
    <w:semiHidden/>
    <w:rsid w:val="00FF4842"/>
    <w:rPr>
      <w:b/>
      <w:bCs/>
      <w:sz w:val="20"/>
      <w:szCs w:val="20"/>
    </w:rPr>
  </w:style>
  <w:style w:type="character" w:customStyle="1" w:styleId="Heading2Char">
    <w:name w:val="Heading 2 Char"/>
    <w:basedOn w:val="DefaultParagraphFont"/>
    <w:link w:val="Heading2"/>
    <w:uiPriority w:val="9"/>
    <w:semiHidden/>
    <w:rsid w:val="00FF484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C47D1"/>
    <w:rPr>
      <w:color w:val="0563C1" w:themeColor="hyperlink"/>
      <w:u w:val="single"/>
    </w:rPr>
  </w:style>
  <w:style w:type="character" w:styleId="UnresolvedMention">
    <w:name w:val="Unresolved Mention"/>
    <w:basedOn w:val="DefaultParagraphFont"/>
    <w:uiPriority w:val="99"/>
    <w:semiHidden/>
    <w:unhideWhenUsed/>
    <w:rsid w:val="004C47D1"/>
    <w:rPr>
      <w:color w:val="605E5C"/>
      <w:shd w:val="clear" w:color="auto" w:fill="E1DFDD"/>
    </w:rPr>
  </w:style>
  <w:style w:type="paragraph" w:styleId="ListParagraph">
    <w:name w:val="List Paragraph"/>
    <w:basedOn w:val="Normal"/>
    <w:uiPriority w:val="34"/>
    <w:qFormat/>
    <w:rsid w:val="00226042"/>
    <w:pPr>
      <w:ind w:left="720"/>
      <w:contextualSpacing/>
    </w:pPr>
    <w:rPr>
      <w:rFonts w:ascii="Arial" w:eastAsiaTheme="minorHAnsi" w:hAnsi="Arial" w:cs="Times New Roman (Body CS)"/>
      <w:color w:val="000000" w:themeColor="text1"/>
      <w:sz w:val="22"/>
    </w:rPr>
  </w:style>
  <w:style w:type="character" w:styleId="Emphasis">
    <w:name w:val="Emphasis"/>
    <w:basedOn w:val="DefaultParagraphFont"/>
    <w:uiPriority w:val="20"/>
    <w:qFormat/>
    <w:rsid w:val="008625B6"/>
    <w:rPr>
      <w:i/>
      <w:iCs/>
    </w:rPr>
  </w:style>
  <w:style w:type="character" w:styleId="LineNumber">
    <w:name w:val="line number"/>
    <w:basedOn w:val="DefaultParagraphFont"/>
    <w:uiPriority w:val="99"/>
    <w:semiHidden/>
    <w:unhideWhenUsed/>
    <w:rsid w:val="000A3C74"/>
  </w:style>
  <w:style w:type="paragraph" w:customStyle="1" w:styleId="EndNoteBibliographyTitle">
    <w:name w:val="EndNote Bibliography Title"/>
    <w:basedOn w:val="Normal"/>
    <w:link w:val="EndNoteBibliographyTitleChar"/>
    <w:rsid w:val="00206B83"/>
    <w:pPr>
      <w:jc w:val="center"/>
    </w:pPr>
    <w:rPr>
      <w:rFonts w:ascii="Arial" w:eastAsiaTheme="minorHAnsi" w:hAnsi="Arial" w:cs="Arial"/>
      <w:color w:val="000000" w:themeColor="text1"/>
      <w:sz w:val="22"/>
    </w:rPr>
  </w:style>
  <w:style w:type="character" w:customStyle="1" w:styleId="EndNoteBibliographyTitleChar">
    <w:name w:val="EndNote Bibliography Title Char"/>
    <w:basedOn w:val="DefaultParagraphFont"/>
    <w:link w:val="EndNoteBibliographyTitle"/>
    <w:rsid w:val="00206B83"/>
    <w:rPr>
      <w:rFonts w:cs="Arial"/>
    </w:rPr>
  </w:style>
  <w:style w:type="paragraph" w:customStyle="1" w:styleId="EndNoteBibliography">
    <w:name w:val="EndNote Bibliography"/>
    <w:basedOn w:val="Normal"/>
    <w:link w:val="EndNoteBibliographyChar"/>
    <w:rsid w:val="00206B83"/>
    <w:rPr>
      <w:rFonts w:ascii="Arial" w:eastAsiaTheme="minorHAnsi" w:hAnsi="Arial" w:cs="Arial"/>
      <w:color w:val="000000" w:themeColor="text1"/>
      <w:sz w:val="22"/>
    </w:rPr>
  </w:style>
  <w:style w:type="character" w:customStyle="1" w:styleId="EndNoteBibliographyChar">
    <w:name w:val="EndNote Bibliography Char"/>
    <w:basedOn w:val="DefaultParagraphFont"/>
    <w:link w:val="EndNoteBibliography"/>
    <w:rsid w:val="00206B83"/>
    <w:rPr>
      <w:rFonts w:cs="Arial"/>
    </w:rPr>
  </w:style>
  <w:style w:type="table" w:styleId="TableGrid">
    <w:name w:val="Table Grid"/>
    <w:basedOn w:val="TableNormal"/>
    <w:uiPriority w:val="39"/>
    <w:rsid w:val="001B01C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138BE"/>
    <w:pPr>
      <w:tabs>
        <w:tab w:val="left" w:pos="380"/>
        <w:tab w:val="left" w:pos="500"/>
      </w:tabs>
      <w:spacing w:after="240"/>
      <w:ind w:left="504" w:hanging="504"/>
    </w:pPr>
    <w:rPr>
      <w:rFonts w:ascii="Arial" w:eastAsiaTheme="minorHAnsi" w:hAnsi="Arial" w:cs="Times New Roman (Body CS)"/>
      <w:color w:val="000000" w:themeColor="text1"/>
      <w:sz w:val="22"/>
    </w:rPr>
  </w:style>
  <w:style w:type="character" w:styleId="PlaceholderText">
    <w:name w:val="Placeholder Text"/>
    <w:basedOn w:val="DefaultParagraphFont"/>
    <w:uiPriority w:val="99"/>
    <w:semiHidden/>
    <w:rsid w:val="0003282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rPr>
      <w:rFonts w:ascii="Calibri" w:eastAsia="Calibri" w:hAnsi="Calibri" w:cs="Calibri"/>
      <w:color w:val="000000"/>
    </w:rPr>
    <w:tblPr>
      <w:tblStyleRowBandSize w:val="1"/>
      <w:tblStyleColBandSize w:val="1"/>
    </w:tblPr>
  </w:style>
  <w:style w:type="table" w:customStyle="1" w:styleId="7">
    <w:name w:val="7"/>
    <w:basedOn w:val="TableNormal"/>
    <w:rPr>
      <w:rFonts w:ascii="Calibri" w:eastAsia="Calibri" w:hAnsi="Calibri" w:cs="Calibri"/>
      <w:color w:val="000000"/>
    </w:rPr>
    <w:tblPr>
      <w:tblStyleRowBandSize w:val="1"/>
      <w:tblStyleColBandSize w:val="1"/>
    </w:tblPr>
  </w:style>
  <w:style w:type="table" w:customStyle="1" w:styleId="6">
    <w:name w:val="6"/>
    <w:basedOn w:val="TableNormal"/>
    <w:rPr>
      <w:rFonts w:ascii="Calibri" w:eastAsia="Calibri" w:hAnsi="Calibri" w:cs="Calibri"/>
      <w:color w:val="000000"/>
    </w:rPr>
    <w:tblPr>
      <w:tblStyleRowBandSize w:val="1"/>
      <w:tblStyleColBandSize w:val="1"/>
    </w:tblPr>
  </w:style>
  <w:style w:type="table" w:customStyle="1" w:styleId="5">
    <w:name w:val="5"/>
    <w:basedOn w:val="TableNormal"/>
    <w:rPr>
      <w:rFonts w:ascii="Calibri" w:eastAsia="Calibri" w:hAnsi="Calibri" w:cs="Calibri"/>
      <w:color w:val="000000"/>
    </w:rPr>
    <w:tblPr>
      <w:tblStyleRowBandSize w:val="1"/>
      <w:tblStyleColBandSize w:val="1"/>
    </w:tblPr>
  </w:style>
  <w:style w:type="table" w:customStyle="1" w:styleId="4">
    <w:name w:val="4"/>
    <w:basedOn w:val="TableNormal"/>
    <w:rPr>
      <w:rFonts w:ascii="Calibri" w:eastAsia="Calibri" w:hAnsi="Calibri" w:cs="Calibri"/>
      <w:color w:val="000000"/>
    </w:rPr>
    <w:tblPr>
      <w:tblStyleRowBandSize w:val="1"/>
      <w:tblStyleColBandSize w:val="1"/>
    </w:tblPr>
  </w:style>
  <w:style w:type="table" w:customStyle="1" w:styleId="3">
    <w:name w:val="3"/>
    <w:basedOn w:val="TableNormal"/>
    <w:rPr>
      <w:rFonts w:ascii="Calibri" w:eastAsia="Calibri" w:hAnsi="Calibri" w:cs="Calibri"/>
      <w:color w:val="000000"/>
    </w:rPr>
    <w:tblPr>
      <w:tblStyleRowBandSize w:val="1"/>
      <w:tblStyleColBandSize w:val="1"/>
    </w:tblPr>
  </w:style>
  <w:style w:type="table" w:customStyle="1" w:styleId="2">
    <w:name w:val="2"/>
    <w:basedOn w:val="TableNormal"/>
    <w:rPr>
      <w:rFonts w:ascii="Calibri" w:eastAsia="Calibri" w:hAnsi="Calibri" w:cs="Calibri"/>
      <w:color w:val="000000"/>
    </w:rPr>
    <w:tblPr>
      <w:tblStyleRowBandSize w:val="1"/>
      <w:tblStyleColBandSize w:val="1"/>
    </w:tblPr>
  </w:style>
  <w:style w:type="table" w:customStyle="1" w:styleId="1">
    <w:name w:val="1"/>
    <w:basedOn w:val="TableNormal"/>
    <w:rPr>
      <w:rFonts w:ascii="Calibri" w:eastAsia="Calibri" w:hAnsi="Calibri" w:cs="Calibri"/>
      <w:color w:val="000000"/>
    </w:rPr>
    <w:tblPr>
      <w:tblStyleRowBandSize w:val="1"/>
      <w:tblStyleColBandSize w:val="1"/>
    </w:tblPr>
  </w:style>
  <w:style w:type="table" w:customStyle="1" w:styleId="a">
    <w:basedOn w:val="TableNormal"/>
    <w:rPr>
      <w:rFonts w:ascii="Calibri" w:eastAsia="Calibri" w:hAnsi="Calibri" w:cs="Calibri"/>
      <w:color w:val="000000"/>
    </w:rPr>
    <w:tblPr>
      <w:tblStyleRowBandSize w:val="1"/>
      <w:tblStyleColBandSize w:val="1"/>
    </w:tblPr>
  </w:style>
  <w:style w:type="table" w:customStyle="1" w:styleId="a0">
    <w:basedOn w:val="TableNormal"/>
    <w:rPr>
      <w:rFonts w:ascii="Calibri" w:eastAsia="Calibri" w:hAnsi="Calibri" w:cs="Calibri"/>
      <w:color w:val="000000"/>
    </w:rPr>
    <w:tblPr>
      <w:tblStyleRowBandSize w:val="1"/>
      <w:tblStyleColBandSize w:val="1"/>
    </w:tblPr>
  </w:style>
  <w:style w:type="table" w:customStyle="1" w:styleId="a1">
    <w:basedOn w:val="TableNormal"/>
    <w:rPr>
      <w:rFonts w:ascii="Calibri" w:eastAsia="Calibri" w:hAnsi="Calibri" w:cs="Calibri"/>
      <w:color w:val="000000"/>
    </w:rPr>
    <w:tblPr>
      <w:tblStyleRowBandSize w:val="1"/>
      <w:tblStyleColBandSize w:val="1"/>
    </w:tblPr>
  </w:style>
  <w:style w:type="table" w:customStyle="1" w:styleId="a2">
    <w:basedOn w:val="TableNormal"/>
    <w:rPr>
      <w:rFonts w:ascii="Calibri" w:eastAsia="Calibri" w:hAnsi="Calibri" w:cs="Calibri"/>
      <w:color w:val="000000"/>
    </w:rPr>
    <w:tblPr>
      <w:tblStyleRowBandSize w:val="1"/>
      <w:tblStyleColBandSize w:val="1"/>
    </w:tblPr>
  </w:style>
  <w:style w:type="paragraph" w:styleId="Revision">
    <w:name w:val="Revision"/>
    <w:hidden/>
    <w:uiPriority w:val="99"/>
    <w:semiHidden/>
    <w:rsid w:val="0059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ycart@uw.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iTEuH7DWsGqyf/6VU3eL27bdZw==">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3318</Words>
  <Characters>18918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Carter</dc:creator>
  <cp:lastModifiedBy>Kayla Carter</cp:lastModifiedBy>
  <cp:revision>2</cp:revision>
  <dcterms:created xsi:type="dcterms:W3CDTF">2022-12-29T16:26:00Z</dcterms:created>
  <dcterms:modified xsi:type="dcterms:W3CDTF">2022-12-29T16:26:00Z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id="tANCabTs"/&gt;&lt;style id="http://www.zotero.org/styles/vancouver-superscript" locale="en-US" hasBibliography="1" bibliographyStyleHasBeenSet="1"/&gt;&lt;prefs&gt;&lt;pref name="fieldType" value="Field"/&gt;&lt;pref na</vt:lpwstr>
  </property>
  <property fmtid="{D5CDD505-2E9C-101B-9397-08002B2CF9AE}" pid="3" name="ZOTERO_PREF_2">
    <vt:lpwstr>me="automaticJournalAbbreviations" value="true"/&gt;&lt;pref name="delayCitationUpdates" value="true"/&gt;&lt;pref name="dontAskDelayCitationUpdates" value="true"/&gt;&lt;/prefs&gt;&lt;/data&gt;</vt:lpwstr>
  </property>
</Properties>
</file>