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A428" w14:textId="76EDB9F8" w:rsidR="00EA0C95" w:rsidRPr="00FD6DB6" w:rsidRDefault="00EA0C95" w:rsidP="00EA0C95">
      <w:pPr>
        <w:pStyle w:val="Heading2"/>
        <w:rPr>
          <w:rFonts w:cs="Arial"/>
          <w:b w:val="0"/>
          <w:bCs/>
        </w:rPr>
      </w:pPr>
      <w:r w:rsidRPr="00FD6DB6">
        <w:rPr>
          <w:rFonts w:cs="Arial"/>
          <w:b w:val="0"/>
          <w:bCs/>
        </w:rPr>
        <w:t>Supplemental Material for</w:t>
      </w:r>
    </w:p>
    <w:p w14:paraId="357AA97B" w14:textId="77777777" w:rsidR="00EA0C95" w:rsidRDefault="00EA0C95" w:rsidP="00EA0C95">
      <w:pPr>
        <w:pStyle w:val="Heading2"/>
        <w:rPr>
          <w:rFonts w:cs="Arial"/>
        </w:rPr>
      </w:pPr>
    </w:p>
    <w:p w14:paraId="658FD2BF" w14:textId="140537D5" w:rsidR="004F4CC4" w:rsidRDefault="004F4CC4" w:rsidP="004F4CC4">
      <w:pPr>
        <w:pStyle w:val="Heading1"/>
        <w:spacing w:line="360" w:lineRule="auto"/>
        <w:rPr>
          <w:rFonts w:cs="Arial"/>
        </w:rPr>
      </w:pPr>
      <w:r>
        <w:rPr>
          <w:rFonts w:cs="Arial"/>
        </w:rPr>
        <w:t>C</w:t>
      </w:r>
      <w:r w:rsidRPr="00761D1C">
        <w:rPr>
          <w:rFonts w:cs="Arial"/>
        </w:rPr>
        <w:t>osts</w:t>
      </w:r>
      <w:r>
        <w:rPr>
          <w:rFonts w:cs="Arial"/>
        </w:rPr>
        <w:t>, health benefits, and cost-effectiveness</w:t>
      </w:r>
      <w:r w:rsidRPr="00761D1C">
        <w:rPr>
          <w:rFonts w:cs="Arial"/>
        </w:rPr>
        <w:t xml:space="preserve"> of chlamydia screening and partner notification in the United States</w:t>
      </w:r>
      <w:r>
        <w:rPr>
          <w:rFonts w:cs="Arial"/>
        </w:rPr>
        <w:t>, 2000–2019: a mathematical modeling analysis</w:t>
      </w:r>
      <w:r w:rsidRPr="00761D1C">
        <w:rPr>
          <w:rFonts w:cs="Arial"/>
        </w:rPr>
        <w:t xml:space="preserve"> </w:t>
      </w:r>
    </w:p>
    <w:p w14:paraId="273BA6E5" w14:textId="77777777" w:rsidR="004F4CC4" w:rsidRPr="004F4CC4" w:rsidRDefault="004F4CC4" w:rsidP="004F4CC4"/>
    <w:p w14:paraId="655EAA53" w14:textId="3F8521E3" w:rsidR="00EA0C95" w:rsidRPr="00EA0C95" w:rsidRDefault="00EA0C95" w:rsidP="00EA0C95">
      <w:pPr>
        <w:pStyle w:val="Heading2"/>
        <w:rPr>
          <w:rFonts w:cs="Arial"/>
          <w:b w:val="0"/>
          <w:bCs/>
        </w:rPr>
      </w:pPr>
      <w:r>
        <w:rPr>
          <w:rFonts w:cs="Arial"/>
          <w:b w:val="0"/>
          <w:bCs/>
        </w:rPr>
        <w:t xml:space="preserve">Authors: </w:t>
      </w:r>
      <w:r w:rsidRPr="00EA0C95">
        <w:rPr>
          <w:rFonts w:cs="Arial"/>
          <w:b w:val="0"/>
          <w:bCs/>
        </w:rPr>
        <w:t>Minttu M Rönn</w:t>
      </w:r>
      <w:r w:rsidR="00FD6DB6">
        <w:rPr>
          <w:rFonts w:cs="Arial"/>
          <w:b w:val="0"/>
          <w:bCs/>
        </w:rPr>
        <w:t>*</w:t>
      </w:r>
      <w:r w:rsidRPr="00EA0C95">
        <w:rPr>
          <w:rFonts w:cs="Arial"/>
          <w:b w:val="0"/>
          <w:bCs/>
        </w:rPr>
        <w:t xml:space="preserve">, </w:t>
      </w:r>
      <w:proofErr w:type="spellStart"/>
      <w:r w:rsidRPr="00EA0C95">
        <w:rPr>
          <w:rFonts w:cs="Arial"/>
          <w:b w:val="0"/>
          <w:bCs/>
        </w:rPr>
        <w:t>Yunfei</w:t>
      </w:r>
      <w:proofErr w:type="spellEnd"/>
      <w:r w:rsidRPr="00EA0C95">
        <w:rPr>
          <w:rFonts w:cs="Arial"/>
          <w:b w:val="0"/>
          <w:bCs/>
        </w:rPr>
        <w:t xml:space="preserve"> Li, Thomas L Gift, Harrell W Chesson, Nicolas A Menzies, Katherine Hsu, Joshua A Salomon</w:t>
      </w:r>
    </w:p>
    <w:p w14:paraId="6AC6407A" w14:textId="7BA522D4" w:rsidR="00EA0C95" w:rsidRDefault="00EA0C95" w:rsidP="00870E6F">
      <w:pPr>
        <w:pStyle w:val="Heading2"/>
        <w:rPr>
          <w:rFonts w:cs="Arial"/>
        </w:rPr>
      </w:pPr>
    </w:p>
    <w:p w14:paraId="4362DE19" w14:textId="77777777" w:rsidR="00FD6DB6" w:rsidRDefault="00FD6DB6" w:rsidP="00FD6DB6">
      <w:pPr>
        <w:spacing w:line="360" w:lineRule="auto"/>
        <w:rPr>
          <w:rFonts w:cs="Arial"/>
        </w:rPr>
      </w:pPr>
    </w:p>
    <w:p w14:paraId="4FE0EE58" w14:textId="514446F4" w:rsidR="00FD6DB6" w:rsidRDefault="00FD6DB6" w:rsidP="00FD6DB6">
      <w:pPr>
        <w:spacing w:line="360" w:lineRule="auto"/>
        <w:rPr>
          <w:rFonts w:cs="Arial"/>
        </w:rPr>
      </w:pPr>
      <w:r>
        <w:rPr>
          <w:rFonts w:cs="Arial"/>
        </w:rPr>
        <w:t>Corresponding author</w:t>
      </w:r>
    </w:p>
    <w:p w14:paraId="03247938" w14:textId="77777777" w:rsidR="00FD6DB6" w:rsidRDefault="00FD6DB6" w:rsidP="00FD6DB6">
      <w:pPr>
        <w:spacing w:line="360" w:lineRule="auto"/>
        <w:rPr>
          <w:rFonts w:cs="Arial"/>
        </w:rPr>
      </w:pPr>
      <w:r>
        <w:rPr>
          <w:rFonts w:cs="Arial"/>
        </w:rPr>
        <w:t>Minttu Rönn</w:t>
      </w:r>
    </w:p>
    <w:p w14:paraId="294B0541" w14:textId="77777777" w:rsidR="00FD6DB6" w:rsidRDefault="00FD6DB6" w:rsidP="00FD6DB6">
      <w:pPr>
        <w:spacing w:line="360" w:lineRule="auto"/>
        <w:rPr>
          <w:rFonts w:cs="Arial"/>
        </w:rPr>
      </w:pPr>
      <w:r>
        <w:rPr>
          <w:rFonts w:cs="Arial"/>
        </w:rPr>
        <w:t xml:space="preserve">Email: </w:t>
      </w:r>
      <w:hyperlink r:id="rId8" w:history="1">
        <w:r w:rsidRPr="00BF362B">
          <w:rPr>
            <w:rStyle w:val="Hyperlink"/>
            <w:rFonts w:cs="Arial"/>
          </w:rPr>
          <w:t>mronn@hsph.harvard.edu</w:t>
        </w:r>
      </w:hyperlink>
      <w:r>
        <w:rPr>
          <w:rFonts w:cs="Arial"/>
        </w:rPr>
        <w:t xml:space="preserve"> </w:t>
      </w:r>
    </w:p>
    <w:p w14:paraId="09361C26" w14:textId="77777777" w:rsidR="00FD6DB6" w:rsidRPr="00FD6DB6" w:rsidRDefault="00FD6DB6" w:rsidP="00FD6DB6"/>
    <w:p w14:paraId="73F805EE" w14:textId="1EC0AF07" w:rsidR="00870E6F" w:rsidRDefault="00870E6F" w:rsidP="00870E6F">
      <w:pPr>
        <w:rPr>
          <w:rFonts w:cs="Arial"/>
        </w:rPr>
      </w:pPr>
    </w:p>
    <w:p w14:paraId="61075B69" w14:textId="2744527A" w:rsidR="00EA0C95" w:rsidRDefault="008A72B1" w:rsidP="00870E6F">
      <w:pPr>
        <w:rPr>
          <w:rFonts w:cs="Arial"/>
        </w:rPr>
      </w:pPr>
      <w:r w:rsidRPr="008A72B1">
        <w:rPr>
          <w:rFonts w:cs="Arial"/>
        </w:rPr>
        <w:t>The findings and conclusions in this report are those of the authors and do not necessarily represent the official position of the Centers for Disease Control and Prevention (CDC).</w:t>
      </w:r>
    </w:p>
    <w:p w14:paraId="0EAFD97C" w14:textId="77777777" w:rsidR="00EA0C95" w:rsidRDefault="00EA0C95" w:rsidP="00870E6F">
      <w:pPr>
        <w:rPr>
          <w:rFonts w:cs="Arial"/>
        </w:rPr>
        <w:sectPr w:rsidR="00EA0C95" w:rsidSect="007D69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568C08E" w14:textId="77777777" w:rsidR="00EA0C95" w:rsidRPr="00761D1C" w:rsidRDefault="00EA0C95" w:rsidP="00870E6F">
      <w:pPr>
        <w:rPr>
          <w:rFonts w:cs="Arial"/>
        </w:rPr>
      </w:pPr>
    </w:p>
    <w:p w14:paraId="0D0874D9" w14:textId="77777777" w:rsidR="00870E6F" w:rsidRPr="00761D1C" w:rsidRDefault="00870E6F" w:rsidP="00870E6F">
      <w:pPr>
        <w:rPr>
          <w:rFonts w:cs="Arial"/>
        </w:rPr>
      </w:pPr>
    </w:p>
    <w:p w14:paraId="18776633" w14:textId="7FD76BC8" w:rsidR="00870E6F" w:rsidRPr="00761D1C" w:rsidRDefault="00870E6F" w:rsidP="00870E6F">
      <w:pPr>
        <w:rPr>
          <w:rFonts w:cs="Arial"/>
        </w:rPr>
      </w:pPr>
      <w:r w:rsidRPr="00EB419E">
        <w:rPr>
          <w:rFonts w:cs="Arial"/>
          <w:b/>
          <w:bCs/>
        </w:rPr>
        <w:t>Table S1.</w:t>
      </w:r>
      <w:r w:rsidRPr="00761D1C">
        <w:rPr>
          <w:rFonts w:cs="Arial"/>
        </w:rPr>
        <w:t xml:space="preserve"> </w:t>
      </w:r>
      <w:r w:rsidRPr="00761D1C">
        <w:rPr>
          <w:rFonts w:cs="Arial"/>
          <w:szCs w:val="22"/>
        </w:rPr>
        <w:t>Description of the calibration scenarios investigated as part of the sensitivity analysis</w:t>
      </w:r>
      <w:r w:rsidR="00B16054">
        <w:rPr>
          <w:rFonts w:cs="Arial"/>
          <w:szCs w:val="22"/>
        </w:rPr>
        <w:t xml:space="preserve"> in calibration of the transmission model (described in Rönn </w:t>
      </w:r>
      <w:r w:rsidR="00B16054" w:rsidRPr="004C6D82">
        <w:rPr>
          <w:rFonts w:cs="Arial"/>
          <w:i/>
          <w:iCs/>
          <w:szCs w:val="22"/>
        </w:rPr>
        <w:t>et al</w:t>
      </w:r>
      <w:r w:rsidR="00B16054">
        <w:rPr>
          <w:rFonts w:cs="Arial"/>
          <w:szCs w:val="22"/>
        </w:rPr>
        <w:t>, 2019)</w:t>
      </w:r>
      <w:r w:rsidR="006A7069">
        <w:rPr>
          <w:rFonts w:cs="Arial"/>
          <w:szCs w:val="22"/>
        </w:rPr>
        <w:t>.</w:t>
      </w:r>
      <w:r w:rsidR="006A7069">
        <w:rPr>
          <w:rFonts w:cs="Arial"/>
          <w:szCs w:val="22"/>
        </w:rPr>
        <w:fldChar w:fldCharType="begin" w:fldLock="1"/>
      </w:r>
      <w:r w:rsidR="006A7069">
        <w:rPr>
          <w:rFonts w:cs="Arial"/>
          <w:szCs w:val="22"/>
        </w:rPr>
        <w:instrText>ADDIN CSL_CITATION {"citationItems":[{"id":"ITEM-1","itemData":{"DOI":"10.1093/aje/kwy272","ISSN":"0002-9262","author":[{"dropping-particle":"","family":"Rönn","given":"Minttu M","non-dropping-particle":"","parse-names":false,"suffix":""},{"dropping-particle":"","family":"Tuite","given":"Ashleigh R","non-dropping-particle":"","parse-names":false,"suffix":""},{"dropping-particle":"","family":"Menzies","given":"Nicolas A","non-dropping-particle":"","parse-names":false,"suffix":""},{"dropping-particle":"","family":"Wolf","given":"Emory E","non-dropping-particle":"","parse-names":false,"suffix":""},{"dropping-particle":"","family":"Gift","given":"Thomas L","non-dropping-particle":"","parse-names":false,"suffix":""},{"dropping-particle":"","family":"Chesson","given":"Harrell W","non-dropping-particle":"","parse-names":false,"suffix":""},{"dropping-particle":"","family":"Torrone","given":"Elizabeth","non-dropping-particle":"","parse-names":false,"suffix":""},{"dropping-particle":"","family":"Berruti","given":"Andrés","non-dropping-particle":"","parse-names":false,"suffix":""},{"dropping-particle":"","family":"Mazzola","given":"Emanuele","non-dropping-particle":"","parse-names":false,"suffix":""},{"dropping-particle":"","family":"Galer","given":"Kara","non-dropping-particle":"","parse-names":false,"suffix":""},{"dropping-particle":"","family":"Hsu","given":"Katherine","non-dropping-particle":"","parse-names":false,"suffix":""},{"dropping-particle":"","family":"Salomon","given":"Joshua A","non-dropping-particle":"","parse-names":false,"suffix":""}],"container-title":"American Journal of Epidemiology","id":"ITEM-1","issue":"3","issued":{"date-parts":[["2019","1","4"]]},"page":"545-554","title":"The Impact of Screening and Partner Notification on Chlamydia Prevalence and Numbers of Infections Averted in the United States, 2000–2015: Evaluation of Epidemiologic Trends Using a Pair-Formation Transmission Model","type":"article-journal","volume":"188"},"uris":["http://www.mendeley.com/documents/?uuid=d9865688-c71f-33a8-b252-3b06e769bf31"]}],"mendeley":{"formattedCitation":"&lt;sup&gt;1&lt;/sup&gt;","plainTextFormattedCitation":"1","previouslyFormattedCitation":"&lt;sup&gt;1&lt;/sup&gt;"},"properties":{"noteIndex":0},"schema":"https://github.com/citation-style-language/schema/raw/master/csl-citation.json"}</w:instrText>
      </w:r>
      <w:r w:rsidR="006A7069">
        <w:rPr>
          <w:rFonts w:cs="Arial"/>
          <w:szCs w:val="22"/>
        </w:rPr>
        <w:fldChar w:fldCharType="separate"/>
      </w:r>
      <w:r w:rsidR="006A7069" w:rsidRPr="006A7069">
        <w:rPr>
          <w:rFonts w:cs="Arial"/>
          <w:noProof/>
          <w:szCs w:val="22"/>
          <w:vertAlign w:val="superscript"/>
        </w:rPr>
        <w:t>1</w:t>
      </w:r>
      <w:r w:rsidR="006A7069">
        <w:rPr>
          <w:rFonts w:cs="Arial"/>
          <w:szCs w:val="22"/>
        </w:rPr>
        <w:fldChar w:fldCharType="end"/>
      </w:r>
      <w:r w:rsidRPr="00761D1C">
        <w:rPr>
          <w:rFonts w:cs="Arial"/>
          <w:szCs w:val="22"/>
        </w:rPr>
        <w:t xml:space="preserve"> We examined the impact of prior assumptions on</w:t>
      </w:r>
      <w:r w:rsidR="00A671A5">
        <w:rPr>
          <w:rFonts w:cs="Arial"/>
          <w:szCs w:val="22"/>
        </w:rPr>
        <w:t xml:space="preserve"> changes in</w:t>
      </w:r>
      <w:r w:rsidRPr="00761D1C">
        <w:rPr>
          <w:rFonts w:cs="Arial"/>
          <w:szCs w:val="22"/>
        </w:rPr>
        <w:t xml:space="preserve"> screening</w:t>
      </w:r>
      <w:r w:rsidR="009F2823">
        <w:rPr>
          <w:rFonts w:cs="Arial"/>
          <w:szCs w:val="22"/>
        </w:rPr>
        <w:t xml:space="preserve"> coverage</w:t>
      </w:r>
      <w:r w:rsidRPr="00761D1C">
        <w:rPr>
          <w:rFonts w:cs="Arial"/>
          <w:szCs w:val="22"/>
        </w:rPr>
        <w:t xml:space="preserve"> and</w:t>
      </w:r>
      <w:r w:rsidR="00A671A5">
        <w:rPr>
          <w:rFonts w:cs="Arial"/>
          <w:szCs w:val="22"/>
        </w:rPr>
        <w:t xml:space="preserve"> completeness of</w:t>
      </w:r>
      <w:r w:rsidRPr="00761D1C">
        <w:rPr>
          <w:rFonts w:cs="Arial"/>
          <w:szCs w:val="22"/>
        </w:rPr>
        <w:t xml:space="preserve"> </w:t>
      </w:r>
      <w:r w:rsidR="00A671A5">
        <w:rPr>
          <w:rFonts w:cs="Arial"/>
          <w:szCs w:val="22"/>
        </w:rPr>
        <w:t xml:space="preserve">chlamydia </w:t>
      </w:r>
      <w:r w:rsidR="009F2823">
        <w:rPr>
          <w:rFonts w:cs="Arial"/>
          <w:szCs w:val="22"/>
        </w:rPr>
        <w:t xml:space="preserve">case </w:t>
      </w:r>
      <w:r w:rsidRPr="00761D1C">
        <w:rPr>
          <w:rFonts w:cs="Arial"/>
          <w:szCs w:val="22"/>
        </w:rPr>
        <w:t>reporting, which were implemented as time-varying parameters.</w:t>
      </w:r>
    </w:p>
    <w:p w14:paraId="3798834D" w14:textId="77777777" w:rsidR="00870E6F" w:rsidRPr="00761D1C" w:rsidRDefault="00870E6F" w:rsidP="00870E6F">
      <w:pPr>
        <w:rPr>
          <w:rFonts w:cs="Arial"/>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2891"/>
        <w:gridCol w:w="2891"/>
      </w:tblGrid>
      <w:tr w:rsidR="00C33ACD" w:rsidRPr="00462159" w14:paraId="4D12EDCB" w14:textId="77777777" w:rsidTr="00462159">
        <w:tc>
          <w:tcPr>
            <w:tcW w:w="2848" w:type="dxa"/>
            <w:shd w:val="clear" w:color="auto" w:fill="auto"/>
          </w:tcPr>
          <w:p w14:paraId="70F1F377" w14:textId="77777777" w:rsidR="00870E6F" w:rsidRPr="00462159" w:rsidRDefault="00870E6F" w:rsidP="002C47E0">
            <w:pPr>
              <w:rPr>
                <w:rFonts w:cs="Arial"/>
                <w:szCs w:val="22"/>
              </w:rPr>
            </w:pPr>
            <w:r w:rsidRPr="00462159">
              <w:rPr>
                <w:rFonts w:cs="Arial"/>
                <w:szCs w:val="22"/>
              </w:rPr>
              <w:t xml:space="preserve">Calibration Scenario Name </w:t>
            </w:r>
          </w:p>
        </w:tc>
        <w:tc>
          <w:tcPr>
            <w:tcW w:w="2891" w:type="dxa"/>
            <w:shd w:val="clear" w:color="auto" w:fill="auto"/>
          </w:tcPr>
          <w:p w14:paraId="0D161BE9" w14:textId="77777777" w:rsidR="00870E6F" w:rsidRPr="00462159" w:rsidRDefault="00870E6F" w:rsidP="002C47E0">
            <w:pPr>
              <w:rPr>
                <w:rFonts w:cs="Arial"/>
                <w:szCs w:val="22"/>
              </w:rPr>
            </w:pPr>
            <w:r w:rsidRPr="00462159">
              <w:rPr>
                <w:rFonts w:cs="Arial"/>
                <w:szCs w:val="22"/>
              </w:rPr>
              <w:t xml:space="preserve">Prior Assumptions on </w:t>
            </w:r>
            <w:proofErr w:type="spellStart"/>
            <w:r w:rsidRPr="00462159">
              <w:rPr>
                <w:rFonts w:cs="Arial"/>
                <w:szCs w:val="22"/>
              </w:rPr>
              <w:t>Reporting</w:t>
            </w:r>
            <w:r w:rsidRPr="00462159">
              <w:rPr>
                <w:rFonts w:cs="Arial"/>
                <w:szCs w:val="22"/>
                <w:vertAlign w:val="superscript"/>
              </w:rPr>
              <w:t>a</w:t>
            </w:r>
            <w:proofErr w:type="spellEnd"/>
            <w:r w:rsidRPr="00462159">
              <w:rPr>
                <w:rFonts w:cs="Arial"/>
                <w:szCs w:val="22"/>
              </w:rPr>
              <w:t xml:space="preserve"> of Cases</w:t>
            </w:r>
          </w:p>
        </w:tc>
        <w:tc>
          <w:tcPr>
            <w:tcW w:w="2891" w:type="dxa"/>
            <w:shd w:val="clear" w:color="auto" w:fill="auto"/>
          </w:tcPr>
          <w:p w14:paraId="243980E7" w14:textId="77777777" w:rsidR="00870E6F" w:rsidRPr="00462159" w:rsidRDefault="00870E6F" w:rsidP="002C47E0">
            <w:pPr>
              <w:rPr>
                <w:rFonts w:cs="Arial"/>
                <w:szCs w:val="22"/>
              </w:rPr>
            </w:pPr>
            <w:r w:rsidRPr="00462159">
              <w:rPr>
                <w:rFonts w:cs="Arial"/>
                <w:szCs w:val="22"/>
              </w:rPr>
              <w:t xml:space="preserve">Prior Assumptions on </w:t>
            </w:r>
            <w:proofErr w:type="spellStart"/>
            <w:r w:rsidRPr="00462159">
              <w:rPr>
                <w:rFonts w:cs="Arial"/>
                <w:szCs w:val="22"/>
              </w:rPr>
              <w:t>Screening</w:t>
            </w:r>
            <w:r w:rsidRPr="00462159">
              <w:rPr>
                <w:rFonts w:cs="Arial"/>
                <w:szCs w:val="22"/>
                <w:vertAlign w:val="superscript"/>
              </w:rPr>
              <w:t>b</w:t>
            </w:r>
            <w:proofErr w:type="spellEnd"/>
          </w:p>
        </w:tc>
      </w:tr>
      <w:tr w:rsidR="00C33ACD" w:rsidRPr="00462159" w14:paraId="462FBE01" w14:textId="77777777" w:rsidTr="00462159">
        <w:tc>
          <w:tcPr>
            <w:tcW w:w="2848" w:type="dxa"/>
            <w:shd w:val="clear" w:color="auto" w:fill="auto"/>
          </w:tcPr>
          <w:p w14:paraId="6A395059" w14:textId="77777777" w:rsidR="00870E6F" w:rsidRPr="00462159" w:rsidRDefault="00870E6F" w:rsidP="002C47E0">
            <w:pPr>
              <w:rPr>
                <w:rFonts w:cs="Arial"/>
                <w:szCs w:val="22"/>
              </w:rPr>
            </w:pPr>
            <w:r w:rsidRPr="00462159">
              <w:rPr>
                <w:rFonts w:cs="Arial"/>
                <w:szCs w:val="22"/>
              </w:rPr>
              <w:t>Scenario 1: More Constrained Priors on Reporting and Screening</w:t>
            </w:r>
          </w:p>
        </w:tc>
        <w:tc>
          <w:tcPr>
            <w:tcW w:w="2891" w:type="dxa"/>
            <w:shd w:val="clear" w:color="auto" w:fill="auto"/>
          </w:tcPr>
          <w:p w14:paraId="33CC4ABD" w14:textId="664DF605" w:rsidR="00870E6F" w:rsidRPr="00462159" w:rsidRDefault="009F2823" w:rsidP="002C47E0">
            <w:pPr>
              <w:rPr>
                <w:rFonts w:cs="Arial"/>
                <w:szCs w:val="22"/>
              </w:rPr>
            </w:pPr>
            <w:r>
              <w:rPr>
                <w:rFonts w:cs="Arial"/>
                <w:szCs w:val="22"/>
              </w:rPr>
              <w:t xml:space="preserve">Percentage </w:t>
            </w:r>
            <w:r w:rsidR="00EB5CE0">
              <w:rPr>
                <w:rFonts w:cs="Arial"/>
                <w:szCs w:val="22"/>
              </w:rPr>
              <w:t>of infections reported</w:t>
            </w:r>
            <w:r w:rsidR="00870E6F" w:rsidRPr="00462159">
              <w:rPr>
                <w:rFonts w:cs="Arial"/>
                <w:szCs w:val="22"/>
              </w:rPr>
              <w:t xml:space="preserve"> assumed to be at least 50% in 2000, and it was constrained to increase over time from 2000 to 2015</w:t>
            </w:r>
          </w:p>
        </w:tc>
        <w:tc>
          <w:tcPr>
            <w:tcW w:w="2891" w:type="dxa"/>
            <w:shd w:val="clear" w:color="auto" w:fill="auto"/>
          </w:tcPr>
          <w:p w14:paraId="3F5BF76C" w14:textId="135D647D" w:rsidR="00870E6F" w:rsidRPr="00462159" w:rsidRDefault="00870E6F" w:rsidP="002C47E0">
            <w:pPr>
              <w:rPr>
                <w:rFonts w:cs="Arial"/>
                <w:szCs w:val="22"/>
              </w:rPr>
            </w:pPr>
            <w:r w:rsidRPr="00462159">
              <w:rPr>
                <w:rFonts w:cs="Arial"/>
                <w:szCs w:val="22"/>
              </w:rPr>
              <w:t xml:space="preserve">Screening </w:t>
            </w:r>
            <w:r w:rsidR="00EB5CE0">
              <w:rPr>
                <w:rFonts w:cs="Arial"/>
                <w:szCs w:val="22"/>
              </w:rPr>
              <w:t xml:space="preserve">coverage </w:t>
            </w:r>
            <w:r w:rsidRPr="00462159">
              <w:rPr>
                <w:rFonts w:cs="Arial"/>
                <w:szCs w:val="22"/>
              </w:rPr>
              <w:t xml:space="preserve">was allowed to remain stable or to increase from one year to the next from 2000 to 2015 </w:t>
            </w:r>
          </w:p>
        </w:tc>
      </w:tr>
      <w:tr w:rsidR="00C33ACD" w:rsidRPr="00462159" w14:paraId="6032E265" w14:textId="77777777" w:rsidTr="00462159">
        <w:tc>
          <w:tcPr>
            <w:tcW w:w="2848" w:type="dxa"/>
            <w:shd w:val="clear" w:color="auto" w:fill="auto"/>
          </w:tcPr>
          <w:p w14:paraId="3099090D" w14:textId="77777777" w:rsidR="00870E6F" w:rsidRPr="00462159" w:rsidRDefault="00870E6F" w:rsidP="002C47E0">
            <w:pPr>
              <w:rPr>
                <w:rFonts w:cs="Arial"/>
                <w:szCs w:val="22"/>
              </w:rPr>
            </w:pPr>
            <w:r w:rsidRPr="00462159">
              <w:rPr>
                <w:rFonts w:eastAsia="MS Mincho" w:cs="Arial"/>
                <w:color w:val="000000"/>
                <w:kern w:val="24"/>
                <w:szCs w:val="22"/>
              </w:rPr>
              <w:t>Scenario 2: Less Constrained Priors on Reporting, More Constrained Priors on Screening</w:t>
            </w:r>
          </w:p>
        </w:tc>
        <w:tc>
          <w:tcPr>
            <w:tcW w:w="2891" w:type="dxa"/>
            <w:shd w:val="clear" w:color="auto" w:fill="auto"/>
          </w:tcPr>
          <w:p w14:paraId="79FD05A5" w14:textId="77777777" w:rsidR="00870E6F" w:rsidRPr="00462159" w:rsidRDefault="00870E6F" w:rsidP="002C47E0">
            <w:pPr>
              <w:rPr>
                <w:rFonts w:cs="Arial"/>
                <w:szCs w:val="22"/>
              </w:rPr>
            </w:pPr>
            <w:r w:rsidRPr="00462159">
              <w:rPr>
                <w:rFonts w:cs="Arial"/>
                <w:szCs w:val="22"/>
              </w:rPr>
              <w:t>Reporting was not constrained as in Scenario 1, but it was only allowed to increase over time from 2000 to 2015</w:t>
            </w:r>
          </w:p>
        </w:tc>
        <w:tc>
          <w:tcPr>
            <w:tcW w:w="2891" w:type="dxa"/>
            <w:shd w:val="clear" w:color="auto" w:fill="auto"/>
          </w:tcPr>
          <w:p w14:paraId="7ACE878B" w14:textId="77777777" w:rsidR="00870E6F" w:rsidRPr="00462159" w:rsidRDefault="00870E6F" w:rsidP="002C47E0">
            <w:pPr>
              <w:rPr>
                <w:rFonts w:cs="Arial"/>
                <w:szCs w:val="22"/>
              </w:rPr>
            </w:pPr>
            <w:r w:rsidRPr="00462159">
              <w:rPr>
                <w:rFonts w:cs="Arial"/>
                <w:szCs w:val="22"/>
              </w:rPr>
              <w:t>Same as Scenario 1</w:t>
            </w:r>
          </w:p>
        </w:tc>
      </w:tr>
      <w:tr w:rsidR="00C33ACD" w:rsidRPr="00462159" w14:paraId="2BA88E53" w14:textId="77777777" w:rsidTr="00462159">
        <w:tc>
          <w:tcPr>
            <w:tcW w:w="2848" w:type="dxa"/>
            <w:shd w:val="clear" w:color="auto" w:fill="auto"/>
          </w:tcPr>
          <w:p w14:paraId="1B24231F" w14:textId="77777777" w:rsidR="00870E6F" w:rsidRPr="00462159" w:rsidRDefault="00870E6F" w:rsidP="002C47E0">
            <w:pPr>
              <w:rPr>
                <w:rFonts w:cs="Arial"/>
                <w:szCs w:val="22"/>
              </w:rPr>
            </w:pPr>
            <w:r w:rsidRPr="00462159">
              <w:rPr>
                <w:rFonts w:eastAsia="MS Mincho" w:cs="Arial"/>
                <w:color w:val="000000"/>
                <w:kern w:val="24"/>
                <w:szCs w:val="22"/>
              </w:rPr>
              <w:t>Scenario 3: More Constrained Priors on Reporting, Less Constrained Priors on Screening</w:t>
            </w:r>
          </w:p>
        </w:tc>
        <w:tc>
          <w:tcPr>
            <w:tcW w:w="2891" w:type="dxa"/>
            <w:shd w:val="clear" w:color="auto" w:fill="auto"/>
          </w:tcPr>
          <w:p w14:paraId="54641B5A" w14:textId="77777777" w:rsidR="00870E6F" w:rsidRPr="00462159" w:rsidRDefault="00870E6F" w:rsidP="002C47E0">
            <w:pPr>
              <w:rPr>
                <w:rFonts w:cs="Arial"/>
                <w:szCs w:val="22"/>
              </w:rPr>
            </w:pPr>
            <w:r w:rsidRPr="00462159">
              <w:rPr>
                <w:rFonts w:cs="Arial"/>
                <w:szCs w:val="22"/>
              </w:rPr>
              <w:t>Same as Scenario 1</w:t>
            </w:r>
          </w:p>
        </w:tc>
        <w:tc>
          <w:tcPr>
            <w:tcW w:w="2891" w:type="dxa"/>
            <w:shd w:val="clear" w:color="auto" w:fill="auto"/>
          </w:tcPr>
          <w:p w14:paraId="1F7A234A" w14:textId="77777777" w:rsidR="00870E6F" w:rsidRPr="00462159" w:rsidRDefault="00870E6F" w:rsidP="002C47E0">
            <w:pPr>
              <w:rPr>
                <w:rFonts w:cs="Arial"/>
                <w:szCs w:val="22"/>
              </w:rPr>
            </w:pPr>
            <w:r w:rsidRPr="00462159">
              <w:rPr>
                <w:rFonts w:cs="Arial"/>
                <w:szCs w:val="22"/>
              </w:rPr>
              <w:t>Screening was allowed to decrease, remain stable or increase from 2000 to 2015</w:t>
            </w:r>
          </w:p>
        </w:tc>
      </w:tr>
      <w:tr w:rsidR="00C33ACD" w:rsidRPr="00462159" w14:paraId="198B51ED" w14:textId="77777777" w:rsidTr="00462159">
        <w:tc>
          <w:tcPr>
            <w:tcW w:w="2848" w:type="dxa"/>
            <w:shd w:val="clear" w:color="auto" w:fill="auto"/>
          </w:tcPr>
          <w:p w14:paraId="7C68C1B8" w14:textId="77777777" w:rsidR="00870E6F" w:rsidRPr="00462159" w:rsidRDefault="00870E6F" w:rsidP="00462159">
            <w:pPr>
              <w:pStyle w:val="NormalWeb"/>
              <w:spacing w:before="0" w:beforeAutospacing="0" w:after="0" w:afterAutospacing="0"/>
              <w:rPr>
                <w:rFonts w:ascii="Arial" w:eastAsia="MS Mincho" w:hAnsi="Arial" w:cs="Arial"/>
                <w:color w:val="000000"/>
                <w:kern w:val="24"/>
                <w:szCs w:val="22"/>
              </w:rPr>
            </w:pPr>
            <w:r w:rsidRPr="00462159">
              <w:rPr>
                <w:rFonts w:ascii="Arial" w:eastAsia="MS Mincho" w:hAnsi="Arial" w:cs="Arial"/>
                <w:color w:val="000000"/>
                <w:kern w:val="24"/>
                <w:szCs w:val="22"/>
              </w:rPr>
              <w:t>Scenario 4: Less Constrained Priors on Reporting and Screening</w:t>
            </w:r>
          </w:p>
          <w:p w14:paraId="59DC9931" w14:textId="77777777" w:rsidR="00870E6F" w:rsidRPr="00462159" w:rsidRDefault="00870E6F" w:rsidP="00462159">
            <w:pPr>
              <w:pStyle w:val="NormalWeb"/>
              <w:spacing w:before="0" w:beforeAutospacing="0" w:after="0" w:afterAutospacing="0" w:line="360" w:lineRule="auto"/>
              <w:rPr>
                <w:rFonts w:ascii="Arial" w:hAnsi="Arial" w:cs="Arial"/>
                <w:szCs w:val="22"/>
              </w:rPr>
            </w:pPr>
          </w:p>
        </w:tc>
        <w:tc>
          <w:tcPr>
            <w:tcW w:w="2891" w:type="dxa"/>
            <w:shd w:val="clear" w:color="auto" w:fill="auto"/>
          </w:tcPr>
          <w:p w14:paraId="7EEDD59F" w14:textId="77777777" w:rsidR="00870E6F" w:rsidRPr="00462159" w:rsidRDefault="00870E6F" w:rsidP="002C47E0">
            <w:pPr>
              <w:rPr>
                <w:rFonts w:cs="Arial"/>
                <w:szCs w:val="22"/>
              </w:rPr>
            </w:pPr>
            <w:r w:rsidRPr="00462159">
              <w:rPr>
                <w:rFonts w:cs="Arial"/>
                <w:szCs w:val="22"/>
              </w:rPr>
              <w:t>Same as Scenario 2</w:t>
            </w:r>
          </w:p>
        </w:tc>
        <w:tc>
          <w:tcPr>
            <w:tcW w:w="2891" w:type="dxa"/>
            <w:shd w:val="clear" w:color="auto" w:fill="auto"/>
          </w:tcPr>
          <w:p w14:paraId="05293964" w14:textId="77777777" w:rsidR="00870E6F" w:rsidRPr="00462159" w:rsidRDefault="00870E6F" w:rsidP="002C47E0">
            <w:pPr>
              <w:rPr>
                <w:rFonts w:cs="Arial"/>
                <w:szCs w:val="22"/>
              </w:rPr>
            </w:pPr>
            <w:r w:rsidRPr="00462159">
              <w:rPr>
                <w:rFonts w:cs="Arial"/>
                <w:szCs w:val="22"/>
              </w:rPr>
              <w:t>Same as Scenario 3</w:t>
            </w:r>
          </w:p>
        </w:tc>
      </w:tr>
    </w:tbl>
    <w:p w14:paraId="10D2A51A" w14:textId="77777777" w:rsidR="00870E6F" w:rsidRPr="00462159" w:rsidRDefault="00870E6F" w:rsidP="00870E6F">
      <w:pPr>
        <w:rPr>
          <w:rFonts w:eastAsia="MS Mincho" w:cs="Arial"/>
          <w:color w:val="000000"/>
          <w:kern w:val="24"/>
          <w:szCs w:val="20"/>
        </w:rPr>
      </w:pPr>
    </w:p>
    <w:p w14:paraId="7C148C2A" w14:textId="2216A641" w:rsidR="00870E6F" w:rsidRPr="00761D1C" w:rsidRDefault="00870E6F" w:rsidP="00870E6F">
      <w:pPr>
        <w:rPr>
          <w:rFonts w:cs="Arial"/>
        </w:rPr>
      </w:pPr>
      <w:r w:rsidRPr="00462159">
        <w:rPr>
          <w:rFonts w:eastAsia="MS Mincho" w:cs="Arial"/>
          <w:color w:val="000000"/>
          <w:kern w:val="24"/>
          <w:szCs w:val="20"/>
        </w:rPr>
        <w:t>a) Reporting</w:t>
      </w:r>
      <w:r w:rsidR="00360B71">
        <w:rPr>
          <w:rFonts w:eastAsia="MS Mincho" w:cs="Arial"/>
          <w:color w:val="000000"/>
          <w:kern w:val="24"/>
          <w:szCs w:val="20"/>
        </w:rPr>
        <w:t xml:space="preserve"> completeness</w:t>
      </w:r>
      <w:r w:rsidRPr="00462159">
        <w:rPr>
          <w:rFonts w:eastAsia="MS Mincho" w:cs="Arial"/>
          <w:color w:val="000000"/>
          <w:kern w:val="24"/>
          <w:szCs w:val="20"/>
        </w:rPr>
        <w:t xml:space="preserve"> </w:t>
      </w:r>
      <w:r w:rsidR="00926F84">
        <w:rPr>
          <w:rFonts w:eastAsia="MS Mincho" w:cs="Arial"/>
          <w:color w:val="000000"/>
          <w:kern w:val="24"/>
          <w:szCs w:val="20"/>
        </w:rPr>
        <w:t>(i.e., the percentage of</w:t>
      </w:r>
      <w:r w:rsidR="00360B71">
        <w:rPr>
          <w:rFonts w:eastAsia="MS Mincho" w:cs="Arial"/>
          <w:color w:val="000000"/>
          <w:kern w:val="24"/>
          <w:szCs w:val="20"/>
        </w:rPr>
        <w:t xml:space="preserve"> diagnosed</w:t>
      </w:r>
      <w:r w:rsidR="00926F84">
        <w:rPr>
          <w:rFonts w:eastAsia="MS Mincho" w:cs="Arial"/>
          <w:color w:val="000000"/>
          <w:kern w:val="24"/>
          <w:szCs w:val="20"/>
        </w:rPr>
        <w:t xml:space="preserve"> infections reported as cases</w:t>
      </w:r>
      <w:r w:rsidR="00360B71">
        <w:rPr>
          <w:rFonts w:eastAsia="MS Mincho" w:cs="Arial"/>
          <w:color w:val="000000"/>
          <w:kern w:val="24"/>
          <w:szCs w:val="20"/>
        </w:rPr>
        <w:t xml:space="preserve"> to the national surveillance</w:t>
      </w:r>
      <w:r w:rsidR="00926F84">
        <w:rPr>
          <w:rFonts w:eastAsia="MS Mincho" w:cs="Arial"/>
          <w:color w:val="000000"/>
          <w:kern w:val="24"/>
          <w:szCs w:val="20"/>
        </w:rPr>
        <w:t xml:space="preserve">) </w:t>
      </w:r>
      <w:r w:rsidRPr="00462159">
        <w:rPr>
          <w:rFonts w:eastAsia="MS Mincho" w:cs="Arial"/>
          <w:color w:val="000000"/>
          <w:kern w:val="24"/>
          <w:szCs w:val="20"/>
        </w:rPr>
        <w:t xml:space="preserve">is modeled as a logistic function. </w:t>
      </w:r>
      <w:r w:rsidRPr="00761D1C">
        <w:rPr>
          <w:rFonts w:cs="Arial"/>
        </w:rPr>
        <w:t>Prior parameter for reporting in 2000 was estimated as (</w:t>
      </w:r>
      <w:proofErr w:type="gramStart"/>
      <w:r w:rsidRPr="00761D1C">
        <w:rPr>
          <w:rFonts w:cs="Arial"/>
        </w:rPr>
        <w:t>Beta(</w:t>
      </w:r>
      <w:proofErr w:type="gramEnd"/>
      <w:r w:rsidRPr="00761D1C">
        <w:rPr>
          <w:rFonts w:cs="Arial"/>
        </w:rPr>
        <w:t xml:space="preserve">7,3)/2+0.5) with a median reporting 86% (IQR 80-90%) in Scenarios 1 and 3, and estimated as Beta(7,3) with a median of 71% (IQR 61-80%) in Scenarios 2 and 4. The beta distribution is defined by shape parameters (α,β), IQR: interquartile range.  </w:t>
      </w:r>
    </w:p>
    <w:p w14:paraId="3B523087" w14:textId="77777777" w:rsidR="00870E6F" w:rsidRPr="00761D1C" w:rsidRDefault="00870E6F" w:rsidP="00870E6F">
      <w:pPr>
        <w:rPr>
          <w:rFonts w:cs="Arial"/>
        </w:rPr>
      </w:pPr>
      <w:r w:rsidRPr="00761D1C">
        <w:rPr>
          <w:rFonts w:cs="Arial"/>
        </w:rPr>
        <w:t>b) Screening is modeled as a Bezier function with 4 control points to allow for more flexible time trends (in Web Appendix 1.8</w:t>
      </w:r>
      <w:r w:rsidR="004C6D82">
        <w:rPr>
          <w:rFonts w:cs="Arial"/>
        </w:rPr>
        <w:t xml:space="preserve"> in Rönn </w:t>
      </w:r>
      <w:r w:rsidR="004C6D82" w:rsidRPr="004C6D82">
        <w:rPr>
          <w:rFonts w:cs="Arial"/>
          <w:i/>
          <w:iCs/>
        </w:rPr>
        <w:t>et al.</w:t>
      </w:r>
      <w:r w:rsidR="004C6D82">
        <w:rPr>
          <w:rFonts w:cs="Arial"/>
        </w:rPr>
        <w:t xml:space="preserve"> 2019 </w:t>
      </w:r>
      <w:r w:rsidR="004C6D82">
        <w:rPr>
          <w:rFonts w:cs="Arial"/>
          <w:szCs w:val="22"/>
        </w:rPr>
        <w:fldChar w:fldCharType="begin" w:fldLock="1"/>
      </w:r>
      <w:r w:rsidR="004C6D82">
        <w:rPr>
          <w:rFonts w:cs="Arial"/>
          <w:szCs w:val="22"/>
        </w:rPr>
        <w:instrText>ADDIN CSL_CITATION {"citationItems":[{"id":"ITEM-1","itemData":{"DOI":"10.1093/aje/kwy272","ISSN":"0002-9262","author":[{"dropping-particle":"","family":"Rönn","given":"Minttu M","non-dropping-particle":"","parse-names":false,"suffix":""},{"dropping-particle":"","family":"Tuite","given":"Ashleigh R","non-dropping-particle":"","parse-names":false,"suffix":""},{"dropping-particle":"","family":"Menzies","given":"Nicolas A","non-dropping-particle":"","parse-names":false,"suffix":""},{"dropping-particle":"","family":"Wolf","given":"Emory E","non-dropping-particle":"","parse-names":false,"suffix":""},{"dropping-particle":"","family":"Gift","given":"Thomas L","non-dropping-particle":"","parse-names":false,"suffix":""},{"dropping-particle":"","family":"Chesson","given":"Harrell W","non-dropping-particle":"","parse-names":false,"suffix":""},{"dropping-particle":"","family":"Torrone","given":"Elizabeth","non-dropping-particle":"","parse-names":false,"suffix":""},{"dropping-particle":"","family":"Berruti","given":"Andrés","non-dropping-particle":"","parse-names":false,"suffix":""},{"dropping-particle":"","family":"Mazzola","given":"Emanuele","non-dropping-particle":"","parse-names":false,"suffix":""},{"dropping-particle":"","family":"Galer","given":"Kara","non-dropping-particle":"","parse-names":false,"suffix":""},{"dropping-particle":"","family":"Hsu","given":"Katherine","non-dropping-particle":"","parse-names":false,"suffix":""},{"dropping-particle":"","family":"Salomon","given":"Joshua A","non-dropping-particle":"","parse-names":false,"suffix":""}],"container-title":"American Journal of Epidemiology","id":"ITEM-1","issue":"3","issued":{"date-parts":[["2019","1","4"]]},"page":"545-554","title":"The Impact of Screening and Partner Notification on Chlamydia Prevalence and Numbers of Infections Averted in the United States, 2000–2015: Evaluation of Epidemiologic Trends Using a Pair-Formation Transmission Model","type":"article-journal","volume":"188"},"uris":["http://www.mendeley.com/documents/?uuid=d9865688-c71f-33a8-b252-3b06e769bf31"]}],"mendeley":{"formattedCitation":"&lt;sup&gt;1&lt;/sup&gt;","plainTextFormattedCitation":"1","previouslyFormattedCitation":"&lt;sup&gt;1&lt;/sup&gt;"},"properties":{"noteIndex":0},"schema":"https://github.com/citation-style-language/schema/raw/master/csl-citation.json"}</w:instrText>
      </w:r>
      <w:r w:rsidR="004C6D82">
        <w:rPr>
          <w:rFonts w:cs="Arial"/>
          <w:szCs w:val="22"/>
        </w:rPr>
        <w:fldChar w:fldCharType="separate"/>
      </w:r>
      <w:r w:rsidR="004C6D82" w:rsidRPr="006A7069">
        <w:rPr>
          <w:rFonts w:cs="Arial"/>
          <w:noProof/>
          <w:szCs w:val="22"/>
          <w:vertAlign w:val="superscript"/>
        </w:rPr>
        <w:t>1</w:t>
      </w:r>
      <w:r w:rsidR="004C6D82">
        <w:rPr>
          <w:rFonts w:cs="Arial"/>
          <w:szCs w:val="22"/>
        </w:rPr>
        <w:fldChar w:fldCharType="end"/>
      </w:r>
      <w:r w:rsidRPr="00761D1C">
        <w:rPr>
          <w:rFonts w:cs="Arial"/>
        </w:rPr>
        <w:t>). Changes implemented in the screening priors in the calibration scenarios apply to ages 15–18 years and 19–24 years.</w:t>
      </w:r>
    </w:p>
    <w:p w14:paraId="5B1C7BE4" w14:textId="77777777" w:rsidR="00870E6F" w:rsidRDefault="00870E6F" w:rsidP="00870E6F">
      <w:pPr>
        <w:rPr>
          <w:rFonts w:cs="Arial"/>
        </w:rPr>
      </w:pPr>
    </w:p>
    <w:p w14:paraId="6EC9B34A" w14:textId="77777777" w:rsidR="00870E6F" w:rsidRPr="00761D1C" w:rsidRDefault="00870E6F" w:rsidP="00870E6F">
      <w:pPr>
        <w:rPr>
          <w:rFonts w:cs="Arial"/>
        </w:rPr>
      </w:pPr>
    </w:p>
    <w:p w14:paraId="4AF01970" w14:textId="77777777" w:rsidR="00870E6F" w:rsidRPr="00761D1C" w:rsidRDefault="00870E6F" w:rsidP="00870E6F">
      <w:pPr>
        <w:rPr>
          <w:rFonts w:cs="Arial"/>
        </w:rPr>
        <w:sectPr w:rsidR="00870E6F" w:rsidRPr="00761D1C" w:rsidSect="007D6931">
          <w:pgSz w:w="12240" w:h="15840"/>
          <w:pgMar w:top="1440" w:right="1440" w:bottom="1440" w:left="1440" w:header="720" w:footer="720" w:gutter="0"/>
          <w:cols w:space="720"/>
          <w:docGrid w:linePitch="360"/>
        </w:sectPr>
      </w:pPr>
    </w:p>
    <w:p w14:paraId="780CCBC1" w14:textId="77777777" w:rsidR="00187880" w:rsidRPr="00761D1C" w:rsidRDefault="00187880" w:rsidP="00870E6F">
      <w:pPr>
        <w:rPr>
          <w:rFonts w:cs="Arial"/>
        </w:rPr>
      </w:pPr>
    </w:p>
    <w:p w14:paraId="1DF1A4CD" w14:textId="274B5A8F" w:rsidR="00870E6F" w:rsidRDefault="00870E6F" w:rsidP="00870E6F">
      <w:pPr>
        <w:rPr>
          <w:rFonts w:cs="Arial"/>
        </w:rPr>
      </w:pPr>
      <w:r w:rsidRPr="00EB419E">
        <w:rPr>
          <w:rFonts w:cs="Arial"/>
          <w:b/>
          <w:bCs/>
        </w:rPr>
        <w:t>Figure S1.</w:t>
      </w:r>
      <w:r w:rsidRPr="00761D1C">
        <w:rPr>
          <w:rFonts w:cs="Arial"/>
        </w:rPr>
        <w:t xml:space="preserve"> Proportion of chlamydial tests which were NAATs among </w:t>
      </w:r>
      <w:r w:rsidR="00BE2200">
        <w:rPr>
          <w:rFonts w:cs="Arial"/>
        </w:rPr>
        <w:t xml:space="preserve">women ages </w:t>
      </w:r>
      <w:r w:rsidRPr="00761D1C">
        <w:rPr>
          <w:rFonts w:cs="Arial"/>
        </w:rPr>
        <w:t>15-54 years. Data from the Infertility Prevention Project</w:t>
      </w:r>
    </w:p>
    <w:p w14:paraId="10DDDCF2" w14:textId="77777777" w:rsidR="00414952" w:rsidRPr="00761D1C" w:rsidRDefault="00414952" w:rsidP="00870E6F">
      <w:pPr>
        <w:rPr>
          <w:rFonts w:cs="Arial"/>
        </w:rPr>
      </w:pPr>
    </w:p>
    <w:p w14:paraId="5A4BFF59" w14:textId="77777777" w:rsidR="00870E6F" w:rsidRPr="00761D1C" w:rsidRDefault="00B9547A" w:rsidP="00870E6F">
      <w:pPr>
        <w:rPr>
          <w:rFonts w:cs="Arial"/>
        </w:rPr>
      </w:pPr>
      <w:r>
        <w:rPr>
          <w:noProof/>
        </w:rPr>
        <w:drawing>
          <wp:anchor distT="0" distB="0" distL="114300" distR="114300" simplePos="0" relativeHeight="251653120" behindDoc="1" locked="0" layoutInCell="1" allowOverlap="1" wp14:anchorId="1B49294D" wp14:editId="60C23973">
            <wp:simplePos x="0" y="0"/>
            <wp:positionH relativeFrom="column">
              <wp:posOffset>-15240</wp:posOffset>
            </wp:positionH>
            <wp:positionV relativeFrom="paragraph">
              <wp:posOffset>114300</wp:posOffset>
            </wp:positionV>
            <wp:extent cx="3773805" cy="2830830"/>
            <wp:effectExtent l="0" t="0" r="0" b="0"/>
            <wp:wrapTight wrapText="bothSides">
              <wp:wrapPolygon edited="0">
                <wp:start x="0" y="0"/>
                <wp:lineTo x="0" y="21513"/>
                <wp:lineTo x="21516" y="21513"/>
                <wp:lineTo x="21516" y="0"/>
                <wp:lineTo x="0" y="0"/>
              </wp:wrapPolygon>
            </wp:wrapTight>
            <wp:docPr id="9" name="Picture 2" descr="A close up of a 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map&#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3805" cy="283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FDFFC" w14:textId="77777777" w:rsidR="00870E6F" w:rsidRPr="00761D1C" w:rsidRDefault="00870E6F" w:rsidP="00870E6F">
      <w:pPr>
        <w:widowControl w:val="0"/>
        <w:autoSpaceDE w:val="0"/>
        <w:autoSpaceDN w:val="0"/>
        <w:adjustRightInd w:val="0"/>
        <w:ind w:left="640" w:hanging="640"/>
        <w:rPr>
          <w:rFonts w:cs="Arial"/>
        </w:rPr>
      </w:pPr>
    </w:p>
    <w:p w14:paraId="1A909A8B" w14:textId="77777777" w:rsidR="002C47E0" w:rsidRDefault="002C47E0"/>
    <w:p w14:paraId="388591BA" w14:textId="77777777" w:rsidR="00870E6F" w:rsidRDefault="00870E6F"/>
    <w:p w14:paraId="77344E21" w14:textId="77777777" w:rsidR="00870E6F" w:rsidRDefault="00870E6F"/>
    <w:p w14:paraId="2CA645B8" w14:textId="77777777" w:rsidR="00870E6F" w:rsidRDefault="00870E6F"/>
    <w:p w14:paraId="01CD75E5" w14:textId="77777777" w:rsidR="00870E6F" w:rsidRDefault="00870E6F"/>
    <w:p w14:paraId="423081B2" w14:textId="77777777" w:rsidR="00870E6F" w:rsidRDefault="00870E6F"/>
    <w:p w14:paraId="59EC69A6" w14:textId="77777777" w:rsidR="00870E6F" w:rsidRDefault="00870E6F"/>
    <w:p w14:paraId="5D9DE9EF" w14:textId="77777777" w:rsidR="00870E6F" w:rsidRDefault="00870E6F"/>
    <w:p w14:paraId="0E244D7E" w14:textId="77777777" w:rsidR="00870E6F" w:rsidRDefault="00870E6F"/>
    <w:p w14:paraId="21BDA22F" w14:textId="77777777" w:rsidR="00870E6F" w:rsidRDefault="00870E6F"/>
    <w:p w14:paraId="03039C86" w14:textId="77777777" w:rsidR="00870E6F" w:rsidRDefault="00870E6F"/>
    <w:p w14:paraId="3C98840A" w14:textId="77777777" w:rsidR="00870E6F" w:rsidRDefault="00870E6F"/>
    <w:p w14:paraId="420E58CA" w14:textId="77777777" w:rsidR="00870E6F" w:rsidRDefault="00870E6F"/>
    <w:p w14:paraId="3B71101B" w14:textId="77777777" w:rsidR="00870E6F" w:rsidRDefault="00870E6F"/>
    <w:p w14:paraId="7B83A3A9" w14:textId="77777777" w:rsidR="00870E6F" w:rsidRDefault="00870E6F"/>
    <w:p w14:paraId="042A9205" w14:textId="77777777" w:rsidR="00870E6F" w:rsidRDefault="00870E6F"/>
    <w:p w14:paraId="70307499" w14:textId="77777777" w:rsidR="00870E6F" w:rsidRDefault="00870E6F"/>
    <w:p w14:paraId="607A6380" w14:textId="77777777" w:rsidR="00EA0C95" w:rsidRDefault="00EA0C95">
      <w:pPr>
        <w:sectPr w:rsidR="00EA0C95" w:rsidSect="007D6931">
          <w:pgSz w:w="12240" w:h="15840"/>
          <w:pgMar w:top="1440" w:right="1440" w:bottom="1440" w:left="1440" w:header="720" w:footer="720" w:gutter="0"/>
          <w:cols w:space="720"/>
          <w:docGrid w:linePitch="360"/>
        </w:sectPr>
      </w:pPr>
    </w:p>
    <w:p w14:paraId="32745098" w14:textId="3058F9F8" w:rsidR="00870E6F" w:rsidRDefault="00EA0C95" w:rsidP="00EA0C95">
      <w:pPr>
        <w:pStyle w:val="Heading2"/>
      </w:pPr>
      <w:r>
        <w:lastRenderedPageBreak/>
        <w:t>Utility values</w:t>
      </w:r>
    </w:p>
    <w:p w14:paraId="3344AE49" w14:textId="77777777" w:rsidR="008B4A6A" w:rsidRDefault="008B4A6A" w:rsidP="00870E6F">
      <w:pPr>
        <w:pStyle w:val="ListParagraph"/>
        <w:ind w:left="90"/>
        <w:rPr>
          <w:rFonts w:ascii="Arial" w:hAnsi="Arial" w:cs="Arial"/>
          <w:b/>
          <w:bCs/>
        </w:rPr>
      </w:pPr>
    </w:p>
    <w:p w14:paraId="427F56B2" w14:textId="6BE4A8AC" w:rsidR="008B4A6A" w:rsidRPr="00A3159B" w:rsidRDefault="00EA0C95" w:rsidP="00A3159B">
      <w:pPr>
        <w:rPr>
          <w:rFonts w:cs="Arial"/>
          <w:szCs w:val="22"/>
        </w:rPr>
      </w:pPr>
      <w:r>
        <w:rPr>
          <w:rFonts w:cs="Arial"/>
          <w:szCs w:val="22"/>
        </w:rPr>
        <w:t>Estimation of overall disutility using age-specific background utilities incorporated multiplicatively</w:t>
      </w:r>
      <w:r w:rsidR="00A3159B">
        <w:rPr>
          <w:rFonts w:cs="Arial"/>
          <w:szCs w:val="22"/>
        </w:rPr>
        <w:t>: disutility (d) was calculated</w:t>
      </w:r>
      <w:r w:rsidR="00CC467A">
        <w:rPr>
          <w:rFonts w:cs="Arial"/>
          <w:szCs w:val="22"/>
        </w:rPr>
        <w:t xml:space="preserve"> as</w:t>
      </w:r>
      <w:r w:rsidR="00A3159B">
        <w:rPr>
          <w:rFonts w:cs="Arial"/>
          <w:szCs w:val="22"/>
        </w:rPr>
        <w:t xml:space="preserve"> </w:t>
      </w:r>
      <m:oMath>
        <m:r>
          <w:rPr>
            <w:rFonts w:ascii="Cambria Math" w:hAnsi="Cambria Math" w:cs="Arial"/>
          </w:rPr>
          <m:t>d=a-au</m:t>
        </m:r>
      </m:oMath>
      <w:r w:rsidR="00A3159B">
        <w:rPr>
          <w:rFonts w:cs="Arial"/>
          <w:bCs/>
        </w:rPr>
        <w:t xml:space="preserve">, where a is the age specific background utility and u the sequelae specific utility. </w:t>
      </w:r>
      <w:r w:rsidR="00A3159B">
        <w:rPr>
          <w:rFonts w:cs="Arial"/>
          <w:szCs w:val="22"/>
        </w:rPr>
        <w:t xml:space="preserve">We adopted age-specific background utility </w:t>
      </w:r>
      <w:r w:rsidR="00FA2147">
        <w:rPr>
          <w:rFonts w:cs="Arial"/>
          <w:szCs w:val="22"/>
        </w:rPr>
        <w:t>using the</w:t>
      </w:r>
      <w:r w:rsidR="00A3159B">
        <w:rPr>
          <w:rFonts w:cs="Arial"/>
          <w:szCs w:val="22"/>
        </w:rPr>
        <w:t xml:space="preserve"> </w:t>
      </w:r>
      <w:r w:rsidR="00A3159B" w:rsidRPr="00CC467A">
        <w:rPr>
          <w:rFonts w:cs="Arial"/>
          <w:szCs w:val="22"/>
        </w:rPr>
        <w:t>EQ-5D index scores</w:t>
      </w:r>
      <w:r w:rsidR="00A3159B">
        <w:rPr>
          <w:rFonts w:cs="Arial"/>
          <w:szCs w:val="22"/>
        </w:rPr>
        <w:t xml:space="preserve"> to account for age-related co-morbidity.</w:t>
      </w:r>
      <w:r w:rsidR="00A3159B">
        <w:rPr>
          <w:rFonts w:cs="Arial"/>
          <w:szCs w:val="22"/>
        </w:rPr>
        <w:fldChar w:fldCharType="begin" w:fldLock="1"/>
      </w:r>
      <w:r w:rsidR="00584B7C">
        <w:rPr>
          <w:rFonts w:cs="Arial"/>
          <w:szCs w:val="22"/>
        </w:rPr>
        <w:instrText>ADDIN CSL_CITATION {"citationItems":[{"id":"ITEM-1","itemData":{"DOI":"10.1177/0272989X06290495","ISSN":"0272989X","PMID":"16855129","abstract":"Background. The Panel on Cost-Effectiveness in Health and Medicine has called for an \"off-the-shelf\" catalogue of nationally representative, community-based preference scores for health states, illnesses, and conditions. A previous review of cost-effectiveness analyses found that 77% did not incorporate community-based preferences, and 33% used arbitrary expert or author judgment. These results highlight the necessity of making a wide array of appropriate, community-based estimates more accessible to cost-effectiveness researchers. Objective. To provide nationally representative EQ-5D index scores for chronic ICD-9 codes. Methods. The nationally representative Medical Expenditure Panel Survey (MEPS) was pooled (2000-2002) to create a data set of 38,678 adults. Ordinary least squares (OLS), Tobit, and censored least absolute deviations (CLAD) regression methods were used to estimate the marginal disutility of each condition, controlling for age, comorbidity, gender, race, ethnicity, income, and education. Results. Most chronic conditions, age, comorbidity, income, and education were highly statistically significant predictors of EQ-5D index scores. Homoskedasticity and normality assumptions were rejected, suggesting only CLAD estimates are theoretically unbiased. The magnitude and statistical significance of coefficients varied by analytic method. OLS and Tobit coefficients were on average 60% and 143% greater than CLAD, respectively. The marginal disutility of 95 chronic ICD-9 codes as well as unadjusted mean, median, and 25th and 75th percentiles are reported. Conclusion. This research provides nationally representative, community-based EQ-5D index scores associated with a wide variety of chronic ICD-9 codes that can be used to estimate quality-adjusted life-years in cost-effectiveness analyses.","author":[{"dropping-particle":"","family":"Sullivan","given":"Patrick W.","non-dropping-particle":"","parse-names":false,"suffix":""},{"dropping-particle":"","family":"Ghushchyan","given":"Vahram","non-dropping-particle":"","parse-names":false,"suffix":""}],"container-title":"Medical Decision Making","id":"ITEM-1","issue":"4","issued":{"date-parts":[["2006","7"]]},"page":"410-420","publisher":"Med Decis Making","title":"Preference-based EQ-5D index scores for chronic conditions in the United States","type":"article-journal","volume":"26"},"uris":["http://www.mendeley.com/documents/?uuid=1f385fb3-0862-3764-ba0b-9a8574d05442"]}],"mendeley":{"formattedCitation":"&lt;sup&gt;2&lt;/sup&gt;","plainTextFormattedCitation":"2","previouslyFormattedCitation":"&lt;sup&gt;2&lt;/sup&gt;"},"properties":{"noteIndex":0},"schema":"https://github.com/citation-style-language/schema/raw/master/csl-citation.json"}</w:instrText>
      </w:r>
      <w:r w:rsidR="00A3159B">
        <w:rPr>
          <w:rFonts w:cs="Arial"/>
          <w:szCs w:val="22"/>
        </w:rPr>
        <w:fldChar w:fldCharType="separate"/>
      </w:r>
      <w:r w:rsidR="00A3159B" w:rsidRPr="00A3159B">
        <w:rPr>
          <w:rFonts w:cs="Arial"/>
          <w:noProof/>
          <w:szCs w:val="22"/>
          <w:vertAlign w:val="superscript"/>
        </w:rPr>
        <w:t>2</w:t>
      </w:r>
      <w:r w:rsidR="00A3159B">
        <w:rPr>
          <w:rFonts w:cs="Arial"/>
          <w:szCs w:val="22"/>
        </w:rPr>
        <w:fldChar w:fldCharType="end"/>
      </w:r>
      <w:r w:rsidR="000D28FF">
        <w:rPr>
          <w:rFonts w:cs="Arial"/>
          <w:szCs w:val="22"/>
        </w:rPr>
        <w:t xml:space="preserve"> </w:t>
      </w:r>
    </w:p>
    <w:p w14:paraId="618545AB" w14:textId="77777777" w:rsidR="00EB6737" w:rsidRDefault="00EB6737" w:rsidP="00870E6F">
      <w:pPr>
        <w:pStyle w:val="ListParagraph"/>
        <w:ind w:left="90"/>
        <w:rPr>
          <w:rFonts w:ascii="Arial" w:hAnsi="Arial" w:cs="Arial"/>
          <w:b/>
          <w:bCs/>
        </w:rPr>
      </w:pPr>
    </w:p>
    <w:p w14:paraId="2A2DD164" w14:textId="1716D25D" w:rsidR="00870E6F" w:rsidRPr="00EB419E" w:rsidRDefault="007A6BD4" w:rsidP="00870E6F">
      <w:pPr>
        <w:pStyle w:val="ListParagraph"/>
        <w:ind w:left="90"/>
        <w:rPr>
          <w:rFonts w:ascii="Arial" w:hAnsi="Arial" w:cs="Arial"/>
          <w:sz w:val="22"/>
          <w:szCs w:val="22"/>
        </w:rPr>
      </w:pPr>
      <w:r w:rsidRPr="00EB419E">
        <w:rPr>
          <w:rFonts w:ascii="Arial" w:hAnsi="Arial" w:cs="Arial"/>
          <w:b/>
          <w:bCs/>
          <w:sz w:val="22"/>
          <w:szCs w:val="22"/>
        </w:rPr>
        <w:t>T</w:t>
      </w:r>
      <w:r w:rsidR="00870E6F" w:rsidRPr="00EB419E">
        <w:rPr>
          <w:rFonts w:ascii="Arial" w:hAnsi="Arial" w:cs="Arial"/>
          <w:b/>
          <w:bCs/>
          <w:sz w:val="22"/>
          <w:szCs w:val="22"/>
        </w:rPr>
        <w:t>able</w:t>
      </w:r>
      <w:r w:rsidRPr="00EB419E">
        <w:rPr>
          <w:rFonts w:ascii="Arial" w:hAnsi="Arial" w:cs="Arial"/>
          <w:b/>
          <w:bCs/>
          <w:sz w:val="22"/>
          <w:szCs w:val="22"/>
        </w:rPr>
        <w:t xml:space="preserve"> S2</w:t>
      </w:r>
      <w:r w:rsidR="00EB419E">
        <w:rPr>
          <w:rFonts w:ascii="Arial" w:hAnsi="Arial" w:cs="Arial"/>
          <w:b/>
          <w:bCs/>
          <w:sz w:val="22"/>
          <w:szCs w:val="22"/>
        </w:rPr>
        <w:t>.</w:t>
      </w:r>
      <w:r w:rsidR="00870E6F" w:rsidRPr="00EB419E">
        <w:rPr>
          <w:rFonts w:ascii="Arial" w:hAnsi="Arial" w:cs="Arial"/>
          <w:b/>
          <w:bCs/>
          <w:sz w:val="22"/>
          <w:szCs w:val="22"/>
        </w:rPr>
        <w:t xml:space="preserve"> </w:t>
      </w:r>
      <w:r w:rsidR="004C6D82" w:rsidRPr="004C6D82">
        <w:rPr>
          <w:rFonts w:ascii="Arial" w:hAnsi="Arial" w:cs="Arial"/>
          <w:sz w:val="22"/>
          <w:szCs w:val="22"/>
        </w:rPr>
        <w:t>Utilities from</w:t>
      </w:r>
      <w:r w:rsidR="004C6D82">
        <w:rPr>
          <w:rFonts w:ascii="Arial" w:hAnsi="Arial" w:cs="Arial"/>
          <w:b/>
          <w:bCs/>
          <w:sz w:val="22"/>
          <w:szCs w:val="22"/>
        </w:rPr>
        <w:t xml:space="preserve"> </w:t>
      </w:r>
      <w:r w:rsidR="004C6D82">
        <w:rPr>
          <w:rFonts w:ascii="Arial" w:hAnsi="Arial" w:cs="Arial"/>
          <w:sz w:val="22"/>
          <w:szCs w:val="22"/>
        </w:rPr>
        <w:t>the</w:t>
      </w:r>
      <w:r w:rsidR="00870E6F" w:rsidRPr="00EB419E">
        <w:rPr>
          <w:rFonts w:ascii="Arial" w:hAnsi="Arial" w:cs="Arial"/>
          <w:sz w:val="22"/>
          <w:szCs w:val="22"/>
        </w:rPr>
        <w:t xml:space="preserve"> </w:t>
      </w:r>
      <w:r w:rsidR="004C6D82">
        <w:rPr>
          <w:rFonts w:ascii="Arial" w:hAnsi="Arial" w:cs="Arial"/>
          <w:sz w:val="22"/>
          <w:szCs w:val="22"/>
        </w:rPr>
        <w:t>Global Burden of Disease (</w:t>
      </w:r>
      <w:r w:rsidR="00870E6F" w:rsidRPr="00EB419E">
        <w:rPr>
          <w:rFonts w:ascii="Arial" w:hAnsi="Arial" w:cs="Arial"/>
          <w:sz w:val="22"/>
          <w:szCs w:val="22"/>
        </w:rPr>
        <w:t>GBD</w:t>
      </w:r>
      <w:r w:rsidR="004C6D82">
        <w:rPr>
          <w:rFonts w:ascii="Arial" w:hAnsi="Arial" w:cs="Arial"/>
          <w:sz w:val="22"/>
          <w:szCs w:val="22"/>
        </w:rPr>
        <w:t>) study</w:t>
      </w:r>
      <w:r w:rsidR="004C6D82"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004C6D82" w:rsidRPr="005F24F1">
        <w:rPr>
          <w:rStyle w:val="FootnoteReference"/>
          <w:rFonts w:cs="Arial"/>
          <w:sz w:val="20"/>
          <w:szCs w:val="20"/>
        </w:rPr>
        <w:fldChar w:fldCharType="separate"/>
      </w:r>
      <w:r w:rsidR="00A3159B" w:rsidRPr="00A3159B">
        <w:rPr>
          <w:rFonts w:cs="Arial"/>
          <w:noProof/>
          <w:sz w:val="20"/>
          <w:szCs w:val="20"/>
          <w:vertAlign w:val="superscript"/>
        </w:rPr>
        <w:t>3</w:t>
      </w:r>
      <w:r w:rsidR="004C6D82" w:rsidRPr="005F24F1">
        <w:rPr>
          <w:rStyle w:val="FootnoteReference"/>
          <w:rFonts w:cs="Arial"/>
          <w:sz w:val="20"/>
          <w:szCs w:val="20"/>
        </w:rPr>
        <w:fldChar w:fldCharType="end"/>
      </w:r>
      <w:r w:rsidR="004C6D82">
        <w:rPr>
          <w:rFonts w:ascii="Arial" w:hAnsi="Arial" w:cs="Arial"/>
          <w:sz w:val="22"/>
          <w:szCs w:val="22"/>
        </w:rPr>
        <w:t xml:space="preserve"> used in the sensitivity analyses</w:t>
      </w:r>
    </w:p>
    <w:p w14:paraId="3AC6C44B" w14:textId="77777777" w:rsidR="00870E6F" w:rsidRDefault="00870E6F" w:rsidP="00870E6F">
      <w:pPr>
        <w:pStyle w:val="ListParagraph"/>
        <w:ind w:left="9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809"/>
        <w:gridCol w:w="1706"/>
        <w:gridCol w:w="2334"/>
        <w:gridCol w:w="1366"/>
      </w:tblGrid>
      <w:tr w:rsidR="005F24F1" w:rsidRPr="005F24F1" w14:paraId="475D49D6" w14:textId="77777777" w:rsidTr="00462159">
        <w:tc>
          <w:tcPr>
            <w:tcW w:w="3145" w:type="dxa"/>
            <w:shd w:val="clear" w:color="auto" w:fill="auto"/>
          </w:tcPr>
          <w:p w14:paraId="7665385A" w14:textId="77777777" w:rsidR="00870E6F" w:rsidRPr="005F24F1" w:rsidRDefault="00A84B8D" w:rsidP="00462159">
            <w:pPr>
              <w:spacing w:before="240"/>
              <w:rPr>
                <w:rFonts w:cs="Arial"/>
                <w:b/>
                <w:bCs/>
                <w:sz w:val="20"/>
                <w:szCs w:val="20"/>
              </w:rPr>
            </w:pPr>
            <w:r w:rsidRPr="005F24F1">
              <w:rPr>
                <w:rFonts w:cs="Arial"/>
                <w:b/>
                <w:bCs/>
                <w:sz w:val="20"/>
                <w:szCs w:val="20"/>
              </w:rPr>
              <w:t>Outcome</w:t>
            </w:r>
          </w:p>
        </w:tc>
        <w:tc>
          <w:tcPr>
            <w:tcW w:w="810" w:type="dxa"/>
            <w:shd w:val="clear" w:color="auto" w:fill="auto"/>
          </w:tcPr>
          <w:p w14:paraId="242FBCFF" w14:textId="77777777" w:rsidR="00870E6F" w:rsidRPr="005F24F1" w:rsidRDefault="00870E6F" w:rsidP="00462159">
            <w:pPr>
              <w:spacing w:before="240"/>
              <w:rPr>
                <w:rFonts w:cs="Arial"/>
                <w:sz w:val="20"/>
                <w:szCs w:val="20"/>
              </w:rPr>
            </w:pPr>
            <w:r w:rsidRPr="005F24F1">
              <w:rPr>
                <w:rFonts w:cs="Arial"/>
                <w:sz w:val="20"/>
                <w:szCs w:val="20"/>
              </w:rPr>
              <w:t>Mean</w:t>
            </w:r>
          </w:p>
        </w:tc>
        <w:tc>
          <w:tcPr>
            <w:tcW w:w="1710" w:type="dxa"/>
            <w:shd w:val="clear" w:color="auto" w:fill="auto"/>
          </w:tcPr>
          <w:p w14:paraId="5672567B" w14:textId="77777777" w:rsidR="00870E6F" w:rsidRPr="005F24F1" w:rsidRDefault="00A84B8D" w:rsidP="00462159">
            <w:pPr>
              <w:spacing w:before="240"/>
              <w:rPr>
                <w:rFonts w:cs="Arial"/>
                <w:sz w:val="20"/>
                <w:szCs w:val="20"/>
              </w:rPr>
            </w:pPr>
            <w:r w:rsidRPr="005F24F1">
              <w:rPr>
                <w:rFonts w:cs="Arial"/>
                <w:sz w:val="20"/>
                <w:szCs w:val="20"/>
              </w:rPr>
              <w:t>95% u</w:t>
            </w:r>
            <w:r w:rsidR="00870E6F" w:rsidRPr="005F24F1">
              <w:rPr>
                <w:rFonts w:cs="Arial"/>
                <w:sz w:val="20"/>
                <w:szCs w:val="20"/>
              </w:rPr>
              <w:t>ncertainty Interval</w:t>
            </w:r>
          </w:p>
        </w:tc>
        <w:tc>
          <w:tcPr>
            <w:tcW w:w="2340" w:type="dxa"/>
            <w:shd w:val="clear" w:color="auto" w:fill="auto"/>
          </w:tcPr>
          <w:p w14:paraId="7B6C9056" w14:textId="77777777" w:rsidR="00870E6F" w:rsidRPr="005F24F1" w:rsidRDefault="00870E6F" w:rsidP="00462159">
            <w:pPr>
              <w:spacing w:before="240"/>
              <w:rPr>
                <w:rFonts w:cs="Arial"/>
                <w:sz w:val="20"/>
                <w:szCs w:val="20"/>
              </w:rPr>
            </w:pPr>
            <w:r w:rsidRPr="005F24F1">
              <w:rPr>
                <w:rFonts w:cs="Arial"/>
                <w:sz w:val="20"/>
                <w:szCs w:val="20"/>
              </w:rPr>
              <w:t>Distribution and parameters</w:t>
            </w:r>
          </w:p>
        </w:tc>
        <w:tc>
          <w:tcPr>
            <w:tcW w:w="1285" w:type="dxa"/>
            <w:shd w:val="clear" w:color="auto" w:fill="auto"/>
          </w:tcPr>
          <w:p w14:paraId="0EEA236A" w14:textId="77777777" w:rsidR="00870E6F" w:rsidRPr="005F24F1" w:rsidRDefault="00870E6F" w:rsidP="00462159">
            <w:pPr>
              <w:spacing w:before="240"/>
              <w:rPr>
                <w:rFonts w:cs="Arial"/>
                <w:sz w:val="20"/>
                <w:szCs w:val="20"/>
              </w:rPr>
            </w:pPr>
            <w:r w:rsidRPr="005F24F1">
              <w:rPr>
                <w:rFonts w:cs="Arial"/>
                <w:sz w:val="20"/>
                <w:szCs w:val="20"/>
              </w:rPr>
              <w:t>Reference</w:t>
            </w:r>
          </w:p>
        </w:tc>
      </w:tr>
      <w:tr w:rsidR="005F24F1" w:rsidRPr="005F24F1" w14:paraId="1000C65F" w14:textId="77777777" w:rsidTr="00462159">
        <w:tc>
          <w:tcPr>
            <w:tcW w:w="3145" w:type="dxa"/>
            <w:shd w:val="clear" w:color="auto" w:fill="auto"/>
          </w:tcPr>
          <w:p w14:paraId="60E676A6" w14:textId="77777777" w:rsidR="00870E6F" w:rsidRPr="005F24F1" w:rsidRDefault="00870E6F" w:rsidP="002C47E0">
            <w:pPr>
              <w:rPr>
                <w:rFonts w:cs="Arial"/>
                <w:b/>
                <w:bCs/>
                <w:i/>
                <w:iCs/>
                <w:sz w:val="20"/>
                <w:szCs w:val="20"/>
                <w:u w:val="single"/>
              </w:rPr>
            </w:pPr>
            <w:r w:rsidRPr="005F24F1">
              <w:rPr>
                <w:rFonts w:cs="Arial"/>
                <w:b/>
                <w:bCs/>
                <w:sz w:val="20"/>
                <w:szCs w:val="20"/>
              </w:rPr>
              <w:t>Symptomatic infection (women)</w:t>
            </w:r>
          </w:p>
        </w:tc>
        <w:tc>
          <w:tcPr>
            <w:tcW w:w="810" w:type="dxa"/>
            <w:shd w:val="clear" w:color="auto" w:fill="auto"/>
          </w:tcPr>
          <w:p w14:paraId="0462AB54" w14:textId="77777777" w:rsidR="00870E6F" w:rsidRPr="005F24F1" w:rsidRDefault="00870E6F" w:rsidP="002C47E0">
            <w:pPr>
              <w:rPr>
                <w:rFonts w:cs="Arial"/>
                <w:sz w:val="20"/>
                <w:szCs w:val="20"/>
              </w:rPr>
            </w:pPr>
            <w:r w:rsidRPr="005F24F1">
              <w:rPr>
                <w:rFonts w:cs="Arial"/>
                <w:sz w:val="20"/>
                <w:szCs w:val="20"/>
              </w:rPr>
              <w:t>0.994</w:t>
            </w:r>
          </w:p>
        </w:tc>
        <w:tc>
          <w:tcPr>
            <w:tcW w:w="1710" w:type="dxa"/>
            <w:shd w:val="clear" w:color="auto" w:fill="auto"/>
          </w:tcPr>
          <w:p w14:paraId="58537401" w14:textId="77777777" w:rsidR="00870E6F" w:rsidRPr="005F24F1" w:rsidRDefault="00870E6F" w:rsidP="002C47E0">
            <w:pPr>
              <w:rPr>
                <w:rFonts w:cs="Arial"/>
                <w:sz w:val="20"/>
                <w:szCs w:val="20"/>
              </w:rPr>
            </w:pPr>
            <w:r w:rsidRPr="005F24F1">
              <w:rPr>
                <w:rFonts w:cs="Arial"/>
                <w:sz w:val="20"/>
                <w:szCs w:val="20"/>
              </w:rPr>
              <w:t>0.988</w:t>
            </w:r>
            <w:r w:rsidR="00A84B8D" w:rsidRPr="005F24F1">
              <w:rPr>
                <w:rFonts w:cs="Arial"/>
                <w:sz w:val="20"/>
                <w:szCs w:val="20"/>
              </w:rPr>
              <w:t>-</w:t>
            </w:r>
            <w:r w:rsidRPr="005F24F1">
              <w:rPr>
                <w:rFonts w:cs="Arial"/>
                <w:sz w:val="20"/>
                <w:szCs w:val="20"/>
              </w:rPr>
              <w:t>0.998</w:t>
            </w:r>
          </w:p>
        </w:tc>
        <w:tc>
          <w:tcPr>
            <w:tcW w:w="2340" w:type="dxa"/>
            <w:shd w:val="clear" w:color="auto" w:fill="auto"/>
          </w:tcPr>
          <w:p w14:paraId="149636F0" w14:textId="77777777" w:rsidR="00870E6F" w:rsidRPr="005F24F1" w:rsidRDefault="00870E6F" w:rsidP="002C47E0">
            <w:pPr>
              <w:rPr>
                <w:rFonts w:cs="Arial"/>
                <w:sz w:val="20"/>
                <w:szCs w:val="20"/>
              </w:rPr>
            </w:pPr>
            <w:r w:rsidRPr="005F24F1">
              <w:rPr>
                <w:rFonts w:cs="Arial"/>
                <w:sz w:val="20"/>
                <w:szCs w:val="20"/>
              </w:rPr>
              <w:t>Beta (886.74, 5.35)</w:t>
            </w:r>
          </w:p>
        </w:tc>
        <w:tc>
          <w:tcPr>
            <w:tcW w:w="1285" w:type="dxa"/>
            <w:shd w:val="clear" w:color="auto" w:fill="auto"/>
          </w:tcPr>
          <w:p w14:paraId="61C6503B" w14:textId="262E51A0" w:rsidR="00870E6F" w:rsidRPr="005F24F1" w:rsidRDefault="005F24F1"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3BCFD296" w14:textId="77777777" w:rsidTr="00462159">
        <w:tc>
          <w:tcPr>
            <w:tcW w:w="3145" w:type="dxa"/>
            <w:shd w:val="clear" w:color="auto" w:fill="auto"/>
          </w:tcPr>
          <w:p w14:paraId="08C6E350" w14:textId="77777777" w:rsidR="00870E6F" w:rsidRPr="005F24F1" w:rsidRDefault="00870E6F" w:rsidP="002C47E0">
            <w:pPr>
              <w:rPr>
                <w:rFonts w:cs="Arial"/>
                <w:b/>
                <w:bCs/>
                <w:sz w:val="20"/>
                <w:szCs w:val="20"/>
              </w:rPr>
            </w:pPr>
            <w:r w:rsidRPr="005F24F1">
              <w:rPr>
                <w:rFonts w:cs="Arial"/>
                <w:b/>
                <w:bCs/>
                <w:sz w:val="20"/>
                <w:szCs w:val="20"/>
              </w:rPr>
              <w:t>Symptomatic urethral infection (men)</w:t>
            </w:r>
          </w:p>
        </w:tc>
        <w:tc>
          <w:tcPr>
            <w:tcW w:w="810" w:type="dxa"/>
            <w:shd w:val="clear" w:color="auto" w:fill="auto"/>
          </w:tcPr>
          <w:p w14:paraId="510B1B66" w14:textId="77777777" w:rsidR="00870E6F" w:rsidRPr="005F24F1" w:rsidRDefault="00870E6F" w:rsidP="002C47E0">
            <w:pPr>
              <w:rPr>
                <w:rFonts w:cs="Arial"/>
                <w:sz w:val="20"/>
                <w:szCs w:val="20"/>
              </w:rPr>
            </w:pPr>
            <w:r w:rsidRPr="005F24F1">
              <w:rPr>
                <w:rFonts w:cs="Arial"/>
                <w:sz w:val="20"/>
                <w:szCs w:val="20"/>
              </w:rPr>
              <w:t>0.961</w:t>
            </w:r>
          </w:p>
        </w:tc>
        <w:tc>
          <w:tcPr>
            <w:tcW w:w="1710" w:type="dxa"/>
            <w:shd w:val="clear" w:color="auto" w:fill="auto"/>
          </w:tcPr>
          <w:p w14:paraId="3226FFC2" w14:textId="77777777" w:rsidR="00870E6F" w:rsidRPr="005F24F1" w:rsidRDefault="00870E6F" w:rsidP="002C47E0">
            <w:pPr>
              <w:rPr>
                <w:rFonts w:cs="Arial"/>
                <w:sz w:val="20"/>
                <w:szCs w:val="20"/>
              </w:rPr>
            </w:pPr>
            <w:r w:rsidRPr="005F24F1">
              <w:rPr>
                <w:rFonts w:cs="Arial"/>
                <w:sz w:val="20"/>
                <w:szCs w:val="20"/>
              </w:rPr>
              <w:t>0.946</w:t>
            </w:r>
            <w:r w:rsidR="00A84B8D" w:rsidRPr="005F24F1">
              <w:rPr>
                <w:rFonts w:cs="Arial"/>
                <w:sz w:val="20"/>
                <w:szCs w:val="20"/>
              </w:rPr>
              <w:t>-</w:t>
            </w:r>
            <w:r w:rsidRPr="005F24F1">
              <w:rPr>
                <w:rFonts w:cs="Arial"/>
                <w:sz w:val="20"/>
                <w:szCs w:val="20"/>
              </w:rPr>
              <w:t>0.974</w:t>
            </w:r>
          </w:p>
        </w:tc>
        <w:tc>
          <w:tcPr>
            <w:tcW w:w="2340" w:type="dxa"/>
            <w:shd w:val="clear" w:color="auto" w:fill="auto"/>
          </w:tcPr>
          <w:p w14:paraId="1D2E77F1" w14:textId="77777777" w:rsidR="00870E6F" w:rsidRPr="005F24F1" w:rsidRDefault="00870E6F" w:rsidP="002C47E0">
            <w:pPr>
              <w:rPr>
                <w:rFonts w:cs="Arial"/>
                <w:sz w:val="20"/>
                <w:szCs w:val="20"/>
              </w:rPr>
            </w:pPr>
            <w:r w:rsidRPr="005F24F1">
              <w:rPr>
                <w:rFonts w:cs="Arial"/>
                <w:sz w:val="20"/>
                <w:szCs w:val="20"/>
              </w:rPr>
              <w:t>Beta (740.36, 30.15)</w:t>
            </w:r>
          </w:p>
        </w:tc>
        <w:tc>
          <w:tcPr>
            <w:tcW w:w="1285" w:type="dxa"/>
            <w:shd w:val="clear" w:color="auto" w:fill="auto"/>
          </w:tcPr>
          <w:p w14:paraId="1ABC1073" w14:textId="1FE84B2E" w:rsidR="00870E6F" w:rsidRPr="005F24F1" w:rsidRDefault="00EA771D"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02302D72" w14:textId="77777777" w:rsidTr="00462159">
        <w:tc>
          <w:tcPr>
            <w:tcW w:w="3145" w:type="dxa"/>
            <w:shd w:val="clear" w:color="auto" w:fill="A6A6A6"/>
          </w:tcPr>
          <w:p w14:paraId="2ECE90EC" w14:textId="77777777" w:rsidR="00870E6F" w:rsidRPr="005F24F1" w:rsidRDefault="00870E6F" w:rsidP="002C47E0">
            <w:pPr>
              <w:rPr>
                <w:rFonts w:cs="Arial"/>
                <w:b/>
                <w:bCs/>
                <w:sz w:val="20"/>
                <w:szCs w:val="20"/>
              </w:rPr>
            </w:pPr>
            <w:r w:rsidRPr="005F24F1">
              <w:rPr>
                <w:rFonts w:cs="Arial"/>
                <w:b/>
                <w:bCs/>
                <w:sz w:val="20"/>
                <w:szCs w:val="20"/>
              </w:rPr>
              <w:t>PID utility</w:t>
            </w:r>
          </w:p>
        </w:tc>
        <w:tc>
          <w:tcPr>
            <w:tcW w:w="810" w:type="dxa"/>
            <w:shd w:val="clear" w:color="auto" w:fill="A6A6A6"/>
          </w:tcPr>
          <w:p w14:paraId="459A6BB3" w14:textId="77777777" w:rsidR="00870E6F" w:rsidRPr="005F24F1" w:rsidRDefault="00870E6F" w:rsidP="002C47E0">
            <w:pPr>
              <w:rPr>
                <w:rFonts w:cs="Arial"/>
                <w:sz w:val="20"/>
                <w:szCs w:val="20"/>
              </w:rPr>
            </w:pPr>
            <w:r w:rsidRPr="005F24F1">
              <w:rPr>
                <w:rFonts w:cs="Arial"/>
                <w:sz w:val="20"/>
                <w:szCs w:val="20"/>
              </w:rPr>
              <w:t>0.864</w:t>
            </w:r>
          </w:p>
        </w:tc>
        <w:tc>
          <w:tcPr>
            <w:tcW w:w="1710" w:type="dxa"/>
            <w:shd w:val="clear" w:color="auto" w:fill="A6A6A6"/>
          </w:tcPr>
          <w:p w14:paraId="5022942F" w14:textId="77777777" w:rsidR="00870E6F" w:rsidRPr="005F24F1" w:rsidRDefault="00870E6F" w:rsidP="002C47E0">
            <w:pPr>
              <w:rPr>
                <w:rFonts w:cs="Arial"/>
                <w:sz w:val="20"/>
                <w:szCs w:val="20"/>
              </w:rPr>
            </w:pPr>
            <w:r w:rsidRPr="005F24F1">
              <w:rPr>
                <w:rFonts w:cs="Arial"/>
                <w:sz w:val="20"/>
                <w:szCs w:val="20"/>
              </w:rPr>
              <w:t>0.816</w:t>
            </w:r>
            <w:r w:rsidR="00A84B8D" w:rsidRPr="005F24F1">
              <w:rPr>
                <w:rFonts w:cs="Arial"/>
                <w:sz w:val="20"/>
                <w:szCs w:val="20"/>
              </w:rPr>
              <w:t>-</w:t>
            </w:r>
            <w:r w:rsidRPr="005F24F1">
              <w:rPr>
                <w:rFonts w:cs="Arial"/>
                <w:sz w:val="20"/>
                <w:szCs w:val="20"/>
              </w:rPr>
              <w:t>0.905</w:t>
            </w:r>
          </w:p>
        </w:tc>
        <w:tc>
          <w:tcPr>
            <w:tcW w:w="2340" w:type="dxa"/>
            <w:shd w:val="clear" w:color="auto" w:fill="A6A6A6"/>
          </w:tcPr>
          <w:p w14:paraId="599BA6F7" w14:textId="77777777" w:rsidR="00870E6F" w:rsidRPr="005F24F1" w:rsidRDefault="00870E6F" w:rsidP="002C47E0">
            <w:pPr>
              <w:rPr>
                <w:rFonts w:cs="Arial"/>
                <w:sz w:val="20"/>
                <w:szCs w:val="20"/>
              </w:rPr>
            </w:pPr>
            <w:r w:rsidRPr="005F24F1">
              <w:rPr>
                <w:rFonts w:cs="Arial"/>
                <w:sz w:val="20"/>
                <w:szCs w:val="20"/>
              </w:rPr>
              <w:t>See below</w:t>
            </w:r>
          </w:p>
        </w:tc>
        <w:tc>
          <w:tcPr>
            <w:tcW w:w="1285" w:type="dxa"/>
            <w:shd w:val="clear" w:color="auto" w:fill="A6A6A6"/>
          </w:tcPr>
          <w:p w14:paraId="43612E0B" w14:textId="3330DDEE" w:rsidR="00870E6F" w:rsidRPr="005F24F1" w:rsidRDefault="005F24F1"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Weights","type":"webpage"},"uris":["http://www.mendeley.com/documents/?uuid=a80e2321-4bac-3bba-8b67-b9f30a7b013a"]},{"id":"ITEM-2","itemData":{"DOI":"10.1016/s0029-7844(99)00551-7","ISSN":"0029-7844","PMID":"10711551","abstract":"OBJECTIVE To estimate direct medical costs and average lifetime cost per case of pelvic inflammatory disease (PID). METHODS We estimated the direct medical expenditures for PID and its three major sequelae (chronic pelvic pain, ectopic pregnancy, and infertility) and determined the average lifetime cost of a case of PID and its sequelae. We analyzed 3 years of claims data of privately insured individuals to determine costs, and 3 years of national survey data to determine number of cases of PID, chronic pelvic pain, and ectopic pregnancy. We developed a probability model to determine the average lifetime cost of a case of PID. RESULTS Direct medical expenditures for PID and its sequelae were estimated at $1.88 billion in 1998: $1.06 billion for PID, $166 million for chronic pelvic pain, $295 million for ectopic pregnancy, and $360 million for infertility associated with PID. The expected lifetime cost of a case of PID was $1167 in 1998 dollars. The majority of those costs ($843 per case) represent care for acute PID rather than diagnosis and treatment of sequelae. Approximately 73% of cases will not accrue costs beyond the treatment of acute PID. CONCLUSION The direct medical cost of PID is still substantial. The majority of PID related costs are incurred in the treatment of acute PID. Because most PID-related costs arise in the first year from treatment of acute PID infection, strategies that prevent PID are likely to be cost-effective within a single year.","author":[{"dropping-particle":"","family":"Rein","given":"D B","non-dropping-particle":"","parse-names":false,"suffix":""},{"dropping-particle":"","family":"Kassler","given":"W J","non-dropping-particle":"","parse-names":false,"suffix":""},{"dropping-particle":"","family":"Irwin","given":"K L","non-dropping-particle":"","parse-names":false,"suffix":""},{"dropping-particle":"","family":"Rabiee","given":"L","non-dropping-particle":"","parse-names":false,"suffix":""}],"container-title":"Obstetrics and gynecology","id":"ITEM-2","issue":"3","issued":{"date-parts":[["2000","3"]]},"page":"397-402","title":"Direct medical cost of pelvic inflammatory disease and its sequelae: decreasing, but still substantial.","type":"article-journal","volume":"95"},"uris":["http://www.mendeley.com/documents/?uuid=8aa39a87-9e25-30c0-8eb4-39d12f9540b4"]}],"mendeley":{"formattedCitation":"&lt;sup&gt;3,4&lt;/sup&gt;","plainTextFormattedCitation":"3,4","previouslyFormattedCitation":"&lt;sup&gt;3,4&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3,4</w:t>
            </w:r>
            <w:r w:rsidRPr="005F24F1">
              <w:rPr>
                <w:rStyle w:val="FootnoteReference"/>
                <w:rFonts w:cs="Arial"/>
                <w:sz w:val="20"/>
                <w:szCs w:val="20"/>
              </w:rPr>
              <w:fldChar w:fldCharType="end"/>
            </w:r>
          </w:p>
        </w:tc>
      </w:tr>
      <w:tr w:rsidR="005F24F1" w:rsidRPr="005F24F1" w14:paraId="302060DD" w14:textId="77777777" w:rsidTr="00462159">
        <w:tc>
          <w:tcPr>
            <w:tcW w:w="3145" w:type="dxa"/>
            <w:shd w:val="clear" w:color="auto" w:fill="D9D9D9"/>
          </w:tcPr>
          <w:p w14:paraId="0D4C32E7" w14:textId="77777777" w:rsidR="00870E6F" w:rsidRPr="005F24F1" w:rsidRDefault="00870E6F" w:rsidP="002C47E0">
            <w:pPr>
              <w:rPr>
                <w:rFonts w:cs="Arial"/>
                <w:sz w:val="20"/>
                <w:szCs w:val="20"/>
              </w:rPr>
            </w:pPr>
            <w:r w:rsidRPr="005F24F1">
              <w:rPr>
                <w:rFonts w:cs="Arial"/>
                <w:sz w:val="20"/>
                <w:szCs w:val="20"/>
              </w:rPr>
              <w:t>PID severity (proportion)</w:t>
            </w:r>
          </w:p>
        </w:tc>
        <w:tc>
          <w:tcPr>
            <w:tcW w:w="810" w:type="dxa"/>
            <w:shd w:val="clear" w:color="auto" w:fill="D9D9D9"/>
          </w:tcPr>
          <w:p w14:paraId="3F497C25" w14:textId="77777777" w:rsidR="00870E6F" w:rsidRPr="005F24F1" w:rsidRDefault="00870E6F" w:rsidP="002C47E0">
            <w:pPr>
              <w:rPr>
                <w:rFonts w:cs="Arial"/>
                <w:sz w:val="20"/>
                <w:szCs w:val="20"/>
              </w:rPr>
            </w:pPr>
          </w:p>
        </w:tc>
        <w:tc>
          <w:tcPr>
            <w:tcW w:w="1710" w:type="dxa"/>
            <w:shd w:val="clear" w:color="auto" w:fill="D9D9D9"/>
          </w:tcPr>
          <w:p w14:paraId="012C7911" w14:textId="77777777" w:rsidR="00870E6F" w:rsidRPr="005F24F1" w:rsidRDefault="00870E6F" w:rsidP="002C47E0">
            <w:pPr>
              <w:rPr>
                <w:rFonts w:cs="Arial"/>
                <w:sz w:val="20"/>
                <w:szCs w:val="20"/>
              </w:rPr>
            </w:pPr>
          </w:p>
        </w:tc>
        <w:tc>
          <w:tcPr>
            <w:tcW w:w="2340" w:type="dxa"/>
            <w:shd w:val="clear" w:color="auto" w:fill="D9D9D9"/>
          </w:tcPr>
          <w:p w14:paraId="222D3F5E" w14:textId="77777777" w:rsidR="00870E6F" w:rsidRPr="005F24F1" w:rsidRDefault="00870E6F" w:rsidP="002C47E0">
            <w:pPr>
              <w:rPr>
                <w:rFonts w:cs="Arial"/>
                <w:sz w:val="20"/>
                <w:szCs w:val="20"/>
              </w:rPr>
            </w:pPr>
          </w:p>
        </w:tc>
        <w:tc>
          <w:tcPr>
            <w:tcW w:w="1285" w:type="dxa"/>
            <w:shd w:val="clear" w:color="auto" w:fill="D9D9D9"/>
          </w:tcPr>
          <w:p w14:paraId="3CE4C9D9" w14:textId="77777777" w:rsidR="00870E6F" w:rsidRPr="005F24F1" w:rsidRDefault="00870E6F" w:rsidP="002C47E0">
            <w:pPr>
              <w:rPr>
                <w:rFonts w:cs="Arial"/>
                <w:sz w:val="20"/>
                <w:szCs w:val="20"/>
              </w:rPr>
            </w:pPr>
          </w:p>
        </w:tc>
      </w:tr>
      <w:tr w:rsidR="005F24F1" w:rsidRPr="005F24F1" w14:paraId="5C973CCC" w14:textId="77777777" w:rsidTr="00462159">
        <w:tc>
          <w:tcPr>
            <w:tcW w:w="3145" w:type="dxa"/>
            <w:shd w:val="clear" w:color="auto" w:fill="F2F2F2"/>
          </w:tcPr>
          <w:p w14:paraId="6530C3F7" w14:textId="77777777" w:rsidR="00870E6F" w:rsidRPr="005F24F1" w:rsidRDefault="00870E6F" w:rsidP="00462159">
            <w:pPr>
              <w:ind w:left="360"/>
              <w:rPr>
                <w:rFonts w:cs="Arial"/>
                <w:sz w:val="20"/>
                <w:szCs w:val="20"/>
              </w:rPr>
            </w:pPr>
            <w:r w:rsidRPr="005F24F1">
              <w:rPr>
                <w:rFonts w:cs="Arial"/>
                <w:sz w:val="20"/>
                <w:szCs w:val="20"/>
              </w:rPr>
              <w:t>Moderate PID</w:t>
            </w:r>
          </w:p>
        </w:tc>
        <w:tc>
          <w:tcPr>
            <w:tcW w:w="810" w:type="dxa"/>
            <w:shd w:val="clear" w:color="auto" w:fill="F2F2F2"/>
          </w:tcPr>
          <w:p w14:paraId="1ADAD817" w14:textId="77777777" w:rsidR="00870E6F" w:rsidRPr="005F24F1" w:rsidRDefault="00870E6F" w:rsidP="002C47E0">
            <w:pPr>
              <w:rPr>
                <w:rFonts w:cs="Arial"/>
                <w:sz w:val="20"/>
                <w:szCs w:val="20"/>
              </w:rPr>
            </w:pPr>
            <w:r w:rsidRPr="005F24F1">
              <w:rPr>
                <w:rFonts w:cs="Arial"/>
                <w:sz w:val="20"/>
                <w:szCs w:val="20"/>
              </w:rPr>
              <w:t>0.895</w:t>
            </w:r>
          </w:p>
        </w:tc>
        <w:tc>
          <w:tcPr>
            <w:tcW w:w="1710" w:type="dxa"/>
            <w:shd w:val="clear" w:color="auto" w:fill="F2F2F2"/>
          </w:tcPr>
          <w:p w14:paraId="58A09969" w14:textId="77777777" w:rsidR="00870E6F" w:rsidRPr="005F24F1" w:rsidRDefault="00870E6F" w:rsidP="002C47E0">
            <w:pPr>
              <w:rPr>
                <w:rFonts w:cs="Arial"/>
                <w:sz w:val="20"/>
                <w:szCs w:val="20"/>
              </w:rPr>
            </w:pPr>
            <w:r w:rsidRPr="005F24F1">
              <w:rPr>
                <w:rFonts w:cs="Arial"/>
                <w:sz w:val="20"/>
                <w:szCs w:val="20"/>
              </w:rPr>
              <w:t>0.888</w:t>
            </w:r>
            <w:r w:rsidR="00A84B8D" w:rsidRPr="005F24F1">
              <w:rPr>
                <w:rFonts w:cs="Arial"/>
                <w:sz w:val="20"/>
                <w:szCs w:val="20"/>
              </w:rPr>
              <w:t>-</w:t>
            </w:r>
            <w:r w:rsidRPr="005F24F1">
              <w:rPr>
                <w:rFonts w:cs="Arial"/>
                <w:sz w:val="20"/>
                <w:szCs w:val="20"/>
              </w:rPr>
              <w:t>0.902</w:t>
            </w:r>
          </w:p>
        </w:tc>
        <w:tc>
          <w:tcPr>
            <w:tcW w:w="2340" w:type="dxa"/>
            <w:shd w:val="clear" w:color="auto" w:fill="F2F2F2"/>
          </w:tcPr>
          <w:p w14:paraId="242A2DAF" w14:textId="77777777" w:rsidR="00870E6F" w:rsidRPr="005F24F1" w:rsidRDefault="00870E6F" w:rsidP="002C47E0">
            <w:pPr>
              <w:rPr>
                <w:rFonts w:cs="Arial"/>
                <w:sz w:val="20"/>
                <w:szCs w:val="20"/>
              </w:rPr>
            </w:pPr>
            <w:r w:rsidRPr="005F24F1">
              <w:rPr>
                <w:rFonts w:cs="Arial"/>
                <w:sz w:val="20"/>
                <w:szCs w:val="20"/>
              </w:rPr>
              <w:t>1-severe PID</w:t>
            </w:r>
          </w:p>
        </w:tc>
        <w:tc>
          <w:tcPr>
            <w:tcW w:w="1285" w:type="dxa"/>
            <w:shd w:val="clear" w:color="auto" w:fill="F2F2F2"/>
          </w:tcPr>
          <w:p w14:paraId="01275291" w14:textId="40DBF1F5" w:rsidR="00870E6F" w:rsidRPr="005F24F1" w:rsidRDefault="005F24F1"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{"citationItems":[{"id":"ITEM-1","itemData":{"DOI":"10.1016/s0029-7844(99)00551-7","ISSN":"0029-7844","PMID":"10711551","abstract":"OBJECTIVE To estimate direct medical costs and average lifetime cost per case of pelvic inflammatory disease (PID). METHODS We estimated the direct medical expenditures for PID and its three major sequelae (chronic pelvic pain, ectopic pregnancy, and infertility) and determined the average lifetime cost of a case of PID and its sequelae. We analyzed 3 years of claims data of privately insured individuals to determine costs, and 3 years of national survey data to determine number of cases of PID, chronic pelvic pain, and ectopic pregnancy. We developed a probability model to determine the average lifetime cost of a case of PID. RESULTS Direct medical expenditures for PID and its sequelae were estimated at $1.88 billion in 1998: $1.06 billion for PID, $166 million for chronic pelvic pain, $295 million for ectopic pregnancy, and $360 million for infertility associated with PID. The expected lifetime cost of a case of PID was $1167 in 1998 dollars. The majority of those costs ($843 per case) represent care for acute PID rather than diagnosis and treatment of sequelae. Approximately 73% of cases will not accrue costs beyond the treatment of acute PID. CONCLUSION The direct medical cost of PID is still substantial. The majority of PID related costs are incurred in the treatment of acute PID. Because most PID-related costs arise in the first year from treatment of acute PID infection, strategies that prevent PID are likely to be cost-effective within a single year.","author":[{"dropping-particle":"","family":"Rein","given":"D B","non-dropping-particle":"","parse-names":false,"suffix":""},{"dropping-particle":"","family":"Kassler","given":"W J","non-dropping-particle":"","parse-names":false,"suffix":""},{"dropping-particle":"","family":"Irwin","given":"K L","non-dropping-particle":"","parse-names":false,"suffix":""},{"dropping-particle":"","family":"Rabiee","given":"L","non-dropping-particle":"","parse-names":false,"suffix":""}],"container-title":"Obstetrics and gynecology","id":"ITEM-1","issue":"3","issued":{"date-parts":[["2000","3"]]},"page":"397-402","title":"Direct medical cost of pelvic inflammatory disease and its sequelae: decreasing, but still substantial.","type":"article-journal","volume":"95"},"uris":["http://www.mendeley.com/documents/?uuid=8aa39a87-9e25-30c0-8eb4-39d12f9540b4"]}],"mendeley":{"formattedCitation":"&lt;sup&gt;4&lt;/sup&gt;","plainTextFormattedCitation":"4","previouslyFormattedCitation":"&lt;sup&gt;4&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4</w:t>
            </w:r>
            <w:r>
              <w:rPr>
                <w:rFonts w:cs="Arial"/>
                <w:sz w:val="20"/>
                <w:szCs w:val="20"/>
              </w:rPr>
              <w:fldChar w:fldCharType="end"/>
            </w:r>
          </w:p>
        </w:tc>
      </w:tr>
      <w:tr w:rsidR="005F24F1" w:rsidRPr="005F24F1" w14:paraId="19A17517" w14:textId="77777777" w:rsidTr="00462159">
        <w:tc>
          <w:tcPr>
            <w:tcW w:w="3145" w:type="dxa"/>
            <w:shd w:val="clear" w:color="auto" w:fill="F2F2F2"/>
          </w:tcPr>
          <w:p w14:paraId="310439D3" w14:textId="77777777" w:rsidR="00870E6F" w:rsidRPr="005F24F1" w:rsidRDefault="00870E6F" w:rsidP="00462159">
            <w:pPr>
              <w:ind w:left="360"/>
              <w:rPr>
                <w:rFonts w:cs="Arial"/>
                <w:sz w:val="20"/>
                <w:szCs w:val="20"/>
              </w:rPr>
            </w:pPr>
            <w:r w:rsidRPr="005F24F1">
              <w:rPr>
                <w:rFonts w:cs="Arial"/>
                <w:sz w:val="20"/>
                <w:szCs w:val="20"/>
              </w:rPr>
              <w:t>Severe PID</w:t>
            </w:r>
          </w:p>
        </w:tc>
        <w:tc>
          <w:tcPr>
            <w:tcW w:w="810" w:type="dxa"/>
            <w:shd w:val="clear" w:color="auto" w:fill="F2F2F2"/>
          </w:tcPr>
          <w:p w14:paraId="0A2B1F2F" w14:textId="77777777" w:rsidR="00870E6F" w:rsidRPr="005F24F1" w:rsidRDefault="00870E6F" w:rsidP="002C47E0">
            <w:pPr>
              <w:rPr>
                <w:rFonts w:cs="Arial"/>
                <w:sz w:val="20"/>
                <w:szCs w:val="20"/>
              </w:rPr>
            </w:pPr>
            <w:r w:rsidRPr="005F24F1">
              <w:rPr>
                <w:rFonts w:cs="Arial"/>
                <w:sz w:val="20"/>
                <w:szCs w:val="20"/>
              </w:rPr>
              <w:t>0.105</w:t>
            </w:r>
          </w:p>
        </w:tc>
        <w:tc>
          <w:tcPr>
            <w:tcW w:w="1710" w:type="dxa"/>
            <w:shd w:val="clear" w:color="auto" w:fill="F2F2F2"/>
          </w:tcPr>
          <w:p w14:paraId="33580526" w14:textId="77777777" w:rsidR="00870E6F" w:rsidRPr="005F24F1" w:rsidRDefault="00870E6F" w:rsidP="002C47E0">
            <w:pPr>
              <w:rPr>
                <w:rFonts w:cs="Arial"/>
                <w:sz w:val="20"/>
                <w:szCs w:val="20"/>
              </w:rPr>
            </w:pPr>
            <w:r w:rsidRPr="005F24F1">
              <w:rPr>
                <w:rFonts w:cs="Arial"/>
                <w:sz w:val="20"/>
                <w:szCs w:val="20"/>
              </w:rPr>
              <w:t>0.098</w:t>
            </w:r>
            <w:r w:rsidR="00A84B8D" w:rsidRPr="005F24F1">
              <w:rPr>
                <w:rFonts w:cs="Arial"/>
                <w:sz w:val="20"/>
                <w:szCs w:val="20"/>
              </w:rPr>
              <w:t>-</w:t>
            </w:r>
            <w:r w:rsidRPr="005F24F1">
              <w:rPr>
                <w:rFonts w:cs="Arial"/>
                <w:sz w:val="20"/>
                <w:szCs w:val="20"/>
              </w:rPr>
              <w:t>0.112</w:t>
            </w:r>
          </w:p>
        </w:tc>
        <w:tc>
          <w:tcPr>
            <w:tcW w:w="2340" w:type="dxa"/>
            <w:shd w:val="clear" w:color="auto" w:fill="F2F2F2"/>
          </w:tcPr>
          <w:p w14:paraId="52CA49B0" w14:textId="77777777" w:rsidR="00870E6F" w:rsidRPr="005F24F1" w:rsidRDefault="00870E6F" w:rsidP="002C47E0">
            <w:pPr>
              <w:rPr>
                <w:rFonts w:cs="Arial"/>
                <w:sz w:val="20"/>
                <w:szCs w:val="20"/>
              </w:rPr>
            </w:pPr>
            <w:r w:rsidRPr="005F24F1">
              <w:rPr>
                <w:rFonts w:cs="Arial"/>
                <w:sz w:val="20"/>
                <w:szCs w:val="20"/>
              </w:rPr>
              <w:t>Beta (696.96, 5962.39)</w:t>
            </w:r>
          </w:p>
        </w:tc>
        <w:tc>
          <w:tcPr>
            <w:tcW w:w="1285" w:type="dxa"/>
            <w:shd w:val="clear" w:color="auto" w:fill="F2F2F2"/>
          </w:tcPr>
          <w:p w14:paraId="3579B855" w14:textId="55C1F33B" w:rsidR="00870E6F" w:rsidRPr="005F24F1" w:rsidRDefault="005F24F1"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{"citationItems":[{"id":"ITEM-1","itemData":{"DOI":"10.1016/s0029-7844(99)00551-7","ISSN":"0029-7844","PMID":"10711551","abstract":"OBJECTIVE To estimate direct medical costs and average lifetime cost per case of pelvic inflammatory disease (PID). METHODS We estimated the direct medical expenditures for PID and its three major sequelae (chronic pelvic pain, ectopic pregnancy, and infertility) and determined the average lifetime cost of a case of PID and its sequelae. We analyzed 3 years of claims data of privately insured individuals to determine costs, and 3 years of national survey data to determine number of cases of PID, chronic pelvic pain, and ectopic pregnancy. We developed a probability model to determine the average lifetime cost of a case of PID. RESULTS Direct medical expenditures for PID and its sequelae were estimated at $1.88 billion in 1998: $1.06 billion for PID, $166 million for chronic pelvic pain, $295 million for ectopic pregnancy, and $360 million for infertility associated with PID. The expected lifetime cost of a case of PID was $1167 in 1998 dollars. The majority of those costs ($843 per case) represent care for acute PID rather than diagnosis and treatment of sequelae. Approximately 73% of cases will not accrue costs beyond the treatment of acute PID. CONCLUSION The direct medical cost of PID is still substantial. The majority of PID related costs are incurred in the treatment of acute PID. Because most PID-related costs arise in the first year from treatment of acute PID infection, strategies that prevent PID are likely to be cost-effective within a single year.","author":[{"dropping-particle":"","family":"Rein","given":"D B","non-dropping-particle":"","parse-names":false,"suffix":""},{"dropping-particle":"","family":"Kassler","given":"W J","non-dropping-particle":"","parse-names":false,"suffix":""},{"dropping-particle":"","family":"Irwin","given":"K L","non-dropping-particle":"","parse-names":false,"suffix":""},{"dropping-particle":"","family":"Rabiee","given":"L","non-dropping-particle":"","parse-names":false,"suffix":""}],"container-title":"Obstetrics and gynecology","id":"ITEM-1","issue":"3","issued":{"date-parts":[["2000","3"]]},"page":"397-402","title":"Direct medical cost of pelvic inflammatory disease and its sequelae: decreasing, but still substantial.","type":"article-journal","volume":"95"},"uris":["http://www.mendeley.com/documents/?uuid=8aa39a87-9e25-30c0-8eb4-39d12f9540b4"]}],"mendeley":{"formattedCitation":"&lt;sup&gt;4&lt;/sup&gt;","plainTextFormattedCitation":"4","previouslyFormattedCitation":"&lt;sup&gt;4&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4</w:t>
            </w:r>
            <w:r>
              <w:rPr>
                <w:rFonts w:cs="Arial"/>
                <w:sz w:val="20"/>
                <w:szCs w:val="20"/>
              </w:rPr>
              <w:fldChar w:fldCharType="end"/>
            </w:r>
          </w:p>
        </w:tc>
      </w:tr>
      <w:tr w:rsidR="005F24F1" w:rsidRPr="005F24F1" w14:paraId="48516F1B" w14:textId="77777777" w:rsidTr="00462159">
        <w:tc>
          <w:tcPr>
            <w:tcW w:w="3145" w:type="dxa"/>
            <w:shd w:val="clear" w:color="auto" w:fill="D9D9D9"/>
          </w:tcPr>
          <w:p w14:paraId="6215AF85" w14:textId="77777777" w:rsidR="00870E6F" w:rsidRPr="005F24F1" w:rsidRDefault="00870E6F" w:rsidP="002C47E0">
            <w:pPr>
              <w:rPr>
                <w:rFonts w:cs="Arial"/>
                <w:sz w:val="20"/>
                <w:szCs w:val="20"/>
              </w:rPr>
            </w:pPr>
            <w:r w:rsidRPr="005F24F1">
              <w:rPr>
                <w:rFonts w:cs="Arial"/>
                <w:sz w:val="20"/>
                <w:szCs w:val="20"/>
              </w:rPr>
              <w:t>PID severity (utility)</w:t>
            </w:r>
          </w:p>
        </w:tc>
        <w:tc>
          <w:tcPr>
            <w:tcW w:w="810" w:type="dxa"/>
            <w:shd w:val="clear" w:color="auto" w:fill="D9D9D9"/>
          </w:tcPr>
          <w:p w14:paraId="74FB7C0C" w14:textId="77777777" w:rsidR="00870E6F" w:rsidRPr="005F24F1" w:rsidRDefault="00870E6F" w:rsidP="002C47E0">
            <w:pPr>
              <w:rPr>
                <w:rFonts w:cs="Arial"/>
                <w:sz w:val="20"/>
                <w:szCs w:val="20"/>
              </w:rPr>
            </w:pPr>
          </w:p>
        </w:tc>
        <w:tc>
          <w:tcPr>
            <w:tcW w:w="1710" w:type="dxa"/>
            <w:shd w:val="clear" w:color="auto" w:fill="D9D9D9"/>
          </w:tcPr>
          <w:p w14:paraId="6ED2C66D" w14:textId="77777777" w:rsidR="00870E6F" w:rsidRPr="005F24F1" w:rsidRDefault="00870E6F" w:rsidP="002C47E0">
            <w:pPr>
              <w:rPr>
                <w:rFonts w:cs="Arial"/>
                <w:sz w:val="20"/>
                <w:szCs w:val="20"/>
              </w:rPr>
            </w:pPr>
          </w:p>
        </w:tc>
        <w:tc>
          <w:tcPr>
            <w:tcW w:w="2340" w:type="dxa"/>
            <w:shd w:val="clear" w:color="auto" w:fill="D9D9D9"/>
          </w:tcPr>
          <w:p w14:paraId="27133D5C" w14:textId="77777777" w:rsidR="00870E6F" w:rsidRPr="005F24F1" w:rsidRDefault="00870E6F" w:rsidP="002C47E0">
            <w:pPr>
              <w:rPr>
                <w:rFonts w:cs="Arial"/>
                <w:sz w:val="20"/>
                <w:szCs w:val="20"/>
              </w:rPr>
            </w:pPr>
          </w:p>
        </w:tc>
        <w:tc>
          <w:tcPr>
            <w:tcW w:w="1285" w:type="dxa"/>
            <w:shd w:val="clear" w:color="auto" w:fill="D9D9D9"/>
          </w:tcPr>
          <w:p w14:paraId="2825AC58" w14:textId="77777777" w:rsidR="00870E6F" w:rsidRPr="005F24F1" w:rsidRDefault="00870E6F" w:rsidP="002C47E0">
            <w:pPr>
              <w:rPr>
                <w:rFonts w:cs="Arial"/>
                <w:sz w:val="20"/>
                <w:szCs w:val="20"/>
              </w:rPr>
            </w:pPr>
          </w:p>
        </w:tc>
      </w:tr>
      <w:tr w:rsidR="005F24F1" w:rsidRPr="005F24F1" w14:paraId="4A157B11" w14:textId="77777777" w:rsidTr="00462159">
        <w:tc>
          <w:tcPr>
            <w:tcW w:w="3145" w:type="dxa"/>
            <w:shd w:val="clear" w:color="auto" w:fill="F2F2F2"/>
          </w:tcPr>
          <w:p w14:paraId="77202F0E" w14:textId="77777777" w:rsidR="00870E6F" w:rsidRPr="005F24F1" w:rsidRDefault="00870E6F" w:rsidP="00462159">
            <w:pPr>
              <w:ind w:left="360"/>
              <w:rPr>
                <w:rFonts w:cs="Arial"/>
                <w:sz w:val="20"/>
                <w:szCs w:val="20"/>
              </w:rPr>
            </w:pPr>
            <w:r w:rsidRPr="005F24F1">
              <w:rPr>
                <w:rFonts w:cs="Arial"/>
                <w:sz w:val="20"/>
                <w:szCs w:val="20"/>
              </w:rPr>
              <w:t>Moderate PID</w:t>
            </w:r>
          </w:p>
        </w:tc>
        <w:tc>
          <w:tcPr>
            <w:tcW w:w="810" w:type="dxa"/>
            <w:shd w:val="clear" w:color="auto" w:fill="F2F2F2"/>
          </w:tcPr>
          <w:p w14:paraId="28BA1A88" w14:textId="77777777" w:rsidR="00870E6F" w:rsidRPr="005F24F1" w:rsidRDefault="00870E6F" w:rsidP="002C47E0">
            <w:pPr>
              <w:rPr>
                <w:rFonts w:cs="Arial"/>
                <w:sz w:val="20"/>
                <w:szCs w:val="20"/>
              </w:rPr>
            </w:pPr>
            <w:r w:rsidRPr="005F24F1">
              <w:rPr>
                <w:rFonts w:cs="Arial"/>
                <w:sz w:val="20"/>
                <w:szCs w:val="20"/>
              </w:rPr>
              <w:t>0.886</w:t>
            </w:r>
          </w:p>
        </w:tc>
        <w:tc>
          <w:tcPr>
            <w:tcW w:w="1710" w:type="dxa"/>
            <w:shd w:val="clear" w:color="auto" w:fill="F2F2F2"/>
          </w:tcPr>
          <w:p w14:paraId="0698A35C" w14:textId="77777777" w:rsidR="00870E6F" w:rsidRPr="005F24F1" w:rsidRDefault="00870E6F" w:rsidP="002C47E0">
            <w:pPr>
              <w:rPr>
                <w:rFonts w:cs="Arial"/>
                <w:sz w:val="20"/>
                <w:szCs w:val="20"/>
              </w:rPr>
            </w:pPr>
            <w:r w:rsidRPr="005F24F1">
              <w:rPr>
                <w:rFonts w:cs="Arial"/>
                <w:sz w:val="20"/>
                <w:szCs w:val="20"/>
              </w:rPr>
              <w:t>0.844</w:t>
            </w:r>
            <w:r w:rsidR="00A84B8D" w:rsidRPr="005F24F1">
              <w:rPr>
                <w:rFonts w:cs="Arial"/>
                <w:sz w:val="20"/>
                <w:szCs w:val="20"/>
              </w:rPr>
              <w:t>-</w:t>
            </w:r>
            <w:r w:rsidRPr="005F24F1">
              <w:rPr>
                <w:rFonts w:cs="Arial"/>
                <w:sz w:val="20"/>
                <w:szCs w:val="20"/>
              </w:rPr>
              <w:t>0.924</w:t>
            </w:r>
          </w:p>
        </w:tc>
        <w:tc>
          <w:tcPr>
            <w:tcW w:w="2340" w:type="dxa"/>
            <w:shd w:val="clear" w:color="auto" w:fill="F2F2F2"/>
          </w:tcPr>
          <w:p w14:paraId="28BFACA2" w14:textId="77777777" w:rsidR="00870E6F" w:rsidRPr="005F24F1" w:rsidRDefault="00870E6F" w:rsidP="002C47E0">
            <w:pPr>
              <w:rPr>
                <w:rFonts w:cs="Arial"/>
                <w:sz w:val="20"/>
                <w:szCs w:val="20"/>
              </w:rPr>
            </w:pPr>
            <w:r w:rsidRPr="005F24F1">
              <w:rPr>
                <w:rFonts w:cs="Arial"/>
                <w:sz w:val="20"/>
                <w:szCs w:val="20"/>
              </w:rPr>
              <w:t>Beta (205.24, 26.41)</w:t>
            </w:r>
          </w:p>
        </w:tc>
        <w:tc>
          <w:tcPr>
            <w:tcW w:w="1285" w:type="dxa"/>
            <w:shd w:val="clear" w:color="auto" w:fill="F2F2F2"/>
          </w:tcPr>
          <w:p w14:paraId="5C4E7CC5" w14:textId="09B9980D" w:rsidR="00870E6F" w:rsidRPr="005F24F1" w:rsidRDefault="006A7069"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7B9A5DFA" w14:textId="77777777" w:rsidTr="00462159">
        <w:tc>
          <w:tcPr>
            <w:tcW w:w="3145" w:type="dxa"/>
            <w:shd w:val="clear" w:color="auto" w:fill="F2F2F2"/>
          </w:tcPr>
          <w:p w14:paraId="351F0B6D" w14:textId="77777777" w:rsidR="00870E6F" w:rsidRPr="005F24F1" w:rsidRDefault="00870E6F" w:rsidP="00462159">
            <w:pPr>
              <w:ind w:left="360"/>
              <w:rPr>
                <w:rFonts w:cs="Arial"/>
                <w:sz w:val="20"/>
                <w:szCs w:val="20"/>
              </w:rPr>
            </w:pPr>
            <w:r w:rsidRPr="005F24F1">
              <w:rPr>
                <w:rFonts w:cs="Arial"/>
                <w:sz w:val="20"/>
                <w:szCs w:val="20"/>
              </w:rPr>
              <w:t>Severe PID</w:t>
            </w:r>
          </w:p>
        </w:tc>
        <w:tc>
          <w:tcPr>
            <w:tcW w:w="810" w:type="dxa"/>
            <w:shd w:val="clear" w:color="auto" w:fill="F2F2F2"/>
          </w:tcPr>
          <w:p w14:paraId="03061CAF" w14:textId="77777777" w:rsidR="00870E6F" w:rsidRPr="005F24F1" w:rsidRDefault="00870E6F" w:rsidP="002C47E0">
            <w:pPr>
              <w:rPr>
                <w:rFonts w:cs="Arial"/>
                <w:sz w:val="20"/>
                <w:szCs w:val="20"/>
              </w:rPr>
            </w:pPr>
            <w:r w:rsidRPr="005F24F1">
              <w:rPr>
                <w:rFonts w:cs="Arial"/>
                <w:sz w:val="20"/>
                <w:szCs w:val="20"/>
              </w:rPr>
              <w:t>0.677</w:t>
            </w:r>
          </w:p>
        </w:tc>
        <w:tc>
          <w:tcPr>
            <w:tcW w:w="1710" w:type="dxa"/>
            <w:shd w:val="clear" w:color="auto" w:fill="F2F2F2"/>
          </w:tcPr>
          <w:p w14:paraId="1C870F03" w14:textId="77777777" w:rsidR="00870E6F" w:rsidRPr="005F24F1" w:rsidRDefault="00870E6F" w:rsidP="002C47E0">
            <w:pPr>
              <w:rPr>
                <w:rFonts w:cs="Arial"/>
                <w:sz w:val="20"/>
                <w:szCs w:val="20"/>
              </w:rPr>
            </w:pPr>
            <w:r w:rsidRPr="005F24F1">
              <w:rPr>
                <w:rFonts w:cs="Arial"/>
                <w:sz w:val="20"/>
                <w:szCs w:val="20"/>
              </w:rPr>
              <w:t>0.560</w:t>
            </w:r>
            <w:r w:rsidR="00A84B8D" w:rsidRPr="005F24F1">
              <w:rPr>
                <w:rFonts w:cs="Arial"/>
                <w:sz w:val="20"/>
                <w:szCs w:val="20"/>
              </w:rPr>
              <w:t>-</w:t>
            </w:r>
            <w:r w:rsidRPr="005F24F1">
              <w:rPr>
                <w:rFonts w:cs="Arial"/>
                <w:sz w:val="20"/>
                <w:szCs w:val="20"/>
              </w:rPr>
              <w:t>0.784</w:t>
            </w:r>
          </w:p>
        </w:tc>
        <w:tc>
          <w:tcPr>
            <w:tcW w:w="2340" w:type="dxa"/>
            <w:shd w:val="clear" w:color="auto" w:fill="F2F2F2"/>
          </w:tcPr>
          <w:p w14:paraId="0457AABB" w14:textId="77777777" w:rsidR="00870E6F" w:rsidRPr="005F24F1" w:rsidRDefault="00870E6F" w:rsidP="002C47E0">
            <w:pPr>
              <w:rPr>
                <w:rFonts w:cs="Arial"/>
                <w:sz w:val="20"/>
                <w:szCs w:val="20"/>
              </w:rPr>
            </w:pPr>
            <w:r w:rsidRPr="005F24F1">
              <w:rPr>
                <w:rFonts w:cs="Arial"/>
                <w:sz w:val="20"/>
                <w:szCs w:val="20"/>
              </w:rPr>
              <w:t>Beta (44.97, 21.55)</w:t>
            </w:r>
          </w:p>
        </w:tc>
        <w:tc>
          <w:tcPr>
            <w:tcW w:w="1285" w:type="dxa"/>
            <w:shd w:val="clear" w:color="auto" w:fill="F2F2F2"/>
          </w:tcPr>
          <w:p w14:paraId="323D7ABC" w14:textId="66CE3C52" w:rsidR="00870E6F" w:rsidRPr="005F24F1" w:rsidRDefault="006A7069"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574FEFEA" w14:textId="77777777" w:rsidTr="00462159">
        <w:tc>
          <w:tcPr>
            <w:tcW w:w="3145" w:type="dxa"/>
            <w:shd w:val="clear" w:color="auto" w:fill="A6A6A6"/>
          </w:tcPr>
          <w:p w14:paraId="6C143E4C" w14:textId="77777777" w:rsidR="00870E6F" w:rsidRPr="005F24F1" w:rsidRDefault="00870E6F" w:rsidP="002C47E0">
            <w:pPr>
              <w:rPr>
                <w:rFonts w:cs="Arial"/>
                <w:b/>
                <w:bCs/>
                <w:sz w:val="20"/>
                <w:szCs w:val="20"/>
              </w:rPr>
            </w:pPr>
            <w:r w:rsidRPr="005F24F1">
              <w:rPr>
                <w:rFonts w:cs="Arial"/>
                <w:b/>
                <w:bCs/>
                <w:sz w:val="20"/>
                <w:szCs w:val="20"/>
              </w:rPr>
              <w:t>CPP</w:t>
            </w:r>
          </w:p>
        </w:tc>
        <w:tc>
          <w:tcPr>
            <w:tcW w:w="810" w:type="dxa"/>
            <w:shd w:val="clear" w:color="auto" w:fill="A6A6A6"/>
          </w:tcPr>
          <w:p w14:paraId="5FA6DAD3" w14:textId="77777777" w:rsidR="00870E6F" w:rsidRPr="005F24F1" w:rsidRDefault="00870E6F" w:rsidP="002C47E0">
            <w:pPr>
              <w:rPr>
                <w:rFonts w:cs="Arial"/>
                <w:sz w:val="20"/>
                <w:szCs w:val="20"/>
              </w:rPr>
            </w:pPr>
            <w:r w:rsidRPr="005F24F1">
              <w:rPr>
                <w:rFonts w:cs="Arial"/>
                <w:sz w:val="20"/>
                <w:szCs w:val="20"/>
              </w:rPr>
              <w:t>0.923</w:t>
            </w:r>
          </w:p>
        </w:tc>
        <w:tc>
          <w:tcPr>
            <w:tcW w:w="1710" w:type="dxa"/>
            <w:shd w:val="clear" w:color="auto" w:fill="A6A6A6"/>
          </w:tcPr>
          <w:p w14:paraId="1F25BC2D" w14:textId="77777777" w:rsidR="00870E6F" w:rsidRPr="005F24F1" w:rsidRDefault="00870E6F" w:rsidP="002C47E0">
            <w:pPr>
              <w:rPr>
                <w:rFonts w:cs="Arial"/>
                <w:sz w:val="20"/>
                <w:szCs w:val="20"/>
              </w:rPr>
            </w:pPr>
            <w:r w:rsidRPr="005F24F1">
              <w:rPr>
                <w:rFonts w:cs="Arial"/>
                <w:sz w:val="20"/>
                <w:szCs w:val="20"/>
              </w:rPr>
              <w:t>0.897</w:t>
            </w:r>
            <w:r w:rsidR="00A84B8D" w:rsidRPr="005F24F1">
              <w:rPr>
                <w:rFonts w:cs="Arial"/>
                <w:sz w:val="20"/>
                <w:szCs w:val="20"/>
              </w:rPr>
              <w:t>-</w:t>
            </w:r>
            <w:r w:rsidRPr="005F24F1">
              <w:rPr>
                <w:rFonts w:cs="Arial"/>
                <w:sz w:val="20"/>
                <w:szCs w:val="20"/>
              </w:rPr>
              <w:t>0.945</w:t>
            </w:r>
          </w:p>
        </w:tc>
        <w:tc>
          <w:tcPr>
            <w:tcW w:w="2340" w:type="dxa"/>
            <w:shd w:val="clear" w:color="auto" w:fill="A6A6A6"/>
          </w:tcPr>
          <w:p w14:paraId="05B0D6EE" w14:textId="232F3268" w:rsidR="00870E6F" w:rsidRPr="005F24F1" w:rsidRDefault="00584B7C" w:rsidP="002C47E0">
            <w:pPr>
              <w:rPr>
                <w:rFonts w:cs="Arial"/>
                <w:sz w:val="20"/>
                <w:szCs w:val="20"/>
              </w:rPr>
            </w:pPr>
            <w:r>
              <w:rPr>
                <w:rFonts w:cs="Arial"/>
                <w:sz w:val="20"/>
                <w:szCs w:val="20"/>
              </w:rPr>
              <w:t>See below</w:t>
            </w:r>
          </w:p>
        </w:tc>
        <w:tc>
          <w:tcPr>
            <w:tcW w:w="1285" w:type="dxa"/>
            <w:shd w:val="clear" w:color="auto" w:fill="A6A6A6"/>
          </w:tcPr>
          <w:p w14:paraId="6C320DFF" w14:textId="62E0252A" w:rsidR="00870E6F" w:rsidRPr="005F24F1" w:rsidRDefault="005F24F1"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Weights","type":"webpage"},"uris":["http://www.mendeley.com/documents/?uuid=a80e2321-4bac-3bba-8b67-b9f30a7b013a"]},{"id":"ITEM-2","itemData":{"DOI":"10.1016/s0029-7844(99)00551-7","ISSN":"0029-7844","PMID":"10711551","abstract":"OBJECTIVE To estimate direct medical costs and average lifetime cost per case of pelvic inflammatory disease (PID). METHODS We estimated the direct medical expenditures for PID and its three major sequelae (chronic pelvic pain, ectopic pregnancy, and infertility) and determined the average lifetime cost of a case of PID and its sequelae. We analyzed 3 years of claims data of privately insured individuals to determine costs, and 3 years of national survey data to determine number of cases of PID, chronic pelvic pain, and ectopic pregnancy. We developed a probability model to determine the average lifetime cost of a case of PID. RESULTS Direct medical expenditures for PID and its sequelae were estimated at $1.88 billion in 1998: $1.06 billion for PID, $166 million for chronic pelvic pain, $295 million for ectopic pregnancy, and $360 million for infertility associated with PID. The expected lifetime cost of a case of PID was $1167 in 1998 dollars. The majority of those costs ($843 per case) represent care for acute PID rather than diagnosis and treatment of sequelae. Approximately 73% of cases will not accrue costs beyond the treatment of acute PID. CONCLUSION The direct medical cost of PID is still substantial. The majority of PID related costs are incurred in the treatment of acute PID. Because most PID-related costs arise in the first year from treatment of acute PID infection, strategies that prevent PID are likely to be cost-effective within a single year.","author":[{"dropping-particle":"","family":"Rein","given":"D B","non-dropping-particle":"","parse-names":false,"suffix":""},{"dropping-particle":"","family":"Kassler","given":"W J","non-dropping-particle":"","parse-names":false,"suffix":""},{"dropping-particle":"","family":"Irwin","given":"K L","non-dropping-particle":"","parse-names":false,"suffix":""},{"dropping-particle":"","family":"Rabiee","given":"L","non-dropping-particle":"","parse-names":false,"suffix":""}],"container-title":"Obstetrics and gynecology","id":"ITEM-2","issue":"3","issued":{"date-parts":[["2000","3"]]},"page":"397-402","title":"Direct medical cost of pelvic inflammatory disease and its sequelae: decreasing, but still substantial.","type":"article-journal","volume":"95"},"uris":["http://www.mendeley.com/documents/?uuid=8aa39a87-9e25-30c0-8eb4-39d12f9540b4"]}],"mendeley":{"formattedCitation":"&lt;sup&gt;3,4&lt;/sup&gt;","plainTextFormattedCitation":"3,4","previouslyFormattedCitation":"&lt;sup&gt;3,4&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3,4</w:t>
            </w:r>
            <w:r w:rsidRPr="005F24F1">
              <w:rPr>
                <w:rStyle w:val="FootnoteReference"/>
                <w:rFonts w:cs="Arial"/>
                <w:sz w:val="20"/>
                <w:szCs w:val="20"/>
              </w:rPr>
              <w:fldChar w:fldCharType="end"/>
            </w:r>
          </w:p>
        </w:tc>
      </w:tr>
      <w:tr w:rsidR="005F24F1" w:rsidRPr="005F24F1" w14:paraId="7D8E4E49" w14:textId="77777777" w:rsidTr="00462159">
        <w:tc>
          <w:tcPr>
            <w:tcW w:w="3145" w:type="dxa"/>
            <w:shd w:val="clear" w:color="auto" w:fill="D9D9D9"/>
          </w:tcPr>
          <w:p w14:paraId="30B3BCA6" w14:textId="77777777" w:rsidR="00870E6F" w:rsidRPr="005F24F1" w:rsidRDefault="00870E6F" w:rsidP="002C47E0">
            <w:pPr>
              <w:rPr>
                <w:rFonts w:cs="Arial"/>
                <w:sz w:val="20"/>
                <w:szCs w:val="20"/>
              </w:rPr>
            </w:pPr>
            <w:r w:rsidRPr="005F24F1">
              <w:rPr>
                <w:rFonts w:cs="Arial"/>
                <w:sz w:val="20"/>
                <w:szCs w:val="20"/>
              </w:rPr>
              <w:t>CPP severity (proportion)</w:t>
            </w:r>
          </w:p>
        </w:tc>
        <w:tc>
          <w:tcPr>
            <w:tcW w:w="810" w:type="dxa"/>
            <w:shd w:val="clear" w:color="auto" w:fill="D9D9D9"/>
          </w:tcPr>
          <w:p w14:paraId="7A590192" w14:textId="77777777" w:rsidR="00870E6F" w:rsidRPr="005F24F1" w:rsidRDefault="00870E6F" w:rsidP="002C47E0">
            <w:pPr>
              <w:rPr>
                <w:rFonts w:cs="Arial"/>
                <w:sz w:val="20"/>
                <w:szCs w:val="20"/>
              </w:rPr>
            </w:pPr>
          </w:p>
        </w:tc>
        <w:tc>
          <w:tcPr>
            <w:tcW w:w="1710" w:type="dxa"/>
            <w:shd w:val="clear" w:color="auto" w:fill="D9D9D9"/>
          </w:tcPr>
          <w:p w14:paraId="439E3301" w14:textId="77777777" w:rsidR="00870E6F" w:rsidRPr="005F24F1" w:rsidRDefault="00870E6F" w:rsidP="002C47E0">
            <w:pPr>
              <w:rPr>
                <w:rFonts w:cs="Arial"/>
                <w:sz w:val="20"/>
                <w:szCs w:val="20"/>
              </w:rPr>
            </w:pPr>
          </w:p>
        </w:tc>
        <w:tc>
          <w:tcPr>
            <w:tcW w:w="2340" w:type="dxa"/>
            <w:shd w:val="clear" w:color="auto" w:fill="D9D9D9"/>
          </w:tcPr>
          <w:p w14:paraId="271775AC" w14:textId="77777777" w:rsidR="00870E6F" w:rsidRPr="005F24F1" w:rsidRDefault="00870E6F" w:rsidP="002C47E0">
            <w:pPr>
              <w:rPr>
                <w:rFonts w:cs="Arial"/>
                <w:sz w:val="20"/>
                <w:szCs w:val="20"/>
              </w:rPr>
            </w:pPr>
          </w:p>
        </w:tc>
        <w:tc>
          <w:tcPr>
            <w:tcW w:w="1285" w:type="dxa"/>
            <w:shd w:val="clear" w:color="auto" w:fill="D9D9D9"/>
          </w:tcPr>
          <w:p w14:paraId="4A0A05D3" w14:textId="77777777" w:rsidR="00870E6F" w:rsidRPr="005F24F1" w:rsidRDefault="00870E6F" w:rsidP="002C47E0">
            <w:pPr>
              <w:rPr>
                <w:rFonts w:cs="Arial"/>
                <w:sz w:val="20"/>
                <w:szCs w:val="20"/>
              </w:rPr>
            </w:pPr>
          </w:p>
        </w:tc>
      </w:tr>
      <w:tr w:rsidR="005F24F1" w:rsidRPr="005F24F1" w14:paraId="73564E2C" w14:textId="77777777" w:rsidTr="00462159">
        <w:tc>
          <w:tcPr>
            <w:tcW w:w="3145" w:type="dxa"/>
            <w:shd w:val="clear" w:color="auto" w:fill="F2F2F2"/>
          </w:tcPr>
          <w:p w14:paraId="575E302B" w14:textId="77777777" w:rsidR="00870E6F" w:rsidRPr="005F24F1" w:rsidRDefault="00870E6F" w:rsidP="00462159">
            <w:pPr>
              <w:ind w:left="360"/>
              <w:rPr>
                <w:rFonts w:cs="Arial"/>
                <w:sz w:val="20"/>
                <w:szCs w:val="20"/>
              </w:rPr>
            </w:pPr>
            <w:r w:rsidRPr="005F24F1">
              <w:rPr>
                <w:rFonts w:cs="Arial"/>
                <w:sz w:val="20"/>
                <w:szCs w:val="20"/>
              </w:rPr>
              <w:t>Mild CPP</w:t>
            </w:r>
          </w:p>
        </w:tc>
        <w:tc>
          <w:tcPr>
            <w:tcW w:w="810" w:type="dxa"/>
            <w:shd w:val="clear" w:color="auto" w:fill="F2F2F2"/>
          </w:tcPr>
          <w:p w14:paraId="536ABFF4" w14:textId="77777777" w:rsidR="00870E6F" w:rsidRPr="005F24F1" w:rsidRDefault="00870E6F" w:rsidP="002C47E0">
            <w:pPr>
              <w:rPr>
                <w:rFonts w:cs="Arial"/>
                <w:sz w:val="20"/>
                <w:szCs w:val="20"/>
              </w:rPr>
            </w:pPr>
            <w:r w:rsidRPr="005F24F1">
              <w:rPr>
                <w:rFonts w:cs="Arial"/>
                <w:sz w:val="20"/>
                <w:szCs w:val="20"/>
              </w:rPr>
              <w:t>0.472</w:t>
            </w:r>
          </w:p>
        </w:tc>
        <w:tc>
          <w:tcPr>
            <w:tcW w:w="1710" w:type="dxa"/>
            <w:shd w:val="clear" w:color="auto" w:fill="F2F2F2"/>
          </w:tcPr>
          <w:p w14:paraId="4152E7C8" w14:textId="77777777" w:rsidR="00870E6F" w:rsidRPr="005F24F1" w:rsidRDefault="00870E6F" w:rsidP="002C47E0">
            <w:pPr>
              <w:rPr>
                <w:rFonts w:cs="Arial"/>
                <w:sz w:val="20"/>
                <w:szCs w:val="20"/>
              </w:rPr>
            </w:pPr>
            <w:r w:rsidRPr="005F24F1">
              <w:rPr>
                <w:rFonts w:cs="Arial"/>
                <w:sz w:val="20"/>
                <w:szCs w:val="20"/>
              </w:rPr>
              <w:t>0.470</w:t>
            </w:r>
            <w:r w:rsidR="00A84B8D" w:rsidRPr="005F24F1">
              <w:rPr>
                <w:rFonts w:cs="Arial"/>
                <w:sz w:val="20"/>
                <w:szCs w:val="20"/>
              </w:rPr>
              <w:t>-</w:t>
            </w:r>
            <w:r w:rsidRPr="005F24F1">
              <w:rPr>
                <w:rFonts w:cs="Arial"/>
                <w:sz w:val="20"/>
                <w:szCs w:val="20"/>
              </w:rPr>
              <w:t>0.474</w:t>
            </w:r>
          </w:p>
        </w:tc>
        <w:tc>
          <w:tcPr>
            <w:tcW w:w="2340" w:type="dxa"/>
            <w:shd w:val="clear" w:color="auto" w:fill="F2F2F2"/>
          </w:tcPr>
          <w:p w14:paraId="2492ABF7" w14:textId="77777777" w:rsidR="00870E6F" w:rsidRPr="005F24F1" w:rsidRDefault="00870E6F" w:rsidP="002C47E0">
            <w:pPr>
              <w:rPr>
                <w:rFonts w:cs="Arial"/>
                <w:sz w:val="20"/>
                <w:szCs w:val="20"/>
              </w:rPr>
            </w:pPr>
            <w:r w:rsidRPr="005F24F1">
              <w:rPr>
                <w:rFonts w:cs="Arial"/>
                <w:sz w:val="20"/>
                <w:szCs w:val="20"/>
              </w:rPr>
              <w:t>0.5*(1-severe CPP)</w:t>
            </w:r>
          </w:p>
        </w:tc>
        <w:tc>
          <w:tcPr>
            <w:tcW w:w="1285" w:type="dxa"/>
            <w:shd w:val="clear" w:color="auto" w:fill="F2F2F2"/>
          </w:tcPr>
          <w:p w14:paraId="29DBE113" w14:textId="1E47F921" w:rsidR="00870E6F" w:rsidRPr="005F24F1" w:rsidRDefault="006A7069" w:rsidP="002C47E0">
            <w:pPr>
              <w:rPr>
                <w:rFonts w:cs="Arial"/>
                <w:sz w:val="20"/>
                <w:szCs w:val="20"/>
              </w:rPr>
            </w:pPr>
            <w:r w:rsidRPr="005F24F1">
              <w:rPr>
                <w:rFonts w:cs="Arial"/>
                <w:sz w:val="20"/>
                <w:szCs w:val="20"/>
              </w:rPr>
              <w:fldChar w:fldCharType="begin" w:fldLock="1"/>
            </w:r>
            <w:r w:rsidR="00584B7C">
              <w:rPr>
                <w:rFonts w:cs="Arial"/>
                <w:sz w:val="20"/>
                <w:szCs w:val="20"/>
              </w:rPr>
              <w:instrText>ADDIN CSL_CITATION {"citationItems":[{"id":"ITEM-1","itemData":{"DOI":"10.1016/s0029-7844(99)00551-7","ISSN":"0029-7844","PMID":"10711551","abstract":"OBJECTIVE To estimate direct medical costs and average lifetime cost per case of pelvic inflammatory disease (PID). METHODS We estimated the direct medical expenditures for PID and its three major sequelae (chronic pelvic pain, ectopic pregnancy, and infertility) and determined the average lifetime cost of a case of PID and its sequelae. We analyzed 3 years of claims data of privately insured individuals to determine costs, and 3 years of national survey data to determine number of cases of PID, chronic pelvic pain, and ectopic pregnancy. We developed a probability model to determine the average lifetime cost of a case of PID. RESULTS Direct medical expenditures for PID and its sequelae were estimated at $1.88 billion in 1998: $1.06 billion for PID, $166 million for chronic pelvic pain, $295 million for ectopic pregnancy, and $360 million for infertility associated with PID. The expected lifetime cost of a case of PID was $1167 in 1998 dollars. The majority of those costs ($843 per case) represent care for acute PID rather than diagnosis and treatment of sequelae. Approximately 73% of cases will not accrue costs beyond the treatment of acute PID. CONCLUSION The direct medical cost of PID is still substantial. The majority of PID related costs are incurred in the treatment of acute PID. Because most PID-related costs arise in the first year from treatment of acute PID infection, strategies that prevent PID are likely to be cost-effective within a single year.","author":[{"dropping-particle":"","family":"Rein","given":"D B","non-dropping-particle":"","parse-names":false,"suffix":""},{"dropping-particle":"","family":"Kassler","given":"W J","non-dropping-particle":"","parse-names":false,"suffix":""},{"dropping-particle":"","family":"Irwin","given":"K L","non-dropping-particle":"","parse-names":false,"suffix":""},{"dropping-particle":"","family":"Rabiee","given":"L","non-dropping-particle":"","parse-names":false,"suffix":""}],"container-title":"Obstetrics and gynecology","id":"ITEM-1","issue":"3","issued":{"date-parts":[["2000","3"]]},"page":"397-402","title":"Direct medical cost of pelvic inflammatory disease and its sequelae: decreasing, but still substantial.","type":"article-journal","volume":"95"},"uris":["http://www.mendeley.com/documents/?uuid=8aa39a87-9e25-30c0-8eb4-39d12f9540b4"]}],"mendeley":{"formattedCitation":"&lt;sup&gt;4&lt;/sup&gt;","plainTextFormattedCitation":"4","previouslyFormattedCitation":"&lt;sup&gt;4&lt;/sup&gt;"},"properties":{"noteIndex":0},"schema":"https://github.com/citation-style-language/schema/raw/master/csl-citation.json"}</w:instrText>
            </w:r>
            <w:r w:rsidRPr="005F24F1">
              <w:rPr>
                <w:rFonts w:cs="Arial"/>
                <w:sz w:val="20"/>
                <w:szCs w:val="20"/>
              </w:rPr>
              <w:fldChar w:fldCharType="separate"/>
            </w:r>
            <w:r w:rsidR="00A3159B" w:rsidRPr="00A3159B">
              <w:rPr>
                <w:rFonts w:cs="Arial"/>
                <w:noProof/>
                <w:sz w:val="20"/>
                <w:szCs w:val="20"/>
                <w:vertAlign w:val="superscript"/>
              </w:rPr>
              <w:t>4</w:t>
            </w:r>
            <w:r w:rsidRPr="005F24F1">
              <w:rPr>
                <w:rFonts w:cs="Arial"/>
                <w:sz w:val="20"/>
                <w:szCs w:val="20"/>
              </w:rPr>
              <w:fldChar w:fldCharType="end"/>
            </w:r>
          </w:p>
        </w:tc>
      </w:tr>
      <w:tr w:rsidR="005F24F1" w:rsidRPr="005F24F1" w14:paraId="48B5BB57" w14:textId="77777777" w:rsidTr="00462159">
        <w:tc>
          <w:tcPr>
            <w:tcW w:w="3145" w:type="dxa"/>
            <w:shd w:val="clear" w:color="auto" w:fill="F2F2F2"/>
          </w:tcPr>
          <w:p w14:paraId="5101D7A2" w14:textId="77777777" w:rsidR="00870E6F" w:rsidRPr="005F24F1" w:rsidRDefault="00870E6F" w:rsidP="00462159">
            <w:pPr>
              <w:ind w:left="360"/>
              <w:rPr>
                <w:rFonts w:cs="Arial"/>
                <w:sz w:val="20"/>
                <w:szCs w:val="20"/>
              </w:rPr>
            </w:pPr>
            <w:r w:rsidRPr="005F24F1">
              <w:rPr>
                <w:rFonts w:cs="Arial"/>
                <w:sz w:val="20"/>
                <w:szCs w:val="20"/>
              </w:rPr>
              <w:t>Moderate CPP</w:t>
            </w:r>
          </w:p>
        </w:tc>
        <w:tc>
          <w:tcPr>
            <w:tcW w:w="810" w:type="dxa"/>
            <w:shd w:val="clear" w:color="auto" w:fill="F2F2F2"/>
          </w:tcPr>
          <w:p w14:paraId="4EBA4030" w14:textId="77777777" w:rsidR="00870E6F" w:rsidRPr="005F24F1" w:rsidRDefault="00870E6F" w:rsidP="002C47E0">
            <w:pPr>
              <w:rPr>
                <w:rFonts w:cs="Arial"/>
                <w:sz w:val="20"/>
                <w:szCs w:val="20"/>
              </w:rPr>
            </w:pPr>
            <w:r w:rsidRPr="005F24F1">
              <w:rPr>
                <w:rFonts w:cs="Arial"/>
                <w:sz w:val="20"/>
                <w:szCs w:val="20"/>
              </w:rPr>
              <w:t>0.472</w:t>
            </w:r>
          </w:p>
        </w:tc>
        <w:tc>
          <w:tcPr>
            <w:tcW w:w="1710" w:type="dxa"/>
            <w:shd w:val="clear" w:color="auto" w:fill="F2F2F2"/>
          </w:tcPr>
          <w:p w14:paraId="5A3D3F36" w14:textId="77777777" w:rsidR="00870E6F" w:rsidRPr="005F24F1" w:rsidRDefault="00870E6F" w:rsidP="002C47E0">
            <w:pPr>
              <w:rPr>
                <w:rFonts w:cs="Arial"/>
                <w:sz w:val="20"/>
                <w:szCs w:val="20"/>
              </w:rPr>
            </w:pPr>
            <w:r w:rsidRPr="005F24F1">
              <w:rPr>
                <w:rFonts w:cs="Arial"/>
                <w:sz w:val="20"/>
                <w:szCs w:val="20"/>
              </w:rPr>
              <w:t>0.470</w:t>
            </w:r>
            <w:r w:rsidR="00A84B8D" w:rsidRPr="005F24F1">
              <w:rPr>
                <w:rFonts w:cs="Arial"/>
                <w:sz w:val="20"/>
                <w:szCs w:val="20"/>
              </w:rPr>
              <w:t>-</w:t>
            </w:r>
            <w:r w:rsidRPr="005F24F1">
              <w:rPr>
                <w:rFonts w:cs="Arial"/>
                <w:sz w:val="20"/>
                <w:szCs w:val="20"/>
              </w:rPr>
              <w:t>0.474</w:t>
            </w:r>
          </w:p>
        </w:tc>
        <w:tc>
          <w:tcPr>
            <w:tcW w:w="2340" w:type="dxa"/>
            <w:shd w:val="clear" w:color="auto" w:fill="F2F2F2"/>
          </w:tcPr>
          <w:p w14:paraId="7AAEE948" w14:textId="77777777" w:rsidR="00870E6F" w:rsidRPr="005F24F1" w:rsidRDefault="00870E6F" w:rsidP="002C47E0">
            <w:pPr>
              <w:rPr>
                <w:rFonts w:cs="Arial"/>
                <w:sz w:val="20"/>
                <w:szCs w:val="20"/>
              </w:rPr>
            </w:pPr>
            <w:r w:rsidRPr="005F24F1">
              <w:rPr>
                <w:rFonts w:cs="Arial"/>
                <w:sz w:val="20"/>
                <w:szCs w:val="20"/>
              </w:rPr>
              <w:t>0.5*(1-severe CPP)</w:t>
            </w:r>
          </w:p>
        </w:tc>
        <w:tc>
          <w:tcPr>
            <w:tcW w:w="1285" w:type="dxa"/>
            <w:shd w:val="clear" w:color="auto" w:fill="F2F2F2"/>
          </w:tcPr>
          <w:p w14:paraId="23387A3A" w14:textId="020F959A" w:rsidR="00870E6F" w:rsidRPr="005F24F1" w:rsidRDefault="006A7069" w:rsidP="002C47E0">
            <w:pPr>
              <w:rPr>
                <w:rFonts w:cs="Arial"/>
                <w:sz w:val="20"/>
                <w:szCs w:val="20"/>
              </w:rPr>
            </w:pPr>
            <w:r w:rsidRPr="005F24F1">
              <w:rPr>
                <w:rFonts w:cs="Arial"/>
                <w:sz w:val="20"/>
                <w:szCs w:val="20"/>
              </w:rPr>
              <w:fldChar w:fldCharType="begin" w:fldLock="1"/>
            </w:r>
            <w:r w:rsidR="00584B7C">
              <w:rPr>
                <w:rFonts w:cs="Arial"/>
                <w:sz w:val="20"/>
                <w:szCs w:val="20"/>
              </w:rPr>
              <w:instrText>ADDIN CSL_CITATION {"citationItems":[{"id":"ITEM-1","itemData":{"DOI":"10.1016/s0029-7844(99)00551-7","ISSN":"0029-7844","PMID":"10711551","abstract":"OBJECTIVE To estimate direct medical costs and average lifetime cost per case of pelvic inflammatory disease (PID). METHODS We estimated the direct medical expenditures for PID and its three major sequelae (chronic pelvic pain, ectopic pregnancy, and infertility) and determined the average lifetime cost of a case of PID and its sequelae. We analyzed 3 years of claims data of privately insured individuals to determine costs, and 3 years of national survey data to determine number of cases of PID, chronic pelvic pain, and ectopic pregnancy. We developed a probability model to determine the average lifetime cost of a case of PID. RESULTS Direct medical expenditures for PID and its sequelae were estimated at $1.88 billion in 1998: $1.06 billion for PID, $166 million for chronic pelvic pain, $295 million for ectopic pregnancy, and $360 million for infertility associated with PID. The expected lifetime cost of a case of PID was $1167 in 1998 dollars. The majority of those costs ($843 per case) represent care for acute PID rather than diagnosis and treatment of sequelae. Approximately 73% of cases will not accrue costs beyond the treatment of acute PID. CONCLUSION The direct medical cost of PID is still substantial. The majority of PID related costs are incurred in the treatment of acute PID. Because most PID-related costs arise in the first year from treatment of acute PID infection, strategies that prevent PID are likely to be cost-effective within a single year.","author":[{"dropping-particle":"","family":"Rein","given":"D B","non-dropping-particle":"","parse-names":false,"suffix":""},{"dropping-particle":"","family":"Kassler","given":"W J","non-dropping-particle":"","parse-names":false,"suffix":""},{"dropping-particle":"","family":"Irwin","given":"K L","non-dropping-particle":"","parse-names":false,"suffix":""},{"dropping-particle":"","family":"Rabiee","given":"L","non-dropping-particle":"","parse-names":false,"suffix":""}],"container-title":"Obstetrics and gynecology","id":"ITEM-1","issue":"3","issued":{"date-parts":[["2000","3"]]},"page":"397-402","title":"Direct medical cost of pelvic inflammatory disease and its sequelae: decreasing, but still substantial.","type":"article-journal","volume":"95"},"uris":["http://www.mendeley.com/documents/?uuid=8aa39a87-9e25-30c0-8eb4-39d12f9540b4"]}],"mendeley":{"formattedCitation":"&lt;sup&gt;4&lt;/sup&gt;","plainTextFormattedCitation":"4","previouslyFormattedCitation":"&lt;sup&gt;4&lt;/sup&gt;"},"properties":{"noteIndex":0},"schema":"https://github.com/citation-style-language/schema/raw/master/csl-citation.json"}</w:instrText>
            </w:r>
            <w:r w:rsidRPr="005F24F1">
              <w:rPr>
                <w:rFonts w:cs="Arial"/>
                <w:sz w:val="20"/>
                <w:szCs w:val="20"/>
              </w:rPr>
              <w:fldChar w:fldCharType="separate"/>
            </w:r>
            <w:r w:rsidR="00A3159B" w:rsidRPr="00A3159B">
              <w:rPr>
                <w:rFonts w:cs="Arial"/>
                <w:noProof/>
                <w:sz w:val="20"/>
                <w:szCs w:val="20"/>
                <w:vertAlign w:val="superscript"/>
              </w:rPr>
              <w:t>4</w:t>
            </w:r>
            <w:r w:rsidRPr="005F24F1">
              <w:rPr>
                <w:rFonts w:cs="Arial"/>
                <w:sz w:val="20"/>
                <w:szCs w:val="20"/>
              </w:rPr>
              <w:fldChar w:fldCharType="end"/>
            </w:r>
          </w:p>
        </w:tc>
      </w:tr>
      <w:tr w:rsidR="005F24F1" w:rsidRPr="005F24F1" w14:paraId="191BF615" w14:textId="77777777" w:rsidTr="00462159">
        <w:tc>
          <w:tcPr>
            <w:tcW w:w="3145" w:type="dxa"/>
            <w:shd w:val="clear" w:color="auto" w:fill="F2F2F2"/>
          </w:tcPr>
          <w:p w14:paraId="7EE0E240" w14:textId="77777777" w:rsidR="00870E6F" w:rsidRPr="005F24F1" w:rsidRDefault="00870E6F" w:rsidP="00462159">
            <w:pPr>
              <w:ind w:left="360"/>
              <w:rPr>
                <w:rFonts w:cs="Arial"/>
                <w:sz w:val="20"/>
                <w:szCs w:val="20"/>
              </w:rPr>
            </w:pPr>
            <w:r w:rsidRPr="005F24F1">
              <w:rPr>
                <w:rFonts w:cs="Arial"/>
                <w:sz w:val="20"/>
                <w:szCs w:val="20"/>
              </w:rPr>
              <w:t>Severe CPP</w:t>
            </w:r>
          </w:p>
        </w:tc>
        <w:tc>
          <w:tcPr>
            <w:tcW w:w="810" w:type="dxa"/>
            <w:shd w:val="clear" w:color="auto" w:fill="F2F2F2"/>
          </w:tcPr>
          <w:p w14:paraId="1454B5CD" w14:textId="77777777" w:rsidR="00870E6F" w:rsidRPr="005F24F1" w:rsidRDefault="00870E6F" w:rsidP="002C47E0">
            <w:pPr>
              <w:rPr>
                <w:rFonts w:cs="Arial"/>
                <w:sz w:val="20"/>
                <w:szCs w:val="20"/>
              </w:rPr>
            </w:pPr>
            <w:r w:rsidRPr="005F24F1">
              <w:rPr>
                <w:rFonts w:cs="Arial"/>
                <w:sz w:val="20"/>
                <w:szCs w:val="20"/>
              </w:rPr>
              <w:t>0.056</w:t>
            </w:r>
          </w:p>
        </w:tc>
        <w:tc>
          <w:tcPr>
            <w:tcW w:w="1710" w:type="dxa"/>
            <w:shd w:val="clear" w:color="auto" w:fill="F2F2F2"/>
          </w:tcPr>
          <w:p w14:paraId="10CF3964" w14:textId="77777777" w:rsidR="00870E6F" w:rsidRPr="005F24F1" w:rsidRDefault="00870E6F" w:rsidP="002C47E0">
            <w:pPr>
              <w:rPr>
                <w:rFonts w:cs="Arial"/>
                <w:sz w:val="20"/>
                <w:szCs w:val="20"/>
              </w:rPr>
            </w:pPr>
            <w:r w:rsidRPr="005F24F1">
              <w:rPr>
                <w:rFonts w:cs="Arial"/>
                <w:sz w:val="20"/>
                <w:szCs w:val="20"/>
              </w:rPr>
              <w:t>0.053</w:t>
            </w:r>
            <w:r w:rsidR="00A84B8D" w:rsidRPr="005F24F1">
              <w:rPr>
                <w:rFonts w:cs="Arial"/>
                <w:sz w:val="20"/>
                <w:szCs w:val="20"/>
              </w:rPr>
              <w:t>-</w:t>
            </w:r>
            <w:r w:rsidRPr="005F24F1">
              <w:rPr>
                <w:rFonts w:cs="Arial"/>
                <w:sz w:val="20"/>
                <w:szCs w:val="20"/>
              </w:rPr>
              <w:t>0.060</w:t>
            </w:r>
          </w:p>
        </w:tc>
        <w:tc>
          <w:tcPr>
            <w:tcW w:w="2340" w:type="dxa"/>
            <w:shd w:val="clear" w:color="auto" w:fill="F2F2F2"/>
          </w:tcPr>
          <w:p w14:paraId="78D9627A" w14:textId="77777777" w:rsidR="00870E6F" w:rsidRPr="005F24F1" w:rsidRDefault="00870E6F" w:rsidP="002C47E0">
            <w:pPr>
              <w:rPr>
                <w:rFonts w:cs="Arial"/>
                <w:sz w:val="20"/>
                <w:szCs w:val="20"/>
              </w:rPr>
            </w:pPr>
            <w:r w:rsidRPr="005F24F1">
              <w:rPr>
                <w:rFonts w:cs="Arial"/>
                <w:sz w:val="20"/>
                <w:szCs w:val="20"/>
              </w:rPr>
              <w:t>Beta (924.87, 15534.36)</w:t>
            </w:r>
          </w:p>
        </w:tc>
        <w:tc>
          <w:tcPr>
            <w:tcW w:w="1285" w:type="dxa"/>
            <w:shd w:val="clear" w:color="auto" w:fill="F2F2F2"/>
          </w:tcPr>
          <w:p w14:paraId="46A3E884" w14:textId="0BB803CD" w:rsidR="00870E6F" w:rsidRPr="005F24F1" w:rsidRDefault="006A7069" w:rsidP="002C47E0">
            <w:pPr>
              <w:rPr>
                <w:rFonts w:cs="Arial"/>
                <w:sz w:val="20"/>
                <w:szCs w:val="20"/>
              </w:rPr>
            </w:pPr>
            <w:r w:rsidRPr="005F24F1">
              <w:rPr>
                <w:rFonts w:cs="Arial"/>
                <w:sz w:val="20"/>
                <w:szCs w:val="20"/>
              </w:rPr>
              <w:fldChar w:fldCharType="begin" w:fldLock="1"/>
            </w:r>
            <w:r w:rsidR="00584B7C">
              <w:rPr>
                <w:rFonts w:cs="Arial"/>
                <w:sz w:val="20"/>
                <w:szCs w:val="20"/>
              </w:rPr>
              <w:instrText>ADDIN CSL_CITATION {"citationItems":[{"id":"ITEM-1","itemData":{"DOI":"10.1016/s0029-7844(99)00551-7","ISSN":"0029-7844","PMID":"10711551","abstract":"OBJECTIVE To estimate direct medical costs and average lifetime cost per case of pelvic inflammatory disease (PID). METHODS We estimated the direct medical expenditures for PID and its three major sequelae (chronic pelvic pain, ectopic pregnancy, and infertility) and determined the average lifetime cost of a case of PID and its sequelae. We analyzed 3 years of claims data of privately insured individuals to determine costs, and 3 years of national survey data to determine number of cases of PID, chronic pelvic pain, and ectopic pregnancy. We developed a probability model to determine the average lifetime cost of a case of PID. RESULTS Direct medical expenditures for PID and its sequelae were estimated at $1.88 billion in 1998: $1.06 billion for PID, $166 million for chronic pelvic pain, $295 million for ectopic pregnancy, and $360 million for infertility associated with PID. The expected lifetime cost of a case of PID was $1167 in 1998 dollars. The majority of those costs ($843 per case) represent care for acute PID rather than diagnosis and treatment of sequelae. Approximately 73% of cases will not accrue costs beyond the treatment of acute PID. CONCLUSION The direct medical cost of PID is still substantial. The majority of PID related costs are incurred in the treatment of acute PID. Because most PID-related costs arise in the first year from treatment of acute PID infection, strategies that prevent PID are likely to be cost-effective within a single year.","author":[{"dropping-particle":"","family":"Rein","given":"D B","non-dropping-particle":"","parse-names":false,"suffix":""},{"dropping-particle":"","family":"Kassler","given":"W J","non-dropping-particle":"","parse-names":false,"suffix":""},{"dropping-particle":"","family":"Irwin","given":"K L","non-dropping-particle":"","parse-names":false,"suffix":""},{"dropping-particle":"","family":"Rabiee","given":"L","non-dropping-particle":"","parse-names":false,"suffix":""}],"container-title":"Obstetrics and gynecology","id":"ITEM-1","issue":"3","issued":{"date-parts":[["2000","3"]]},"page":"397-402","title":"Direct medical cost of pelvic inflammatory disease and its sequelae: decreasing, but still substantial.","type":"article-journal","volume":"95"},"uris":["http://www.mendeley.com/documents/?uuid=8aa39a87-9e25-30c0-8eb4-39d12f9540b4"]}],"mendeley":{"formattedCitation":"&lt;sup&gt;4&lt;/sup&gt;","plainTextFormattedCitation":"4","previouslyFormattedCitation":"&lt;sup&gt;4&lt;/sup&gt;"},"properties":{"noteIndex":0},"schema":"https://github.com/citation-style-language/schema/raw/master/csl-citation.json"}</w:instrText>
            </w:r>
            <w:r w:rsidRPr="005F24F1">
              <w:rPr>
                <w:rFonts w:cs="Arial"/>
                <w:sz w:val="20"/>
                <w:szCs w:val="20"/>
              </w:rPr>
              <w:fldChar w:fldCharType="separate"/>
            </w:r>
            <w:r w:rsidR="00A3159B" w:rsidRPr="00A3159B">
              <w:rPr>
                <w:rFonts w:cs="Arial"/>
                <w:noProof/>
                <w:sz w:val="20"/>
                <w:szCs w:val="20"/>
                <w:vertAlign w:val="superscript"/>
              </w:rPr>
              <w:t>4</w:t>
            </w:r>
            <w:r w:rsidRPr="005F24F1">
              <w:rPr>
                <w:rFonts w:cs="Arial"/>
                <w:sz w:val="20"/>
                <w:szCs w:val="20"/>
              </w:rPr>
              <w:fldChar w:fldCharType="end"/>
            </w:r>
          </w:p>
        </w:tc>
      </w:tr>
      <w:tr w:rsidR="005F24F1" w:rsidRPr="005F24F1" w14:paraId="6146C645" w14:textId="77777777" w:rsidTr="00462159">
        <w:tc>
          <w:tcPr>
            <w:tcW w:w="3145" w:type="dxa"/>
            <w:shd w:val="clear" w:color="auto" w:fill="D9D9D9"/>
          </w:tcPr>
          <w:p w14:paraId="60BC4D35" w14:textId="77777777" w:rsidR="00870E6F" w:rsidRPr="005F24F1" w:rsidRDefault="00870E6F" w:rsidP="002C47E0">
            <w:pPr>
              <w:rPr>
                <w:rFonts w:cs="Arial"/>
                <w:sz w:val="20"/>
                <w:szCs w:val="20"/>
              </w:rPr>
            </w:pPr>
            <w:r w:rsidRPr="005F24F1">
              <w:rPr>
                <w:rFonts w:cs="Arial"/>
                <w:sz w:val="20"/>
                <w:szCs w:val="20"/>
              </w:rPr>
              <w:t>CPP severity (utility)</w:t>
            </w:r>
          </w:p>
        </w:tc>
        <w:tc>
          <w:tcPr>
            <w:tcW w:w="810" w:type="dxa"/>
            <w:shd w:val="clear" w:color="auto" w:fill="D9D9D9"/>
          </w:tcPr>
          <w:p w14:paraId="32EAD255" w14:textId="77777777" w:rsidR="00870E6F" w:rsidRPr="005F24F1" w:rsidRDefault="00870E6F" w:rsidP="002C47E0">
            <w:pPr>
              <w:rPr>
                <w:rFonts w:cs="Arial"/>
                <w:sz w:val="20"/>
                <w:szCs w:val="20"/>
              </w:rPr>
            </w:pPr>
          </w:p>
        </w:tc>
        <w:tc>
          <w:tcPr>
            <w:tcW w:w="1710" w:type="dxa"/>
            <w:shd w:val="clear" w:color="auto" w:fill="D9D9D9"/>
          </w:tcPr>
          <w:p w14:paraId="7593C5D1" w14:textId="77777777" w:rsidR="00870E6F" w:rsidRPr="005F24F1" w:rsidRDefault="00870E6F" w:rsidP="002C47E0">
            <w:pPr>
              <w:rPr>
                <w:rFonts w:cs="Arial"/>
                <w:sz w:val="20"/>
                <w:szCs w:val="20"/>
              </w:rPr>
            </w:pPr>
          </w:p>
        </w:tc>
        <w:tc>
          <w:tcPr>
            <w:tcW w:w="2340" w:type="dxa"/>
            <w:shd w:val="clear" w:color="auto" w:fill="D9D9D9"/>
          </w:tcPr>
          <w:p w14:paraId="4118D2F2" w14:textId="77777777" w:rsidR="00870E6F" w:rsidRPr="005F24F1" w:rsidRDefault="00870E6F" w:rsidP="002C47E0">
            <w:pPr>
              <w:rPr>
                <w:rFonts w:cs="Arial"/>
                <w:sz w:val="20"/>
                <w:szCs w:val="20"/>
              </w:rPr>
            </w:pPr>
          </w:p>
        </w:tc>
        <w:tc>
          <w:tcPr>
            <w:tcW w:w="1285" w:type="dxa"/>
            <w:shd w:val="clear" w:color="auto" w:fill="D9D9D9"/>
          </w:tcPr>
          <w:p w14:paraId="706156AB" w14:textId="77777777" w:rsidR="00870E6F" w:rsidRPr="005F24F1" w:rsidRDefault="00870E6F" w:rsidP="002C47E0">
            <w:pPr>
              <w:rPr>
                <w:rFonts w:cs="Arial"/>
                <w:sz w:val="20"/>
                <w:szCs w:val="20"/>
              </w:rPr>
            </w:pPr>
          </w:p>
        </w:tc>
      </w:tr>
      <w:tr w:rsidR="005F24F1" w:rsidRPr="005F24F1" w14:paraId="27E722BC" w14:textId="77777777" w:rsidTr="00462159">
        <w:tc>
          <w:tcPr>
            <w:tcW w:w="3145" w:type="dxa"/>
            <w:shd w:val="clear" w:color="auto" w:fill="auto"/>
          </w:tcPr>
          <w:p w14:paraId="7331317C" w14:textId="77777777" w:rsidR="00870E6F" w:rsidRPr="005F24F1" w:rsidRDefault="00870E6F" w:rsidP="00462159">
            <w:pPr>
              <w:ind w:left="360"/>
              <w:rPr>
                <w:rFonts w:cs="Arial"/>
                <w:sz w:val="20"/>
                <w:szCs w:val="20"/>
              </w:rPr>
            </w:pPr>
            <w:r w:rsidRPr="005F24F1">
              <w:rPr>
                <w:rFonts w:cs="Arial"/>
                <w:sz w:val="20"/>
                <w:szCs w:val="20"/>
              </w:rPr>
              <w:t>Mild CPP</w:t>
            </w:r>
          </w:p>
        </w:tc>
        <w:tc>
          <w:tcPr>
            <w:tcW w:w="810" w:type="dxa"/>
            <w:shd w:val="clear" w:color="auto" w:fill="auto"/>
          </w:tcPr>
          <w:p w14:paraId="41445BE1" w14:textId="77777777" w:rsidR="00870E6F" w:rsidRPr="005F24F1" w:rsidRDefault="00870E6F" w:rsidP="002C47E0">
            <w:pPr>
              <w:rPr>
                <w:rFonts w:cs="Arial"/>
                <w:sz w:val="20"/>
                <w:szCs w:val="20"/>
              </w:rPr>
            </w:pPr>
            <w:r w:rsidRPr="005F24F1">
              <w:rPr>
                <w:rFonts w:cs="Arial"/>
                <w:sz w:val="20"/>
                <w:szCs w:val="20"/>
              </w:rPr>
              <w:t>0.989</w:t>
            </w:r>
          </w:p>
        </w:tc>
        <w:tc>
          <w:tcPr>
            <w:tcW w:w="1710" w:type="dxa"/>
            <w:shd w:val="clear" w:color="auto" w:fill="auto"/>
          </w:tcPr>
          <w:p w14:paraId="7685AE10" w14:textId="77777777" w:rsidR="00870E6F" w:rsidRPr="005F24F1" w:rsidRDefault="00870E6F" w:rsidP="002C47E0">
            <w:pPr>
              <w:rPr>
                <w:rFonts w:cs="Arial"/>
                <w:sz w:val="20"/>
                <w:szCs w:val="20"/>
              </w:rPr>
            </w:pPr>
            <w:r w:rsidRPr="005F24F1">
              <w:rPr>
                <w:rFonts w:cs="Arial"/>
                <w:sz w:val="20"/>
                <w:szCs w:val="20"/>
              </w:rPr>
              <w:t>0.979</w:t>
            </w:r>
            <w:r w:rsidR="00A84B8D" w:rsidRPr="005F24F1">
              <w:rPr>
                <w:rFonts w:cs="Arial"/>
                <w:sz w:val="20"/>
                <w:szCs w:val="20"/>
              </w:rPr>
              <w:t>-</w:t>
            </w:r>
            <w:r w:rsidRPr="005F24F1">
              <w:rPr>
                <w:rFonts w:cs="Arial"/>
                <w:sz w:val="20"/>
                <w:szCs w:val="20"/>
              </w:rPr>
              <w:t>0.996</w:t>
            </w:r>
          </w:p>
        </w:tc>
        <w:tc>
          <w:tcPr>
            <w:tcW w:w="2340" w:type="dxa"/>
            <w:shd w:val="clear" w:color="auto" w:fill="auto"/>
          </w:tcPr>
          <w:p w14:paraId="0173882A" w14:textId="77777777" w:rsidR="00870E6F" w:rsidRPr="005F24F1" w:rsidRDefault="00870E6F" w:rsidP="002C47E0">
            <w:pPr>
              <w:rPr>
                <w:rFonts w:cs="Arial"/>
                <w:sz w:val="20"/>
                <w:szCs w:val="20"/>
              </w:rPr>
            </w:pPr>
            <w:r w:rsidRPr="005F24F1">
              <w:rPr>
                <w:rFonts w:cs="Arial"/>
                <w:sz w:val="20"/>
                <w:szCs w:val="20"/>
              </w:rPr>
              <w:t>Beta (600.65, 6.68)</w:t>
            </w:r>
          </w:p>
        </w:tc>
        <w:tc>
          <w:tcPr>
            <w:tcW w:w="1285" w:type="dxa"/>
            <w:shd w:val="clear" w:color="auto" w:fill="auto"/>
          </w:tcPr>
          <w:p w14:paraId="483B598C" w14:textId="6760BF42" w:rsidR="00870E6F" w:rsidRPr="005F24F1" w:rsidRDefault="006A7069"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3FDAB90C" w14:textId="77777777" w:rsidTr="00462159">
        <w:tc>
          <w:tcPr>
            <w:tcW w:w="3145" w:type="dxa"/>
            <w:shd w:val="clear" w:color="auto" w:fill="auto"/>
          </w:tcPr>
          <w:p w14:paraId="692C4130" w14:textId="77777777" w:rsidR="00870E6F" w:rsidRPr="005F24F1" w:rsidRDefault="00870E6F" w:rsidP="00462159">
            <w:pPr>
              <w:ind w:left="360"/>
              <w:rPr>
                <w:rFonts w:cs="Arial"/>
                <w:sz w:val="20"/>
                <w:szCs w:val="20"/>
              </w:rPr>
            </w:pPr>
            <w:r w:rsidRPr="005F24F1">
              <w:rPr>
                <w:rFonts w:cs="Arial"/>
                <w:sz w:val="20"/>
                <w:szCs w:val="20"/>
              </w:rPr>
              <w:t>Moderate CPP</w:t>
            </w:r>
          </w:p>
        </w:tc>
        <w:tc>
          <w:tcPr>
            <w:tcW w:w="810" w:type="dxa"/>
            <w:shd w:val="clear" w:color="auto" w:fill="auto"/>
          </w:tcPr>
          <w:p w14:paraId="61CDC5CC" w14:textId="77777777" w:rsidR="00870E6F" w:rsidRPr="005F24F1" w:rsidRDefault="00870E6F" w:rsidP="002C47E0">
            <w:pPr>
              <w:rPr>
                <w:rFonts w:cs="Arial"/>
                <w:sz w:val="20"/>
                <w:szCs w:val="20"/>
              </w:rPr>
            </w:pPr>
            <w:r w:rsidRPr="005F24F1">
              <w:rPr>
                <w:rFonts w:cs="Arial"/>
                <w:sz w:val="20"/>
                <w:szCs w:val="20"/>
              </w:rPr>
              <w:t>0.886</w:t>
            </w:r>
          </w:p>
        </w:tc>
        <w:tc>
          <w:tcPr>
            <w:tcW w:w="1710" w:type="dxa"/>
            <w:shd w:val="clear" w:color="auto" w:fill="auto"/>
          </w:tcPr>
          <w:p w14:paraId="2E2A0A83" w14:textId="77777777" w:rsidR="00870E6F" w:rsidRPr="005F24F1" w:rsidRDefault="00870E6F" w:rsidP="002C47E0">
            <w:pPr>
              <w:rPr>
                <w:rFonts w:cs="Arial"/>
                <w:sz w:val="20"/>
                <w:szCs w:val="20"/>
              </w:rPr>
            </w:pPr>
            <w:r w:rsidRPr="005F24F1">
              <w:rPr>
                <w:rFonts w:cs="Arial"/>
                <w:sz w:val="20"/>
                <w:szCs w:val="20"/>
              </w:rPr>
              <w:t>0.844</w:t>
            </w:r>
            <w:r w:rsidR="00A84B8D" w:rsidRPr="005F24F1">
              <w:rPr>
                <w:rFonts w:cs="Arial"/>
                <w:sz w:val="20"/>
                <w:szCs w:val="20"/>
              </w:rPr>
              <w:t>-</w:t>
            </w:r>
            <w:r w:rsidRPr="005F24F1">
              <w:rPr>
                <w:rFonts w:cs="Arial"/>
                <w:sz w:val="20"/>
                <w:szCs w:val="20"/>
              </w:rPr>
              <w:t>0.924</w:t>
            </w:r>
          </w:p>
        </w:tc>
        <w:tc>
          <w:tcPr>
            <w:tcW w:w="2340" w:type="dxa"/>
            <w:shd w:val="clear" w:color="auto" w:fill="auto"/>
          </w:tcPr>
          <w:p w14:paraId="1DE2108B" w14:textId="77777777" w:rsidR="00870E6F" w:rsidRPr="005F24F1" w:rsidRDefault="00870E6F" w:rsidP="002C47E0">
            <w:pPr>
              <w:rPr>
                <w:rFonts w:cs="Arial"/>
                <w:sz w:val="20"/>
                <w:szCs w:val="20"/>
              </w:rPr>
            </w:pPr>
            <w:r w:rsidRPr="005F24F1">
              <w:rPr>
                <w:rFonts w:cs="Arial"/>
                <w:sz w:val="20"/>
                <w:szCs w:val="20"/>
              </w:rPr>
              <w:t>Beta (205.24, 26.41)</w:t>
            </w:r>
          </w:p>
        </w:tc>
        <w:tc>
          <w:tcPr>
            <w:tcW w:w="1285" w:type="dxa"/>
            <w:shd w:val="clear" w:color="auto" w:fill="auto"/>
          </w:tcPr>
          <w:p w14:paraId="04A16CE1" w14:textId="4FC5C8E3" w:rsidR="00870E6F" w:rsidRPr="005F24F1" w:rsidRDefault="006A7069"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30E7B161" w14:textId="77777777" w:rsidTr="00462159">
        <w:tc>
          <w:tcPr>
            <w:tcW w:w="3145" w:type="dxa"/>
            <w:shd w:val="clear" w:color="auto" w:fill="auto"/>
          </w:tcPr>
          <w:p w14:paraId="44F9DBDF" w14:textId="77777777" w:rsidR="00870E6F" w:rsidRPr="005F24F1" w:rsidRDefault="00870E6F" w:rsidP="00462159">
            <w:pPr>
              <w:ind w:left="360"/>
              <w:rPr>
                <w:rFonts w:cs="Arial"/>
                <w:sz w:val="20"/>
                <w:szCs w:val="20"/>
              </w:rPr>
            </w:pPr>
            <w:r w:rsidRPr="005F24F1">
              <w:rPr>
                <w:rFonts w:cs="Arial"/>
                <w:sz w:val="20"/>
                <w:szCs w:val="20"/>
              </w:rPr>
              <w:t>Severe CPP</w:t>
            </w:r>
          </w:p>
        </w:tc>
        <w:tc>
          <w:tcPr>
            <w:tcW w:w="810" w:type="dxa"/>
            <w:shd w:val="clear" w:color="auto" w:fill="auto"/>
          </w:tcPr>
          <w:p w14:paraId="4074E409" w14:textId="77777777" w:rsidR="00870E6F" w:rsidRPr="005F24F1" w:rsidRDefault="00870E6F" w:rsidP="002C47E0">
            <w:pPr>
              <w:rPr>
                <w:rFonts w:cs="Arial"/>
                <w:sz w:val="20"/>
                <w:szCs w:val="20"/>
              </w:rPr>
            </w:pPr>
            <w:r w:rsidRPr="005F24F1">
              <w:rPr>
                <w:rFonts w:cs="Arial"/>
                <w:sz w:val="20"/>
                <w:szCs w:val="20"/>
              </w:rPr>
              <w:t>0.677</w:t>
            </w:r>
          </w:p>
        </w:tc>
        <w:tc>
          <w:tcPr>
            <w:tcW w:w="1710" w:type="dxa"/>
            <w:shd w:val="clear" w:color="auto" w:fill="auto"/>
          </w:tcPr>
          <w:p w14:paraId="5F5D07EE" w14:textId="77777777" w:rsidR="00870E6F" w:rsidRPr="005F24F1" w:rsidRDefault="00870E6F" w:rsidP="002C47E0">
            <w:pPr>
              <w:rPr>
                <w:rFonts w:cs="Arial"/>
                <w:sz w:val="20"/>
                <w:szCs w:val="20"/>
              </w:rPr>
            </w:pPr>
            <w:r w:rsidRPr="005F24F1">
              <w:rPr>
                <w:rFonts w:cs="Arial"/>
                <w:sz w:val="20"/>
                <w:szCs w:val="20"/>
              </w:rPr>
              <w:t>0.560</w:t>
            </w:r>
            <w:r w:rsidR="00A84B8D" w:rsidRPr="005F24F1">
              <w:rPr>
                <w:rFonts w:cs="Arial"/>
                <w:sz w:val="20"/>
                <w:szCs w:val="20"/>
              </w:rPr>
              <w:t>-</w:t>
            </w:r>
            <w:r w:rsidRPr="005F24F1">
              <w:rPr>
                <w:rFonts w:cs="Arial"/>
                <w:sz w:val="20"/>
                <w:szCs w:val="20"/>
              </w:rPr>
              <w:t>0.784</w:t>
            </w:r>
          </w:p>
        </w:tc>
        <w:tc>
          <w:tcPr>
            <w:tcW w:w="2340" w:type="dxa"/>
            <w:shd w:val="clear" w:color="auto" w:fill="auto"/>
          </w:tcPr>
          <w:p w14:paraId="0F062D6D" w14:textId="77777777" w:rsidR="00870E6F" w:rsidRPr="005F24F1" w:rsidRDefault="00870E6F" w:rsidP="002C47E0">
            <w:pPr>
              <w:rPr>
                <w:rFonts w:cs="Arial"/>
                <w:sz w:val="20"/>
                <w:szCs w:val="20"/>
              </w:rPr>
            </w:pPr>
            <w:r w:rsidRPr="005F24F1">
              <w:rPr>
                <w:rFonts w:cs="Arial"/>
                <w:sz w:val="20"/>
                <w:szCs w:val="20"/>
              </w:rPr>
              <w:t>Beta (44.97, 21.55)</w:t>
            </w:r>
          </w:p>
        </w:tc>
        <w:tc>
          <w:tcPr>
            <w:tcW w:w="1285" w:type="dxa"/>
            <w:shd w:val="clear" w:color="auto" w:fill="auto"/>
          </w:tcPr>
          <w:p w14:paraId="7B095AA7" w14:textId="0016D529" w:rsidR="00870E6F" w:rsidRPr="005F24F1" w:rsidRDefault="006A7069"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2CCF797C" w14:textId="77777777" w:rsidTr="00462159">
        <w:tc>
          <w:tcPr>
            <w:tcW w:w="3145" w:type="dxa"/>
            <w:shd w:val="clear" w:color="auto" w:fill="A6A6A6"/>
          </w:tcPr>
          <w:p w14:paraId="438CA1B1" w14:textId="77777777" w:rsidR="00870E6F" w:rsidRPr="005F24F1" w:rsidRDefault="00870E6F" w:rsidP="002C47E0">
            <w:pPr>
              <w:rPr>
                <w:rFonts w:cs="Arial"/>
                <w:b/>
                <w:bCs/>
                <w:sz w:val="20"/>
                <w:szCs w:val="20"/>
              </w:rPr>
            </w:pPr>
            <w:r w:rsidRPr="005F24F1">
              <w:rPr>
                <w:rFonts w:cs="Arial"/>
                <w:b/>
                <w:bCs/>
                <w:sz w:val="20"/>
                <w:szCs w:val="20"/>
              </w:rPr>
              <w:t>TFI</w:t>
            </w:r>
          </w:p>
        </w:tc>
        <w:tc>
          <w:tcPr>
            <w:tcW w:w="810" w:type="dxa"/>
            <w:shd w:val="clear" w:color="auto" w:fill="A6A6A6"/>
          </w:tcPr>
          <w:p w14:paraId="0523D9C6" w14:textId="77777777" w:rsidR="00870E6F" w:rsidRPr="005F24F1" w:rsidRDefault="00870E6F" w:rsidP="002C47E0">
            <w:pPr>
              <w:rPr>
                <w:rFonts w:cs="Arial"/>
                <w:sz w:val="20"/>
                <w:szCs w:val="20"/>
              </w:rPr>
            </w:pPr>
            <w:r w:rsidRPr="005F24F1">
              <w:rPr>
                <w:rFonts w:cs="Arial"/>
                <w:sz w:val="20"/>
                <w:szCs w:val="20"/>
              </w:rPr>
              <w:t>0.993</w:t>
            </w:r>
          </w:p>
        </w:tc>
        <w:tc>
          <w:tcPr>
            <w:tcW w:w="1710" w:type="dxa"/>
            <w:shd w:val="clear" w:color="auto" w:fill="A6A6A6"/>
          </w:tcPr>
          <w:p w14:paraId="4B662592" w14:textId="77777777" w:rsidR="00870E6F" w:rsidRPr="005F24F1" w:rsidRDefault="00870E6F" w:rsidP="002C47E0">
            <w:pPr>
              <w:rPr>
                <w:rFonts w:cs="Arial"/>
                <w:sz w:val="20"/>
                <w:szCs w:val="20"/>
              </w:rPr>
            </w:pPr>
            <w:r w:rsidRPr="005F24F1">
              <w:rPr>
                <w:rFonts w:cs="Arial"/>
                <w:sz w:val="20"/>
                <w:szCs w:val="20"/>
              </w:rPr>
              <w:t>0.988</w:t>
            </w:r>
            <w:r w:rsidR="00A84B8D" w:rsidRPr="005F24F1">
              <w:rPr>
                <w:rFonts w:cs="Arial"/>
                <w:sz w:val="20"/>
                <w:szCs w:val="20"/>
              </w:rPr>
              <w:t>-</w:t>
            </w:r>
            <w:r w:rsidRPr="005F24F1">
              <w:rPr>
                <w:rFonts w:cs="Arial"/>
                <w:sz w:val="20"/>
                <w:szCs w:val="20"/>
              </w:rPr>
              <w:t>0.997</w:t>
            </w:r>
          </w:p>
        </w:tc>
        <w:tc>
          <w:tcPr>
            <w:tcW w:w="2340" w:type="dxa"/>
            <w:shd w:val="clear" w:color="auto" w:fill="A6A6A6"/>
          </w:tcPr>
          <w:p w14:paraId="28BC2510" w14:textId="77777777" w:rsidR="00870E6F" w:rsidRPr="005F24F1" w:rsidRDefault="00870E6F" w:rsidP="002C47E0">
            <w:pPr>
              <w:rPr>
                <w:rFonts w:cs="Arial"/>
                <w:sz w:val="20"/>
                <w:szCs w:val="20"/>
              </w:rPr>
            </w:pPr>
            <w:r w:rsidRPr="005F24F1">
              <w:rPr>
                <w:rFonts w:cs="Arial"/>
                <w:sz w:val="20"/>
                <w:szCs w:val="20"/>
              </w:rPr>
              <w:t>See below</w:t>
            </w:r>
          </w:p>
        </w:tc>
        <w:tc>
          <w:tcPr>
            <w:tcW w:w="1285" w:type="dxa"/>
            <w:shd w:val="clear" w:color="auto" w:fill="A6A6A6"/>
          </w:tcPr>
          <w:p w14:paraId="54E6942E" w14:textId="2ABB984C" w:rsidR="00870E6F" w:rsidRPr="005F24F1" w:rsidRDefault="005F24F1" w:rsidP="002C47E0">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Weights","type":"webpage"},"uris":["http://www.mendeley.com/documents/?uuid=a80e2321-4bac-3bba-8b67-b9f30a7b013a"]},{"id":"ITEM-2","itemData":{"DOI":"10.3310/hta20220","ISSN":"2046-4924","PMID":"27007215","abstract":"BACKGROUND AND OBJECTIVES The evidence base supporting the National Chlamydia Screening Programme, initiated in 2003, has been questioned repeatedly, with little consensus on modelling assumptions, parameter values or evidence sources to be used in cost-effectiveness analyses. The purpose of this project was to assemble all available evidence on the prevalence and incidence of Chlamydia trachomatis (CT) in the UK and its sequelae, pelvic inflammatory disease (PID), ectopic pregnancy (EP) and tubal factor infertility (TFI) to review the evidence base in its entirety, assess its consistency and, if possible, arrive at a coherent set of estimates consistent with all the evidence. METHODS Evidence was identified using 'high-yield' strategies. Bayesian Multi-Parameter Evidence Synthesis models were constructed for separate subparts of the clinical and population epidemiology of CT. Where possible, different types of data sources were statistically combined to derive coherent estimates. Where evidence was inconsistent, evidence sources were re-interpreted and new estimates derived on a post-hoc basis. RESULTS An internally coherent set of estimates was generated, consistent with a multifaceted evidence base, fertility surveys and routine UK statistics on PID and EP. Among the key findings were that the risk of PID (symptomatic or asymptomatic) following an untreated CT infection is 17.1% [95% credible interval (CrI) 6% to 29%] and the risk of salpingitis is 7.3% (95% CrI 2.2% to 14.0%). In women aged 16-24 years, screened at annual intervals, at best, 61% (95% CrI 55% to 67%) of CT-related PID and 22% (95% CrI 7% to 43%) of all PID could be directly prevented. For women aged 16-44 years, the proportions of PID, EP and TFI that are attributable to CT are estimated to be 20% (95% CrI 6% to 38%), 4.9% (95% CrI 1.2% to 12%) and 29% (95% CrI 9% to 56%), respectively. The prevalence of TFI in the UK in women at the end of their reproductive lives is 1.1%: this is consistent with all PID carrying a relatively high risk of reproductive damage, whether diagnosed or not. Every 1000 CT infections in women aged 16-44 years, on average, gives rise to approximately 171 episodes of PID and 73 of salpingitis, 2.0 EPs and 5.1 women with TFI at age 44 years. CONCLUSIONS AND RESEARCH RECOMMENDATIONS The study establishes a set of interpretations of the major studies and study designs, under which a coherent set of estimates can be generated. CT is a significant cause of PID and…","author":[{"dropping-particle":"","family":"Price","given":"Malcolm J","non-dropping-particle":"","parse-names":false,"suffix":""},{"dropping-particle":"","family":"Ades","given":"A E","non-dropping-particle":"","parse-names":false,"suffix":""},{"dropping-particle":"","family":"Soldan","given":"Kate","non-dropping-particle":"","parse-names":false,"suffix":""},{"dropping-particle":"","family":"Welton","given":"Nicky J","non-dropping-particle":"","parse-names":false,"suffix":""},{"dropping-particle":"","family":"Macleod","given":"John","non-dropping-particle":"","parse-names":false,"suffix":""},{"dropping-particle":"","family":"Simms","given":"Ian","non-dropping-particle":"","parse-names":false,"suffix":""},{"dropping-particle":"","family":"DeAngelis","given":"Daniela","non-dropping-particle":"","parse-names":false,"suffix":""},{"dropping-particle":"","family":"Turner","given":"Katherine Me","non-dropping-particle":"","parse-names":false,"suffix":""},{"dropping-particle":"","family":"Horner","given":"Paddy J","non-dropping-particle":"","parse-names":false,"suffix":""}],"container-title":"Health technology assessment (Winchester, England)","id":"ITEM-2","issue":"22","issued":{"date-parts":[["2016","3"]]},"page":"1-250","publisher":"NIHR Journals Library","title":"The natural history of Chlamydia trachomatis infection in women: a multi-parameter evidence synthesis.","type":"article-journal","volume":"20"},"uris":["http://www.mendeley.com/documents/?uuid=66070def-fa54-3b49-b38a-7f93e92cea0a"]}],"mendeley":{"formattedCitation":"&lt;sup&gt;3,5&lt;/sup&gt;","plainTextFormattedCitation":"3,5","previouslyFormattedCitation":"&lt;sup&gt;3,5&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3,5</w:t>
            </w:r>
            <w:r w:rsidRPr="005F24F1">
              <w:rPr>
                <w:rStyle w:val="FootnoteReference"/>
                <w:rFonts w:cs="Arial"/>
                <w:sz w:val="20"/>
                <w:szCs w:val="20"/>
              </w:rPr>
              <w:fldChar w:fldCharType="end"/>
            </w:r>
          </w:p>
        </w:tc>
      </w:tr>
      <w:tr w:rsidR="005F24F1" w:rsidRPr="005F24F1" w14:paraId="28A14512" w14:textId="77777777" w:rsidTr="00462159">
        <w:tc>
          <w:tcPr>
            <w:tcW w:w="3145" w:type="dxa"/>
            <w:shd w:val="clear" w:color="auto" w:fill="D9D9D9"/>
          </w:tcPr>
          <w:p w14:paraId="2E745C8B" w14:textId="77777777" w:rsidR="00870E6F" w:rsidRPr="005F24F1" w:rsidRDefault="00870E6F" w:rsidP="002C47E0">
            <w:pPr>
              <w:rPr>
                <w:rFonts w:cs="Arial"/>
                <w:sz w:val="20"/>
                <w:szCs w:val="20"/>
              </w:rPr>
            </w:pPr>
            <w:r w:rsidRPr="005F24F1">
              <w:rPr>
                <w:rFonts w:cs="Arial"/>
                <w:sz w:val="20"/>
                <w:szCs w:val="20"/>
              </w:rPr>
              <w:t>Sequelae severity (proportion)</w:t>
            </w:r>
          </w:p>
        </w:tc>
        <w:tc>
          <w:tcPr>
            <w:tcW w:w="810" w:type="dxa"/>
            <w:shd w:val="clear" w:color="auto" w:fill="D9D9D9"/>
          </w:tcPr>
          <w:p w14:paraId="410F19D0" w14:textId="77777777" w:rsidR="00870E6F" w:rsidRPr="005F24F1" w:rsidRDefault="00870E6F" w:rsidP="002C47E0">
            <w:pPr>
              <w:rPr>
                <w:rFonts w:cs="Arial"/>
                <w:sz w:val="20"/>
                <w:szCs w:val="20"/>
              </w:rPr>
            </w:pPr>
          </w:p>
        </w:tc>
        <w:tc>
          <w:tcPr>
            <w:tcW w:w="1710" w:type="dxa"/>
            <w:shd w:val="clear" w:color="auto" w:fill="D9D9D9"/>
          </w:tcPr>
          <w:p w14:paraId="7B5E07D1" w14:textId="77777777" w:rsidR="00870E6F" w:rsidRPr="005F24F1" w:rsidRDefault="00870E6F" w:rsidP="002C47E0">
            <w:pPr>
              <w:rPr>
                <w:rFonts w:cs="Arial"/>
                <w:sz w:val="20"/>
                <w:szCs w:val="20"/>
              </w:rPr>
            </w:pPr>
          </w:p>
        </w:tc>
        <w:tc>
          <w:tcPr>
            <w:tcW w:w="2340" w:type="dxa"/>
            <w:shd w:val="clear" w:color="auto" w:fill="D9D9D9"/>
          </w:tcPr>
          <w:p w14:paraId="615ED329" w14:textId="77777777" w:rsidR="00870E6F" w:rsidRPr="005F24F1" w:rsidRDefault="00870E6F" w:rsidP="002C47E0">
            <w:pPr>
              <w:rPr>
                <w:rFonts w:cs="Arial"/>
                <w:sz w:val="20"/>
                <w:szCs w:val="20"/>
              </w:rPr>
            </w:pPr>
          </w:p>
        </w:tc>
        <w:tc>
          <w:tcPr>
            <w:tcW w:w="1285" w:type="dxa"/>
            <w:shd w:val="clear" w:color="auto" w:fill="D9D9D9"/>
          </w:tcPr>
          <w:p w14:paraId="0DD7BE04" w14:textId="77777777" w:rsidR="00870E6F" w:rsidRPr="005F24F1" w:rsidRDefault="00870E6F" w:rsidP="002C47E0">
            <w:pPr>
              <w:rPr>
                <w:rFonts w:cs="Arial"/>
                <w:sz w:val="20"/>
                <w:szCs w:val="20"/>
              </w:rPr>
            </w:pPr>
          </w:p>
        </w:tc>
      </w:tr>
      <w:tr w:rsidR="005F24F1" w:rsidRPr="005F24F1" w14:paraId="029CA4EB" w14:textId="77777777" w:rsidTr="00462159">
        <w:tc>
          <w:tcPr>
            <w:tcW w:w="3145" w:type="dxa"/>
            <w:shd w:val="clear" w:color="auto" w:fill="F2F2F2"/>
          </w:tcPr>
          <w:p w14:paraId="4DE37E0F" w14:textId="77777777" w:rsidR="00870E6F" w:rsidRPr="005F24F1" w:rsidRDefault="00870E6F" w:rsidP="00462159">
            <w:pPr>
              <w:ind w:left="360"/>
              <w:rPr>
                <w:rFonts w:cs="Arial"/>
                <w:sz w:val="20"/>
                <w:szCs w:val="20"/>
              </w:rPr>
            </w:pPr>
            <w:r w:rsidRPr="005F24F1">
              <w:rPr>
                <w:rFonts w:cs="Arial"/>
                <w:sz w:val="20"/>
                <w:szCs w:val="20"/>
              </w:rPr>
              <w:t>Primary infertility</w:t>
            </w:r>
          </w:p>
        </w:tc>
        <w:tc>
          <w:tcPr>
            <w:tcW w:w="810" w:type="dxa"/>
            <w:shd w:val="clear" w:color="auto" w:fill="F2F2F2"/>
          </w:tcPr>
          <w:p w14:paraId="2B67D9F8" w14:textId="77777777" w:rsidR="00870E6F" w:rsidRPr="005F24F1" w:rsidRDefault="00870E6F" w:rsidP="002C47E0">
            <w:pPr>
              <w:rPr>
                <w:rFonts w:cs="Arial"/>
                <w:sz w:val="20"/>
                <w:szCs w:val="20"/>
              </w:rPr>
            </w:pPr>
            <w:r w:rsidRPr="005F24F1">
              <w:rPr>
                <w:rFonts w:cs="Arial"/>
                <w:sz w:val="20"/>
                <w:szCs w:val="20"/>
              </w:rPr>
              <w:t>0.659</w:t>
            </w:r>
          </w:p>
        </w:tc>
        <w:tc>
          <w:tcPr>
            <w:tcW w:w="1710" w:type="dxa"/>
            <w:shd w:val="clear" w:color="auto" w:fill="F2F2F2"/>
          </w:tcPr>
          <w:p w14:paraId="4A21D4BD" w14:textId="77777777" w:rsidR="00870E6F" w:rsidRPr="005F24F1" w:rsidRDefault="00870E6F" w:rsidP="002C47E0">
            <w:pPr>
              <w:rPr>
                <w:rFonts w:cs="Arial"/>
                <w:sz w:val="20"/>
                <w:szCs w:val="20"/>
              </w:rPr>
            </w:pPr>
            <w:r w:rsidRPr="005F24F1">
              <w:rPr>
                <w:rFonts w:cs="Arial"/>
                <w:sz w:val="20"/>
                <w:szCs w:val="20"/>
              </w:rPr>
              <w:t>0.464</w:t>
            </w:r>
            <w:r w:rsidR="00A84B8D" w:rsidRPr="005F24F1">
              <w:rPr>
                <w:rFonts w:cs="Arial"/>
                <w:sz w:val="20"/>
                <w:szCs w:val="20"/>
              </w:rPr>
              <w:t>-</w:t>
            </w:r>
            <w:r w:rsidRPr="005F24F1">
              <w:rPr>
                <w:rFonts w:cs="Arial"/>
                <w:sz w:val="20"/>
                <w:szCs w:val="20"/>
              </w:rPr>
              <w:t>0.850</w:t>
            </w:r>
          </w:p>
        </w:tc>
        <w:tc>
          <w:tcPr>
            <w:tcW w:w="2340" w:type="dxa"/>
            <w:shd w:val="clear" w:color="auto" w:fill="F2F2F2"/>
          </w:tcPr>
          <w:p w14:paraId="0EEB21BE" w14:textId="77777777" w:rsidR="00870E6F" w:rsidRPr="005F24F1" w:rsidRDefault="00870E6F" w:rsidP="002C47E0">
            <w:pPr>
              <w:rPr>
                <w:rFonts w:cs="Arial"/>
                <w:sz w:val="20"/>
                <w:szCs w:val="20"/>
              </w:rPr>
            </w:pPr>
            <w:r w:rsidRPr="005F24F1">
              <w:rPr>
                <w:rFonts w:cs="Arial"/>
                <w:sz w:val="20"/>
                <w:szCs w:val="20"/>
              </w:rPr>
              <w:t>1-secondary infertility</w:t>
            </w:r>
          </w:p>
        </w:tc>
        <w:tc>
          <w:tcPr>
            <w:tcW w:w="1285" w:type="dxa"/>
            <w:shd w:val="clear" w:color="auto" w:fill="F2F2F2"/>
          </w:tcPr>
          <w:p w14:paraId="6D7A29A6" w14:textId="473FB851" w:rsidR="00870E6F" w:rsidRPr="005F24F1" w:rsidRDefault="005F24F1"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{"citationItems":[{"id":"ITEM-1","itemData":{"DOI":"10.3310/hta20220","ISSN":"2046-4924","PMID":"27007215","abstract":"BACKGROUND AND OBJECTIVES The evidence base supporting the National Chlamydia Screening Programme, initiated in 2003, has been questioned repeatedly, with little consensus on modelling assumptions, parameter values or evidence sources to be used in cost-effectiveness analyses. The purpose of this project was to assemble all available evidence on the prevalence and incidence of Chlamydia trachomatis (CT) in the UK and its sequelae, pelvic inflammatory disease (PID), ectopic pregnancy (EP) and tubal factor infertility (TFI) to review the evidence base in its entirety, assess its consistency and, if possible, arrive at a coherent set of estimates consistent with all the evidence. METHODS Evidence was identified using 'high-yield' strategies. Bayesian Multi-Parameter Evidence Synthesis models were constructed for separate subparts of the clinical and population epidemiology of CT. Where possible, different types of data sources were statistically combined to derive coherent estimates. Where evidence was inconsistent, evidence sources were re-interpreted and new estimates derived on a post-hoc basis. RESULTS An internally coherent set of estimates was generated, consistent with a multifaceted evidence base, fertility surveys and routine UK statistics on PID and EP. Among the key findings were that the risk of PID (symptomatic or asymptomatic) following an untreated CT infection is 17.1% [95% credible interval (CrI) 6% to 29%] and the risk of salpingitis is 7.3% (95% CrI 2.2% to 14.0%). In women aged 16-24 years, screened at annual intervals, at best, 61% (95% CrI 55% to 67%) of CT-related PID and 22% (95% CrI 7% to 43%) of all PID could be directly prevented. For women aged 16-44 years, the proportions of PID, EP and TFI that are attributable to CT are estimated to be 20% (95% CrI 6% to 38%), 4.9% (95% CrI 1.2% to 12%) and 29% (95% CrI 9% to 56%), respectively. The prevalence of TFI in the UK in women at the end of their reproductive lives is 1.1%: this is consistent with all PID carrying a relatively high risk of reproductive damage, whether diagnosed or not. Every 1000 CT infections in women aged 16-44 years, on average, gives rise to approximately 171 episodes of PID and 73 of salpingitis, 2.0 EPs and 5.1 women with TFI at age 44 years. CONCLUSIONS AND RESEARCH RECOMMENDATIONS The study establishes a set of interpretations of the major studies and study designs, under which a coherent set of estimates can be generated. CT is a significant cause of PID and…","author":[{"dropping-particle":"","family":"Price","given":"Malcolm J","non-dropping-particle":"","parse-names":false,"suffix":""},{"dropping-particle":"","family":"Ades","given":"A E","non-dropping-particle":"","parse-names":false,"suffix":""},{"dropping-particle":"","family":"Soldan","given":"Kate","non-dropping-particle":"","parse-names":false,"suffix":""},{"dropping-particle":"","family":"Welton","given":"Nicky J","non-dropping-particle":"","parse-names":false,"suffix":""},{"dropping-particle":"","family":"Macleod","given":"John","non-dropping-particle":"","parse-names":false,"suffix":""},{"dropping-particle":"","family":"Simms","given":"Ian","non-dropping-particle":"","parse-names":false,"suffix":""},{"dropping-particle":"","family":"DeAngelis","given":"Daniela","non-dropping-particle":"","parse-names":false,"suffix":""},{"dropping-particle":"","family":"Turner","given":"Katherine Me","non-dropping-particle":"","parse-names":false,"suffix":""},{"dropping-particle":"","family":"Horner","given":"Paddy J","non-dropping-particle":"","parse-names":false,"suffix":""}],"container-title":"Health technology assessment (Winchester, England)","id":"ITEM-1","issue":"22","issued":{"date-parts":[["2016","3"]]},"page":"1-250","publisher":"NIHR Journals Library","title":"The natural history of Chlamydia trachomatis infection in women: a multi-parameter evidence synthesis.","type":"article-journal","volume":"20"},"uris":["http://www.mendeley.com/documents/?uuid=66070def-fa54-3b49-b38a-7f93e92cea0a"]}],"mendeley":{"formattedCitation":"&lt;sup&gt;5&lt;/sup&gt;","plainTextFormattedCitation":"5","previouslyFormattedCitation":"&lt;sup&gt;5&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5</w:t>
            </w:r>
            <w:r>
              <w:rPr>
                <w:rFonts w:cs="Arial"/>
                <w:sz w:val="20"/>
                <w:szCs w:val="20"/>
              </w:rPr>
              <w:fldChar w:fldCharType="end"/>
            </w:r>
          </w:p>
        </w:tc>
      </w:tr>
      <w:tr w:rsidR="005F24F1" w:rsidRPr="005F24F1" w14:paraId="52679D00" w14:textId="77777777" w:rsidTr="00462159">
        <w:tc>
          <w:tcPr>
            <w:tcW w:w="3145" w:type="dxa"/>
            <w:shd w:val="clear" w:color="auto" w:fill="F2F2F2"/>
          </w:tcPr>
          <w:p w14:paraId="4E6F7628" w14:textId="77777777" w:rsidR="006A7069" w:rsidRPr="005F24F1" w:rsidRDefault="006A7069" w:rsidP="006A7069">
            <w:pPr>
              <w:ind w:left="360"/>
              <w:rPr>
                <w:rFonts w:cs="Arial"/>
                <w:sz w:val="20"/>
                <w:szCs w:val="20"/>
              </w:rPr>
            </w:pPr>
            <w:r w:rsidRPr="005F24F1">
              <w:rPr>
                <w:rFonts w:cs="Arial"/>
                <w:sz w:val="20"/>
                <w:szCs w:val="20"/>
              </w:rPr>
              <w:t>Secondary infertility</w:t>
            </w:r>
          </w:p>
        </w:tc>
        <w:tc>
          <w:tcPr>
            <w:tcW w:w="810" w:type="dxa"/>
            <w:shd w:val="clear" w:color="auto" w:fill="F2F2F2"/>
          </w:tcPr>
          <w:p w14:paraId="2514AB83" w14:textId="77777777" w:rsidR="006A7069" w:rsidRPr="005F24F1" w:rsidRDefault="006A7069" w:rsidP="006A7069">
            <w:pPr>
              <w:rPr>
                <w:rFonts w:cs="Arial"/>
                <w:sz w:val="20"/>
                <w:szCs w:val="20"/>
              </w:rPr>
            </w:pPr>
            <w:r w:rsidRPr="005F24F1">
              <w:rPr>
                <w:rFonts w:cs="Arial"/>
                <w:sz w:val="20"/>
                <w:szCs w:val="20"/>
              </w:rPr>
              <w:t>0.341</w:t>
            </w:r>
          </w:p>
        </w:tc>
        <w:tc>
          <w:tcPr>
            <w:tcW w:w="1710" w:type="dxa"/>
            <w:shd w:val="clear" w:color="auto" w:fill="F2F2F2"/>
          </w:tcPr>
          <w:p w14:paraId="250475F1" w14:textId="77777777" w:rsidR="006A7069" w:rsidRPr="005F24F1" w:rsidRDefault="006A7069" w:rsidP="006A7069">
            <w:pPr>
              <w:rPr>
                <w:rFonts w:cs="Arial"/>
                <w:sz w:val="20"/>
                <w:szCs w:val="20"/>
              </w:rPr>
            </w:pPr>
            <w:r w:rsidRPr="005F24F1">
              <w:rPr>
                <w:rFonts w:cs="Arial"/>
                <w:sz w:val="20"/>
                <w:szCs w:val="20"/>
              </w:rPr>
              <w:t>0.150-0.536</w:t>
            </w:r>
          </w:p>
        </w:tc>
        <w:tc>
          <w:tcPr>
            <w:tcW w:w="2340" w:type="dxa"/>
            <w:shd w:val="clear" w:color="auto" w:fill="F2F2F2"/>
          </w:tcPr>
          <w:p w14:paraId="372D5E9E" w14:textId="77777777" w:rsidR="006A7069" w:rsidRPr="005F24F1" w:rsidRDefault="006A7069" w:rsidP="006A7069">
            <w:pPr>
              <w:rPr>
                <w:rFonts w:cs="Arial"/>
                <w:sz w:val="20"/>
                <w:szCs w:val="20"/>
              </w:rPr>
            </w:pPr>
            <w:proofErr w:type="gramStart"/>
            <w:r w:rsidRPr="005F24F1">
              <w:rPr>
                <w:rFonts w:cs="Arial"/>
                <w:sz w:val="20"/>
                <w:szCs w:val="20"/>
              </w:rPr>
              <w:t>Uniform(</w:t>
            </w:r>
            <w:proofErr w:type="gramEnd"/>
            <w:r w:rsidRPr="005F24F1">
              <w:rPr>
                <w:rFonts w:cs="Arial"/>
                <w:sz w:val="20"/>
                <w:szCs w:val="20"/>
              </w:rPr>
              <w:t>0.140, 0.546)</w:t>
            </w:r>
          </w:p>
        </w:tc>
        <w:tc>
          <w:tcPr>
            <w:tcW w:w="1285" w:type="dxa"/>
            <w:shd w:val="clear" w:color="auto" w:fill="F2F2F2"/>
          </w:tcPr>
          <w:p w14:paraId="6293927C" w14:textId="5AB990D5" w:rsidR="006A7069" w:rsidRPr="005F24F1" w:rsidRDefault="005F24F1" w:rsidP="006A7069">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{"citationItems":[{"id":"ITEM-1","itemData":{"DOI":"10.3310/hta20220","ISSN":"2046-4924","PMID":"27007215","abstract":"BACKGROUND AND OBJECTIVES The evidence base supporting the National Chlamydia Screening Programme, initiated in 2003, has been questioned repeatedly, with little consensus on modelling assumptions, parameter values or evidence sources to be used in cost-effectiveness analyses. The purpose of this project was to assemble all available evidence on the prevalence and incidence of Chlamydia trachomatis (CT) in the UK and its sequelae, pelvic inflammatory disease (PID), ectopic pregnancy (EP) and tubal factor infertility (TFI) to review the evidence base in its entirety, assess its consistency and, if possible, arrive at a coherent set of estimates consistent with all the evidence. METHODS Evidence was identified using 'high-yield' strategies. Bayesian Multi-Parameter Evidence Synthesis models were constructed for separate subparts of the clinical and population epidemiology of CT. Where possible, different types of data sources were statistically combined to derive coherent estimates. Where evidence was inconsistent, evidence sources were re-interpreted and new estimates derived on a post-hoc basis. RESULTS An internally coherent set of estimates was generated, consistent with a multifaceted evidence base, fertility surveys and routine UK statistics on PID and EP. Among the key findings were that the risk of PID (symptomatic or asymptomatic) following an untreated CT infection is 17.1% [95% credible interval (CrI) 6% to 29%] and the risk of salpingitis is 7.3% (95% CrI 2.2% to 14.0%). In women aged 16-24 years, screened at annual intervals, at best, 61% (95% CrI 55% to 67%) of CT-related PID and 22% (95% CrI 7% to 43%) of all PID could be directly prevented. For women aged 16-44 years, the proportions of PID, EP and TFI that are attributable to CT are estimated to be 20% (95% CrI 6% to 38%), 4.9% (95% CrI 1.2% to 12%) and 29% (95% CrI 9% to 56%), respectively. The prevalence of TFI in the UK in women at the end of their reproductive lives is 1.1%: this is consistent with all PID carrying a relatively high risk of reproductive damage, whether diagnosed or not. Every 1000 CT infections in women aged 16-44 years, on average, gives rise to approximately 171 episodes of PID and 73 of salpingitis, 2.0 EPs and 5.1 women with TFI at age 44 years. CONCLUSIONS AND RESEARCH RECOMMENDATIONS The study establishes a set of interpretations of the major studies and study designs, under which a coherent set of estimates can be generated. CT is a significant cause of PID and…","author":[{"dropping-particle":"","family":"Price","given":"Malcolm J","non-dropping-particle":"","parse-names":false,"suffix":""},{"dropping-particle":"","family":"Ades","given":"A E","non-dropping-particle":"","parse-names":false,"suffix":""},{"dropping-particle":"","family":"Soldan","given":"Kate","non-dropping-particle":"","parse-names":false,"suffix":""},{"dropping-particle":"","family":"Welton","given":"Nicky J","non-dropping-particle":"","parse-names":false,"suffix":""},{"dropping-particle":"","family":"Macleod","given":"John","non-dropping-particle":"","parse-names":false,"suffix":""},{"dropping-particle":"","family":"Simms","given":"Ian","non-dropping-particle":"","parse-names":false,"suffix":""},{"dropping-particle":"","family":"DeAngelis","given":"Daniela","non-dropping-particle":"","parse-names":false,"suffix":""},{"dropping-particle":"","family":"Turner","given":"Katherine Me","non-dropping-particle":"","parse-names":false,"suffix":""},{"dropping-particle":"","family":"Horner","given":"Paddy J","non-dropping-particle":"","parse-names":false,"suffix":""}],"container-title":"Health technology assessment (Winchester, England)","id":"ITEM-1","issue":"22","issued":{"date-parts":[["2016","3"]]},"page":"1-250","publisher":"NIHR Journals Library","title":"The natural history of Chlamydia trachomatis infection in women: a multi-parameter evidence synthesis.","type":"article-journal","volume":"20"},"uris":["http://www.mendeley.com/documents/?uuid=66070def-fa54-3b49-b38a-7f93e92cea0a"]}],"mendeley":{"formattedCitation":"&lt;sup&gt;5&lt;/sup&gt;","plainTextFormattedCitation":"5","previouslyFormattedCitation":"&lt;sup&gt;5&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5</w:t>
            </w:r>
            <w:r>
              <w:rPr>
                <w:rFonts w:cs="Arial"/>
                <w:sz w:val="20"/>
                <w:szCs w:val="20"/>
              </w:rPr>
              <w:fldChar w:fldCharType="end"/>
            </w:r>
          </w:p>
        </w:tc>
      </w:tr>
      <w:tr w:rsidR="005F24F1" w:rsidRPr="005F24F1" w14:paraId="3C736111" w14:textId="77777777" w:rsidTr="00462159">
        <w:tc>
          <w:tcPr>
            <w:tcW w:w="3145" w:type="dxa"/>
            <w:shd w:val="clear" w:color="auto" w:fill="D9D9D9"/>
          </w:tcPr>
          <w:p w14:paraId="6BFEEFCD" w14:textId="77777777" w:rsidR="006A7069" w:rsidRPr="005F24F1" w:rsidRDefault="006A7069" w:rsidP="006A7069">
            <w:pPr>
              <w:rPr>
                <w:rFonts w:cs="Arial"/>
                <w:sz w:val="20"/>
                <w:szCs w:val="20"/>
              </w:rPr>
            </w:pPr>
            <w:r w:rsidRPr="005F24F1">
              <w:rPr>
                <w:rFonts w:cs="Arial"/>
                <w:sz w:val="20"/>
                <w:szCs w:val="20"/>
              </w:rPr>
              <w:t>Sequelae severity (utility)</w:t>
            </w:r>
          </w:p>
        </w:tc>
        <w:tc>
          <w:tcPr>
            <w:tcW w:w="810" w:type="dxa"/>
            <w:shd w:val="clear" w:color="auto" w:fill="D9D9D9"/>
          </w:tcPr>
          <w:p w14:paraId="2E426D68" w14:textId="77777777" w:rsidR="006A7069" w:rsidRPr="005F24F1" w:rsidRDefault="006A7069" w:rsidP="006A7069">
            <w:pPr>
              <w:rPr>
                <w:rFonts w:cs="Arial"/>
                <w:sz w:val="20"/>
                <w:szCs w:val="20"/>
              </w:rPr>
            </w:pPr>
          </w:p>
        </w:tc>
        <w:tc>
          <w:tcPr>
            <w:tcW w:w="1710" w:type="dxa"/>
            <w:shd w:val="clear" w:color="auto" w:fill="D9D9D9"/>
          </w:tcPr>
          <w:p w14:paraId="456BF1D8" w14:textId="77777777" w:rsidR="006A7069" w:rsidRPr="005F24F1" w:rsidRDefault="006A7069" w:rsidP="006A7069">
            <w:pPr>
              <w:rPr>
                <w:rFonts w:cs="Arial"/>
                <w:sz w:val="20"/>
                <w:szCs w:val="20"/>
              </w:rPr>
            </w:pPr>
          </w:p>
        </w:tc>
        <w:tc>
          <w:tcPr>
            <w:tcW w:w="2340" w:type="dxa"/>
            <w:shd w:val="clear" w:color="auto" w:fill="D9D9D9"/>
          </w:tcPr>
          <w:p w14:paraId="5929B4BF" w14:textId="77777777" w:rsidR="006A7069" w:rsidRPr="005F24F1" w:rsidRDefault="006A7069" w:rsidP="006A7069">
            <w:pPr>
              <w:rPr>
                <w:rFonts w:cs="Arial"/>
                <w:sz w:val="20"/>
                <w:szCs w:val="20"/>
              </w:rPr>
            </w:pPr>
          </w:p>
        </w:tc>
        <w:tc>
          <w:tcPr>
            <w:tcW w:w="1285" w:type="dxa"/>
            <w:shd w:val="clear" w:color="auto" w:fill="D9D9D9"/>
          </w:tcPr>
          <w:p w14:paraId="3007F5F4" w14:textId="77777777" w:rsidR="006A7069" w:rsidRPr="005F24F1" w:rsidRDefault="006A7069" w:rsidP="006A7069">
            <w:pPr>
              <w:rPr>
                <w:rFonts w:cs="Arial"/>
                <w:sz w:val="20"/>
                <w:szCs w:val="20"/>
              </w:rPr>
            </w:pPr>
          </w:p>
        </w:tc>
      </w:tr>
      <w:tr w:rsidR="005F24F1" w:rsidRPr="005F24F1" w14:paraId="610F21C9" w14:textId="77777777" w:rsidTr="00462159">
        <w:tc>
          <w:tcPr>
            <w:tcW w:w="3145" w:type="dxa"/>
            <w:shd w:val="clear" w:color="auto" w:fill="F2F2F2"/>
          </w:tcPr>
          <w:p w14:paraId="315F9155" w14:textId="77777777" w:rsidR="006A7069" w:rsidRPr="005F24F1" w:rsidRDefault="006A7069" w:rsidP="006A7069">
            <w:pPr>
              <w:ind w:left="360"/>
              <w:rPr>
                <w:rFonts w:cs="Arial"/>
                <w:sz w:val="20"/>
                <w:szCs w:val="20"/>
              </w:rPr>
            </w:pPr>
            <w:r w:rsidRPr="005F24F1">
              <w:rPr>
                <w:rFonts w:cs="Arial"/>
                <w:sz w:val="20"/>
                <w:szCs w:val="20"/>
              </w:rPr>
              <w:t xml:space="preserve">Primary infertility </w:t>
            </w:r>
          </w:p>
        </w:tc>
        <w:tc>
          <w:tcPr>
            <w:tcW w:w="810" w:type="dxa"/>
            <w:shd w:val="clear" w:color="auto" w:fill="F2F2F2"/>
          </w:tcPr>
          <w:p w14:paraId="3A5740A6" w14:textId="77777777" w:rsidR="006A7069" w:rsidRPr="005F24F1" w:rsidRDefault="006A7069" w:rsidP="006A7069">
            <w:pPr>
              <w:rPr>
                <w:rFonts w:cs="Arial"/>
                <w:sz w:val="20"/>
                <w:szCs w:val="20"/>
              </w:rPr>
            </w:pPr>
            <w:r w:rsidRPr="005F24F1">
              <w:rPr>
                <w:rFonts w:cs="Arial"/>
                <w:sz w:val="20"/>
                <w:szCs w:val="20"/>
              </w:rPr>
              <w:t>0.992</w:t>
            </w:r>
          </w:p>
        </w:tc>
        <w:tc>
          <w:tcPr>
            <w:tcW w:w="1710" w:type="dxa"/>
            <w:shd w:val="clear" w:color="auto" w:fill="F2F2F2"/>
          </w:tcPr>
          <w:p w14:paraId="4057E0D1" w14:textId="77777777" w:rsidR="006A7069" w:rsidRPr="005F24F1" w:rsidRDefault="006A7069" w:rsidP="006A7069">
            <w:pPr>
              <w:rPr>
                <w:rFonts w:cs="Arial"/>
                <w:sz w:val="20"/>
                <w:szCs w:val="20"/>
              </w:rPr>
            </w:pPr>
            <w:r w:rsidRPr="005F24F1">
              <w:rPr>
                <w:rFonts w:cs="Arial"/>
                <w:sz w:val="20"/>
                <w:szCs w:val="20"/>
              </w:rPr>
              <w:t>0.985-0.997</w:t>
            </w:r>
          </w:p>
        </w:tc>
        <w:tc>
          <w:tcPr>
            <w:tcW w:w="2340" w:type="dxa"/>
            <w:shd w:val="clear" w:color="auto" w:fill="F2F2F2"/>
          </w:tcPr>
          <w:p w14:paraId="06589AD4" w14:textId="77777777" w:rsidR="006A7069" w:rsidRPr="005F24F1" w:rsidRDefault="006A7069" w:rsidP="006A7069">
            <w:pPr>
              <w:rPr>
                <w:rFonts w:cs="Arial"/>
                <w:sz w:val="20"/>
                <w:szCs w:val="20"/>
              </w:rPr>
            </w:pPr>
            <w:r w:rsidRPr="005F24F1">
              <w:rPr>
                <w:rFonts w:cs="Arial"/>
                <w:sz w:val="20"/>
                <w:szCs w:val="20"/>
              </w:rPr>
              <w:t>Beta (828.67, 6.68)</w:t>
            </w:r>
          </w:p>
        </w:tc>
        <w:tc>
          <w:tcPr>
            <w:tcW w:w="1285" w:type="dxa"/>
            <w:shd w:val="clear" w:color="auto" w:fill="F2F2F2"/>
          </w:tcPr>
          <w:p w14:paraId="103875E2" w14:textId="11C7B781" w:rsidR="006A7069" w:rsidRPr="005F24F1" w:rsidRDefault="006A7069" w:rsidP="006A7069">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15BC780E" w14:textId="77777777" w:rsidTr="00462159">
        <w:tc>
          <w:tcPr>
            <w:tcW w:w="3145" w:type="dxa"/>
            <w:shd w:val="clear" w:color="auto" w:fill="F2F2F2"/>
          </w:tcPr>
          <w:p w14:paraId="1C900F30" w14:textId="77777777" w:rsidR="006A7069" w:rsidRPr="005F24F1" w:rsidRDefault="006A7069" w:rsidP="006A7069">
            <w:pPr>
              <w:ind w:left="360"/>
              <w:rPr>
                <w:rFonts w:cs="Arial"/>
                <w:sz w:val="20"/>
                <w:szCs w:val="20"/>
              </w:rPr>
            </w:pPr>
            <w:r w:rsidRPr="005F24F1">
              <w:rPr>
                <w:rFonts w:cs="Arial"/>
                <w:sz w:val="20"/>
                <w:szCs w:val="20"/>
              </w:rPr>
              <w:t>Secondary infertility</w:t>
            </w:r>
          </w:p>
        </w:tc>
        <w:tc>
          <w:tcPr>
            <w:tcW w:w="810" w:type="dxa"/>
            <w:shd w:val="clear" w:color="auto" w:fill="F2F2F2"/>
          </w:tcPr>
          <w:p w14:paraId="5DA35EE1" w14:textId="77777777" w:rsidR="006A7069" w:rsidRPr="005F24F1" w:rsidRDefault="006A7069" w:rsidP="006A7069">
            <w:pPr>
              <w:rPr>
                <w:rFonts w:cs="Arial"/>
                <w:sz w:val="20"/>
                <w:szCs w:val="20"/>
              </w:rPr>
            </w:pPr>
            <w:r w:rsidRPr="005F24F1">
              <w:rPr>
                <w:rFonts w:cs="Arial"/>
                <w:sz w:val="20"/>
                <w:szCs w:val="20"/>
              </w:rPr>
              <w:t>0.995</w:t>
            </w:r>
          </w:p>
        </w:tc>
        <w:tc>
          <w:tcPr>
            <w:tcW w:w="1710" w:type="dxa"/>
            <w:shd w:val="clear" w:color="auto" w:fill="F2F2F2"/>
          </w:tcPr>
          <w:p w14:paraId="5F7BD1A7" w14:textId="77777777" w:rsidR="006A7069" w:rsidRPr="005F24F1" w:rsidRDefault="006A7069" w:rsidP="006A7069">
            <w:pPr>
              <w:rPr>
                <w:rFonts w:cs="Arial"/>
                <w:sz w:val="20"/>
                <w:szCs w:val="20"/>
              </w:rPr>
            </w:pPr>
            <w:r w:rsidRPr="005F24F1">
              <w:rPr>
                <w:rFonts w:cs="Arial"/>
                <w:sz w:val="20"/>
                <w:szCs w:val="20"/>
              </w:rPr>
              <w:t>0.989-0.999</w:t>
            </w:r>
          </w:p>
        </w:tc>
        <w:tc>
          <w:tcPr>
            <w:tcW w:w="2340" w:type="dxa"/>
            <w:shd w:val="clear" w:color="auto" w:fill="F2F2F2"/>
          </w:tcPr>
          <w:p w14:paraId="2C26CD6F" w14:textId="77777777" w:rsidR="006A7069" w:rsidRPr="005F24F1" w:rsidRDefault="006A7069" w:rsidP="006A7069">
            <w:pPr>
              <w:rPr>
                <w:rFonts w:cs="Arial"/>
                <w:sz w:val="20"/>
                <w:szCs w:val="20"/>
              </w:rPr>
            </w:pPr>
            <w:r w:rsidRPr="005F24F1">
              <w:rPr>
                <w:rFonts w:cs="Arial"/>
                <w:sz w:val="20"/>
                <w:szCs w:val="20"/>
              </w:rPr>
              <w:t>Beta (829.49, 4.17)</w:t>
            </w:r>
          </w:p>
        </w:tc>
        <w:tc>
          <w:tcPr>
            <w:tcW w:w="1285" w:type="dxa"/>
            <w:shd w:val="clear" w:color="auto" w:fill="F2F2F2"/>
          </w:tcPr>
          <w:p w14:paraId="67A3E607" w14:textId="563AFC61" w:rsidR="006A7069" w:rsidRPr="005F24F1" w:rsidRDefault="006A7069" w:rsidP="006A7069">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0E456DCB" w14:textId="77777777" w:rsidTr="00462159">
        <w:tc>
          <w:tcPr>
            <w:tcW w:w="3145" w:type="dxa"/>
            <w:shd w:val="clear" w:color="auto" w:fill="auto"/>
          </w:tcPr>
          <w:p w14:paraId="7A567EEF" w14:textId="77777777" w:rsidR="006A7069" w:rsidRPr="005F24F1" w:rsidRDefault="006A7069" w:rsidP="006A7069">
            <w:pPr>
              <w:rPr>
                <w:rFonts w:cs="Arial"/>
                <w:b/>
                <w:bCs/>
                <w:sz w:val="20"/>
                <w:szCs w:val="20"/>
              </w:rPr>
            </w:pPr>
            <w:r w:rsidRPr="005F24F1">
              <w:rPr>
                <w:rFonts w:cs="Arial"/>
                <w:b/>
                <w:bCs/>
                <w:sz w:val="20"/>
                <w:szCs w:val="20"/>
              </w:rPr>
              <w:t xml:space="preserve">EP </w:t>
            </w:r>
          </w:p>
        </w:tc>
        <w:tc>
          <w:tcPr>
            <w:tcW w:w="810" w:type="dxa"/>
            <w:shd w:val="clear" w:color="auto" w:fill="auto"/>
          </w:tcPr>
          <w:p w14:paraId="63508C76" w14:textId="77777777" w:rsidR="006A7069" w:rsidRPr="005F24F1" w:rsidRDefault="006A7069" w:rsidP="006A7069">
            <w:pPr>
              <w:rPr>
                <w:rFonts w:cs="Arial"/>
                <w:sz w:val="20"/>
                <w:szCs w:val="20"/>
              </w:rPr>
            </w:pPr>
            <w:r w:rsidRPr="005F24F1">
              <w:rPr>
                <w:rFonts w:cs="Arial"/>
                <w:sz w:val="20"/>
                <w:szCs w:val="20"/>
              </w:rPr>
              <w:t>0.886</w:t>
            </w:r>
          </w:p>
        </w:tc>
        <w:tc>
          <w:tcPr>
            <w:tcW w:w="1710" w:type="dxa"/>
            <w:shd w:val="clear" w:color="auto" w:fill="auto"/>
          </w:tcPr>
          <w:p w14:paraId="24296B9A" w14:textId="77777777" w:rsidR="006A7069" w:rsidRPr="005F24F1" w:rsidRDefault="006A7069" w:rsidP="006A7069">
            <w:pPr>
              <w:rPr>
                <w:rFonts w:cs="Arial"/>
                <w:sz w:val="20"/>
                <w:szCs w:val="20"/>
              </w:rPr>
            </w:pPr>
            <w:r w:rsidRPr="005F24F1">
              <w:rPr>
                <w:rFonts w:cs="Arial"/>
                <w:sz w:val="20"/>
                <w:szCs w:val="20"/>
              </w:rPr>
              <w:t>0.843-0.924</w:t>
            </w:r>
          </w:p>
        </w:tc>
        <w:tc>
          <w:tcPr>
            <w:tcW w:w="2340" w:type="dxa"/>
            <w:shd w:val="clear" w:color="auto" w:fill="auto"/>
          </w:tcPr>
          <w:p w14:paraId="6411B987" w14:textId="77777777" w:rsidR="006A7069" w:rsidRPr="005F24F1" w:rsidRDefault="006A7069" w:rsidP="006A7069">
            <w:pPr>
              <w:rPr>
                <w:rFonts w:cs="Arial"/>
                <w:sz w:val="20"/>
                <w:szCs w:val="20"/>
              </w:rPr>
            </w:pPr>
            <w:r w:rsidRPr="005F24F1">
              <w:rPr>
                <w:rFonts w:cs="Arial"/>
                <w:sz w:val="20"/>
                <w:szCs w:val="20"/>
              </w:rPr>
              <w:t>Beta (205.24, 26.41)</w:t>
            </w:r>
          </w:p>
        </w:tc>
        <w:tc>
          <w:tcPr>
            <w:tcW w:w="1285" w:type="dxa"/>
            <w:shd w:val="clear" w:color="auto" w:fill="auto"/>
          </w:tcPr>
          <w:p w14:paraId="17074DEE" w14:textId="5A45E004" w:rsidR="006A7069" w:rsidRPr="005F24F1" w:rsidRDefault="006A7069" w:rsidP="006A7069">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5F24F1" w:rsidRPr="005F24F1" w14:paraId="75A474CA" w14:textId="77777777" w:rsidTr="00462159">
        <w:tc>
          <w:tcPr>
            <w:tcW w:w="3145" w:type="dxa"/>
            <w:shd w:val="clear" w:color="auto" w:fill="auto"/>
          </w:tcPr>
          <w:p w14:paraId="1891BF6B" w14:textId="77777777" w:rsidR="006A7069" w:rsidRPr="005F24F1" w:rsidRDefault="006A7069" w:rsidP="006A7069">
            <w:pPr>
              <w:rPr>
                <w:rFonts w:cs="Arial"/>
                <w:b/>
                <w:bCs/>
                <w:sz w:val="20"/>
                <w:szCs w:val="20"/>
              </w:rPr>
            </w:pPr>
            <w:r w:rsidRPr="005F24F1">
              <w:rPr>
                <w:rFonts w:cs="Arial"/>
                <w:b/>
                <w:bCs/>
                <w:sz w:val="20"/>
                <w:szCs w:val="20"/>
              </w:rPr>
              <w:t>EDS</w:t>
            </w:r>
          </w:p>
        </w:tc>
        <w:tc>
          <w:tcPr>
            <w:tcW w:w="810" w:type="dxa"/>
            <w:shd w:val="clear" w:color="auto" w:fill="auto"/>
          </w:tcPr>
          <w:p w14:paraId="2A6927F7" w14:textId="77777777" w:rsidR="006A7069" w:rsidRPr="005F24F1" w:rsidRDefault="006A7069" w:rsidP="006A7069">
            <w:pPr>
              <w:rPr>
                <w:rFonts w:cs="Arial"/>
                <w:sz w:val="20"/>
                <w:szCs w:val="20"/>
              </w:rPr>
            </w:pPr>
            <w:r w:rsidRPr="005F24F1">
              <w:rPr>
                <w:rFonts w:cs="Arial"/>
                <w:sz w:val="20"/>
                <w:szCs w:val="20"/>
              </w:rPr>
              <w:t>0.872</w:t>
            </w:r>
          </w:p>
        </w:tc>
        <w:tc>
          <w:tcPr>
            <w:tcW w:w="1710" w:type="dxa"/>
            <w:shd w:val="clear" w:color="auto" w:fill="auto"/>
          </w:tcPr>
          <w:p w14:paraId="1F2EFC22" w14:textId="77777777" w:rsidR="006A7069" w:rsidRPr="005F24F1" w:rsidRDefault="006A7069" w:rsidP="006A7069">
            <w:pPr>
              <w:rPr>
                <w:rFonts w:cs="Arial"/>
                <w:sz w:val="20"/>
                <w:szCs w:val="20"/>
              </w:rPr>
            </w:pPr>
            <w:r w:rsidRPr="005F24F1">
              <w:rPr>
                <w:rFonts w:cs="Arial"/>
                <w:sz w:val="20"/>
                <w:szCs w:val="20"/>
              </w:rPr>
              <w:t>0.822-0.916</w:t>
            </w:r>
          </w:p>
        </w:tc>
        <w:tc>
          <w:tcPr>
            <w:tcW w:w="2340" w:type="dxa"/>
            <w:shd w:val="clear" w:color="auto" w:fill="auto"/>
          </w:tcPr>
          <w:p w14:paraId="688B702D" w14:textId="77777777" w:rsidR="006A7069" w:rsidRPr="005F24F1" w:rsidRDefault="006A7069" w:rsidP="006A7069">
            <w:pPr>
              <w:rPr>
                <w:rFonts w:cs="Arial"/>
                <w:sz w:val="20"/>
                <w:szCs w:val="20"/>
              </w:rPr>
            </w:pPr>
            <w:r w:rsidRPr="005F24F1">
              <w:rPr>
                <w:rFonts w:cs="Arial"/>
                <w:sz w:val="20"/>
                <w:szCs w:val="20"/>
              </w:rPr>
              <w:t>Beta (165.78, 24.33)</w:t>
            </w:r>
          </w:p>
        </w:tc>
        <w:tc>
          <w:tcPr>
            <w:tcW w:w="1285" w:type="dxa"/>
            <w:shd w:val="clear" w:color="auto" w:fill="auto"/>
          </w:tcPr>
          <w:p w14:paraId="485B67A8" w14:textId="35D12150" w:rsidR="006A7069" w:rsidRPr="005F24F1" w:rsidRDefault="006A7069" w:rsidP="006A7069">
            <w:pPr>
              <w:rPr>
                <w:rFonts w:cs="Arial"/>
                <w:sz w:val="20"/>
                <w:szCs w:val="20"/>
              </w:rPr>
            </w:pPr>
            <w:r w:rsidRPr="005F24F1">
              <w:rPr>
                <w:rStyle w:val="FootnoteReference"/>
                <w:rFonts w:cs="Arial"/>
                <w:sz w:val="20"/>
                <w:szCs w:val="20"/>
              </w:rPr>
              <w:fldChar w:fldCharType="begin" w:fldLock="1"/>
            </w:r>
            <w:r w:rsidR="00584B7C">
              <w:rPr>
                <w:rFonts w:cs="Arial"/>
                <w:sz w:val="20"/>
                <w:szCs w:val="20"/>
              </w:rPr>
              <w:instrText>ADDIN CSL_CITATION {"citationItems":[{"id":"ITEM-1","itemData":{"URL":"http://ghdx.healthdata.org/record/ihme-data/gbd-2019-disability-weights","accessed":{"date-parts":[["2021","10","8"]]},"author":[{"dropping-particle":"","family":"Global Burden of Disease Collaborative Network","given":"","non-dropping-particle":"","parse-names":false,"suffix":""}],"id":"ITEM-1","issued":{"date-parts":[["2019"]]},"title":"Global Burden of Disease Study 2019 (GBD 2019) Disability Weights","type":"webpage"},"uris":["http://www.mendeley.com/documents/?uuid=a80e2321-4bac-3bba-8b67-b9f30a7b013a"]}],"mendeley":{"formattedCitation":"&lt;sup&gt;3&lt;/sup&gt;","plainTextFormattedCitation":"3","previouslyFormattedCitation":"&lt;sup&gt;3&lt;/sup&gt;"},"properties":{"noteIndex":0},"schema":"https://github.com/citation-style-language/schema/raw/master/csl-citation.json"}</w:instrText>
            </w:r>
            <w:r w:rsidRPr="005F24F1">
              <w:rPr>
                <w:rStyle w:val="FootnoteReference"/>
                <w:rFonts w:cs="Arial"/>
                <w:sz w:val="20"/>
                <w:szCs w:val="20"/>
              </w:rPr>
              <w:fldChar w:fldCharType="separate"/>
            </w:r>
            <w:r w:rsidR="00A3159B" w:rsidRPr="00A3159B">
              <w:rPr>
                <w:rFonts w:cs="Arial"/>
                <w:noProof/>
                <w:sz w:val="20"/>
                <w:szCs w:val="20"/>
                <w:vertAlign w:val="superscript"/>
              </w:rPr>
              <w:t>3</w:t>
            </w:r>
            <w:r w:rsidRPr="005F24F1">
              <w:rPr>
                <w:rStyle w:val="FootnoteReference"/>
                <w:rFonts w:cs="Arial"/>
                <w:sz w:val="20"/>
                <w:szCs w:val="20"/>
              </w:rPr>
              <w:fldChar w:fldCharType="end"/>
            </w:r>
          </w:p>
        </w:tc>
      </w:tr>
      <w:tr w:rsidR="00E85B63" w:rsidRPr="005F24F1" w14:paraId="690F5449" w14:textId="77777777" w:rsidTr="00462159">
        <w:tc>
          <w:tcPr>
            <w:tcW w:w="3145" w:type="dxa"/>
            <w:shd w:val="clear" w:color="auto" w:fill="auto"/>
          </w:tcPr>
          <w:p w14:paraId="412164A4" w14:textId="77777777" w:rsidR="00E85B63" w:rsidRPr="005F24F1" w:rsidRDefault="00E85B63" w:rsidP="00E85B63">
            <w:pPr>
              <w:rPr>
                <w:rFonts w:cs="Arial"/>
                <w:b/>
                <w:bCs/>
                <w:sz w:val="20"/>
                <w:szCs w:val="20"/>
              </w:rPr>
            </w:pPr>
            <w:r>
              <w:rPr>
                <w:rFonts w:cs="Arial"/>
                <w:b/>
                <w:bCs/>
                <w:sz w:val="20"/>
                <w:szCs w:val="20"/>
              </w:rPr>
              <w:t>Duration estimates</w:t>
            </w:r>
            <w:r w:rsidR="004C6D82">
              <w:rPr>
                <w:rFonts w:cs="Arial"/>
                <w:b/>
                <w:bCs/>
                <w:sz w:val="20"/>
                <w:szCs w:val="20"/>
              </w:rPr>
              <w:t xml:space="preserve"> used in the sensitivity </w:t>
            </w:r>
            <w:proofErr w:type="spellStart"/>
            <w:r w:rsidR="008B4A6A">
              <w:rPr>
                <w:rFonts w:cs="Arial"/>
                <w:b/>
                <w:bCs/>
                <w:sz w:val="20"/>
                <w:szCs w:val="20"/>
              </w:rPr>
              <w:t>analysis</w:t>
            </w:r>
            <w:r w:rsidR="008B4A6A">
              <w:rPr>
                <w:rFonts w:cs="Arial"/>
                <w:b/>
                <w:bCs/>
                <w:sz w:val="20"/>
                <w:szCs w:val="20"/>
                <w:vertAlign w:val="superscript"/>
              </w:rPr>
              <w:t>a</w:t>
            </w:r>
            <w:proofErr w:type="spellEnd"/>
            <w:r w:rsidR="004C6D82">
              <w:rPr>
                <w:rFonts w:cs="Arial"/>
                <w:b/>
                <w:bCs/>
                <w:sz w:val="20"/>
                <w:szCs w:val="20"/>
              </w:rPr>
              <w:t xml:space="preserve"> </w:t>
            </w:r>
          </w:p>
        </w:tc>
        <w:tc>
          <w:tcPr>
            <w:tcW w:w="810" w:type="dxa"/>
            <w:shd w:val="clear" w:color="auto" w:fill="auto"/>
          </w:tcPr>
          <w:p w14:paraId="391EB9C6" w14:textId="77777777" w:rsidR="00E85B63" w:rsidRPr="005F24F1" w:rsidRDefault="00E85B63" w:rsidP="00E85B63">
            <w:pPr>
              <w:rPr>
                <w:rFonts w:cs="Arial"/>
                <w:sz w:val="20"/>
                <w:szCs w:val="20"/>
              </w:rPr>
            </w:pPr>
          </w:p>
        </w:tc>
        <w:tc>
          <w:tcPr>
            <w:tcW w:w="1710" w:type="dxa"/>
            <w:shd w:val="clear" w:color="auto" w:fill="auto"/>
          </w:tcPr>
          <w:p w14:paraId="6AC9C4BB" w14:textId="77777777" w:rsidR="00E85B63" w:rsidRPr="005F24F1" w:rsidRDefault="00E85B63" w:rsidP="00E85B63">
            <w:pPr>
              <w:rPr>
                <w:rFonts w:cs="Arial"/>
                <w:sz w:val="20"/>
                <w:szCs w:val="20"/>
              </w:rPr>
            </w:pPr>
          </w:p>
        </w:tc>
        <w:tc>
          <w:tcPr>
            <w:tcW w:w="2340" w:type="dxa"/>
            <w:shd w:val="clear" w:color="auto" w:fill="auto"/>
          </w:tcPr>
          <w:p w14:paraId="598D3809" w14:textId="77777777" w:rsidR="00E85B63" w:rsidRPr="005F24F1" w:rsidRDefault="00E85B63" w:rsidP="00E85B63">
            <w:pPr>
              <w:rPr>
                <w:rFonts w:cs="Arial"/>
                <w:sz w:val="20"/>
                <w:szCs w:val="20"/>
              </w:rPr>
            </w:pPr>
          </w:p>
        </w:tc>
        <w:tc>
          <w:tcPr>
            <w:tcW w:w="1285" w:type="dxa"/>
            <w:shd w:val="clear" w:color="auto" w:fill="auto"/>
          </w:tcPr>
          <w:p w14:paraId="19ABA616" w14:textId="77777777" w:rsidR="00E85B63" w:rsidRPr="005F24F1" w:rsidRDefault="00E85B63" w:rsidP="00E85B63">
            <w:pPr>
              <w:rPr>
                <w:rStyle w:val="FootnoteReference"/>
                <w:rFonts w:cs="Arial"/>
                <w:sz w:val="20"/>
                <w:szCs w:val="20"/>
              </w:rPr>
            </w:pPr>
          </w:p>
        </w:tc>
      </w:tr>
      <w:tr w:rsidR="00E85B63" w:rsidRPr="005F24F1" w14:paraId="6B44B0C7" w14:textId="77777777" w:rsidTr="00462159">
        <w:tc>
          <w:tcPr>
            <w:tcW w:w="3145" w:type="dxa"/>
            <w:shd w:val="clear" w:color="auto" w:fill="auto"/>
          </w:tcPr>
          <w:p w14:paraId="0C215A80" w14:textId="77777777" w:rsidR="00E85B63" w:rsidRPr="005F24F1" w:rsidRDefault="00E85B63" w:rsidP="00E85B63">
            <w:pPr>
              <w:rPr>
                <w:rFonts w:cs="Arial"/>
                <w:b/>
                <w:bCs/>
                <w:sz w:val="20"/>
                <w:szCs w:val="20"/>
              </w:rPr>
            </w:pPr>
            <w:r w:rsidRPr="006676A2">
              <w:rPr>
                <w:rFonts w:cs="Arial"/>
                <w:sz w:val="20"/>
                <w:szCs w:val="20"/>
              </w:rPr>
              <w:t>TFI</w:t>
            </w:r>
          </w:p>
        </w:tc>
        <w:tc>
          <w:tcPr>
            <w:tcW w:w="810" w:type="dxa"/>
            <w:shd w:val="clear" w:color="auto" w:fill="auto"/>
          </w:tcPr>
          <w:p w14:paraId="76999C24" w14:textId="77777777" w:rsidR="00E85B63" w:rsidRPr="005F24F1" w:rsidRDefault="00E85B63" w:rsidP="00E85B63">
            <w:pPr>
              <w:rPr>
                <w:rFonts w:cs="Arial"/>
                <w:sz w:val="20"/>
                <w:szCs w:val="20"/>
              </w:rPr>
            </w:pPr>
            <w:r>
              <w:rPr>
                <w:rFonts w:cs="Arial"/>
                <w:sz w:val="20"/>
                <w:szCs w:val="20"/>
              </w:rPr>
              <w:t>NA</w:t>
            </w:r>
          </w:p>
        </w:tc>
        <w:tc>
          <w:tcPr>
            <w:tcW w:w="1710" w:type="dxa"/>
            <w:shd w:val="clear" w:color="auto" w:fill="auto"/>
          </w:tcPr>
          <w:p w14:paraId="7E080164" w14:textId="77777777" w:rsidR="00E85B63" w:rsidRPr="005F24F1" w:rsidRDefault="00E85B63" w:rsidP="00E85B63">
            <w:pPr>
              <w:rPr>
                <w:rFonts w:cs="Arial"/>
                <w:sz w:val="20"/>
                <w:szCs w:val="20"/>
              </w:rPr>
            </w:pPr>
            <w:r>
              <w:rPr>
                <w:rFonts w:cs="Arial"/>
                <w:sz w:val="20"/>
                <w:szCs w:val="20"/>
              </w:rPr>
              <w:t>NA</w:t>
            </w:r>
          </w:p>
        </w:tc>
        <w:tc>
          <w:tcPr>
            <w:tcW w:w="2340" w:type="dxa"/>
            <w:shd w:val="clear" w:color="auto" w:fill="auto"/>
          </w:tcPr>
          <w:p w14:paraId="142A6453" w14:textId="77777777" w:rsidR="00E85B63" w:rsidRPr="005F24F1" w:rsidRDefault="00E85B63" w:rsidP="00E85B63">
            <w:pPr>
              <w:rPr>
                <w:rFonts w:cs="Arial"/>
                <w:sz w:val="20"/>
                <w:szCs w:val="20"/>
              </w:rPr>
            </w:pPr>
            <w:proofErr w:type="gramStart"/>
            <w:r>
              <w:rPr>
                <w:rFonts w:cs="Arial"/>
                <w:sz w:val="20"/>
                <w:szCs w:val="20"/>
              </w:rPr>
              <w:t>Uniform(</w:t>
            </w:r>
            <w:proofErr w:type="gramEnd"/>
            <w:r>
              <w:rPr>
                <w:rFonts w:cs="Arial"/>
                <w:sz w:val="20"/>
                <w:szCs w:val="20"/>
              </w:rPr>
              <w:t>5,10)</w:t>
            </w:r>
          </w:p>
        </w:tc>
        <w:tc>
          <w:tcPr>
            <w:tcW w:w="1285" w:type="dxa"/>
            <w:shd w:val="clear" w:color="auto" w:fill="auto"/>
          </w:tcPr>
          <w:p w14:paraId="39577588" w14:textId="77777777" w:rsidR="00E85B63" w:rsidRPr="005F24F1" w:rsidRDefault="00E85B63" w:rsidP="00E85B63">
            <w:pPr>
              <w:rPr>
                <w:rStyle w:val="FootnoteReference"/>
                <w:rFonts w:cs="Arial"/>
                <w:sz w:val="20"/>
                <w:szCs w:val="20"/>
              </w:rPr>
            </w:pPr>
            <w:r>
              <w:t>Assumption</w:t>
            </w:r>
          </w:p>
        </w:tc>
      </w:tr>
      <w:tr w:rsidR="00E85B63" w:rsidRPr="005F24F1" w14:paraId="76719A22" w14:textId="77777777" w:rsidTr="00462159">
        <w:tc>
          <w:tcPr>
            <w:tcW w:w="3145" w:type="dxa"/>
            <w:shd w:val="clear" w:color="auto" w:fill="auto"/>
          </w:tcPr>
          <w:p w14:paraId="453EC258" w14:textId="77777777" w:rsidR="00E85B63" w:rsidRPr="005F24F1" w:rsidRDefault="00E85B63" w:rsidP="00E85B63">
            <w:pPr>
              <w:rPr>
                <w:rFonts w:cs="Arial"/>
                <w:b/>
                <w:bCs/>
                <w:sz w:val="20"/>
                <w:szCs w:val="20"/>
              </w:rPr>
            </w:pPr>
            <w:r w:rsidRPr="006676A2">
              <w:rPr>
                <w:rFonts w:cs="Arial"/>
                <w:sz w:val="20"/>
                <w:szCs w:val="20"/>
              </w:rPr>
              <w:t>CPP</w:t>
            </w:r>
          </w:p>
        </w:tc>
        <w:tc>
          <w:tcPr>
            <w:tcW w:w="810" w:type="dxa"/>
            <w:shd w:val="clear" w:color="auto" w:fill="auto"/>
          </w:tcPr>
          <w:p w14:paraId="13B29425" w14:textId="77777777" w:rsidR="00E85B63" w:rsidRPr="005F24F1" w:rsidRDefault="00E85B63" w:rsidP="00E85B63">
            <w:pPr>
              <w:rPr>
                <w:rFonts w:cs="Arial"/>
                <w:sz w:val="20"/>
                <w:szCs w:val="20"/>
              </w:rPr>
            </w:pPr>
            <w:r>
              <w:rPr>
                <w:rFonts w:cs="Arial"/>
                <w:sz w:val="20"/>
                <w:szCs w:val="20"/>
              </w:rPr>
              <w:t>NA</w:t>
            </w:r>
          </w:p>
        </w:tc>
        <w:tc>
          <w:tcPr>
            <w:tcW w:w="1710" w:type="dxa"/>
            <w:shd w:val="clear" w:color="auto" w:fill="auto"/>
          </w:tcPr>
          <w:p w14:paraId="44EA11AE" w14:textId="77777777" w:rsidR="00E85B63" w:rsidRPr="005F24F1" w:rsidRDefault="00E85B63" w:rsidP="00E85B63">
            <w:pPr>
              <w:rPr>
                <w:rFonts w:cs="Arial"/>
                <w:sz w:val="20"/>
                <w:szCs w:val="20"/>
              </w:rPr>
            </w:pPr>
            <w:r>
              <w:rPr>
                <w:rFonts w:cs="Arial"/>
                <w:sz w:val="20"/>
                <w:szCs w:val="20"/>
              </w:rPr>
              <w:t>NA</w:t>
            </w:r>
          </w:p>
        </w:tc>
        <w:tc>
          <w:tcPr>
            <w:tcW w:w="2340" w:type="dxa"/>
            <w:shd w:val="clear" w:color="auto" w:fill="auto"/>
          </w:tcPr>
          <w:p w14:paraId="62B50990" w14:textId="77777777" w:rsidR="00E85B63" w:rsidRPr="005F24F1" w:rsidRDefault="00E85B63" w:rsidP="00E85B63">
            <w:pPr>
              <w:rPr>
                <w:rFonts w:cs="Arial"/>
                <w:sz w:val="20"/>
                <w:szCs w:val="20"/>
              </w:rPr>
            </w:pPr>
            <w:proofErr w:type="gramStart"/>
            <w:r>
              <w:rPr>
                <w:rFonts w:cs="Arial"/>
                <w:sz w:val="20"/>
                <w:szCs w:val="20"/>
              </w:rPr>
              <w:t>Uniform(</w:t>
            </w:r>
            <w:proofErr w:type="gramEnd"/>
            <w:r>
              <w:rPr>
                <w:rFonts w:cs="Arial"/>
                <w:sz w:val="20"/>
                <w:szCs w:val="20"/>
              </w:rPr>
              <w:t>5,10)</w:t>
            </w:r>
          </w:p>
        </w:tc>
        <w:tc>
          <w:tcPr>
            <w:tcW w:w="1285" w:type="dxa"/>
            <w:shd w:val="clear" w:color="auto" w:fill="auto"/>
          </w:tcPr>
          <w:p w14:paraId="563CD2D8" w14:textId="77777777" w:rsidR="00E85B63" w:rsidRPr="004C6D82" w:rsidRDefault="00E85B63" w:rsidP="00E85B63">
            <w:pPr>
              <w:rPr>
                <w:rStyle w:val="FootnoteReference"/>
                <w:rFonts w:cs="Arial"/>
                <w:sz w:val="20"/>
                <w:szCs w:val="20"/>
              </w:rPr>
            </w:pPr>
            <w:r>
              <w:t>Assumption</w:t>
            </w:r>
          </w:p>
        </w:tc>
      </w:tr>
    </w:tbl>
    <w:p w14:paraId="7F32F93E" w14:textId="77777777" w:rsidR="00870E6F" w:rsidRDefault="00870E6F" w:rsidP="00870E6F">
      <w:pPr>
        <w:pStyle w:val="ListParagraph"/>
        <w:ind w:left="90"/>
        <w:rPr>
          <w:rFonts w:ascii="Arial" w:hAnsi="Arial" w:cs="Arial"/>
          <w:b/>
          <w:bCs/>
        </w:rPr>
      </w:pPr>
    </w:p>
    <w:p w14:paraId="6190B921" w14:textId="630267AE" w:rsidR="004C6D82" w:rsidRDefault="004C6D82" w:rsidP="004C6D82">
      <w:pPr>
        <w:pStyle w:val="ListParagraph"/>
        <w:numPr>
          <w:ilvl w:val="0"/>
          <w:numId w:val="4"/>
        </w:numPr>
        <w:rPr>
          <w:rFonts w:ascii="Arial" w:hAnsi="Arial" w:cs="Arial"/>
          <w:sz w:val="22"/>
          <w:szCs w:val="22"/>
        </w:rPr>
      </w:pPr>
      <w:r w:rsidRPr="004C6D82">
        <w:rPr>
          <w:rFonts w:ascii="Arial" w:hAnsi="Arial" w:cs="Arial"/>
          <w:sz w:val="22"/>
          <w:szCs w:val="22"/>
        </w:rPr>
        <w:t>Same as in the main analyses</w:t>
      </w:r>
    </w:p>
    <w:p w14:paraId="16D07D46" w14:textId="3A3585EC" w:rsidR="00584B7C" w:rsidRPr="00584B7C" w:rsidRDefault="00584B7C" w:rsidP="00584B7C">
      <w:pPr>
        <w:spacing w:line="276" w:lineRule="auto"/>
        <w:ind w:left="90"/>
        <w:rPr>
          <w:rFonts w:cs="Arial"/>
        </w:rPr>
      </w:pPr>
      <w:r w:rsidRPr="00584B7C">
        <w:rPr>
          <w:rFonts w:cs="Arial"/>
        </w:rPr>
        <w:t>PID: pelvic inflammatory disease; TFI: tubal factor infertility; CPP: chronic pelvic pain; EP: ectopic pregnancy; E</w:t>
      </w:r>
      <w:r>
        <w:rPr>
          <w:rFonts w:cs="Arial"/>
        </w:rPr>
        <w:t>DS</w:t>
      </w:r>
      <w:r w:rsidRPr="00584B7C">
        <w:rPr>
          <w:rFonts w:cs="Arial"/>
        </w:rPr>
        <w:t>: epididymitis</w:t>
      </w:r>
      <w:r w:rsidR="00021553">
        <w:rPr>
          <w:rFonts w:cs="Arial"/>
        </w:rPr>
        <w:t>.</w:t>
      </w:r>
    </w:p>
    <w:p w14:paraId="322BC474" w14:textId="77777777" w:rsidR="00584B7C" w:rsidRPr="00584B7C" w:rsidRDefault="00584B7C" w:rsidP="00584B7C">
      <w:pPr>
        <w:rPr>
          <w:rFonts w:cs="Arial"/>
          <w:szCs w:val="22"/>
        </w:rPr>
      </w:pPr>
    </w:p>
    <w:p w14:paraId="0E77B3BD" w14:textId="77777777" w:rsidR="00CD5DEE" w:rsidRDefault="00CD5DEE" w:rsidP="00870E6F">
      <w:pPr>
        <w:pStyle w:val="ListParagraph"/>
        <w:ind w:left="90"/>
        <w:rPr>
          <w:rFonts w:ascii="Arial" w:hAnsi="Arial" w:cs="Arial"/>
          <w:b/>
          <w:bCs/>
        </w:rPr>
        <w:sectPr w:rsidR="00CD5DEE" w:rsidSect="007D6931">
          <w:pgSz w:w="12240" w:h="15840"/>
          <w:pgMar w:top="1440" w:right="1440" w:bottom="1440" w:left="1440" w:header="720" w:footer="720" w:gutter="0"/>
          <w:cols w:space="720"/>
          <w:docGrid w:linePitch="360"/>
        </w:sectPr>
      </w:pPr>
    </w:p>
    <w:p w14:paraId="081B1FB4" w14:textId="77777777" w:rsidR="00870E6F" w:rsidRDefault="00870E6F" w:rsidP="00870E6F">
      <w:pPr>
        <w:pStyle w:val="ListParagraph"/>
        <w:ind w:left="90"/>
        <w:rPr>
          <w:rFonts w:ascii="Arial" w:hAnsi="Arial" w:cs="Arial"/>
          <w:b/>
          <w:bCs/>
        </w:rPr>
      </w:pPr>
    </w:p>
    <w:p w14:paraId="139BE169" w14:textId="62D5B1BE" w:rsidR="00870E6F" w:rsidRPr="007A6BD4" w:rsidRDefault="007A6BD4" w:rsidP="007A6BD4">
      <w:pPr>
        <w:rPr>
          <w:rFonts w:cs="Arial"/>
          <w:b/>
          <w:bCs/>
        </w:rPr>
      </w:pPr>
      <w:r>
        <w:rPr>
          <w:rFonts w:cs="Arial"/>
          <w:b/>
          <w:bCs/>
        </w:rPr>
        <w:t>T</w:t>
      </w:r>
      <w:r w:rsidR="00870E6F" w:rsidRPr="007A6BD4">
        <w:rPr>
          <w:rFonts w:cs="Arial"/>
          <w:b/>
          <w:bCs/>
        </w:rPr>
        <w:t xml:space="preserve">able </w:t>
      </w:r>
      <w:r>
        <w:rPr>
          <w:rFonts w:cs="Arial"/>
          <w:b/>
          <w:bCs/>
        </w:rPr>
        <w:t>S3</w:t>
      </w:r>
      <w:r w:rsidR="00EB419E">
        <w:rPr>
          <w:rFonts w:cs="Arial"/>
          <w:b/>
          <w:bCs/>
        </w:rPr>
        <w:t>.</w:t>
      </w:r>
      <w:r>
        <w:rPr>
          <w:rFonts w:cs="Arial"/>
          <w:b/>
          <w:bCs/>
        </w:rPr>
        <w:t xml:space="preserve"> </w:t>
      </w:r>
      <w:r w:rsidR="004C6D82" w:rsidRPr="004C6D82">
        <w:rPr>
          <w:rFonts w:cs="Arial"/>
          <w:szCs w:val="22"/>
        </w:rPr>
        <w:t>Utilities from</w:t>
      </w:r>
      <w:r w:rsidR="004C6D82">
        <w:rPr>
          <w:rFonts w:cs="Arial"/>
          <w:b/>
          <w:bCs/>
          <w:szCs w:val="22"/>
        </w:rPr>
        <w:t xml:space="preserve"> </w:t>
      </w:r>
      <w:r w:rsidR="004C6D82">
        <w:rPr>
          <w:rFonts w:cs="Arial"/>
          <w:szCs w:val="22"/>
        </w:rPr>
        <w:t>the</w:t>
      </w:r>
      <w:r w:rsidR="004C6D82" w:rsidRPr="00EB419E">
        <w:rPr>
          <w:rFonts w:cs="Arial"/>
          <w:szCs w:val="22"/>
        </w:rPr>
        <w:t xml:space="preserve"> </w:t>
      </w:r>
      <w:r w:rsidR="008B4A6A">
        <w:rPr>
          <w:rFonts w:cs="Arial"/>
          <w:szCs w:val="22"/>
        </w:rPr>
        <w:t xml:space="preserve">Institute of </w:t>
      </w:r>
      <w:r w:rsidR="00B41594">
        <w:rPr>
          <w:rFonts w:cs="Arial"/>
          <w:szCs w:val="22"/>
        </w:rPr>
        <w:t xml:space="preserve">Medicine </w:t>
      </w:r>
      <w:r w:rsidR="004C6D82">
        <w:rPr>
          <w:rFonts w:cs="Arial"/>
          <w:szCs w:val="22"/>
        </w:rPr>
        <w:t>(</w:t>
      </w:r>
      <w:r w:rsidR="008B4A6A">
        <w:rPr>
          <w:rFonts w:cs="Arial"/>
          <w:szCs w:val="22"/>
        </w:rPr>
        <w:t>IOM</w:t>
      </w:r>
      <w:r w:rsidR="004C6D82">
        <w:rPr>
          <w:rFonts w:cs="Arial"/>
          <w:szCs w:val="22"/>
        </w:rPr>
        <w:t>) study</w:t>
      </w:r>
      <w:r w:rsidR="00EA771D">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sidR="00EA771D">
        <w:rPr>
          <w:rFonts w:cs="Arial"/>
          <w:sz w:val="20"/>
          <w:szCs w:val="20"/>
        </w:rPr>
        <w:fldChar w:fldCharType="separate"/>
      </w:r>
      <w:r w:rsidR="00A3159B" w:rsidRPr="00A3159B">
        <w:rPr>
          <w:rFonts w:cs="Arial"/>
          <w:noProof/>
          <w:sz w:val="20"/>
          <w:szCs w:val="20"/>
          <w:vertAlign w:val="superscript"/>
        </w:rPr>
        <w:t>6</w:t>
      </w:r>
      <w:r w:rsidR="00EA771D">
        <w:rPr>
          <w:rFonts w:cs="Arial"/>
          <w:sz w:val="20"/>
          <w:szCs w:val="20"/>
        </w:rPr>
        <w:fldChar w:fldCharType="end"/>
      </w:r>
      <w:r w:rsidR="004C6D82">
        <w:rPr>
          <w:rFonts w:cs="Arial"/>
          <w:szCs w:val="22"/>
        </w:rPr>
        <w:t xml:space="preserve"> used in the sensitivity analyses</w:t>
      </w:r>
    </w:p>
    <w:p w14:paraId="5E232247" w14:textId="77777777" w:rsidR="00870E6F" w:rsidRPr="007A6BD4" w:rsidRDefault="00870E6F" w:rsidP="007A6BD4">
      <w:pPr>
        <w:rPr>
          <w:rFonts w:cs="Arial"/>
          <w:b/>
          <w:bCs/>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810"/>
        <w:gridCol w:w="1800"/>
        <w:gridCol w:w="2250"/>
        <w:gridCol w:w="1294"/>
      </w:tblGrid>
      <w:tr w:rsidR="00C33ACD" w:rsidRPr="005F24F1" w14:paraId="7AEEFE74" w14:textId="77777777" w:rsidTr="00462159">
        <w:tc>
          <w:tcPr>
            <w:tcW w:w="3145" w:type="dxa"/>
            <w:shd w:val="clear" w:color="auto" w:fill="auto"/>
          </w:tcPr>
          <w:p w14:paraId="04E6F349" w14:textId="77777777" w:rsidR="00870E6F" w:rsidRPr="005F24F1" w:rsidRDefault="00A84B8D" w:rsidP="00462159">
            <w:pPr>
              <w:spacing w:before="240"/>
              <w:rPr>
                <w:rFonts w:cs="Arial"/>
                <w:b/>
                <w:bCs/>
                <w:sz w:val="20"/>
                <w:szCs w:val="20"/>
              </w:rPr>
            </w:pPr>
            <w:r w:rsidRPr="005F24F1">
              <w:rPr>
                <w:rFonts w:cs="Arial"/>
                <w:b/>
                <w:bCs/>
                <w:sz w:val="20"/>
                <w:szCs w:val="20"/>
              </w:rPr>
              <w:t>Outcome</w:t>
            </w:r>
          </w:p>
        </w:tc>
        <w:tc>
          <w:tcPr>
            <w:tcW w:w="810" w:type="dxa"/>
            <w:shd w:val="clear" w:color="auto" w:fill="auto"/>
          </w:tcPr>
          <w:p w14:paraId="2B0FE3CE" w14:textId="77777777" w:rsidR="00870E6F" w:rsidRPr="005F24F1" w:rsidRDefault="00870E6F" w:rsidP="00462159">
            <w:pPr>
              <w:spacing w:before="240"/>
              <w:rPr>
                <w:rFonts w:cs="Arial"/>
                <w:sz w:val="20"/>
                <w:szCs w:val="20"/>
              </w:rPr>
            </w:pPr>
            <w:r w:rsidRPr="005F24F1">
              <w:rPr>
                <w:rFonts w:cs="Arial"/>
                <w:sz w:val="20"/>
                <w:szCs w:val="20"/>
              </w:rPr>
              <w:t>Mean</w:t>
            </w:r>
          </w:p>
        </w:tc>
        <w:tc>
          <w:tcPr>
            <w:tcW w:w="1800" w:type="dxa"/>
            <w:shd w:val="clear" w:color="auto" w:fill="auto"/>
          </w:tcPr>
          <w:p w14:paraId="1BA316BA" w14:textId="77777777" w:rsidR="00870E6F" w:rsidRPr="005F24F1" w:rsidRDefault="00A84B8D" w:rsidP="00462159">
            <w:pPr>
              <w:spacing w:before="240"/>
              <w:rPr>
                <w:rFonts w:cs="Arial"/>
                <w:sz w:val="20"/>
                <w:szCs w:val="20"/>
              </w:rPr>
            </w:pPr>
            <w:r w:rsidRPr="005F24F1">
              <w:rPr>
                <w:rFonts w:cs="Arial"/>
                <w:sz w:val="20"/>
                <w:szCs w:val="20"/>
              </w:rPr>
              <w:t>95% u</w:t>
            </w:r>
            <w:r w:rsidR="00870E6F" w:rsidRPr="005F24F1">
              <w:rPr>
                <w:rFonts w:cs="Arial"/>
                <w:sz w:val="20"/>
                <w:szCs w:val="20"/>
              </w:rPr>
              <w:t>ncertainty Interval</w:t>
            </w:r>
          </w:p>
        </w:tc>
        <w:tc>
          <w:tcPr>
            <w:tcW w:w="2250" w:type="dxa"/>
            <w:shd w:val="clear" w:color="auto" w:fill="auto"/>
          </w:tcPr>
          <w:p w14:paraId="5AAB9C95" w14:textId="77777777" w:rsidR="00870E6F" w:rsidRPr="005F24F1" w:rsidRDefault="00870E6F" w:rsidP="00462159">
            <w:pPr>
              <w:spacing w:before="240"/>
              <w:rPr>
                <w:rFonts w:cs="Arial"/>
                <w:sz w:val="20"/>
                <w:szCs w:val="20"/>
              </w:rPr>
            </w:pPr>
            <w:r w:rsidRPr="005F24F1">
              <w:rPr>
                <w:rFonts w:cs="Arial"/>
                <w:sz w:val="20"/>
                <w:szCs w:val="20"/>
              </w:rPr>
              <w:t>Distribution and parameters</w:t>
            </w:r>
          </w:p>
        </w:tc>
        <w:tc>
          <w:tcPr>
            <w:tcW w:w="1294" w:type="dxa"/>
            <w:shd w:val="clear" w:color="auto" w:fill="auto"/>
          </w:tcPr>
          <w:p w14:paraId="04A2F71E" w14:textId="77777777" w:rsidR="00870E6F" w:rsidRPr="005F24F1" w:rsidRDefault="00870E6F" w:rsidP="00462159">
            <w:pPr>
              <w:spacing w:before="240"/>
              <w:rPr>
                <w:rFonts w:cs="Arial"/>
                <w:sz w:val="20"/>
                <w:szCs w:val="20"/>
              </w:rPr>
            </w:pPr>
            <w:r w:rsidRPr="005F24F1">
              <w:rPr>
                <w:rFonts w:cs="Arial"/>
                <w:sz w:val="20"/>
                <w:szCs w:val="20"/>
              </w:rPr>
              <w:t>Reference</w:t>
            </w:r>
          </w:p>
        </w:tc>
      </w:tr>
      <w:tr w:rsidR="006676A2" w:rsidRPr="005F24F1" w14:paraId="2932BC3A" w14:textId="77777777" w:rsidTr="00462159">
        <w:tc>
          <w:tcPr>
            <w:tcW w:w="3145" w:type="dxa"/>
            <w:shd w:val="clear" w:color="auto" w:fill="auto"/>
          </w:tcPr>
          <w:p w14:paraId="3DA4B010" w14:textId="77777777" w:rsidR="006676A2" w:rsidRPr="005F24F1" w:rsidRDefault="006676A2" w:rsidP="002C47E0">
            <w:pPr>
              <w:rPr>
                <w:rFonts w:cs="Arial"/>
                <w:b/>
                <w:bCs/>
                <w:sz w:val="20"/>
                <w:szCs w:val="20"/>
              </w:rPr>
            </w:pPr>
            <w:r>
              <w:rPr>
                <w:rFonts w:cs="Arial"/>
                <w:b/>
                <w:bCs/>
                <w:sz w:val="20"/>
                <w:szCs w:val="20"/>
              </w:rPr>
              <w:t>Utility estimates</w:t>
            </w:r>
          </w:p>
        </w:tc>
        <w:tc>
          <w:tcPr>
            <w:tcW w:w="810" w:type="dxa"/>
            <w:shd w:val="clear" w:color="auto" w:fill="auto"/>
          </w:tcPr>
          <w:p w14:paraId="72031C78" w14:textId="77777777" w:rsidR="006676A2" w:rsidRPr="005F24F1" w:rsidRDefault="006676A2" w:rsidP="002C47E0">
            <w:pPr>
              <w:rPr>
                <w:rFonts w:cs="Arial"/>
                <w:sz w:val="20"/>
                <w:szCs w:val="20"/>
              </w:rPr>
            </w:pPr>
          </w:p>
        </w:tc>
        <w:tc>
          <w:tcPr>
            <w:tcW w:w="1800" w:type="dxa"/>
            <w:shd w:val="clear" w:color="auto" w:fill="auto"/>
          </w:tcPr>
          <w:p w14:paraId="7C680C72" w14:textId="77777777" w:rsidR="006676A2" w:rsidRPr="005F24F1" w:rsidRDefault="006676A2" w:rsidP="002C47E0">
            <w:pPr>
              <w:rPr>
                <w:rFonts w:cs="Arial"/>
                <w:sz w:val="20"/>
                <w:szCs w:val="20"/>
              </w:rPr>
            </w:pPr>
          </w:p>
        </w:tc>
        <w:tc>
          <w:tcPr>
            <w:tcW w:w="2250" w:type="dxa"/>
            <w:shd w:val="clear" w:color="auto" w:fill="auto"/>
          </w:tcPr>
          <w:p w14:paraId="3EB25E23" w14:textId="77777777" w:rsidR="006676A2" w:rsidRPr="005F24F1" w:rsidRDefault="006676A2" w:rsidP="002C47E0">
            <w:pPr>
              <w:rPr>
                <w:rFonts w:cs="Arial"/>
                <w:sz w:val="20"/>
                <w:szCs w:val="20"/>
              </w:rPr>
            </w:pPr>
          </w:p>
        </w:tc>
        <w:tc>
          <w:tcPr>
            <w:tcW w:w="1294" w:type="dxa"/>
            <w:shd w:val="clear" w:color="auto" w:fill="auto"/>
          </w:tcPr>
          <w:p w14:paraId="5BD22DC5" w14:textId="77777777" w:rsidR="006676A2" w:rsidRPr="005F24F1" w:rsidRDefault="006676A2" w:rsidP="002C47E0">
            <w:pPr>
              <w:rPr>
                <w:rStyle w:val="FootnoteReference"/>
                <w:rFonts w:cs="Arial"/>
                <w:sz w:val="20"/>
                <w:szCs w:val="20"/>
              </w:rPr>
            </w:pPr>
          </w:p>
        </w:tc>
      </w:tr>
      <w:tr w:rsidR="00C33ACD" w:rsidRPr="005F24F1" w14:paraId="1AC5D25B" w14:textId="77777777" w:rsidTr="00462159">
        <w:tc>
          <w:tcPr>
            <w:tcW w:w="3145" w:type="dxa"/>
            <w:shd w:val="clear" w:color="auto" w:fill="auto"/>
          </w:tcPr>
          <w:p w14:paraId="1A6BD8DC" w14:textId="77777777" w:rsidR="00870E6F" w:rsidRPr="006676A2" w:rsidRDefault="00870E6F" w:rsidP="006676A2">
            <w:pPr>
              <w:ind w:left="360"/>
              <w:rPr>
                <w:rFonts w:cs="Arial"/>
                <w:i/>
                <w:iCs/>
                <w:sz w:val="20"/>
                <w:szCs w:val="20"/>
              </w:rPr>
            </w:pPr>
            <w:r w:rsidRPr="006676A2">
              <w:rPr>
                <w:rFonts w:cs="Arial"/>
                <w:sz w:val="20"/>
                <w:szCs w:val="20"/>
              </w:rPr>
              <w:t>Symptomatic chlamydia (women)</w:t>
            </w:r>
          </w:p>
        </w:tc>
        <w:tc>
          <w:tcPr>
            <w:tcW w:w="810" w:type="dxa"/>
            <w:shd w:val="clear" w:color="auto" w:fill="auto"/>
          </w:tcPr>
          <w:p w14:paraId="366B36F4" w14:textId="77777777" w:rsidR="00870E6F" w:rsidRPr="005F24F1" w:rsidRDefault="00870E6F" w:rsidP="002C47E0">
            <w:pPr>
              <w:rPr>
                <w:rFonts w:cs="Arial"/>
                <w:sz w:val="20"/>
                <w:szCs w:val="20"/>
              </w:rPr>
            </w:pPr>
            <w:r w:rsidRPr="005F24F1">
              <w:rPr>
                <w:rFonts w:cs="Arial"/>
                <w:sz w:val="20"/>
                <w:szCs w:val="20"/>
              </w:rPr>
              <w:t>0.751</w:t>
            </w:r>
          </w:p>
        </w:tc>
        <w:tc>
          <w:tcPr>
            <w:tcW w:w="1800" w:type="dxa"/>
            <w:shd w:val="clear" w:color="auto" w:fill="auto"/>
          </w:tcPr>
          <w:p w14:paraId="4A280FF9" w14:textId="77777777" w:rsidR="00870E6F" w:rsidRPr="005F24F1" w:rsidRDefault="00870E6F" w:rsidP="002C47E0">
            <w:pPr>
              <w:rPr>
                <w:rFonts w:cs="Arial"/>
                <w:sz w:val="20"/>
                <w:szCs w:val="20"/>
              </w:rPr>
            </w:pPr>
            <w:r w:rsidRPr="005F24F1">
              <w:rPr>
                <w:rFonts w:cs="Arial"/>
                <w:sz w:val="20"/>
                <w:szCs w:val="20"/>
              </w:rPr>
              <w:t>0.621</w:t>
            </w:r>
            <w:r w:rsidR="00A84B8D" w:rsidRPr="005F24F1">
              <w:rPr>
                <w:rFonts w:cs="Arial"/>
                <w:sz w:val="20"/>
                <w:szCs w:val="20"/>
              </w:rPr>
              <w:t>-</w:t>
            </w:r>
            <w:r w:rsidRPr="005F24F1">
              <w:rPr>
                <w:rFonts w:cs="Arial"/>
                <w:sz w:val="20"/>
                <w:szCs w:val="20"/>
              </w:rPr>
              <w:t xml:space="preserve"> 0.864</w:t>
            </w:r>
          </w:p>
        </w:tc>
        <w:tc>
          <w:tcPr>
            <w:tcW w:w="2250" w:type="dxa"/>
            <w:shd w:val="clear" w:color="auto" w:fill="auto"/>
          </w:tcPr>
          <w:p w14:paraId="7DF99B6B" w14:textId="77777777" w:rsidR="00870E6F" w:rsidRPr="005F24F1" w:rsidRDefault="00870E6F" w:rsidP="002C47E0">
            <w:pPr>
              <w:rPr>
                <w:rFonts w:cs="Arial"/>
                <w:sz w:val="20"/>
                <w:szCs w:val="20"/>
              </w:rPr>
            </w:pPr>
            <w:r w:rsidRPr="005F24F1">
              <w:rPr>
                <w:rFonts w:cs="Arial"/>
                <w:sz w:val="20"/>
                <w:szCs w:val="20"/>
              </w:rPr>
              <w:t>Beta (34.32, 11.44)</w:t>
            </w:r>
          </w:p>
        </w:tc>
        <w:tc>
          <w:tcPr>
            <w:tcW w:w="1294" w:type="dxa"/>
            <w:shd w:val="clear" w:color="auto" w:fill="auto"/>
          </w:tcPr>
          <w:p w14:paraId="6BCC6183" w14:textId="7E4D4E7A" w:rsidR="00870E6F" w:rsidRPr="005F24F1" w:rsidRDefault="00BE58EE"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C33ACD" w:rsidRPr="005F24F1" w14:paraId="0A936357" w14:textId="77777777" w:rsidTr="00462159">
        <w:tc>
          <w:tcPr>
            <w:tcW w:w="3145" w:type="dxa"/>
            <w:shd w:val="clear" w:color="auto" w:fill="auto"/>
          </w:tcPr>
          <w:p w14:paraId="3223B8F6" w14:textId="77777777" w:rsidR="00870E6F" w:rsidRPr="006676A2" w:rsidRDefault="00870E6F" w:rsidP="006676A2">
            <w:pPr>
              <w:ind w:left="360"/>
              <w:rPr>
                <w:rFonts w:cs="Arial"/>
                <w:sz w:val="20"/>
                <w:szCs w:val="20"/>
              </w:rPr>
            </w:pPr>
            <w:r w:rsidRPr="006676A2">
              <w:rPr>
                <w:rFonts w:cs="Arial"/>
                <w:sz w:val="20"/>
                <w:szCs w:val="20"/>
              </w:rPr>
              <w:t>Symptomatic urethral infection (men)</w:t>
            </w:r>
          </w:p>
        </w:tc>
        <w:tc>
          <w:tcPr>
            <w:tcW w:w="810" w:type="dxa"/>
            <w:shd w:val="clear" w:color="auto" w:fill="auto"/>
          </w:tcPr>
          <w:p w14:paraId="1F7B8F49" w14:textId="77777777" w:rsidR="00870E6F" w:rsidRPr="005F24F1" w:rsidRDefault="00870E6F" w:rsidP="002C47E0">
            <w:pPr>
              <w:rPr>
                <w:rFonts w:cs="Arial"/>
                <w:sz w:val="20"/>
                <w:szCs w:val="20"/>
              </w:rPr>
            </w:pPr>
            <w:r w:rsidRPr="005F24F1">
              <w:rPr>
                <w:rFonts w:cs="Arial"/>
                <w:sz w:val="20"/>
                <w:szCs w:val="20"/>
              </w:rPr>
              <w:t>0.839</w:t>
            </w:r>
          </w:p>
        </w:tc>
        <w:tc>
          <w:tcPr>
            <w:tcW w:w="1800" w:type="dxa"/>
            <w:shd w:val="clear" w:color="auto" w:fill="auto"/>
          </w:tcPr>
          <w:p w14:paraId="623495CB" w14:textId="77777777" w:rsidR="00870E6F" w:rsidRPr="005F24F1" w:rsidRDefault="00870E6F" w:rsidP="002C47E0">
            <w:pPr>
              <w:rPr>
                <w:rFonts w:cs="Arial"/>
                <w:sz w:val="20"/>
                <w:szCs w:val="20"/>
              </w:rPr>
            </w:pPr>
            <w:r w:rsidRPr="005F24F1">
              <w:rPr>
                <w:rFonts w:cs="Arial"/>
                <w:sz w:val="20"/>
                <w:szCs w:val="20"/>
              </w:rPr>
              <w:t>0.754</w:t>
            </w:r>
            <w:r w:rsidR="00A84B8D" w:rsidRPr="005F24F1">
              <w:rPr>
                <w:rFonts w:cs="Arial"/>
                <w:sz w:val="20"/>
                <w:szCs w:val="20"/>
              </w:rPr>
              <w:t>-</w:t>
            </w:r>
            <w:r w:rsidRPr="005F24F1">
              <w:rPr>
                <w:rFonts w:cs="Arial"/>
                <w:sz w:val="20"/>
                <w:szCs w:val="20"/>
              </w:rPr>
              <w:t>0.911</w:t>
            </w:r>
          </w:p>
        </w:tc>
        <w:tc>
          <w:tcPr>
            <w:tcW w:w="2250" w:type="dxa"/>
            <w:shd w:val="clear" w:color="auto" w:fill="auto"/>
          </w:tcPr>
          <w:p w14:paraId="16638861" w14:textId="77777777" w:rsidR="00870E6F" w:rsidRPr="005F24F1" w:rsidRDefault="00870E6F" w:rsidP="002C47E0">
            <w:pPr>
              <w:rPr>
                <w:rFonts w:cs="Arial"/>
                <w:sz w:val="20"/>
                <w:szCs w:val="20"/>
              </w:rPr>
            </w:pPr>
            <w:r w:rsidRPr="005F24F1">
              <w:rPr>
                <w:rFonts w:cs="Arial"/>
                <w:sz w:val="20"/>
                <w:szCs w:val="20"/>
              </w:rPr>
              <w:t>Beta (68.85, 13.11)</w:t>
            </w:r>
          </w:p>
        </w:tc>
        <w:tc>
          <w:tcPr>
            <w:tcW w:w="1294" w:type="dxa"/>
            <w:shd w:val="clear" w:color="auto" w:fill="auto"/>
          </w:tcPr>
          <w:p w14:paraId="0373BFD8" w14:textId="04BFB5AB" w:rsidR="00870E6F" w:rsidRPr="005F24F1" w:rsidRDefault="00BE58EE"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C33ACD" w:rsidRPr="005F24F1" w14:paraId="20EBAF95" w14:textId="77777777" w:rsidTr="00462159">
        <w:tc>
          <w:tcPr>
            <w:tcW w:w="3145" w:type="dxa"/>
            <w:shd w:val="clear" w:color="auto" w:fill="auto"/>
          </w:tcPr>
          <w:p w14:paraId="5356B7FA" w14:textId="77777777" w:rsidR="00870E6F" w:rsidRPr="006676A2" w:rsidRDefault="00870E6F" w:rsidP="006676A2">
            <w:pPr>
              <w:ind w:left="360"/>
              <w:rPr>
                <w:rFonts w:cs="Arial"/>
                <w:sz w:val="20"/>
                <w:szCs w:val="20"/>
              </w:rPr>
            </w:pPr>
            <w:r w:rsidRPr="006676A2">
              <w:rPr>
                <w:rFonts w:cs="Arial"/>
                <w:sz w:val="20"/>
                <w:szCs w:val="20"/>
              </w:rPr>
              <w:t>Asymptomatic infection</w:t>
            </w:r>
          </w:p>
        </w:tc>
        <w:tc>
          <w:tcPr>
            <w:tcW w:w="810" w:type="dxa"/>
            <w:shd w:val="clear" w:color="auto" w:fill="auto"/>
          </w:tcPr>
          <w:p w14:paraId="40DCD493" w14:textId="77777777" w:rsidR="00870E6F" w:rsidRPr="005F24F1" w:rsidRDefault="00870E6F" w:rsidP="002C47E0">
            <w:pPr>
              <w:rPr>
                <w:rFonts w:cs="Arial"/>
                <w:sz w:val="20"/>
                <w:szCs w:val="20"/>
              </w:rPr>
            </w:pPr>
            <w:r w:rsidRPr="005F24F1">
              <w:rPr>
                <w:rFonts w:cs="Arial"/>
                <w:sz w:val="20"/>
                <w:szCs w:val="20"/>
              </w:rPr>
              <w:t>1</w:t>
            </w:r>
          </w:p>
        </w:tc>
        <w:tc>
          <w:tcPr>
            <w:tcW w:w="1800" w:type="dxa"/>
            <w:shd w:val="clear" w:color="auto" w:fill="auto"/>
          </w:tcPr>
          <w:p w14:paraId="72D3F4AC" w14:textId="77777777" w:rsidR="00870E6F" w:rsidRPr="005F24F1" w:rsidRDefault="00870E6F" w:rsidP="002C47E0">
            <w:pPr>
              <w:rPr>
                <w:rFonts w:cs="Arial"/>
                <w:sz w:val="20"/>
                <w:szCs w:val="20"/>
              </w:rPr>
            </w:pPr>
            <w:r w:rsidRPr="005F24F1">
              <w:rPr>
                <w:rFonts w:cs="Arial"/>
                <w:sz w:val="20"/>
                <w:szCs w:val="20"/>
              </w:rPr>
              <w:t>Fixed</w:t>
            </w:r>
          </w:p>
        </w:tc>
        <w:tc>
          <w:tcPr>
            <w:tcW w:w="2250" w:type="dxa"/>
            <w:shd w:val="clear" w:color="auto" w:fill="auto"/>
          </w:tcPr>
          <w:p w14:paraId="485E728E" w14:textId="77777777" w:rsidR="00870E6F" w:rsidRPr="005F24F1" w:rsidRDefault="00870E6F" w:rsidP="002C47E0">
            <w:pPr>
              <w:rPr>
                <w:rFonts w:cs="Arial"/>
                <w:sz w:val="20"/>
                <w:szCs w:val="20"/>
              </w:rPr>
            </w:pPr>
            <w:r w:rsidRPr="005F24F1">
              <w:rPr>
                <w:rFonts w:cs="Arial"/>
                <w:sz w:val="20"/>
                <w:szCs w:val="20"/>
              </w:rPr>
              <w:t>NA</w:t>
            </w:r>
          </w:p>
        </w:tc>
        <w:tc>
          <w:tcPr>
            <w:tcW w:w="1294" w:type="dxa"/>
            <w:shd w:val="clear" w:color="auto" w:fill="auto"/>
          </w:tcPr>
          <w:p w14:paraId="6A5D8607" w14:textId="77777777" w:rsidR="00870E6F" w:rsidRPr="005F24F1" w:rsidRDefault="00870E6F" w:rsidP="002C47E0">
            <w:pPr>
              <w:rPr>
                <w:rFonts w:cs="Arial"/>
                <w:sz w:val="20"/>
                <w:szCs w:val="20"/>
              </w:rPr>
            </w:pPr>
          </w:p>
        </w:tc>
      </w:tr>
      <w:tr w:rsidR="00C33ACD" w:rsidRPr="005F24F1" w14:paraId="00BA9DE3" w14:textId="77777777" w:rsidTr="00462159">
        <w:tc>
          <w:tcPr>
            <w:tcW w:w="3145" w:type="dxa"/>
            <w:shd w:val="clear" w:color="auto" w:fill="auto"/>
          </w:tcPr>
          <w:p w14:paraId="0CBBB655" w14:textId="77777777" w:rsidR="00870E6F" w:rsidRPr="006676A2" w:rsidRDefault="00870E6F" w:rsidP="006676A2">
            <w:pPr>
              <w:ind w:left="360"/>
              <w:rPr>
                <w:rFonts w:cs="Arial"/>
                <w:sz w:val="20"/>
                <w:szCs w:val="20"/>
              </w:rPr>
            </w:pPr>
            <w:r w:rsidRPr="006676A2">
              <w:rPr>
                <w:rFonts w:cs="Arial"/>
                <w:sz w:val="20"/>
                <w:szCs w:val="20"/>
              </w:rPr>
              <w:t>PID</w:t>
            </w:r>
          </w:p>
        </w:tc>
        <w:tc>
          <w:tcPr>
            <w:tcW w:w="810" w:type="dxa"/>
            <w:shd w:val="clear" w:color="auto" w:fill="auto"/>
          </w:tcPr>
          <w:p w14:paraId="184E8E22" w14:textId="77777777" w:rsidR="00870E6F" w:rsidRPr="005F24F1" w:rsidRDefault="00870E6F" w:rsidP="002C47E0">
            <w:pPr>
              <w:rPr>
                <w:rFonts w:cs="Arial"/>
                <w:sz w:val="20"/>
                <w:szCs w:val="20"/>
              </w:rPr>
            </w:pPr>
            <w:r w:rsidRPr="005F24F1">
              <w:rPr>
                <w:rFonts w:cs="Arial"/>
                <w:sz w:val="20"/>
                <w:szCs w:val="20"/>
              </w:rPr>
              <w:t>0.651</w:t>
            </w:r>
          </w:p>
        </w:tc>
        <w:tc>
          <w:tcPr>
            <w:tcW w:w="1800" w:type="dxa"/>
            <w:shd w:val="clear" w:color="auto" w:fill="auto"/>
          </w:tcPr>
          <w:p w14:paraId="18AF6B1F" w14:textId="77777777" w:rsidR="00870E6F" w:rsidRPr="005F24F1" w:rsidRDefault="00870E6F" w:rsidP="002C47E0">
            <w:pPr>
              <w:rPr>
                <w:rFonts w:cs="Arial"/>
                <w:sz w:val="20"/>
                <w:szCs w:val="20"/>
              </w:rPr>
            </w:pPr>
            <w:r w:rsidRPr="005F24F1">
              <w:rPr>
                <w:rFonts w:cs="Arial"/>
                <w:sz w:val="20"/>
                <w:szCs w:val="20"/>
              </w:rPr>
              <w:t>0.472</w:t>
            </w:r>
            <w:r w:rsidR="00A84B8D" w:rsidRPr="005F24F1">
              <w:rPr>
                <w:rFonts w:cs="Arial"/>
                <w:sz w:val="20"/>
                <w:szCs w:val="20"/>
              </w:rPr>
              <w:t>-</w:t>
            </w:r>
            <w:r w:rsidRPr="005F24F1">
              <w:rPr>
                <w:rFonts w:cs="Arial"/>
                <w:sz w:val="20"/>
                <w:szCs w:val="20"/>
              </w:rPr>
              <w:t>0.811</w:t>
            </w:r>
          </w:p>
        </w:tc>
        <w:tc>
          <w:tcPr>
            <w:tcW w:w="2250" w:type="dxa"/>
            <w:shd w:val="clear" w:color="auto" w:fill="auto"/>
          </w:tcPr>
          <w:p w14:paraId="1CAD43A7" w14:textId="77777777" w:rsidR="00870E6F" w:rsidRPr="005F24F1" w:rsidRDefault="00870E6F" w:rsidP="002C47E0">
            <w:pPr>
              <w:rPr>
                <w:rFonts w:cs="Arial"/>
                <w:sz w:val="20"/>
                <w:szCs w:val="20"/>
              </w:rPr>
            </w:pPr>
            <w:r w:rsidRPr="005F24F1">
              <w:rPr>
                <w:rFonts w:cs="Arial"/>
                <w:sz w:val="20"/>
                <w:szCs w:val="20"/>
              </w:rPr>
              <w:t>Beta (18.93, 10.19)</w:t>
            </w:r>
          </w:p>
        </w:tc>
        <w:tc>
          <w:tcPr>
            <w:tcW w:w="1294" w:type="dxa"/>
            <w:shd w:val="clear" w:color="auto" w:fill="auto"/>
          </w:tcPr>
          <w:p w14:paraId="3E092AC5" w14:textId="49BDFEF0" w:rsidR="00870E6F" w:rsidRPr="005F24F1" w:rsidRDefault="00EA771D"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C33ACD" w:rsidRPr="005F24F1" w14:paraId="74CF5036" w14:textId="77777777" w:rsidTr="00462159">
        <w:tc>
          <w:tcPr>
            <w:tcW w:w="3145" w:type="dxa"/>
            <w:shd w:val="clear" w:color="auto" w:fill="auto"/>
          </w:tcPr>
          <w:p w14:paraId="1247CA89" w14:textId="77777777" w:rsidR="00870E6F" w:rsidRPr="006676A2" w:rsidRDefault="00870E6F" w:rsidP="006676A2">
            <w:pPr>
              <w:ind w:left="360"/>
              <w:rPr>
                <w:rFonts w:cs="Arial"/>
                <w:sz w:val="20"/>
                <w:szCs w:val="20"/>
              </w:rPr>
            </w:pPr>
            <w:r w:rsidRPr="006676A2">
              <w:rPr>
                <w:rFonts w:cs="Arial"/>
                <w:sz w:val="20"/>
                <w:szCs w:val="20"/>
              </w:rPr>
              <w:t>CPP</w:t>
            </w:r>
          </w:p>
        </w:tc>
        <w:tc>
          <w:tcPr>
            <w:tcW w:w="810" w:type="dxa"/>
            <w:shd w:val="clear" w:color="auto" w:fill="auto"/>
          </w:tcPr>
          <w:p w14:paraId="67319EAB" w14:textId="77777777" w:rsidR="00870E6F" w:rsidRPr="005F24F1" w:rsidRDefault="00870E6F" w:rsidP="002C47E0">
            <w:pPr>
              <w:rPr>
                <w:rFonts w:cs="Arial"/>
                <w:sz w:val="20"/>
                <w:szCs w:val="20"/>
              </w:rPr>
            </w:pPr>
            <w:r w:rsidRPr="005F24F1">
              <w:rPr>
                <w:rFonts w:cs="Arial"/>
                <w:sz w:val="20"/>
                <w:szCs w:val="20"/>
              </w:rPr>
              <w:t>0.602</w:t>
            </w:r>
          </w:p>
        </w:tc>
        <w:tc>
          <w:tcPr>
            <w:tcW w:w="1800" w:type="dxa"/>
            <w:shd w:val="clear" w:color="auto" w:fill="auto"/>
          </w:tcPr>
          <w:p w14:paraId="75A0F49A" w14:textId="77777777" w:rsidR="00870E6F" w:rsidRPr="005F24F1" w:rsidRDefault="00870E6F" w:rsidP="002C47E0">
            <w:pPr>
              <w:rPr>
                <w:rFonts w:cs="Arial"/>
                <w:sz w:val="20"/>
                <w:szCs w:val="20"/>
              </w:rPr>
            </w:pPr>
            <w:r w:rsidRPr="005F24F1">
              <w:rPr>
                <w:rFonts w:cs="Arial"/>
                <w:sz w:val="20"/>
                <w:szCs w:val="20"/>
              </w:rPr>
              <w:t>0.405</w:t>
            </w:r>
            <w:r w:rsidR="00A84B8D" w:rsidRPr="005F24F1">
              <w:rPr>
                <w:rFonts w:cs="Arial"/>
                <w:sz w:val="20"/>
                <w:szCs w:val="20"/>
              </w:rPr>
              <w:t>-</w:t>
            </w:r>
            <w:r w:rsidRPr="005F24F1">
              <w:rPr>
                <w:rFonts w:cs="Arial"/>
                <w:sz w:val="20"/>
                <w:szCs w:val="20"/>
              </w:rPr>
              <w:t>0.785</w:t>
            </w:r>
          </w:p>
        </w:tc>
        <w:tc>
          <w:tcPr>
            <w:tcW w:w="2250" w:type="dxa"/>
            <w:shd w:val="clear" w:color="auto" w:fill="auto"/>
          </w:tcPr>
          <w:p w14:paraId="3AD49E73" w14:textId="77777777" w:rsidR="00870E6F" w:rsidRPr="005F24F1" w:rsidRDefault="00870E6F" w:rsidP="002C47E0">
            <w:pPr>
              <w:rPr>
                <w:rFonts w:cs="Arial"/>
                <w:sz w:val="20"/>
                <w:szCs w:val="20"/>
              </w:rPr>
            </w:pPr>
            <w:r w:rsidRPr="005F24F1">
              <w:rPr>
                <w:rFonts w:cs="Arial"/>
                <w:sz w:val="20"/>
                <w:szCs w:val="20"/>
              </w:rPr>
              <w:t>Beta (14.53, 9.68)</w:t>
            </w:r>
          </w:p>
        </w:tc>
        <w:tc>
          <w:tcPr>
            <w:tcW w:w="1294" w:type="dxa"/>
            <w:shd w:val="clear" w:color="auto" w:fill="auto"/>
          </w:tcPr>
          <w:p w14:paraId="09CF67D7" w14:textId="75AA61DB" w:rsidR="00870E6F" w:rsidRPr="005F24F1" w:rsidRDefault="00EA771D"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C33ACD" w:rsidRPr="005F24F1" w14:paraId="6A919709" w14:textId="77777777" w:rsidTr="00462159">
        <w:tc>
          <w:tcPr>
            <w:tcW w:w="3145" w:type="dxa"/>
            <w:shd w:val="clear" w:color="auto" w:fill="auto"/>
          </w:tcPr>
          <w:p w14:paraId="50450ECB" w14:textId="77777777" w:rsidR="00870E6F" w:rsidRPr="006676A2" w:rsidRDefault="00870E6F" w:rsidP="006676A2">
            <w:pPr>
              <w:ind w:left="360"/>
              <w:rPr>
                <w:rFonts w:cs="Arial"/>
                <w:sz w:val="20"/>
                <w:szCs w:val="20"/>
              </w:rPr>
            </w:pPr>
            <w:r w:rsidRPr="006676A2">
              <w:rPr>
                <w:rFonts w:cs="Arial"/>
                <w:sz w:val="20"/>
                <w:szCs w:val="20"/>
              </w:rPr>
              <w:t>TFI</w:t>
            </w:r>
          </w:p>
        </w:tc>
        <w:tc>
          <w:tcPr>
            <w:tcW w:w="810" w:type="dxa"/>
            <w:shd w:val="clear" w:color="auto" w:fill="auto"/>
          </w:tcPr>
          <w:p w14:paraId="0455603C" w14:textId="77777777" w:rsidR="00870E6F" w:rsidRPr="005F24F1" w:rsidRDefault="00870E6F" w:rsidP="002C47E0">
            <w:pPr>
              <w:rPr>
                <w:rFonts w:cs="Arial"/>
                <w:sz w:val="20"/>
                <w:szCs w:val="20"/>
              </w:rPr>
            </w:pPr>
            <w:r w:rsidRPr="005F24F1">
              <w:rPr>
                <w:rFonts w:cs="Arial"/>
                <w:sz w:val="20"/>
                <w:szCs w:val="20"/>
              </w:rPr>
              <w:t>0.820</w:t>
            </w:r>
          </w:p>
        </w:tc>
        <w:tc>
          <w:tcPr>
            <w:tcW w:w="1800" w:type="dxa"/>
            <w:shd w:val="clear" w:color="auto" w:fill="auto"/>
          </w:tcPr>
          <w:p w14:paraId="5A599325" w14:textId="77777777" w:rsidR="00870E6F" w:rsidRPr="005F24F1" w:rsidRDefault="00870E6F" w:rsidP="002C47E0">
            <w:pPr>
              <w:rPr>
                <w:rFonts w:cs="Arial"/>
                <w:sz w:val="20"/>
                <w:szCs w:val="20"/>
              </w:rPr>
            </w:pPr>
            <w:r w:rsidRPr="005F24F1">
              <w:rPr>
                <w:rFonts w:cs="Arial"/>
                <w:sz w:val="20"/>
                <w:szCs w:val="20"/>
              </w:rPr>
              <w:t>0.726</w:t>
            </w:r>
            <w:r w:rsidR="00A84B8D" w:rsidRPr="005F24F1">
              <w:rPr>
                <w:rFonts w:cs="Arial"/>
                <w:sz w:val="20"/>
                <w:szCs w:val="20"/>
              </w:rPr>
              <w:t>-</w:t>
            </w:r>
            <w:r w:rsidRPr="005F24F1">
              <w:rPr>
                <w:rFonts w:cs="Arial"/>
                <w:sz w:val="20"/>
                <w:szCs w:val="20"/>
              </w:rPr>
              <w:t>0.900</w:t>
            </w:r>
          </w:p>
        </w:tc>
        <w:tc>
          <w:tcPr>
            <w:tcW w:w="2250" w:type="dxa"/>
            <w:shd w:val="clear" w:color="auto" w:fill="auto"/>
          </w:tcPr>
          <w:p w14:paraId="396ED8DE" w14:textId="77777777" w:rsidR="00870E6F" w:rsidRPr="005F24F1" w:rsidRDefault="00870E6F" w:rsidP="002C47E0">
            <w:pPr>
              <w:rPr>
                <w:rFonts w:cs="Arial"/>
                <w:sz w:val="20"/>
                <w:szCs w:val="20"/>
              </w:rPr>
            </w:pPr>
            <w:r w:rsidRPr="005F24F1">
              <w:rPr>
                <w:rFonts w:cs="Arial"/>
                <w:sz w:val="20"/>
                <w:szCs w:val="20"/>
              </w:rPr>
              <w:t>Beta (58.04, 12.74)</w:t>
            </w:r>
          </w:p>
        </w:tc>
        <w:tc>
          <w:tcPr>
            <w:tcW w:w="1294" w:type="dxa"/>
            <w:shd w:val="clear" w:color="auto" w:fill="auto"/>
          </w:tcPr>
          <w:p w14:paraId="6C82A219" w14:textId="0C934475" w:rsidR="00870E6F" w:rsidRPr="005F24F1" w:rsidRDefault="00EA771D"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C33ACD" w:rsidRPr="005F24F1" w14:paraId="0B80CE64" w14:textId="77777777" w:rsidTr="00462159">
        <w:tc>
          <w:tcPr>
            <w:tcW w:w="3145" w:type="dxa"/>
            <w:shd w:val="clear" w:color="auto" w:fill="auto"/>
          </w:tcPr>
          <w:p w14:paraId="6E5C1B25" w14:textId="77777777" w:rsidR="00870E6F" w:rsidRPr="006676A2" w:rsidRDefault="00870E6F" w:rsidP="006676A2">
            <w:pPr>
              <w:ind w:left="360"/>
              <w:rPr>
                <w:rFonts w:cs="Arial"/>
                <w:sz w:val="20"/>
                <w:szCs w:val="20"/>
              </w:rPr>
            </w:pPr>
            <w:r w:rsidRPr="006676A2">
              <w:rPr>
                <w:rFonts w:cs="Arial"/>
                <w:sz w:val="20"/>
                <w:szCs w:val="20"/>
              </w:rPr>
              <w:t xml:space="preserve">EP </w:t>
            </w:r>
          </w:p>
        </w:tc>
        <w:tc>
          <w:tcPr>
            <w:tcW w:w="810" w:type="dxa"/>
            <w:shd w:val="clear" w:color="auto" w:fill="auto"/>
          </w:tcPr>
          <w:p w14:paraId="5E8A4357" w14:textId="77777777" w:rsidR="00870E6F" w:rsidRPr="005F24F1" w:rsidRDefault="00870E6F" w:rsidP="002C47E0">
            <w:pPr>
              <w:rPr>
                <w:rFonts w:cs="Arial"/>
                <w:sz w:val="20"/>
                <w:szCs w:val="20"/>
              </w:rPr>
            </w:pPr>
            <w:r w:rsidRPr="005F24F1">
              <w:rPr>
                <w:rFonts w:cs="Arial"/>
                <w:sz w:val="20"/>
                <w:szCs w:val="20"/>
              </w:rPr>
              <w:t>0.580</w:t>
            </w:r>
          </w:p>
        </w:tc>
        <w:tc>
          <w:tcPr>
            <w:tcW w:w="1800" w:type="dxa"/>
            <w:shd w:val="clear" w:color="auto" w:fill="auto"/>
          </w:tcPr>
          <w:p w14:paraId="794645D5" w14:textId="77777777" w:rsidR="00870E6F" w:rsidRPr="005F24F1" w:rsidRDefault="00870E6F" w:rsidP="002C47E0">
            <w:pPr>
              <w:rPr>
                <w:rFonts w:cs="Arial"/>
                <w:sz w:val="20"/>
                <w:szCs w:val="20"/>
              </w:rPr>
            </w:pPr>
            <w:r w:rsidRPr="005F24F1">
              <w:rPr>
                <w:rFonts w:cs="Arial"/>
                <w:sz w:val="20"/>
                <w:szCs w:val="20"/>
              </w:rPr>
              <w:t>0.375</w:t>
            </w:r>
            <w:r w:rsidR="00A84B8D" w:rsidRPr="005F24F1">
              <w:rPr>
                <w:rFonts w:cs="Arial"/>
                <w:sz w:val="20"/>
                <w:szCs w:val="20"/>
              </w:rPr>
              <w:t>-</w:t>
            </w:r>
            <w:r w:rsidRPr="005F24F1">
              <w:rPr>
                <w:rFonts w:cs="Arial"/>
                <w:sz w:val="20"/>
                <w:szCs w:val="20"/>
              </w:rPr>
              <w:t>0.777</w:t>
            </w:r>
          </w:p>
        </w:tc>
        <w:tc>
          <w:tcPr>
            <w:tcW w:w="2250" w:type="dxa"/>
            <w:shd w:val="clear" w:color="auto" w:fill="auto"/>
          </w:tcPr>
          <w:p w14:paraId="17F1E56E" w14:textId="77777777" w:rsidR="00870E6F" w:rsidRPr="005F24F1" w:rsidRDefault="00870E6F" w:rsidP="002C47E0">
            <w:pPr>
              <w:rPr>
                <w:rFonts w:cs="Arial"/>
                <w:sz w:val="20"/>
                <w:szCs w:val="20"/>
              </w:rPr>
            </w:pPr>
            <w:r w:rsidRPr="005F24F1">
              <w:rPr>
                <w:rFonts w:cs="Arial"/>
                <w:sz w:val="20"/>
                <w:szCs w:val="20"/>
              </w:rPr>
              <w:t>Beta (12.86, 9.32)</w:t>
            </w:r>
          </w:p>
        </w:tc>
        <w:tc>
          <w:tcPr>
            <w:tcW w:w="1294" w:type="dxa"/>
            <w:shd w:val="clear" w:color="auto" w:fill="auto"/>
          </w:tcPr>
          <w:p w14:paraId="35FB79EA" w14:textId="1B33035E" w:rsidR="00870E6F" w:rsidRPr="005F24F1" w:rsidRDefault="00EA771D"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C33ACD" w:rsidRPr="005F24F1" w14:paraId="33235073" w14:textId="77777777" w:rsidTr="00462159">
        <w:trPr>
          <w:trHeight w:val="95"/>
        </w:trPr>
        <w:tc>
          <w:tcPr>
            <w:tcW w:w="3145" w:type="dxa"/>
            <w:shd w:val="clear" w:color="auto" w:fill="auto"/>
          </w:tcPr>
          <w:p w14:paraId="677A97A2" w14:textId="77777777" w:rsidR="00870E6F" w:rsidRPr="006676A2" w:rsidRDefault="00870E6F" w:rsidP="006676A2">
            <w:pPr>
              <w:ind w:left="360"/>
              <w:rPr>
                <w:rFonts w:cs="Arial"/>
                <w:sz w:val="20"/>
                <w:szCs w:val="20"/>
              </w:rPr>
            </w:pPr>
            <w:r w:rsidRPr="006676A2">
              <w:rPr>
                <w:rFonts w:cs="Arial"/>
                <w:sz w:val="20"/>
                <w:szCs w:val="20"/>
              </w:rPr>
              <w:t>EDS</w:t>
            </w:r>
          </w:p>
        </w:tc>
        <w:tc>
          <w:tcPr>
            <w:tcW w:w="810" w:type="dxa"/>
            <w:shd w:val="clear" w:color="auto" w:fill="auto"/>
          </w:tcPr>
          <w:p w14:paraId="651822BA" w14:textId="77777777" w:rsidR="00870E6F" w:rsidRPr="005F24F1" w:rsidRDefault="00870E6F" w:rsidP="002C47E0">
            <w:pPr>
              <w:rPr>
                <w:rFonts w:cs="Arial"/>
                <w:sz w:val="20"/>
                <w:szCs w:val="20"/>
              </w:rPr>
            </w:pPr>
            <w:r w:rsidRPr="005F24F1">
              <w:rPr>
                <w:rFonts w:cs="Arial"/>
                <w:sz w:val="20"/>
                <w:szCs w:val="20"/>
              </w:rPr>
              <w:t>0.460</w:t>
            </w:r>
          </w:p>
        </w:tc>
        <w:tc>
          <w:tcPr>
            <w:tcW w:w="1800" w:type="dxa"/>
            <w:shd w:val="clear" w:color="auto" w:fill="auto"/>
          </w:tcPr>
          <w:p w14:paraId="69F92397" w14:textId="77777777" w:rsidR="00870E6F" w:rsidRPr="005F24F1" w:rsidRDefault="00870E6F" w:rsidP="002C47E0">
            <w:pPr>
              <w:rPr>
                <w:rFonts w:cs="Arial"/>
                <w:sz w:val="20"/>
                <w:szCs w:val="20"/>
              </w:rPr>
            </w:pPr>
            <w:r w:rsidRPr="005F24F1">
              <w:rPr>
                <w:rFonts w:cs="Arial"/>
                <w:sz w:val="20"/>
                <w:szCs w:val="20"/>
              </w:rPr>
              <w:t>0.206</w:t>
            </w:r>
            <w:r w:rsidR="00A84B8D" w:rsidRPr="005F24F1">
              <w:rPr>
                <w:rFonts w:cs="Arial"/>
                <w:sz w:val="20"/>
                <w:szCs w:val="20"/>
              </w:rPr>
              <w:t>-</w:t>
            </w:r>
            <w:r w:rsidRPr="005F24F1">
              <w:rPr>
                <w:rFonts w:cs="Arial"/>
                <w:sz w:val="20"/>
                <w:szCs w:val="20"/>
              </w:rPr>
              <w:t>0.729</w:t>
            </w:r>
          </w:p>
        </w:tc>
        <w:tc>
          <w:tcPr>
            <w:tcW w:w="2250" w:type="dxa"/>
            <w:shd w:val="clear" w:color="auto" w:fill="auto"/>
          </w:tcPr>
          <w:p w14:paraId="15D758E3" w14:textId="77777777" w:rsidR="00870E6F" w:rsidRPr="005F24F1" w:rsidRDefault="00870E6F" w:rsidP="002C47E0">
            <w:pPr>
              <w:rPr>
                <w:rFonts w:cs="Arial"/>
                <w:sz w:val="20"/>
                <w:szCs w:val="20"/>
              </w:rPr>
            </w:pPr>
            <w:r w:rsidRPr="005F24F1">
              <w:rPr>
                <w:rFonts w:cs="Arial"/>
                <w:sz w:val="20"/>
                <w:szCs w:val="20"/>
              </w:rPr>
              <w:t>Beta (5.80, 6.80)</w:t>
            </w:r>
          </w:p>
        </w:tc>
        <w:tc>
          <w:tcPr>
            <w:tcW w:w="1294" w:type="dxa"/>
            <w:shd w:val="clear" w:color="auto" w:fill="auto"/>
          </w:tcPr>
          <w:p w14:paraId="0179A7B4" w14:textId="0E3FACE9" w:rsidR="00870E6F" w:rsidRPr="005F24F1" w:rsidRDefault="00EA771D" w:rsidP="002C47E0">
            <w:pPr>
              <w:rPr>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6676A2" w:rsidRPr="005F24F1" w14:paraId="12120FE2" w14:textId="77777777" w:rsidTr="00462159">
        <w:trPr>
          <w:trHeight w:val="95"/>
        </w:trPr>
        <w:tc>
          <w:tcPr>
            <w:tcW w:w="3145" w:type="dxa"/>
            <w:shd w:val="clear" w:color="auto" w:fill="auto"/>
          </w:tcPr>
          <w:p w14:paraId="6CD21E1F" w14:textId="77777777" w:rsidR="006676A2" w:rsidRPr="005F24F1" w:rsidRDefault="008B4A6A" w:rsidP="002C47E0">
            <w:pPr>
              <w:rPr>
                <w:rFonts w:cs="Arial"/>
                <w:b/>
                <w:bCs/>
                <w:sz w:val="20"/>
                <w:szCs w:val="20"/>
              </w:rPr>
            </w:pPr>
            <w:r>
              <w:rPr>
                <w:rFonts w:cs="Arial"/>
                <w:b/>
                <w:bCs/>
                <w:sz w:val="20"/>
                <w:szCs w:val="20"/>
              </w:rPr>
              <w:t xml:space="preserve">Duration estimates used in the sensitivity </w:t>
            </w:r>
            <w:proofErr w:type="spellStart"/>
            <w:r>
              <w:rPr>
                <w:rFonts w:cs="Arial"/>
                <w:b/>
                <w:bCs/>
                <w:sz w:val="20"/>
                <w:szCs w:val="20"/>
              </w:rPr>
              <w:t>analysis</w:t>
            </w:r>
            <w:r>
              <w:rPr>
                <w:rFonts w:cs="Arial"/>
                <w:b/>
                <w:bCs/>
                <w:sz w:val="20"/>
                <w:szCs w:val="20"/>
                <w:vertAlign w:val="superscript"/>
              </w:rPr>
              <w:t>a</w:t>
            </w:r>
            <w:proofErr w:type="spellEnd"/>
          </w:p>
        </w:tc>
        <w:tc>
          <w:tcPr>
            <w:tcW w:w="810" w:type="dxa"/>
            <w:shd w:val="clear" w:color="auto" w:fill="auto"/>
          </w:tcPr>
          <w:p w14:paraId="53DA8881" w14:textId="77777777" w:rsidR="006676A2" w:rsidRPr="005F24F1" w:rsidRDefault="006676A2" w:rsidP="002C47E0">
            <w:pPr>
              <w:rPr>
                <w:rFonts w:cs="Arial"/>
                <w:sz w:val="20"/>
                <w:szCs w:val="20"/>
              </w:rPr>
            </w:pPr>
          </w:p>
        </w:tc>
        <w:tc>
          <w:tcPr>
            <w:tcW w:w="1800" w:type="dxa"/>
            <w:shd w:val="clear" w:color="auto" w:fill="auto"/>
          </w:tcPr>
          <w:p w14:paraId="01B39B0D" w14:textId="77777777" w:rsidR="006676A2" w:rsidRPr="005F24F1" w:rsidRDefault="006676A2" w:rsidP="002C47E0">
            <w:pPr>
              <w:rPr>
                <w:rFonts w:cs="Arial"/>
                <w:sz w:val="20"/>
                <w:szCs w:val="20"/>
              </w:rPr>
            </w:pPr>
          </w:p>
        </w:tc>
        <w:tc>
          <w:tcPr>
            <w:tcW w:w="2250" w:type="dxa"/>
            <w:shd w:val="clear" w:color="auto" w:fill="auto"/>
          </w:tcPr>
          <w:p w14:paraId="6250018F" w14:textId="77777777" w:rsidR="006676A2" w:rsidRPr="005F24F1" w:rsidRDefault="006676A2" w:rsidP="002C47E0">
            <w:pPr>
              <w:rPr>
                <w:rFonts w:cs="Arial"/>
                <w:sz w:val="20"/>
                <w:szCs w:val="20"/>
              </w:rPr>
            </w:pPr>
          </w:p>
        </w:tc>
        <w:tc>
          <w:tcPr>
            <w:tcW w:w="1294" w:type="dxa"/>
            <w:shd w:val="clear" w:color="auto" w:fill="auto"/>
          </w:tcPr>
          <w:p w14:paraId="3258C1DD" w14:textId="77777777" w:rsidR="006676A2" w:rsidRPr="005F24F1" w:rsidRDefault="006676A2" w:rsidP="002C47E0">
            <w:pPr>
              <w:rPr>
                <w:rStyle w:val="FootnoteReference"/>
                <w:rFonts w:cs="Arial"/>
                <w:sz w:val="20"/>
                <w:szCs w:val="20"/>
              </w:rPr>
            </w:pPr>
          </w:p>
        </w:tc>
      </w:tr>
      <w:tr w:rsidR="006676A2" w:rsidRPr="005F24F1" w14:paraId="72B48D8E" w14:textId="77777777" w:rsidTr="00462159">
        <w:trPr>
          <w:trHeight w:val="95"/>
        </w:trPr>
        <w:tc>
          <w:tcPr>
            <w:tcW w:w="3145" w:type="dxa"/>
            <w:shd w:val="clear" w:color="auto" w:fill="auto"/>
          </w:tcPr>
          <w:p w14:paraId="59F80759" w14:textId="77777777" w:rsidR="006676A2" w:rsidRPr="006676A2" w:rsidRDefault="006676A2" w:rsidP="006676A2">
            <w:pPr>
              <w:ind w:left="360"/>
              <w:rPr>
                <w:rFonts w:cs="Arial"/>
                <w:sz w:val="20"/>
                <w:szCs w:val="20"/>
              </w:rPr>
            </w:pPr>
            <w:r w:rsidRPr="006676A2">
              <w:rPr>
                <w:rFonts w:cs="Arial"/>
                <w:sz w:val="20"/>
                <w:szCs w:val="20"/>
              </w:rPr>
              <w:t>TFI</w:t>
            </w:r>
          </w:p>
        </w:tc>
        <w:tc>
          <w:tcPr>
            <w:tcW w:w="810" w:type="dxa"/>
            <w:shd w:val="clear" w:color="auto" w:fill="auto"/>
          </w:tcPr>
          <w:p w14:paraId="1B3ECEA8" w14:textId="77777777" w:rsidR="006676A2" w:rsidRPr="005F24F1" w:rsidRDefault="006676A2" w:rsidP="006676A2">
            <w:pPr>
              <w:rPr>
                <w:rFonts w:cs="Arial"/>
                <w:sz w:val="20"/>
                <w:szCs w:val="20"/>
              </w:rPr>
            </w:pPr>
            <w:r>
              <w:rPr>
                <w:rFonts w:cs="Arial"/>
                <w:sz w:val="20"/>
                <w:szCs w:val="20"/>
              </w:rPr>
              <w:t>NA</w:t>
            </w:r>
          </w:p>
        </w:tc>
        <w:tc>
          <w:tcPr>
            <w:tcW w:w="1800" w:type="dxa"/>
            <w:shd w:val="clear" w:color="auto" w:fill="auto"/>
          </w:tcPr>
          <w:p w14:paraId="538AB708" w14:textId="77777777" w:rsidR="006676A2" w:rsidRPr="005F24F1" w:rsidRDefault="006676A2" w:rsidP="006676A2">
            <w:pPr>
              <w:rPr>
                <w:rFonts w:cs="Arial"/>
                <w:sz w:val="20"/>
                <w:szCs w:val="20"/>
              </w:rPr>
            </w:pPr>
            <w:r>
              <w:rPr>
                <w:rFonts w:cs="Arial"/>
                <w:sz w:val="20"/>
                <w:szCs w:val="20"/>
              </w:rPr>
              <w:t>NA</w:t>
            </w:r>
          </w:p>
        </w:tc>
        <w:tc>
          <w:tcPr>
            <w:tcW w:w="2250" w:type="dxa"/>
            <w:shd w:val="clear" w:color="auto" w:fill="auto"/>
          </w:tcPr>
          <w:p w14:paraId="0B9C89FF" w14:textId="77777777" w:rsidR="006676A2" w:rsidRPr="005F24F1" w:rsidRDefault="006676A2" w:rsidP="006676A2">
            <w:pPr>
              <w:rPr>
                <w:rFonts w:cs="Arial"/>
                <w:sz w:val="20"/>
                <w:szCs w:val="20"/>
              </w:rPr>
            </w:pPr>
            <w:r>
              <w:rPr>
                <w:rFonts w:cs="Arial"/>
                <w:sz w:val="20"/>
                <w:szCs w:val="20"/>
              </w:rPr>
              <w:t>Uniform(</w:t>
            </w:r>
            <w:proofErr w:type="gramStart"/>
            <w:r>
              <w:rPr>
                <w:rFonts w:cs="Arial"/>
                <w:sz w:val="20"/>
                <w:szCs w:val="20"/>
              </w:rPr>
              <w:t>5,lifetime</w:t>
            </w:r>
            <w:proofErr w:type="gramEnd"/>
            <w:r>
              <w:rPr>
                <w:rFonts w:cs="Arial"/>
                <w:sz w:val="20"/>
                <w:szCs w:val="20"/>
              </w:rPr>
              <w:t>)</w:t>
            </w:r>
          </w:p>
        </w:tc>
        <w:tc>
          <w:tcPr>
            <w:tcW w:w="1294" w:type="dxa"/>
            <w:shd w:val="clear" w:color="auto" w:fill="auto"/>
          </w:tcPr>
          <w:p w14:paraId="0F66B82F" w14:textId="7850D104" w:rsidR="006676A2" w:rsidRPr="005F24F1" w:rsidRDefault="00EA771D" w:rsidP="006676A2">
            <w:pPr>
              <w:rPr>
                <w:rStyle w:val="FootnoteReference"/>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r w:rsidR="006676A2" w:rsidRPr="005F24F1" w14:paraId="0890E839" w14:textId="77777777" w:rsidTr="00462159">
        <w:trPr>
          <w:trHeight w:val="95"/>
        </w:trPr>
        <w:tc>
          <w:tcPr>
            <w:tcW w:w="3145" w:type="dxa"/>
            <w:shd w:val="clear" w:color="auto" w:fill="auto"/>
          </w:tcPr>
          <w:p w14:paraId="13A7806B" w14:textId="77777777" w:rsidR="006676A2" w:rsidRPr="006676A2" w:rsidRDefault="006676A2" w:rsidP="006676A2">
            <w:pPr>
              <w:ind w:left="360"/>
              <w:rPr>
                <w:rFonts w:cs="Arial"/>
                <w:sz w:val="20"/>
                <w:szCs w:val="20"/>
              </w:rPr>
            </w:pPr>
            <w:r w:rsidRPr="006676A2">
              <w:rPr>
                <w:rFonts w:cs="Arial"/>
                <w:sz w:val="20"/>
                <w:szCs w:val="20"/>
              </w:rPr>
              <w:t>CPP</w:t>
            </w:r>
          </w:p>
        </w:tc>
        <w:tc>
          <w:tcPr>
            <w:tcW w:w="810" w:type="dxa"/>
            <w:shd w:val="clear" w:color="auto" w:fill="auto"/>
          </w:tcPr>
          <w:p w14:paraId="1BF637DB" w14:textId="77777777" w:rsidR="006676A2" w:rsidRPr="005F24F1" w:rsidRDefault="006676A2" w:rsidP="006676A2">
            <w:pPr>
              <w:rPr>
                <w:rFonts w:cs="Arial"/>
                <w:sz w:val="20"/>
                <w:szCs w:val="20"/>
              </w:rPr>
            </w:pPr>
            <w:r>
              <w:rPr>
                <w:rFonts w:cs="Arial"/>
                <w:sz w:val="20"/>
                <w:szCs w:val="20"/>
              </w:rPr>
              <w:t>NA</w:t>
            </w:r>
          </w:p>
        </w:tc>
        <w:tc>
          <w:tcPr>
            <w:tcW w:w="1800" w:type="dxa"/>
            <w:shd w:val="clear" w:color="auto" w:fill="auto"/>
          </w:tcPr>
          <w:p w14:paraId="4FC97BC3" w14:textId="77777777" w:rsidR="006676A2" w:rsidRPr="005F24F1" w:rsidRDefault="006676A2" w:rsidP="006676A2">
            <w:pPr>
              <w:rPr>
                <w:rFonts w:cs="Arial"/>
                <w:sz w:val="20"/>
                <w:szCs w:val="20"/>
              </w:rPr>
            </w:pPr>
            <w:r>
              <w:rPr>
                <w:rFonts w:cs="Arial"/>
                <w:sz w:val="20"/>
                <w:szCs w:val="20"/>
              </w:rPr>
              <w:t>NA</w:t>
            </w:r>
          </w:p>
        </w:tc>
        <w:tc>
          <w:tcPr>
            <w:tcW w:w="2250" w:type="dxa"/>
            <w:shd w:val="clear" w:color="auto" w:fill="auto"/>
          </w:tcPr>
          <w:p w14:paraId="7F9DD24F" w14:textId="77777777" w:rsidR="006676A2" w:rsidRPr="005F24F1" w:rsidRDefault="006676A2" w:rsidP="006676A2">
            <w:pPr>
              <w:rPr>
                <w:rFonts w:cs="Arial"/>
                <w:sz w:val="20"/>
                <w:szCs w:val="20"/>
              </w:rPr>
            </w:pPr>
            <w:r>
              <w:rPr>
                <w:rFonts w:cs="Arial"/>
                <w:sz w:val="20"/>
                <w:szCs w:val="20"/>
              </w:rPr>
              <w:t>Uniform(</w:t>
            </w:r>
            <w:proofErr w:type="gramStart"/>
            <w:r>
              <w:rPr>
                <w:rFonts w:cs="Arial"/>
                <w:sz w:val="20"/>
                <w:szCs w:val="20"/>
              </w:rPr>
              <w:t>5,lifetime</w:t>
            </w:r>
            <w:proofErr w:type="gramEnd"/>
            <w:r>
              <w:rPr>
                <w:rFonts w:cs="Arial"/>
                <w:sz w:val="20"/>
                <w:szCs w:val="20"/>
              </w:rPr>
              <w:t>)</w:t>
            </w:r>
          </w:p>
        </w:tc>
        <w:tc>
          <w:tcPr>
            <w:tcW w:w="1294" w:type="dxa"/>
            <w:shd w:val="clear" w:color="auto" w:fill="auto"/>
          </w:tcPr>
          <w:p w14:paraId="649A252C" w14:textId="7F20C964" w:rsidR="006676A2" w:rsidRPr="005F24F1" w:rsidRDefault="00EA771D" w:rsidP="006676A2">
            <w:pPr>
              <w:rPr>
                <w:rStyle w:val="FootnoteReference"/>
                <w:rFonts w:cs="Arial"/>
                <w:sz w:val="20"/>
                <w:szCs w:val="20"/>
              </w:rPr>
            </w:pPr>
            <w:r>
              <w:rPr>
                <w:rFonts w:cs="Arial"/>
                <w:sz w:val="20"/>
                <w:szCs w:val="20"/>
              </w:rPr>
              <w:fldChar w:fldCharType="begin" w:fldLock="1"/>
            </w:r>
            <w:r w:rsidR="00584B7C">
              <w:rPr>
                <w:rFonts w:cs="Arial"/>
                <w:sz w:val="20"/>
                <w:szCs w:val="20"/>
              </w:rPr>
              <w:instrText>ADDIN CSL_CITATION {"citationItems":[{"id":"ITEM-1","itemData":{"DOI":"10.17226/5501","abstract":"Vaccines have made it possible to eradicate the scourge of smallpox, promise the same for polio, and have profoundly reduced the threat posed by other diseases such as whooping cough, measles, and meningitis. What is next? There are many pathogens, autoimmune diseases, and cancers that may be promising targets for vaccine research and development. This volume provides an analytic framework and quantitative model for evaluating disease conditions that can be applied by those setting priorities for vaccine development over the coming decades. The committee describes an approach for comparing potential new vaccines based on their impact on morbidity and mortality and on the costs of both health care and vaccine development. The book examines: Lessons to be learned from the polio experience. Scientific advances that set the stage for new vaccines. Factors that affect how vaccines are used in the population. Value judgments and ethical questions raised by comparison of health needs and benefits. The committee provides a way to compare different forms of illness and set vaccine priorities without assigning a monetary value to lives. Their recommendations will be important to anyone involved in science policy and public health planning: policymakers, regulators, health care providers, vaccine manufacturers, and researchers.","author":[{"dropping-particle":"","family":"Stratton","given":"KR","non-dropping-particle":"","parse-names":false,"suffix":""},{"dropping-particle":"","family":"Durch","given":"JS","non-dropping-particle":"","parse-names":false,"suffix":""},{"dropping-particle":"","family":"Lawrence","given":"RS","non-dropping-particle":"","parse-names":false,"suffix":""}],"container-title":"Vaccines for the 21st Century","id":"ITEM-1","issued":{"date-parts":[["2000","2","21"]]},"publisher":"National Academies Press","title":"Vaccines for the 21st Century","type":"book"},"uris":["http://www.mendeley.com/documents/?uuid=1f1a17e4-5713-34d0-9fb2-d3cd5430692c"]}],"mendeley":{"formattedCitation":"&lt;sup&gt;6&lt;/sup&gt;","plainTextFormattedCitation":"6","previouslyFormattedCitation":"&lt;sup&gt;6&lt;/sup&gt;"},"properties":{"noteIndex":0},"schema":"https://github.com/citation-style-language/schema/raw/master/csl-citation.json"}</w:instrText>
            </w:r>
            <w:r>
              <w:rPr>
                <w:rFonts w:cs="Arial"/>
                <w:sz w:val="20"/>
                <w:szCs w:val="20"/>
              </w:rPr>
              <w:fldChar w:fldCharType="separate"/>
            </w:r>
            <w:r w:rsidR="00A3159B" w:rsidRPr="00A3159B">
              <w:rPr>
                <w:rFonts w:cs="Arial"/>
                <w:noProof/>
                <w:sz w:val="20"/>
                <w:szCs w:val="20"/>
                <w:vertAlign w:val="superscript"/>
              </w:rPr>
              <w:t>6</w:t>
            </w:r>
            <w:r>
              <w:rPr>
                <w:rFonts w:cs="Arial"/>
                <w:sz w:val="20"/>
                <w:szCs w:val="20"/>
              </w:rPr>
              <w:fldChar w:fldCharType="end"/>
            </w:r>
          </w:p>
        </w:tc>
      </w:tr>
    </w:tbl>
    <w:p w14:paraId="3A298103" w14:textId="77777777" w:rsidR="00870E6F" w:rsidRDefault="00870E6F"/>
    <w:p w14:paraId="654733AB" w14:textId="77777777" w:rsidR="008B4A6A" w:rsidRPr="004C6D82" w:rsidRDefault="008B4A6A" w:rsidP="008B4A6A">
      <w:pPr>
        <w:pStyle w:val="ListParagraph"/>
        <w:numPr>
          <w:ilvl w:val="0"/>
          <w:numId w:val="5"/>
        </w:numPr>
        <w:rPr>
          <w:rFonts w:ascii="Arial" w:hAnsi="Arial" w:cs="Arial"/>
          <w:sz w:val="22"/>
          <w:szCs w:val="22"/>
        </w:rPr>
      </w:pPr>
      <w:r>
        <w:rPr>
          <w:rFonts w:ascii="Arial" w:hAnsi="Arial" w:cs="Arial"/>
          <w:sz w:val="22"/>
          <w:szCs w:val="22"/>
        </w:rPr>
        <w:t>Longer than</w:t>
      </w:r>
      <w:r w:rsidRPr="004C6D82">
        <w:rPr>
          <w:rFonts w:ascii="Arial" w:hAnsi="Arial" w:cs="Arial"/>
          <w:sz w:val="22"/>
          <w:szCs w:val="22"/>
        </w:rPr>
        <w:t xml:space="preserve"> in the main analyses</w:t>
      </w:r>
    </w:p>
    <w:p w14:paraId="33ECA6CC" w14:textId="77777777" w:rsidR="007A6BD4" w:rsidRDefault="007A6BD4"/>
    <w:p w14:paraId="255BD309" w14:textId="2C61B2BA" w:rsidR="00584B7C" w:rsidRPr="00584B7C" w:rsidRDefault="00584B7C" w:rsidP="00584B7C">
      <w:pPr>
        <w:spacing w:line="276" w:lineRule="auto"/>
        <w:ind w:left="90"/>
        <w:rPr>
          <w:rFonts w:cs="Arial"/>
        </w:rPr>
      </w:pPr>
      <w:r w:rsidRPr="00584B7C">
        <w:rPr>
          <w:rFonts w:cs="Arial"/>
        </w:rPr>
        <w:t>PID: pelvic inflammatory disease; TFI: tubal factor infertility; CPP: chronic pelvic pain; EP: ectopic pregnancy; E</w:t>
      </w:r>
      <w:r>
        <w:rPr>
          <w:rFonts w:cs="Arial"/>
        </w:rPr>
        <w:t>DS</w:t>
      </w:r>
      <w:r w:rsidRPr="00584B7C">
        <w:rPr>
          <w:rFonts w:cs="Arial"/>
        </w:rPr>
        <w:t>: epididymitis</w:t>
      </w:r>
      <w:r w:rsidR="00021553">
        <w:rPr>
          <w:rFonts w:cs="Arial"/>
        </w:rPr>
        <w:t>.</w:t>
      </w:r>
    </w:p>
    <w:p w14:paraId="40A89749" w14:textId="77777777" w:rsidR="00EA0C95" w:rsidRDefault="00EA0C95"/>
    <w:p w14:paraId="4D3DB7AF" w14:textId="18C7B648" w:rsidR="00EA0C95" w:rsidRDefault="00EA0C95">
      <w:pPr>
        <w:sectPr w:rsidR="00EA0C95" w:rsidSect="007D6931">
          <w:pgSz w:w="12240" w:h="15840"/>
          <w:pgMar w:top="1440" w:right="1440" w:bottom="1440" w:left="1440" w:header="720" w:footer="720" w:gutter="0"/>
          <w:cols w:space="720"/>
          <w:docGrid w:linePitch="360"/>
        </w:sectPr>
      </w:pPr>
    </w:p>
    <w:p w14:paraId="53BC89D7" w14:textId="77777777" w:rsidR="007A6BD4" w:rsidRDefault="007A6BD4"/>
    <w:p w14:paraId="0300F213" w14:textId="77777777" w:rsidR="007A6BD4" w:rsidRDefault="007A6BD4">
      <w:pPr>
        <w:rPr>
          <w:b/>
          <w:bCs/>
          <w:sz w:val="28"/>
          <w:szCs w:val="32"/>
        </w:rPr>
      </w:pPr>
      <w:r w:rsidRPr="007A6BD4">
        <w:rPr>
          <w:b/>
          <w:bCs/>
          <w:sz w:val="28"/>
          <w:szCs w:val="32"/>
        </w:rPr>
        <w:t>Supplemental results</w:t>
      </w:r>
    </w:p>
    <w:p w14:paraId="565364C5" w14:textId="77777777" w:rsidR="007A6BD4" w:rsidRDefault="007A6BD4">
      <w:pPr>
        <w:rPr>
          <w:b/>
          <w:bCs/>
          <w:sz w:val="28"/>
          <w:szCs w:val="32"/>
        </w:rPr>
      </w:pPr>
    </w:p>
    <w:p w14:paraId="584DB74E" w14:textId="77777777" w:rsidR="00A84B8D" w:rsidRDefault="00A84B8D" w:rsidP="00A84B8D">
      <w:pPr>
        <w:pStyle w:val="ListParagraph"/>
        <w:numPr>
          <w:ilvl w:val="0"/>
          <w:numId w:val="1"/>
        </w:numPr>
        <w:rPr>
          <w:b/>
          <w:bCs/>
          <w:sz w:val="28"/>
          <w:szCs w:val="32"/>
        </w:rPr>
      </w:pPr>
      <w:r>
        <w:rPr>
          <w:b/>
          <w:bCs/>
          <w:sz w:val="28"/>
          <w:szCs w:val="32"/>
        </w:rPr>
        <w:t xml:space="preserve">Results using GBD utilities </w:t>
      </w:r>
    </w:p>
    <w:p w14:paraId="387DFEBB" w14:textId="77777777" w:rsidR="00A84B8D" w:rsidRDefault="00A84B8D" w:rsidP="00A84B8D">
      <w:pPr>
        <w:rPr>
          <w:b/>
          <w:bCs/>
          <w:sz w:val="28"/>
          <w:szCs w:val="32"/>
        </w:rPr>
      </w:pPr>
    </w:p>
    <w:p w14:paraId="7F814351" w14:textId="5DCA722F" w:rsidR="00C0658E" w:rsidRPr="00176852" w:rsidRDefault="00167E7B" w:rsidP="00C0658E">
      <w:pPr>
        <w:spacing w:line="276" w:lineRule="auto"/>
        <w:rPr>
          <w:rFonts w:cs="Arial"/>
          <w:szCs w:val="22"/>
        </w:rPr>
      </w:pPr>
      <w:r w:rsidRPr="00176852">
        <w:rPr>
          <w:rFonts w:cs="Arial"/>
          <w:b/>
          <w:bCs/>
          <w:szCs w:val="22"/>
        </w:rPr>
        <w:t>Table S4</w:t>
      </w:r>
      <w:r w:rsidRPr="00176852">
        <w:rPr>
          <w:rFonts w:cs="Arial"/>
          <w:szCs w:val="22"/>
        </w:rPr>
        <w:t>. Incremental costs and benefits and cost-effectiveness ratio for the current policy compared to no screening and no partner notification (PN).</w:t>
      </w:r>
      <w:r w:rsidR="00C0658E">
        <w:rPr>
          <w:rFonts w:cs="Arial"/>
          <w:szCs w:val="22"/>
        </w:rPr>
        <w:t xml:space="preserve"> Costs are in 20</w:t>
      </w:r>
      <w:r w:rsidR="00414952">
        <w:rPr>
          <w:rFonts w:cs="Arial"/>
          <w:szCs w:val="22"/>
        </w:rPr>
        <w:t>2</w:t>
      </w:r>
      <w:r w:rsidR="00C0658E">
        <w:rPr>
          <w:rFonts w:cs="Arial"/>
          <w:szCs w:val="22"/>
        </w:rPr>
        <w:t>0 US dollars.</w:t>
      </w:r>
      <w:r w:rsidR="00C0658E" w:rsidRPr="00176852">
        <w:rPr>
          <w:rFonts w:cs="Arial"/>
          <w:szCs w:val="22"/>
        </w:rPr>
        <w:t xml:space="preserve"> </w:t>
      </w:r>
      <w:r w:rsidR="00C0658E">
        <w:rPr>
          <w:rFonts w:cs="Arial"/>
          <w:szCs w:val="22"/>
        </w:rPr>
        <w:t>All results are s</w:t>
      </w:r>
      <w:r w:rsidR="00C0658E" w:rsidRPr="00176852">
        <w:rPr>
          <w:rFonts w:cs="Arial"/>
          <w:szCs w:val="22"/>
        </w:rPr>
        <w:t>hown to 5 significant digits</w:t>
      </w:r>
      <w:r w:rsidR="00C0658E">
        <w:rPr>
          <w:rFonts w:cs="Arial"/>
          <w:szCs w:val="22"/>
        </w:rPr>
        <w:t>.</w:t>
      </w:r>
    </w:p>
    <w:p w14:paraId="6C84439B" w14:textId="1D006BA5" w:rsidR="00167E7B" w:rsidRPr="00176852" w:rsidRDefault="00167E7B" w:rsidP="00167E7B">
      <w:pPr>
        <w:spacing w:line="276" w:lineRule="auto"/>
        <w:rPr>
          <w:rFonts w:cs="Arial"/>
          <w:szCs w:val="22"/>
        </w:rPr>
      </w:pPr>
    </w:p>
    <w:tbl>
      <w:tblPr>
        <w:tblpPr w:leftFromText="180" w:rightFromText="180" w:vertAnchor="text" w:horzAnchor="margin" w:tblpX="-217" w:tblpY="-37"/>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35"/>
        <w:gridCol w:w="1832"/>
        <w:gridCol w:w="1550"/>
        <w:gridCol w:w="1550"/>
        <w:gridCol w:w="1690"/>
        <w:gridCol w:w="1616"/>
      </w:tblGrid>
      <w:tr w:rsidR="00167E7B" w:rsidRPr="005655AE" w14:paraId="529EF6BC" w14:textId="77777777" w:rsidTr="000C7112">
        <w:trPr>
          <w:trHeight w:val="296"/>
        </w:trPr>
        <w:tc>
          <w:tcPr>
            <w:tcW w:w="1835" w:type="dxa"/>
            <w:shd w:val="clear" w:color="auto" w:fill="FFFFFF"/>
            <w:vAlign w:val="center"/>
          </w:tcPr>
          <w:p w14:paraId="29228C0B" w14:textId="77777777" w:rsidR="00167E7B" w:rsidRPr="005655AE" w:rsidRDefault="00167E7B" w:rsidP="000C7112">
            <w:pPr>
              <w:autoSpaceDE w:val="0"/>
              <w:autoSpaceDN w:val="0"/>
              <w:adjustRightInd w:val="0"/>
              <w:spacing w:line="276" w:lineRule="auto"/>
              <w:rPr>
                <w:rFonts w:cs="Arial"/>
                <w:b/>
                <w:bCs/>
                <w:color w:val="000000"/>
                <w:szCs w:val="22"/>
              </w:rPr>
            </w:pPr>
            <w:r w:rsidRPr="005655AE">
              <w:rPr>
                <w:rFonts w:cs="Arial"/>
                <w:b/>
                <w:bCs/>
                <w:color w:val="000000"/>
                <w:szCs w:val="22"/>
              </w:rPr>
              <w:t>Scenario</w:t>
            </w:r>
          </w:p>
        </w:tc>
        <w:tc>
          <w:tcPr>
            <w:tcW w:w="1832" w:type="dxa"/>
            <w:shd w:val="clear" w:color="auto" w:fill="FFFFFF"/>
            <w:vAlign w:val="center"/>
          </w:tcPr>
          <w:p w14:paraId="2D6349DB" w14:textId="77777777" w:rsidR="00167E7B" w:rsidRPr="005655AE" w:rsidRDefault="00167E7B" w:rsidP="000C7112">
            <w:pPr>
              <w:spacing w:line="276" w:lineRule="auto"/>
              <w:rPr>
                <w:rFonts w:cs="Arial"/>
                <w:b/>
                <w:bCs/>
                <w:szCs w:val="22"/>
              </w:rPr>
            </w:pPr>
            <w:r w:rsidRPr="005655AE">
              <w:rPr>
                <w:rFonts w:cs="Arial"/>
                <w:b/>
                <w:bCs/>
                <w:szCs w:val="22"/>
              </w:rPr>
              <w:t>Cumulative costs in ‘000s</w:t>
            </w:r>
          </w:p>
          <w:p w14:paraId="244B6024" w14:textId="7076812C" w:rsidR="00167E7B" w:rsidRPr="005655AE" w:rsidRDefault="00167E7B" w:rsidP="000C7112">
            <w:pPr>
              <w:autoSpaceDE w:val="0"/>
              <w:autoSpaceDN w:val="0"/>
              <w:adjustRightInd w:val="0"/>
              <w:spacing w:line="276" w:lineRule="auto"/>
              <w:rPr>
                <w:rFonts w:cs="Arial"/>
                <w:b/>
                <w:bCs/>
                <w:szCs w:val="22"/>
              </w:rPr>
            </w:pPr>
            <w:r w:rsidRPr="005655AE">
              <w:rPr>
                <w:rFonts w:cs="Arial"/>
                <w:b/>
                <w:bCs/>
                <w:szCs w:val="22"/>
              </w:rPr>
              <w:t>(discounted</w:t>
            </w:r>
            <w:proofErr w:type="gramStart"/>
            <w:r w:rsidRPr="005655AE">
              <w:rPr>
                <w:rFonts w:cs="Arial"/>
                <w:b/>
                <w:bCs/>
                <w:szCs w:val="22"/>
              </w:rPr>
              <w:t>)</w:t>
            </w:r>
            <w:r w:rsidRPr="005655AE">
              <w:rPr>
                <w:rFonts w:cs="Arial"/>
                <w:b/>
                <w:bCs/>
                <w:color w:val="000000"/>
                <w:szCs w:val="22"/>
              </w:rPr>
              <w:t>(</w:t>
            </w:r>
            <w:proofErr w:type="gramEnd"/>
            <w:r w:rsidRPr="005655AE">
              <w:rPr>
                <w:rFonts w:cs="Arial"/>
                <w:b/>
                <w:bCs/>
                <w:color w:val="000000"/>
                <w:szCs w:val="22"/>
              </w:rPr>
              <w:t>$)</w:t>
            </w:r>
          </w:p>
        </w:tc>
        <w:tc>
          <w:tcPr>
            <w:tcW w:w="1550" w:type="dxa"/>
            <w:shd w:val="clear" w:color="auto" w:fill="FFFFFF"/>
            <w:vAlign w:val="center"/>
          </w:tcPr>
          <w:p w14:paraId="7AB4061D" w14:textId="77777777" w:rsidR="00167E7B" w:rsidRPr="005655AE" w:rsidRDefault="00167E7B" w:rsidP="000C7112">
            <w:pPr>
              <w:spacing w:line="276" w:lineRule="auto"/>
              <w:rPr>
                <w:rFonts w:cs="Arial"/>
                <w:b/>
                <w:bCs/>
                <w:szCs w:val="22"/>
              </w:rPr>
            </w:pPr>
            <w:r w:rsidRPr="005655AE">
              <w:rPr>
                <w:rFonts w:cs="Arial"/>
                <w:b/>
                <w:bCs/>
                <w:szCs w:val="22"/>
              </w:rPr>
              <w:t>Cumulative QALYs lost in ‘000s</w:t>
            </w:r>
          </w:p>
          <w:p w14:paraId="675B79D9" w14:textId="77777777" w:rsidR="00167E7B" w:rsidRPr="005655AE" w:rsidRDefault="00167E7B" w:rsidP="000C7112">
            <w:pPr>
              <w:autoSpaceDE w:val="0"/>
              <w:autoSpaceDN w:val="0"/>
              <w:adjustRightInd w:val="0"/>
              <w:spacing w:line="276" w:lineRule="auto"/>
              <w:rPr>
                <w:rFonts w:cs="Arial"/>
                <w:b/>
                <w:bCs/>
                <w:color w:val="000000"/>
                <w:szCs w:val="22"/>
              </w:rPr>
            </w:pPr>
            <w:r w:rsidRPr="005655AE">
              <w:rPr>
                <w:rFonts w:cs="Arial"/>
                <w:b/>
                <w:bCs/>
                <w:szCs w:val="22"/>
              </w:rPr>
              <w:t>(discounted)</w:t>
            </w:r>
          </w:p>
        </w:tc>
        <w:tc>
          <w:tcPr>
            <w:tcW w:w="1550" w:type="dxa"/>
            <w:shd w:val="clear" w:color="auto" w:fill="FFFFFF"/>
            <w:vAlign w:val="center"/>
          </w:tcPr>
          <w:p w14:paraId="3B5E68A7" w14:textId="77777777" w:rsidR="00167E7B" w:rsidRPr="005655AE" w:rsidRDefault="00167E7B" w:rsidP="000C7112">
            <w:pPr>
              <w:autoSpaceDE w:val="0"/>
              <w:autoSpaceDN w:val="0"/>
              <w:adjustRightInd w:val="0"/>
              <w:spacing w:line="276" w:lineRule="auto"/>
              <w:rPr>
                <w:rFonts w:cs="Arial"/>
                <w:b/>
                <w:bCs/>
                <w:color w:val="000000"/>
                <w:szCs w:val="22"/>
              </w:rPr>
            </w:pPr>
            <w:r w:rsidRPr="005655AE">
              <w:rPr>
                <w:rFonts w:cs="Arial"/>
                <w:b/>
                <w:bCs/>
                <w:color w:val="000000"/>
                <w:szCs w:val="22"/>
              </w:rPr>
              <w:t>Incremental Costs,</w:t>
            </w:r>
            <w:r w:rsidRPr="005655AE">
              <w:rPr>
                <w:rFonts w:cs="Arial"/>
                <w:b/>
                <w:bCs/>
                <w:szCs w:val="22"/>
              </w:rPr>
              <w:t xml:space="preserve"> in ‘000s</w:t>
            </w:r>
            <w:r w:rsidRPr="005655AE">
              <w:rPr>
                <w:rFonts w:cs="Arial"/>
                <w:b/>
                <w:bCs/>
                <w:color w:val="000000"/>
                <w:szCs w:val="22"/>
              </w:rPr>
              <w:t xml:space="preserve"> ($)</w:t>
            </w:r>
          </w:p>
        </w:tc>
        <w:tc>
          <w:tcPr>
            <w:tcW w:w="1690" w:type="dxa"/>
            <w:shd w:val="clear" w:color="auto" w:fill="FFFFFF"/>
            <w:vAlign w:val="center"/>
          </w:tcPr>
          <w:p w14:paraId="2FE19AF2" w14:textId="77777777" w:rsidR="00167E7B" w:rsidRPr="005655AE" w:rsidRDefault="00167E7B" w:rsidP="000C7112">
            <w:pPr>
              <w:autoSpaceDE w:val="0"/>
              <w:autoSpaceDN w:val="0"/>
              <w:adjustRightInd w:val="0"/>
              <w:spacing w:line="276" w:lineRule="auto"/>
              <w:rPr>
                <w:rFonts w:cs="Arial"/>
                <w:b/>
                <w:bCs/>
                <w:color w:val="000000"/>
                <w:szCs w:val="22"/>
              </w:rPr>
            </w:pPr>
            <w:r w:rsidRPr="005655AE">
              <w:rPr>
                <w:rFonts w:cs="Arial"/>
                <w:b/>
                <w:bCs/>
                <w:color w:val="000000"/>
                <w:szCs w:val="22"/>
              </w:rPr>
              <w:t>Incremental QALYs gained,</w:t>
            </w:r>
            <w:r w:rsidRPr="005655AE">
              <w:rPr>
                <w:rFonts w:cs="Arial"/>
                <w:b/>
                <w:bCs/>
                <w:szCs w:val="22"/>
              </w:rPr>
              <w:t xml:space="preserve"> in ‘000s</w:t>
            </w:r>
          </w:p>
        </w:tc>
        <w:tc>
          <w:tcPr>
            <w:tcW w:w="1616" w:type="dxa"/>
            <w:shd w:val="clear" w:color="auto" w:fill="FFFFFF"/>
            <w:vAlign w:val="center"/>
          </w:tcPr>
          <w:p w14:paraId="7D020C4E" w14:textId="77777777" w:rsidR="00167E7B" w:rsidRPr="005655AE" w:rsidRDefault="00167E7B" w:rsidP="000C7112">
            <w:pPr>
              <w:autoSpaceDE w:val="0"/>
              <w:autoSpaceDN w:val="0"/>
              <w:adjustRightInd w:val="0"/>
              <w:spacing w:line="276" w:lineRule="auto"/>
              <w:rPr>
                <w:rFonts w:cs="Arial"/>
                <w:b/>
                <w:bCs/>
                <w:color w:val="000000"/>
                <w:szCs w:val="22"/>
              </w:rPr>
            </w:pPr>
            <w:r w:rsidRPr="005655AE">
              <w:rPr>
                <w:rFonts w:cs="Arial"/>
                <w:b/>
                <w:bCs/>
                <w:color w:val="000000"/>
                <w:szCs w:val="22"/>
              </w:rPr>
              <w:t>ICER ($/ QALY gained)</w:t>
            </w:r>
          </w:p>
        </w:tc>
      </w:tr>
      <w:tr w:rsidR="004F4CC4" w:rsidRPr="005655AE" w14:paraId="132E5560" w14:textId="77777777" w:rsidTr="004F4CC4">
        <w:trPr>
          <w:trHeight w:val="296"/>
        </w:trPr>
        <w:tc>
          <w:tcPr>
            <w:tcW w:w="1835" w:type="dxa"/>
            <w:shd w:val="clear" w:color="auto" w:fill="D9D9D9" w:themeFill="background1" w:themeFillShade="D9"/>
            <w:vAlign w:val="center"/>
          </w:tcPr>
          <w:p w14:paraId="124FFAE2" w14:textId="207DFAA8" w:rsidR="004F4CC4" w:rsidRPr="004F4CC4" w:rsidRDefault="004F4CC4" w:rsidP="004F4CC4">
            <w:pPr>
              <w:autoSpaceDE w:val="0"/>
              <w:autoSpaceDN w:val="0"/>
              <w:adjustRightInd w:val="0"/>
              <w:spacing w:line="276" w:lineRule="auto"/>
              <w:rPr>
                <w:rFonts w:cs="Arial"/>
                <w:b/>
                <w:bCs/>
                <w:color w:val="000000"/>
                <w:szCs w:val="22"/>
              </w:rPr>
            </w:pPr>
            <w:r w:rsidRPr="004F4CC4">
              <w:rPr>
                <w:rFonts w:cs="Arial"/>
                <w:b/>
                <w:bCs/>
                <w:color w:val="000000"/>
                <w:szCs w:val="22"/>
              </w:rPr>
              <w:t>1.</w:t>
            </w:r>
            <w:r>
              <w:rPr>
                <w:rFonts w:cs="Arial"/>
                <w:b/>
                <w:bCs/>
                <w:color w:val="000000"/>
                <w:szCs w:val="22"/>
              </w:rPr>
              <w:t xml:space="preserve"> 2000-2015</w:t>
            </w:r>
          </w:p>
        </w:tc>
        <w:tc>
          <w:tcPr>
            <w:tcW w:w="1832" w:type="dxa"/>
            <w:shd w:val="clear" w:color="auto" w:fill="D9D9D9" w:themeFill="background1" w:themeFillShade="D9"/>
            <w:vAlign w:val="bottom"/>
          </w:tcPr>
          <w:p w14:paraId="215859B0" w14:textId="77777777" w:rsidR="004F4CC4" w:rsidRPr="005655AE" w:rsidRDefault="004F4CC4" w:rsidP="00BE47F8">
            <w:pPr>
              <w:spacing w:line="276" w:lineRule="auto"/>
              <w:rPr>
                <w:rFonts w:cs="Arial"/>
                <w:color w:val="000000"/>
              </w:rPr>
            </w:pPr>
          </w:p>
        </w:tc>
        <w:tc>
          <w:tcPr>
            <w:tcW w:w="1550" w:type="dxa"/>
            <w:shd w:val="clear" w:color="auto" w:fill="D9D9D9" w:themeFill="background1" w:themeFillShade="D9"/>
            <w:vAlign w:val="bottom"/>
          </w:tcPr>
          <w:p w14:paraId="55758782" w14:textId="77777777" w:rsidR="004F4CC4" w:rsidRPr="005655AE" w:rsidRDefault="004F4CC4" w:rsidP="00BE47F8">
            <w:pPr>
              <w:spacing w:line="276" w:lineRule="auto"/>
              <w:rPr>
                <w:rFonts w:cs="Arial"/>
                <w:color w:val="000000"/>
              </w:rPr>
            </w:pPr>
          </w:p>
        </w:tc>
        <w:tc>
          <w:tcPr>
            <w:tcW w:w="1550" w:type="dxa"/>
            <w:shd w:val="clear" w:color="auto" w:fill="D9D9D9" w:themeFill="background1" w:themeFillShade="D9"/>
            <w:vAlign w:val="bottom"/>
          </w:tcPr>
          <w:p w14:paraId="18DC6683" w14:textId="77777777" w:rsidR="004F4CC4" w:rsidRPr="005655AE" w:rsidRDefault="004F4CC4" w:rsidP="00BE47F8">
            <w:pPr>
              <w:autoSpaceDE w:val="0"/>
              <w:autoSpaceDN w:val="0"/>
              <w:adjustRightInd w:val="0"/>
              <w:spacing w:line="276" w:lineRule="auto"/>
              <w:rPr>
                <w:rFonts w:cs="Arial"/>
                <w:color w:val="000000"/>
              </w:rPr>
            </w:pPr>
          </w:p>
        </w:tc>
        <w:tc>
          <w:tcPr>
            <w:tcW w:w="1690" w:type="dxa"/>
            <w:shd w:val="clear" w:color="auto" w:fill="D9D9D9" w:themeFill="background1" w:themeFillShade="D9"/>
            <w:vAlign w:val="bottom"/>
          </w:tcPr>
          <w:p w14:paraId="5A5572B9" w14:textId="77777777" w:rsidR="004F4CC4" w:rsidRPr="005655AE" w:rsidRDefault="004F4CC4" w:rsidP="00BE47F8">
            <w:pPr>
              <w:autoSpaceDE w:val="0"/>
              <w:autoSpaceDN w:val="0"/>
              <w:adjustRightInd w:val="0"/>
              <w:spacing w:line="276" w:lineRule="auto"/>
              <w:rPr>
                <w:rFonts w:cs="Arial"/>
                <w:color w:val="000000"/>
              </w:rPr>
            </w:pPr>
          </w:p>
        </w:tc>
        <w:tc>
          <w:tcPr>
            <w:tcW w:w="1616" w:type="dxa"/>
            <w:shd w:val="clear" w:color="auto" w:fill="D9D9D9" w:themeFill="background1" w:themeFillShade="D9"/>
            <w:vAlign w:val="bottom"/>
          </w:tcPr>
          <w:p w14:paraId="1B1F19D2" w14:textId="77777777" w:rsidR="004F4CC4" w:rsidRPr="005655AE" w:rsidRDefault="004F4CC4" w:rsidP="00BE47F8">
            <w:pPr>
              <w:spacing w:line="276" w:lineRule="auto"/>
              <w:rPr>
                <w:rFonts w:cs="Arial"/>
                <w:color w:val="000000"/>
              </w:rPr>
            </w:pPr>
          </w:p>
        </w:tc>
      </w:tr>
      <w:tr w:rsidR="00BE47F8" w:rsidRPr="005655AE" w14:paraId="42093A41" w14:textId="77777777" w:rsidTr="000C7112">
        <w:trPr>
          <w:trHeight w:val="296"/>
        </w:trPr>
        <w:tc>
          <w:tcPr>
            <w:tcW w:w="1835" w:type="dxa"/>
            <w:shd w:val="clear" w:color="auto" w:fill="FFFFFF"/>
            <w:vAlign w:val="center"/>
          </w:tcPr>
          <w:p w14:paraId="376C6170" w14:textId="77777777" w:rsidR="00BE47F8" w:rsidRPr="005655AE" w:rsidRDefault="00BE47F8" w:rsidP="00BE47F8">
            <w:pPr>
              <w:autoSpaceDE w:val="0"/>
              <w:autoSpaceDN w:val="0"/>
              <w:adjustRightInd w:val="0"/>
              <w:spacing w:line="276" w:lineRule="auto"/>
              <w:rPr>
                <w:rFonts w:cs="Arial"/>
                <w:b/>
                <w:bCs/>
                <w:color w:val="000000"/>
                <w:szCs w:val="22"/>
              </w:rPr>
            </w:pPr>
            <w:r w:rsidRPr="005655AE">
              <w:rPr>
                <w:rFonts w:cs="Arial"/>
                <w:b/>
                <w:bCs/>
                <w:color w:val="000000"/>
                <w:szCs w:val="22"/>
              </w:rPr>
              <w:t>No screening and no PN</w:t>
            </w:r>
          </w:p>
        </w:tc>
        <w:tc>
          <w:tcPr>
            <w:tcW w:w="1832" w:type="dxa"/>
            <w:shd w:val="clear" w:color="auto" w:fill="FFFFFF"/>
            <w:vAlign w:val="bottom"/>
          </w:tcPr>
          <w:p w14:paraId="53E2E90B" w14:textId="517690ED" w:rsidR="00BE47F8" w:rsidRPr="005655AE" w:rsidRDefault="00BE47F8" w:rsidP="00BE47F8">
            <w:pPr>
              <w:spacing w:line="276" w:lineRule="auto"/>
              <w:rPr>
                <w:rFonts w:cs="Arial"/>
                <w:szCs w:val="22"/>
              </w:rPr>
            </w:pPr>
            <w:r w:rsidRPr="005655AE">
              <w:rPr>
                <w:rFonts w:cs="Arial"/>
                <w:color w:val="000000"/>
              </w:rPr>
              <w:t>15,969,000</w:t>
            </w:r>
          </w:p>
        </w:tc>
        <w:tc>
          <w:tcPr>
            <w:tcW w:w="1550" w:type="dxa"/>
            <w:shd w:val="clear" w:color="auto" w:fill="FFFFFF"/>
            <w:vAlign w:val="bottom"/>
          </w:tcPr>
          <w:p w14:paraId="43131F4A" w14:textId="7AC8743E" w:rsidR="00BE47F8" w:rsidRPr="005655AE" w:rsidRDefault="00BE47F8" w:rsidP="00BE47F8">
            <w:pPr>
              <w:spacing w:line="276" w:lineRule="auto"/>
              <w:rPr>
                <w:rFonts w:cs="Arial"/>
                <w:szCs w:val="22"/>
              </w:rPr>
            </w:pPr>
            <w:r w:rsidRPr="005655AE">
              <w:rPr>
                <w:rFonts w:cs="Arial"/>
                <w:color w:val="000000"/>
              </w:rPr>
              <w:t>1,528.00</w:t>
            </w:r>
          </w:p>
        </w:tc>
        <w:tc>
          <w:tcPr>
            <w:tcW w:w="1550" w:type="dxa"/>
            <w:shd w:val="clear" w:color="auto" w:fill="FFFFFF"/>
            <w:vAlign w:val="bottom"/>
          </w:tcPr>
          <w:p w14:paraId="4FA440FC" w14:textId="30D1D814" w:rsidR="00BE47F8" w:rsidRPr="005655AE" w:rsidRDefault="00BE47F8" w:rsidP="00BE47F8">
            <w:pPr>
              <w:autoSpaceDE w:val="0"/>
              <w:autoSpaceDN w:val="0"/>
              <w:adjustRightInd w:val="0"/>
              <w:spacing w:line="276" w:lineRule="auto"/>
              <w:rPr>
                <w:rFonts w:cs="Arial"/>
                <w:color w:val="000000"/>
                <w:szCs w:val="22"/>
              </w:rPr>
            </w:pPr>
            <w:r w:rsidRPr="005655AE">
              <w:rPr>
                <w:rFonts w:cs="Arial"/>
                <w:color w:val="000000"/>
              </w:rPr>
              <w:t>NA</w:t>
            </w:r>
          </w:p>
        </w:tc>
        <w:tc>
          <w:tcPr>
            <w:tcW w:w="1690" w:type="dxa"/>
            <w:shd w:val="clear" w:color="auto" w:fill="FFFFFF"/>
            <w:vAlign w:val="bottom"/>
          </w:tcPr>
          <w:p w14:paraId="6B5DDAFC" w14:textId="2EB9FEBB" w:rsidR="00BE47F8" w:rsidRPr="005655AE" w:rsidRDefault="00BE47F8" w:rsidP="00BE47F8">
            <w:pPr>
              <w:autoSpaceDE w:val="0"/>
              <w:autoSpaceDN w:val="0"/>
              <w:adjustRightInd w:val="0"/>
              <w:spacing w:line="276" w:lineRule="auto"/>
              <w:rPr>
                <w:rFonts w:cs="Arial"/>
                <w:color w:val="000000"/>
                <w:szCs w:val="22"/>
              </w:rPr>
            </w:pPr>
            <w:r w:rsidRPr="005655AE">
              <w:rPr>
                <w:rFonts w:cs="Arial"/>
                <w:color w:val="000000"/>
              </w:rPr>
              <w:t>NA</w:t>
            </w:r>
          </w:p>
        </w:tc>
        <w:tc>
          <w:tcPr>
            <w:tcW w:w="1616" w:type="dxa"/>
            <w:shd w:val="clear" w:color="auto" w:fill="FFFFFF"/>
            <w:vAlign w:val="bottom"/>
          </w:tcPr>
          <w:p w14:paraId="0AA6F4C7" w14:textId="092B16F4" w:rsidR="00BE47F8" w:rsidRPr="005655AE" w:rsidRDefault="00BE47F8" w:rsidP="00BE47F8">
            <w:pPr>
              <w:spacing w:line="276" w:lineRule="auto"/>
              <w:rPr>
                <w:rFonts w:cs="Arial"/>
                <w:color w:val="000000"/>
                <w:szCs w:val="22"/>
              </w:rPr>
            </w:pPr>
            <w:r w:rsidRPr="005655AE">
              <w:rPr>
                <w:rFonts w:cs="Arial"/>
                <w:color w:val="000000"/>
              </w:rPr>
              <w:t>NA</w:t>
            </w:r>
          </w:p>
        </w:tc>
      </w:tr>
      <w:tr w:rsidR="00BE47F8" w:rsidRPr="005655AE" w14:paraId="1030B7E4" w14:textId="77777777" w:rsidTr="000C7112">
        <w:trPr>
          <w:trHeight w:val="296"/>
        </w:trPr>
        <w:tc>
          <w:tcPr>
            <w:tcW w:w="1835" w:type="dxa"/>
            <w:shd w:val="clear" w:color="auto" w:fill="FFFFFF"/>
            <w:vAlign w:val="center"/>
          </w:tcPr>
          <w:p w14:paraId="770C9FC9" w14:textId="77777777" w:rsidR="00BE47F8" w:rsidRPr="005655AE" w:rsidRDefault="00BE47F8" w:rsidP="00BE47F8">
            <w:pPr>
              <w:autoSpaceDE w:val="0"/>
              <w:autoSpaceDN w:val="0"/>
              <w:adjustRightInd w:val="0"/>
              <w:spacing w:line="276" w:lineRule="auto"/>
              <w:rPr>
                <w:rFonts w:cs="Arial"/>
                <w:b/>
                <w:bCs/>
                <w:color w:val="000000"/>
                <w:szCs w:val="22"/>
              </w:rPr>
            </w:pPr>
            <w:r w:rsidRPr="005655AE">
              <w:rPr>
                <w:rFonts w:cs="Arial"/>
                <w:b/>
                <w:bCs/>
                <w:color w:val="000000"/>
                <w:szCs w:val="22"/>
              </w:rPr>
              <w:t>Current Policy</w:t>
            </w:r>
          </w:p>
        </w:tc>
        <w:tc>
          <w:tcPr>
            <w:tcW w:w="1832" w:type="dxa"/>
            <w:shd w:val="clear" w:color="auto" w:fill="FFFFFF"/>
            <w:vAlign w:val="bottom"/>
          </w:tcPr>
          <w:p w14:paraId="3A5AC97F" w14:textId="03FE633A" w:rsidR="00BE47F8" w:rsidRPr="005655AE" w:rsidRDefault="00BE47F8" w:rsidP="00BE47F8">
            <w:pPr>
              <w:spacing w:line="276" w:lineRule="auto"/>
              <w:rPr>
                <w:rFonts w:cs="Arial"/>
                <w:szCs w:val="22"/>
              </w:rPr>
            </w:pPr>
            <w:r w:rsidRPr="005655AE">
              <w:rPr>
                <w:rFonts w:cs="Arial"/>
                <w:color w:val="000000"/>
              </w:rPr>
              <w:t>21,157,000</w:t>
            </w:r>
          </w:p>
        </w:tc>
        <w:tc>
          <w:tcPr>
            <w:tcW w:w="1550" w:type="dxa"/>
            <w:shd w:val="clear" w:color="auto" w:fill="FFFFFF"/>
            <w:vAlign w:val="bottom"/>
          </w:tcPr>
          <w:p w14:paraId="47F0E122" w14:textId="4D04CA80" w:rsidR="00BE47F8" w:rsidRPr="005655AE" w:rsidRDefault="00BE47F8" w:rsidP="00BE47F8">
            <w:pPr>
              <w:spacing w:line="276" w:lineRule="auto"/>
              <w:rPr>
                <w:rFonts w:cs="Arial"/>
                <w:szCs w:val="22"/>
              </w:rPr>
            </w:pPr>
            <w:r w:rsidRPr="005655AE">
              <w:rPr>
                <w:rFonts w:cs="Arial"/>
                <w:color w:val="000000"/>
              </w:rPr>
              <w:t>1,098.90</w:t>
            </w:r>
          </w:p>
        </w:tc>
        <w:tc>
          <w:tcPr>
            <w:tcW w:w="1550" w:type="dxa"/>
            <w:shd w:val="clear" w:color="auto" w:fill="FFFFFF"/>
            <w:vAlign w:val="bottom"/>
          </w:tcPr>
          <w:p w14:paraId="7EF9A093" w14:textId="3A5DBFC5" w:rsidR="00BE47F8" w:rsidRPr="005655AE" w:rsidRDefault="00BE47F8" w:rsidP="00BE47F8">
            <w:pPr>
              <w:autoSpaceDE w:val="0"/>
              <w:autoSpaceDN w:val="0"/>
              <w:adjustRightInd w:val="0"/>
              <w:spacing w:line="276" w:lineRule="auto"/>
              <w:rPr>
                <w:rFonts w:cs="Arial"/>
                <w:color w:val="000000"/>
                <w:szCs w:val="22"/>
              </w:rPr>
            </w:pPr>
            <w:r w:rsidRPr="005655AE">
              <w:rPr>
                <w:rFonts w:cs="Arial"/>
                <w:color w:val="000000"/>
              </w:rPr>
              <w:t>5</w:t>
            </w:r>
            <w:r w:rsidR="005655AE">
              <w:rPr>
                <w:rFonts w:cs="Arial"/>
                <w:color w:val="000000"/>
              </w:rPr>
              <w:t>,</w:t>
            </w:r>
            <w:r w:rsidRPr="005655AE">
              <w:rPr>
                <w:rFonts w:cs="Arial"/>
                <w:color w:val="000000"/>
              </w:rPr>
              <w:t>188</w:t>
            </w:r>
            <w:r w:rsidR="005655AE">
              <w:rPr>
                <w:rFonts w:cs="Arial"/>
                <w:color w:val="000000"/>
              </w:rPr>
              <w:t>,</w:t>
            </w:r>
            <w:r w:rsidRPr="005655AE">
              <w:rPr>
                <w:rFonts w:cs="Arial"/>
                <w:color w:val="000000"/>
              </w:rPr>
              <w:t>000</w:t>
            </w:r>
          </w:p>
        </w:tc>
        <w:tc>
          <w:tcPr>
            <w:tcW w:w="1690" w:type="dxa"/>
            <w:shd w:val="clear" w:color="auto" w:fill="FFFFFF"/>
            <w:vAlign w:val="bottom"/>
          </w:tcPr>
          <w:p w14:paraId="499235B1" w14:textId="0ED38CD2" w:rsidR="00BE47F8" w:rsidRPr="005655AE" w:rsidRDefault="00BE47F8" w:rsidP="00BE47F8">
            <w:pPr>
              <w:autoSpaceDE w:val="0"/>
              <w:autoSpaceDN w:val="0"/>
              <w:adjustRightInd w:val="0"/>
              <w:spacing w:line="276" w:lineRule="auto"/>
              <w:rPr>
                <w:rFonts w:cs="Arial"/>
                <w:color w:val="000000"/>
                <w:szCs w:val="22"/>
              </w:rPr>
            </w:pPr>
            <w:r w:rsidRPr="005655AE">
              <w:rPr>
                <w:rFonts w:cs="Arial"/>
                <w:color w:val="000000"/>
              </w:rPr>
              <w:t>429.1</w:t>
            </w:r>
            <w:r w:rsidR="00C97516">
              <w:rPr>
                <w:rFonts w:cs="Arial"/>
                <w:color w:val="000000"/>
              </w:rPr>
              <w:t>0</w:t>
            </w:r>
          </w:p>
        </w:tc>
        <w:tc>
          <w:tcPr>
            <w:tcW w:w="1616" w:type="dxa"/>
            <w:shd w:val="clear" w:color="auto" w:fill="FFFFFF"/>
            <w:vAlign w:val="bottom"/>
          </w:tcPr>
          <w:p w14:paraId="09229EBF" w14:textId="46FB8ED7" w:rsidR="00BE47F8" w:rsidRPr="005655AE" w:rsidRDefault="00BE47F8" w:rsidP="00BE47F8">
            <w:pPr>
              <w:autoSpaceDE w:val="0"/>
              <w:autoSpaceDN w:val="0"/>
              <w:adjustRightInd w:val="0"/>
              <w:spacing w:line="276" w:lineRule="auto"/>
              <w:rPr>
                <w:rFonts w:cs="Arial"/>
                <w:color w:val="000000"/>
                <w:szCs w:val="22"/>
              </w:rPr>
            </w:pPr>
            <w:r w:rsidRPr="005655AE">
              <w:rPr>
                <w:rFonts w:cs="Arial"/>
                <w:color w:val="000000"/>
              </w:rPr>
              <w:t>12</w:t>
            </w:r>
            <w:r w:rsidR="005655AE">
              <w:rPr>
                <w:rFonts w:cs="Arial"/>
                <w:color w:val="000000"/>
              </w:rPr>
              <w:t>,</w:t>
            </w:r>
            <w:r w:rsidRPr="005655AE">
              <w:rPr>
                <w:rFonts w:cs="Arial"/>
                <w:color w:val="000000"/>
              </w:rPr>
              <w:t>090</w:t>
            </w:r>
          </w:p>
        </w:tc>
      </w:tr>
      <w:tr w:rsidR="00BE47F8" w:rsidRPr="005655AE" w14:paraId="7DC16E67" w14:textId="77777777" w:rsidTr="000C7112">
        <w:trPr>
          <w:trHeight w:val="296"/>
        </w:trPr>
        <w:tc>
          <w:tcPr>
            <w:tcW w:w="1835" w:type="dxa"/>
            <w:shd w:val="clear" w:color="auto" w:fill="FFFFFF"/>
            <w:vAlign w:val="center"/>
          </w:tcPr>
          <w:p w14:paraId="380B69A4" w14:textId="77777777" w:rsidR="00BE47F8" w:rsidRPr="005655AE" w:rsidRDefault="00BE47F8" w:rsidP="00BE47F8">
            <w:pPr>
              <w:autoSpaceDE w:val="0"/>
              <w:autoSpaceDN w:val="0"/>
              <w:adjustRightInd w:val="0"/>
              <w:spacing w:line="276" w:lineRule="auto"/>
              <w:ind w:left="90"/>
              <w:rPr>
                <w:rFonts w:cs="Arial"/>
                <w:color w:val="000000"/>
                <w:szCs w:val="22"/>
              </w:rPr>
            </w:pPr>
            <w:r w:rsidRPr="005655AE">
              <w:rPr>
                <w:rFonts w:cs="Arial"/>
                <w:color w:val="000000"/>
                <w:szCs w:val="22"/>
              </w:rPr>
              <w:t>95% Uncertainty</w:t>
            </w:r>
          </w:p>
        </w:tc>
        <w:tc>
          <w:tcPr>
            <w:tcW w:w="1832" w:type="dxa"/>
            <w:shd w:val="clear" w:color="auto" w:fill="FFFFFF"/>
            <w:vAlign w:val="bottom"/>
          </w:tcPr>
          <w:p w14:paraId="28E07AD1" w14:textId="2C22E6C8" w:rsidR="00BE47F8" w:rsidRPr="005655AE" w:rsidRDefault="00BE47F8" w:rsidP="00BE47F8">
            <w:pPr>
              <w:spacing w:line="276" w:lineRule="auto"/>
              <w:rPr>
                <w:rFonts w:cs="Arial"/>
                <w:color w:val="000000"/>
                <w:szCs w:val="22"/>
              </w:rPr>
            </w:pPr>
            <w:r w:rsidRPr="005655AE">
              <w:rPr>
                <w:rFonts w:cs="Arial"/>
                <w:color w:val="000000"/>
              </w:rPr>
              <w:t>NA</w:t>
            </w:r>
          </w:p>
        </w:tc>
        <w:tc>
          <w:tcPr>
            <w:tcW w:w="1550" w:type="dxa"/>
            <w:shd w:val="clear" w:color="auto" w:fill="FFFFFF"/>
            <w:vAlign w:val="bottom"/>
          </w:tcPr>
          <w:p w14:paraId="46D46D48" w14:textId="5A763527" w:rsidR="00BE47F8" w:rsidRPr="005655AE" w:rsidRDefault="00BE47F8" w:rsidP="00BE47F8">
            <w:pPr>
              <w:spacing w:line="276" w:lineRule="auto"/>
              <w:rPr>
                <w:rFonts w:cs="Arial"/>
                <w:color w:val="000000"/>
                <w:szCs w:val="22"/>
              </w:rPr>
            </w:pPr>
            <w:r w:rsidRPr="005655AE">
              <w:rPr>
                <w:rFonts w:cs="Arial"/>
                <w:color w:val="000000"/>
              </w:rPr>
              <w:t>NA</w:t>
            </w:r>
          </w:p>
        </w:tc>
        <w:tc>
          <w:tcPr>
            <w:tcW w:w="1550" w:type="dxa"/>
            <w:shd w:val="clear" w:color="auto" w:fill="FFFFFF"/>
            <w:vAlign w:val="bottom"/>
          </w:tcPr>
          <w:p w14:paraId="383DFFD2" w14:textId="5794CC77" w:rsidR="00BE47F8" w:rsidRPr="005655AE" w:rsidRDefault="00BE47F8" w:rsidP="00BE47F8">
            <w:pPr>
              <w:rPr>
                <w:rFonts w:cs="Arial"/>
                <w:color w:val="000000"/>
                <w:szCs w:val="22"/>
              </w:rPr>
            </w:pPr>
            <w:r w:rsidRPr="005655AE">
              <w:rPr>
                <w:rFonts w:cs="Arial"/>
                <w:color w:val="000000"/>
              </w:rPr>
              <w:t>-270</w:t>
            </w:r>
            <w:r w:rsidR="005655AE">
              <w:rPr>
                <w:rFonts w:cs="Arial"/>
                <w:color w:val="000000"/>
              </w:rPr>
              <w:t>,</w:t>
            </w:r>
            <w:r w:rsidRPr="005655AE">
              <w:rPr>
                <w:rFonts w:cs="Arial"/>
                <w:color w:val="000000"/>
              </w:rPr>
              <w:t>670;</w:t>
            </w:r>
            <w:r w:rsidRPr="005655AE">
              <w:rPr>
                <w:rFonts w:cs="Arial"/>
              </w:rPr>
              <w:t xml:space="preserve"> </w:t>
            </w:r>
            <w:r w:rsidRPr="005655AE">
              <w:rPr>
                <w:rFonts w:cs="Arial"/>
                <w:color w:val="000000"/>
              </w:rPr>
              <w:t>11</w:t>
            </w:r>
            <w:r w:rsidR="005655AE">
              <w:rPr>
                <w:rFonts w:cs="Arial"/>
                <w:color w:val="000000"/>
              </w:rPr>
              <w:t>,</w:t>
            </w:r>
            <w:r w:rsidRPr="005655AE">
              <w:rPr>
                <w:rFonts w:cs="Arial"/>
                <w:color w:val="000000"/>
              </w:rPr>
              <w:t>369</w:t>
            </w:r>
            <w:r w:rsidR="005655AE">
              <w:rPr>
                <w:rFonts w:cs="Arial"/>
                <w:color w:val="000000"/>
              </w:rPr>
              <w:t>,</w:t>
            </w:r>
            <w:r w:rsidRPr="005655AE">
              <w:rPr>
                <w:rFonts w:cs="Arial"/>
                <w:color w:val="000000"/>
              </w:rPr>
              <w:t>000</w:t>
            </w:r>
          </w:p>
        </w:tc>
        <w:tc>
          <w:tcPr>
            <w:tcW w:w="1690" w:type="dxa"/>
            <w:shd w:val="clear" w:color="auto" w:fill="FFFFFF"/>
            <w:vAlign w:val="bottom"/>
          </w:tcPr>
          <w:p w14:paraId="3AAFC289" w14:textId="15527170" w:rsidR="00BE47F8" w:rsidRPr="005655AE" w:rsidRDefault="00BE47F8" w:rsidP="00BE47F8">
            <w:pPr>
              <w:rPr>
                <w:rFonts w:cs="Arial"/>
                <w:color w:val="000000"/>
                <w:szCs w:val="22"/>
              </w:rPr>
            </w:pPr>
            <w:r w:rsidRPr="005655AE">
              <w:rPr>
                <w:rFonts w:cs="Arial"/>
                <w:color w:val="000000"/>
              </w:rPr>
              <w:t>113.28; 1</w:t>
            </w:r>
            <w:r w:rsidR="005655AE">
              <w:rPr>
                <w:rFonts w:cs="Arial"/>
                <w:color w:val="000000"/>
              </w:rPr>
              <w:t>,</w:t>
            </w:r>
            <w:r w:rsidRPr="005655AE">
              <w:rPr>
                <w:rFonts w:cs="Arial"/>
                <w:color w:val="000000"/>
              </w:rPr>
              <w:t>002.6</w:t>
            </w:r>
          </w:p>
        </w:tc>
        <w:tc>
          <w:tcPr>
            <w:tcW w:w="1616" w:type="dxa"/>
            <w:shd w:val="clear" w:color="auto" w:fill="FFFFFF"/>
            <w:vAlign w:val="bottom"/>
          </w:tcPr>
          <w:p w14:paraId="03C6D40B" w14:textId="033941EA" w:rsidR="00BE47F8" w:rsidRPr="005655AE" w:rsidRDefault="00A7310A" w:rsidP="00BE47F8">
            <w:pPr>
              <w:autoSpaceDE w:val="0"/>
              <w:autoSpaceDN w:val="0"/>
              <w:adjustRightInd w:val="0"/>
              <w:spacing w:line="276" w:lineRule="auto"/>
              <w:rPr>
                <w:rFonts w:cs="Arial"/>
                <w:color w:val="000000"/>
                <w:szCs w:val="22"/>
              </w:rPr>
            </w:pPr>
            <w:r w:rsidRPr="005655AE">
              <w:rPr>
                <w:rFonts w:cs="Arial"/>
                <w:color w:val="000000"/>
              </w:rPr>
              <w:t>Cost-saving</w:t>
            </w:r>
            <w:r w:rsidR="00BE47F8" w:rsidRPr="005655AE">
              <w:rPr>
                <w:rFonts w:cs="Arial"/>
                <w:color w:val="000000"/>
              </w:rPr>
              <w:t>;</w:t>
            </w:r>
            <w:r w:rsidR="00BE47F8" w:rsidRPr="005655AE">
              <w:rPr>
                <w:rFonts w:cs="Arial"/>
              </w:rPr>
              <w:t xml:space="preserve"> </w:t>
            </w:r>
            <w:r w:rsidR="00BE47F8" w:rsidRPr="005655AE">
              <w:rPr>
                <w:rFonts w:cs="Arial"/>
                <w:color w:val="000000"/>
              </w:rPr>
              <w:t>67</w:t>
            </w:r>
            <w:r w:rsidR="005655AE">
              <w:rPr>
                <w:rFonts w:cs="Arial"/>
                <w:color w:val="000000"/>
              </w:rPr>
              <w:t>,</w:t>
            </w:r>
            <w:r w:rsidR="00BE47F8" w:rsidRPr="005655AE">
              <w:rPr>
                <w:rFonts w:cs="Arial"/>
                <w:color w:val="000000"/>
              </w:rPr>
              <w:t>630</w:t>
            </w:r>
          </w:p>
        </w:tc>
      </w:tr>
      <w:tr w:rsidR="004F4CC4" w:rsidRPr="005655AE" w14:paraId="1FFB58F8" w14:textId="77777777" w:rsidTr="004F4CC4">
        <w:trPr>
          <w:trHeight w:val="296"/>
        </w:trPr>
        <w:tc>
          <w:tcPr>
            <w:tcW w:w="1835" w:type="dxa"/>
            <w:shd w:val="clear" w:color="auto" w:fill="D9D9D9" w:themeFill="background1" w:themeFillShade="D9"/>
            <w:vAlign w:val="center"/>
          </w:tcPr>
          <w:p w14:paraId="5AC204D1" w14:textId="651641D3" w:rsidR="004F4CC4" w:rsidRPr="005655AE" w:rsidRDefault="004F4CC4" w:rsidP="004F4CC4">
            <w:pPr>
              <w:autoSpaceDE w:val="0"/>
              <w:autoSpaceDN w:val="0"/>
              <w:adjustRightInd w:val="0"/>
              <w:spacing w:line="276" w:lineRule="auto"/>
              <w:ind w:left="90"/>
              <w:rPr>
                <w:rFonts w:cs="Arial"/>
                <w:color w:val="000000"/>
                <w:szCs w:val="22"/>
              </w:rPr>
            </w:pPr>
            <w:r>
              <w:rPr>
                <w:rFonts w:cs="Arial"/>
                <w:b/>
                <w:bCs/>
                <w:color w:val="000000"/>
                <w:szCs w:val="22"/>
              </w:rPr>
              <w:t xml:space="preserve">2.1 </w:t>
            </w:r>
            <w:r w:rsidRPr="005655AE">
              <w:rPr>
                <w:rFonts w:cs="Arial"/>
                <w:b/>
                <w:bCs/>
                <w:color w:val="000000"/>
                <w:szCs w:val="22"/>
              </w:rPr>
              <w:t>2016-2019</w:t>
            </w:r>
          </w:p>
        </w:tc>
        <w:tc>
          <w:tcPr>
            <w:tcW w:w="1832" w:type="dxa"/>
            <w:shd w:val="clear" w:color="auto" w:fill="D9D9D9" w:themeFill="background1" w:themeFillShade="D9"/>
            <w:vAlign w:val="center"/>
          </w:tcPr>
          <w:p w14:paraId="603FA35C" w14:textId="1C3638C0"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046AEDAC" w14:textId="77777777"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152C8C85" w14:textId="77777777" w:rsidR="004F4CC4" w:rsidRPr="005655AE" w:rsidRDefault="004F4CC4" w:rsidP="004F4CC4">
            <w:pPr>
              <w:rPr>
                <w:rFonts w:cs="Arial"/>
                <w:color w:val="000000"/>
              </w:rPr>
            </w:pPr>
          </w:p>
        </w:tc>
        <w:tc>
          <w:tcPr>
            <w:tcW w:w="1690" w:type="dxa"/>
            <w:shd w:val="clear" w:color="auto" w:fill="D9D9D9" w:themeFill="background1" w:themeFillShade="D9"/>
            <w:vAlign w:val="bottom"/>
          </w:tcPr>
          <w:p w14:paraId="69178429" w14:textId="77777777" w:rsidR="004F4CC4" w:rsidRPr="005655AE" w:rsidRDefault="004F4CC4" w:rsidP="004F4CC4">
            <w:pPr>
              <w:rPr>
                <w:rFonts w:cs="Arial"/>
                <w:color w:val="000000"/>
              </w:rPr>
            </w:pPr>
          </w:p>
        </w:tc>
        <w:tc>
          <w:tcPr>
            <w:tcW w:w="1616" w:type="dxa"/>
            <w:shd w:val="clear" w:color="auto" w:fill="D9D9D9" w:themeFill="background1" w:themeFillShade="D9"/>
            <w:vAlign w:val="bottom"/>
          </w:tcPr>
          <w:p w14:paraId="4635FB6D" w14:textId="77777777" w:rsidR="004F4CC4" w:rsidRPr="005655AE" w:rsidRDefault="004F4CC4" w:rsidP="004F4CC4">
            <w:pPr>
              <w:autoSpaceDE w:val="0"/>
              <w:autoSpaceDN w:val="0"/>
              <w:adjustRightInd w:val="0"/>
              <w:spacing w:line="276" w:lineRule="auto"/>
              <w:rPr>
                <w:rFonts w:cs="Arial"/>
                <w:color w:val="000000"/>
              </w:rPr>
            </w:pPr>
          </w:p>
        </w:tc>
      </w:tr>
      <w:tr w:rsidR="00C0658E" w:rsidRPr="005655AE" w14:paraId="221D0438" w14:textId="77777777" w:rsidTr="000C7112">
        <w:trPr>
          <w:trHeight w:val="296"/>
        </w:trPr>
        <w:tc>
          <w:tcPr>
            <w:tcW w:w="1835" w:type="dxa"/>
            <w:shd w:val="clear" w:color="auto" w:fill="FFFFFF"/>
            <w:vAlign w:val="center"/>
          </w:tcPr>
          <w:p w14:paraId="28C817FE" w14:textId="54D26EBF" w:rsidR="00C0658E" w:rsidRPr="005655AE" w:rsidRDefault="00C0658E" w:rsidP="00C0658E">
            <w:pPr>
              <w:autoSpaceDE w:val="0"/>
              <w:autoSpaceDN w:val="0"/>
              <w:adjustRightInd w:val="0"/>
              <w:spacing w:line="276" w:lineRule="auto"/>
              <w:ind w:left="90"/>
              <w:rPr>
                <w:rFonts w:cs="Arial"/>
                <w:color w:val="000000"/>
                <w:szCs w:val="22"/>
              </w:rPr>
            </w:pPr>
            <w:r w:rsidRPr="006A5566">
              <w:rPr>
                <w:rFonts w:cs="Arial"/>
                <w:b/>
                <w:bCs/>
                <w:color w:val="000000"/>
                <w:szCs w:val="22"/>
              </w:rPr>
              <w:t>Current Policy</w:t>
            </w:r>
          </w:p>
        </w:tc>
        <w:tc>
          <w:tcPr>
            <w:tcW w:w="1832" w:type="dxa"/>
            <w:shd w:val="clear" w:color="auto" w:fill="FFFFFF"/>
            <w:vAlign w:val="bottom"/>
          </w:tcPr>
          <w:p w14:paraId="1F4D3A53" w14:textId="2FEF3BCF" w:rsidR="00C0658E" w:rsidRPr="005655AE" w:rsidRDefault="00C0658E" w:rsidP="00C0658E">
            <w:pPr>
              <w:spacing w:line="276" w:lineRule="auto"/>
              <w:rPr>
                <w:rFonts w:cs="Arial"/>
                <w:color w:val="000000"/>
              </w:rPr>
            </w:pPr>
            <w:r w:rsidRPr="005655AE">
              <w:rPr>
                <w:rFonts w:cs="Arial"/>
                <w:color w:val="000000"/>
                <w:szCs w:val="22"/>
              </w:rPr>
              <w:t>6,919,100</w:t>
            </w:r>
          </w:p>
        </w:tc>
        <w:tc>
          <w:tcPr>
            <w:tcW w:w="1550" w:type="dxa"/>
            <w:shd w:val="clear" w:color="auto" w:fill="FFFFFF"/>
            <w:vAlign w:val="bottom"/>
          </w:tcPr>
          <w:p w14:paraId="70C34DD4" w14:textId="07D62F2C" w:rsidR="00C0658E" w:rsidRPr="005655AE" w:rsidRDefault="00C0658E" w:rsidP="00C0658E">
            <w:pPr>
              <w:spacing w:line="276" w:lineRule="auto"/>
              <w:rPr>
                <w:rFonts w:cs="Arial"/>
                <w:color w:val="000000"/>
              </w:rPr>
            </w:pPr>
            <w:r w:rsidRPr="005655AE">
              <w:rPr>
                <w:rFonts w:cs="Arial"/>
                <w:color w:val="000000"/>
                <w:szCs w:val="22"/>
              </w:rPr>
              <w:t>279.74</w:t>
            </w:r>
          </w:p>
        </w:tc>
        <w:tc>
          <w:tcPr>
            <w:tcW w:w="1550" w:type="dxa"/>
            <w:shd w:val="clear" w:color="auto" w:fill="FFFFFF"/>
            <w:vAlign w:val="bottom"/>
          </w:tcPr>
          <w:p w14:paraId="0F8DA964" w14:textId="3EDC5C96" w:rsidR="00C0658E" w:rsidRPr="005655AE" w:rsidRDefault="00C0658E" w:rsidP="00C0658E">
            <w:pPr>
              <w:rPr>
                <w:rFonts w:cs="Arial"/>
                <w:color w:val="000000"/>
              </w:rPr>
            </w:pPr>
            <w:r w:rsidRPr="005655AE">
              <w:rPr>
                <w:rFonts w:cs="Arial"/>
                <w:color w:val="000000"/>
                <w:szCs w:val="22"/>
              </w:rPr>
              <w:t>NA</w:t>
            </w:r>
          </w:p>
        </w:tc>
        <w:tc>
          <w:tcPr>
            <w:tcW w:w="1690" w:type="dxa"/>
            <w:shd w:val="clear" w:color="auto" w:fill="FFFFFF"/>
            <w:vAlign w:val="bottom"/>
          </w:tcPr>
          <w:p w14:paraId="48A8200B" w14:textId="26D8C9C6" w:rsidR="00C0658E" w:rsidRPr="005655AE" w:rsidRDefault="00C0658E" w:rsidP="00C0658E">
            <w:pPr>
              <w:rPr>
                <w:rFonts w:cs="Arial"/>
                <w:color w:val="000000"/>
              </w:rPr>
            </w:pPr>
            <w:r w:rsidRPr="005655AE">
              <w:rPr>
                <w:rFonts w:cs="Arial"/>
                <w:color w:val="000000"/>
                <w:szCs w:val="22"/>
              </w:rPr>
              <w:t>NA</w:t>
            </w:r>
          </w:p>
        </w:tc>
        <w:tc>
          <w:tcPr>
            <w:tcW w:w="1616" w:type="dxa"/>
            <w:shd w:val="clear" w:color="auto" w:fill="FFFFFF"/>
            <w:vAlign w:val="bottom"/>
          </w:tcPr>
          <w:p w14:paraId="74E2211B" w14:textId="65C17E41" w:rsidR="00C0658E" w:rsidRPr="005655AE" w:rsidRDefault="00C0658E" w:rsidP="00C0658E">
            <w:pPr>
              <w:autoSpaceDE w:val="0"/>
              <w:autoSpaceDN w:val="0"/>
              <w:adjustRightInd w:val="0"/>
              <w:spacing w:line="276" w:lineRule="auto"/>
              <w:rPr>
                <w:rFonts w:cs="Arial"/>
                <w:color w:val="000000"/>
              </w:rPr>
            </w:pPr>
            <w:r w:rsidRPr="005655AE">
              <w:rPr>
                <w:rFonts w:cs="Arial"/>
                <w:color w:val="000000"/>
                <w:szCs w:val="22"/>
              </w:rPr>
              <w:t>NA</w:t>
            </w:r>
          </w:p>
        </w:tc>
      </w:tr>
      <w:tr w:rsidR="00C0658E" w:rsidRPr="005655AE" w14:paraId="73C60CB4" w14:textId="77777777" w:rsidTr="000C7112">
        <w:trPr>
          <w:trHeight w:val="296"/>
        </w:trPr>
        <w:tc>
          <w:tcPr>
            <w:tcW w:w="1835" w:type="dxa"/>
            <w:shd w:val="clear" w:color="auto" w:fill="FFFFFF"/>
            <w:vAlign w:val="center"/>
          </w:tcPr>
          <w:p w14:paraId="08BC9AB8" w14:textId="47A2E28D" w:rsidR="00C0658E" w:rsidRPr="005655AE" w:rsidRDefault="00C0658E" w:rsidP="00C0658E">
            <w:pPr>
              <w:autoSpaceDE w:val="0"/>
              <w:autoSpaceDN w:val="0"/>
              <w:adjustRightInd w:val="0"/>
              <w:spacing w:line="276" w:lineRule="auto"/>
              <w:ind w:left="90"/>
              <w:rPr>
                <w:rFonts w:cs="Arial"/>
                <w:color w:val="000000"/>
                <w:szCs w:val="22"/>
              </w:rPr>
            </w:pPr>
            <w:r w:rsidRPr="006A5566">
              <w:rPr>
                <w:rFonts w:cs="Arial"/>
                <w:b/>
                <w:bCs/>
                <w:color w:val="000000"/>
                <w:szCs w:val="22"/>
              </w:rPr>
              <w:t>Guidelines</w:t>
            </w:r>
          </w:p>
        </w:tc>
        <w:tc>
          <w:tcPr>
            <w:tcW w:w="1832" w:type="dxa"/>
            <w:shd w:val="clear" w:color="auto" w:fill="FFFFFF"/>
            <w:vAlign w:val="bottom"/>
          </w:tcPr>
          <w:p w14:paraId="46883985" w14:textId="4B156ED6" w:rsidR="00C0658E" w:rsidRPr="005655AE" w:rsidRDefault="00C0658E" w:rsidP="00C0658E">
            <w:pPr>
              <w:spacing w:line="276" w:lineRule="auto"/>
              <w:rPr>
                <w:rFonts w:cs="Arial"/>
                <w:color w:val="000000"/>
              </w:rPr>
            </w:pPr>
            <w:r w:rsidRPr="005655AE">
              <w:rPr>
                <w:rFonts w:cs="Arial"/>
                <w:color w:val="000000"/>
                <w:szCs w:val="22"/>
              </w:rPr>
              <w:t>8,042,900</w:t>
            </w:r>
          </w:p>
        </w:tc>
        <w:tc>
          <w:tcPr>
            <w:tcW w:w="1550" w:type="dxa"/>
            <w:shd w:val="clear" w:color="auto" w:fill="FFFFFF"/>
            <w:vAlign w:val="bottom"/>
          </w:tcPr>
          <w:p w14:paraId="73138862" w14:textId="1049DED0" w:rsidR="00C0658E" w:rsidRPr="005655AE" w:rsidRDefault="00C0658E" w:rsidP="00C0658E">
            <w:pPr>
              <w:spacing w:line="276" w:lineRule="auto"/>
              <w:rPr>
                <w:rFonts w:cs="Arial"/>
                <w:color w:val="000000"/>
              </w:rPr>
            </w:pPr>
            <w:r w:rsidRPr="005655AE">
              <w:rPr>
                <w:rFonts w:cs="Arial"/>
                <w:color w:val="000000"/>
                <w:szCs w:val="22"/>
              </w:rPr>
              <w:t>249.26</w:t>
            </w:r>
          </w:p>
        </w:tc>
        <w:tc>
          <w:tcPr>
            <w:tcW w:w="1550" w:type="dxa"/>
            <w:shd w:val="clear" w:color="auto" w:fill="FFFFFF"/>
            <w:vAlign w:val="bottom"/>
          </w:tcPr>
          <w:p w14:paraId="4F6409CB" w14:textId="7CF58795" w:rsidR="00C0658E" w:rsidRPr="005655AE" w:rsidRDefault="00C0658E" w:rsidP="00C0658E">
            <w:pPr>
              <w:rPr>
                <w:rFonts w:cs="Arial"/>
                <w:color w:val="000000"/>
              </w:rPr>
            </w:pPr>
            <w:r w:rsidRPr="005655AE">
              <w:rPr>
                <w:rFonts w:cs="Arial"/>
                <w:color w:val="000000"/>
                <w:szCs w:val="22"/>
              </w:rPr>
              <w:t>1</w:t>
            </w:r>
            <w:r>
              <w:rPr>
                <w:rFonts w:cs="Arial"/>
                <w:color w:val="000000"/>
                <w:szCs w:val="22"/>
              </w:rPr>
              <w:t>,</w:t>
            </w:r>
            <w:r w:rsidRPr="005655AE">
              <w:rPr>
                <w:rFonts w:cs="Arial"/>
                <w:color w:val="000000"/>
                <w:szCs w:val="22"/>
              </w:rPr>
              <w:t>123</w:t>
            </w:r>
            <w:r>
              <w:rPr>
                <w:rFonts w:cs="Arial"/>
                <w:color w:val="000000"/>
                <w:szCs w:val="22"/>
              </w:rPr>
              <w:t>,</w:t>
            </w:r>
            <w:r w:rsidRPr="005655AE">
              <w:rPr>
                <w:rFonts w:cs="Arial"/>
                <w:color w:val="000000"/>
                <w:szCs w:val="22"/>
              </w:rPr>
              <w:t>800</w:t>
            </w:r>
          </w:p>
        </w:tc>
        <w:tc>
          <w:tcPr>
            <w:tcW w:w="1690" w:type="dxa"/>
            <w:shd w:val="clear" w:color="auto" w:fill="FFFFFF"/>
            <w:vAlign w:val="bottom"/>
          </w:tcPr>
          <w:p w14:paraId="4BD883B1" w14:textId="725F5DE8" w:rsidR="00C0658E" w:rsidRPr="005655AE" w:rsidRDefault="00C0658E" w:rsidP="00C0658E">
            <w:pPr>
              <w:rPr>
                <w:rFonts w:cs="Arial"/>
                <w:color w:val="000000"/>
              </w:rPr>
            </w:pPr>
            <w:r w:rsidRPr="00C97516">
              <w:rPr>
                <w:rFonts w:cs="Arial"/>
                <w:color w:val="000000"/>
                <w:szCs w:val="22"/>
              </w:rPr>
              <w:t>30.480</w:t>
            </w:r>
          </w:p>
        </w:tc>
        <w:tc>
          <w:tcPr>
            <w:tcW w:w="1616" w:type="dxa"/>
            <w:shd w:val="clear" w:color="auto" w:fill="FFFFFF"/>
            <w:vAlign w:val="bottom"/>
          </w:tcPr>
          <w:p w14:paraId="4C40FA10" w14:textId="4FA27402" w:rsidR="00C0658E" w:rsidRPr="005655AE" w:rsidRDefault="00C0658E" w:rsidP="00C0658E">
            <w:pPr>
              <w:autoSpaceDE w:val="0"/>
              <w:autoSpaceDN w:val="0"/>
              <w:adjustRightInd w:val="0"/>
              <w:spacing w:line="276" w:lineRule="auto"/>
              <w:rPr>
                <w:rFonts w:cs="Arial"/>
                <w:color w:val="000000"/>
              </w:rPr>
            </w:pPr>
            <w:r w:rsidRPr="005655AE">
              <w:rPr>
                <w:rFonts w:cs="Arial"/>
                <w:color w:val="000000"/>
                <w:szCs w:val="22"/>
              </w:rPr>
              <w:t>36</w:t>
            </w:r>
            <w:r>
              <w:rPr>
                <w:rFonts w:cs="Arial"/>
                <w:color w:val="000000"/>
                <w:szCs w:val="22"/>
              </w:rPr>
              <w:t>,</w:t>
            </w:r>
            <w:r w:rsidRPr="005655AE">
              <w:rPr>
                <w:rFonts w:cs="Arial"/>
                <w:color w:val="000000"/>
                <w:szCs w:val="22"/>
              </w:rPr>
              <w:t>870</w:t>
            </w:r>
          </w:p>
        </w:tc>
      </w:tr>
      <w:tr w:rsidR="00C0658E" w:rsidRPr="005655AE" w14:paraId="313CE25A" w14:textId="77777777" w:rsidTr="000C7112">
        <w:trPr>
          <w:trHeight w:val="296"/>
        </w:trPr>
        <w:tc>
          <w:tcPr>
            <w:tcW w:w="1835" w:type="dxa"/>
            <w:shd w:val="clear" w:color="auto" w:fill="FFFFFF"/>
            <w:vAlign w:val="center"/>
          </w:tcPr>
          <w:p w14:paraId="37B03496" w14:textId="5313921E" w:rsidR="00C0658E" w:rsidRPr="005655AE" w:rsidRDefault="00C0658E" w:rsidP="00C0658E">
            <w:pPr>
              <w:autoSpaceDE w:val="0"/>
              <w:autoSpaceDN w:val="0"/>
              <w:adjustRightInd w:val="0"/>
              <w:spacing w:line="276" w:lineRule="auto"/>
              <w:ind w:left="90"/>
              <w:rPr>
                <w:rFonts w:cs="Arial"/>
                <w:color w:val="000000"/>
                <w:szCs w:val="22"/>
              </w:rPr>
            </w:pPr>
            <w:r w:rsidRPr="006A5566">
              <w:rPr>
                <w:rFonts w:cs="Arial"/>
                <w:color w:val="000000"/>
                <w:szCs w:val="22"/>
              </w:rPr>
              <w:t>95% Uncertainty</w:t>
            </w:r>
          </w:p>
        </w:tc>
        <w:tc>
          <w:tcPr>
            <w:tcW w:w="1832" w:type="dxa"/>
            <w:shd w:val="clear" w:color="auto" w:fill="FFFFFF"/>
            <w:vAlign w:val="bottom"/>
          </w:tcPr>
          <w:p w14:paraId="7DDE3688" w14:textId="26494BC4" w:rsidR="00C0658E" w:rsidRPr="005655AE" w:rsidRDefault="00C0658E" w:rsidP="00C0658E">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50DEE9A7" w14:textId="64EC6C47" w:rsidR="00C0658E" w:rsidRPr="005655AE" w:rsidRDefault="00C0658E" w:rsidP="00C0658E">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12B69B64" w14:textId="5D02C3F8" w:rsidR="00C0658E" w:rsidRPr="005655AE" w:rsidRDefault="00C0658E" w:rsidP="00C0658E">
            <w:pPr>
              <w:rPr>
                <w:rFonts w:cs="Arial"/>
                <w:color w:val="000000"/>
              </w:rPr>
            </w:pPr>
            <w:r w:rsidRPr="005655AE">
              <w:rPr>
                <w:rFonts w:cs="Arial"/>
                <w:color w:val="000000"/>
                <w:szCs w:val="22"/>
              </w:rPr>
              <w:t>416</w:t>
            </w:r>
            <w:r>
              <w:rPr>
                <w:rFonts w:cs="Arial"/>
                <w:color w:val="000000"/>
                <w:szCs w:val="22"/>
              </w:rPr>
              <w:t>,</w:t>
            </w:r>
            <w:r w:rsidRPr="005655AE">
              <w:rPr>
                <w:rFonts w:cs="Arial"/>
                <w:color w:val="000000"/>
                <w:szCs w:val="22"/>
              </w:rPr>
              <w:t>440; 1</w:t>
            </w:r>
            <w:r>
              <w:rPr>
                <w:rFonts w:cs="Arial"/>
                <w:color w:val="000000"/>
                <w:szCs w:val="22"/>
              </w:rPr>
              <w:t>,</w:t>
            </w:r>
            <w:r w:rsidRPr="005655AE">
              <w:rPr>
                <w:rFonts w:cs="Arial"/>
                <w:color w:val="000000"/>
                <w:szCs w:val="22"/>
              </w:rPr>
              <w:t>938</w:t>
            </w:r>
            <w:r>
              <w:rPr>
                <w:rFonts w:cs="Arial"/>
                <w:color w:val="000000"/>
                <w:szCs w:val="22"/>
              </w:rPr>
              <w:t>,</w:t>
            </w:r>
            <w:r w:rsidRPr="005655AE">
              <w:rPr>
                <w:rFonts w:cs="Arial"/>
                <w:color w:val="000000"/>
                <w:szCs w:val="22"/>
              </w:rPr>
              <w:t>200</w:t>
            </w:r>
          </w:p>
        </w:tc>
        <w:tc>
          <w:tcPr>
            <w:tcW w:w="1690" w:type="dxa"/>
            <w:shd w:val="clear" w:color="auto" w:fill="FFFFFF"/>
            <w:vAlign w:val="bottom"/>
          </w:tcPr>
          <w:p w14:paraId="0273F824" w14:textId="4E24FBAD" w:rsidR="00C0658E" w:rsidRPr="005655AE" w:rsidRDefault="00C0658E" w:rsidP="00C0658E">
            <w:pPr>
              <w:rPr>
                <w:rFonts w:cs="Arial"/>
                <w:color w:val="000000"/>
              </w:rPr>
            </w:pPr>
            <w:r w:rsidRPr="005655AE">
              <w:rPr>
                <w:rFonts w:cs="Arial"/>
                <w:color w:val="000000"/>
                <w:szCs w:val="22"/>
              </w:rPr>
              <w:t>8.1948; 69.736</w:t>
            </w:r>
          </w:p>
        </w:tc>
        <w:tc>
          <w:tcPr>
            <w:tcW w:w="1616" w:type="dxa"/>
            <w:shd w:val="clear" w:color="auto" w:fill="FFFFFF"/>
            <w:vAlign w:val="bottom"/>
          </w:tcPr>
          <w:p w14:paraId="36032205" w14:textId="7BD7FBFA" w:rsidR="00C0658E" w:rsidRPr="005655AE" w:rsidRDefault="00C0658E" w:rsidP="00C0658E">
            <w:pPr>
              <w:autoSpaceDE w:val="0"/>
              <w:autoSpaceDN w:val="0"/>
              <w:adjustRightInd w:val="0"/>
              <w:spacing w:line="276" w:lineRule="auto"/>
              <w:rPr>
                <w:rFonts w:cs="Arial"/>
                <w:color w:val="000000"/>
              </w:rPr>
            </w:pPr>
            <w:r w:rsidRPr="005655AE">
              <w:rPr>
                <w:rFonts w:cs="Arial"/>
                <w:color w:val="000000"/>
                <w:szCs w:val="22"/>
              </w:rPr>
              <w:t>9</w:t>
            </w:r>
            <w:r>
              <w:rPr>
                <w:rFonts w:cs="Arial"/>
                <w:color w:val="000000"/>
                <w:szCs w:val="22"/>
              </w:rPr>
              <w:t>,</w:t>
            </w:r>
            <w:r w:rsidRPr="005655AE">
              <w:rPr>
                <w:rFonts w:cs="Arial"/>
                <w:color w:val="000000"/>
                <w:szCs w:val="22"/>
              </w:rPr>
              <w:t>420.9; 161</w:t>
            </w:r>
            <w:r>
              <w:rPr>
                <w:rFonts w:cs="Arial"/>
                <w:color w:val="000000"/>
                <w:szCs w:val="22"/>
              </w:rPr>
              <w:t>,</w:t>
            </w:r>
            <w:r w:rsidRPr="005655AE">
              <w:rPr>
                <w:rFonts w:cs="Arial"/>
                <w:color w:val="000000"/>
                <w:szCs w:val="22"/>
              </w:rPr>
              <w:t>320</w:t>
            </w:r>
          </w:p>
        </w:tc>
      </w:tr>
      <w:tr w:rsidR="004F4CC4" w:rsidRPr="005655AE" w14:paraId="360615C3" w14:textId="77777777" w:rsidTr="004F4CC4">
        <w:trPr>
          <w:trHeight w:val="296"/>
        </w:trPr>
        <w:tc>
          <w:tcPr>
            <w:tcW w:w="1835" w:type="dxa"/>
            <w:shd w:val="clear" w:color="auto" w:fill="D9D9D9" w:themeFill="background1" w:themeFillShade="D9"/>
            <w:vAlign w:val="center"/>
          </w:tcPr>
          <w:p w14:paraId="4DDE685E" w14:textId="3E0E94CF" w:rsidR="004F4CC4" w:rsidRPr="004F4CC4" w:rsidRDefault="004F4CC4" w:rsidP="004F4CC4">
            <w:pPr>
              <w:autoSpaceDE w:val="0"/>
              <w:autoSpaceDN w:val="0"/>
              <w:adjustRightInd w:val="0"/>
              <w:spacing w:line="276" w:lineRule="auto"/>
              <w:ind w:left="90"/>
              <w:rPr>
                <w:rFonts w:cs="Arial"/>
                <w:b/>
                <w:bCs/>
                <w:color w:val="000000"/>
                <w:szCs w:val="22"/>
              </w:rPr>
            </w:pPr>
            <w:r w:rsidRPr="004F4CC4">
              <w:rPr>
                <w:rFonts w:cs="Arial"/>
                <w:b/>
                <w:bCs/>
                <w:color w:val="000000"/>
                <w:szCs w:val="22"/>
              </w:rPr>
              <w:t>2.2 2016-2019 + 5 years</w:t>
            </w:r>
          </w:p>
        </w:tc>
        <w:tc>
          <w:tcPr>
            <w:tcW w:w="1832" w:type="dxa"/>
            <w:shd w:val="clear" w:color="auto" w:fill="D9D9D9" w:themeFill="background1" w:themeFillShade="D9"/>
            <w:vAlign w:val="center"/>
          </w:tcPr>
          <w:p w14:paraId="6856C52C" w14:textId="399D9D04"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63D71FD2" w14:textId="77777777"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4EEC9846" w14:textId="77777777" w:rsidR="004F4CC4" w:rsidRPr="005655AE" w:rsidRDefault="004F4CC4" w:rsidP="004F4CC4">
            <w:pPr>
              <w:rPr>
                <w:rFonts w:cs="Arial"/>
                <w:color w:val="000000"/>
              </w:rPr>
            </w:pPr>
          </w:p>
        </w:tc>
        <w:tc>
          <w:tcPr>
            <w:tcW w:w="1690" w:type="dxa"/>
            <w:shd w:val="clear" w:color="auto" w:fill="D9D9D9" w:themeFill="background1" w:themeFillShade="D9"/>
            <w:vAlign w:val="bottom"/>
          </w:tcPr>
          <w:p w14:paraId="659A9F3A" w14:textId="77777777" w:rsidR="004F4CC4" w:rsidRPr="005655AE" w:rsidRDefault="004F4CC4" w:rsidP="004F4CC4">
            <w:pPr>
              <w:rPr>
                <w:rFonts w:cs="Arial"/>
                <w:color w:val="000000"/>
              </w:rPr>
            </w:pPr>
          </w:p>
        </w:tc>
        <w:tc>
          <w:tcPr>
            <w:tcW w:w="1616" w:type="dxa"/>
            <w:shd w:val="clear" w:color="auto" w:fill="D9D9D9" w:themeFill="background1" w:themeFillShade="D9"/>
            <w:vAlign w:val="bottom"/>
          </w:tcPr>
          <w:p w14:paraId="77DB6030" w14:textId="77777777" w:rsidR="004F4CC4" w:rsidRPr="005655AE" w:rsidRDefault="004F4CC4" w:rsidP="004F4CC4">
            <w:pPr>
              <w:autoSpaceDE w:val="0"/>
              <w:autoSpaceDN w:val="0"/>
              <w:adjustRightInd w:val="0"/>
              <w:spacing w:line="276" w:lineRule="auto"/>
              <w:rPr>
                <w:rFonts w:cs="Arial"/>
                <w:color w:val="000000"/>
              </w:rPr>
            </w:pPr>
          </w:p>
        </w:tc>
      </w:tr>
      <w:tr w:rsidR="00C0658E" w:rsidRPr="005655AE" w14:paraId="19FC2873" w14:textId="77777777" w:rsidTr="000C7112">
        <w:trPr>
          <w:trHeight w:val="296"/>
        </w:trPr>
        <w:tc>
          <w:tcPr>
            <w:tcW w:w="1835" w:type="dxa"/>
            <w:shd w:val="clear" w:color="auto" w:fill="FFFFFF"/>
            <w:vAlign w:val="center"/>
          </w:tcPr>
          <w:p w14:paraId="0F8D0B80" w14:textId="1078AA07" w:rsidR="00C0658E" w:rsidRPr="005655AE" w:rsidRDefault="00C0658E" w:rsidP="00C0658E">
            <w:pPr>
              <w:autoSpaceDE w:val="0"/>
              <w:autoSpaceDN w:val="0"/>
              <w:adjustRightInd w:val="0"/>
              <w:spacing w:line="276" w:lineRule="auto"/>
              <w:ind w:left="90"/>
              <w:rPr>
                <w:rFonts w:cs="Arial"/>
                <w:color w:val="000000"/>
                <w:szCs w:val="22"/>
              </w:rPr>
            </w:pPr>
            <w:r w:rsidRPr="006A5566">
              <w:rPr>
                <w:rFonts w:cs="Arial"/>
                <w:b/>
                <w:bCs/>
                <w:color w:val="000000"/>
                <w:szCs w:val="22"/>
              </w:rPr>
              <w:t>Current Policy</w:t>
            </w:r>
          </w:p>
        </w:tc>
        <w:tc>
          <w:tcPr>
            <w:tcW w:w="1832" w:type="dxa"/>
            <w:shd w:val="clear" w:color="auto" w:fill="FFFFFF"/>
            <w:vAlign w:val="bottom"/>
          </w:tcPr>
          <w:p w14:paraId="30FEEB64" w14:textId="70322306" w:rsidR="00C0658E" w:rsidRPr="005655AE" w:rsidRDefault="00C0658E" w:rsidP="00C0658E">
            <w:pPr>
              <w:spacing w:line="276" w:lineRule="auto"/>
              <w:rPr>
                <w:rFonts w:cs="Arial"/>
                <w:color w:val="000000"/>
              </w:rPr>
            </w:pPr>
            <w:r w:rsidRPr="005655AE">
              <w:rPr>
                <w:rFonts w:cs="Arial"/>
                <w:color w:val="000000"/>
                <w:szCs w:val="22"/>
              </w:rPr>
              <w:t>14,541,000</w:t>
            </w:r>
          </w:p>
        </w:tc>
        <w:tc>
          <w:tcPr>
            <w:tcW w:w="1550" w:type="dxa"/>
            <w:shd w:val="clear" w:color="auto" w:fill="FFFFFF"/>
            <w:vAlign w:val="bottom"/>
          </w:tcPr>
          <w:p w14:paraId="3E993684" w14:textId="4E7698D0" w:rsidR="00C0658E" w:rsidRPr="005655AE" w:rsidRDefault="00C0658E" w:rsidP="00C0658E">
            <w:pPr>
              <w:spacing w:line="276" w:lineRule="auto"/>
              <w:rPr>
                <w:rFonts w:cs="Arial"/>
                <w:color w:val="000000"/>
              </w:rPr>
            </w:pPr>
            <w:r w:rsidRPr="005655AE">
              <w:rPr>
                <w:rFonts w:cs="Arial"/>
                <w:color w:val="000000"/>
                <w:szCs w:val="22"/>
              </w:rPr>
              <w:t>590.21</w:t>
            </w:r>
          </w:p>
        </w:tc>
        <w:tc>
          <w:tcPr>
            <w:tcW w:w="1550" w:type="dxa"/>
            <w:shd w:val="clear" w:color="auto" w:fill="FFFFFF"/>
            <w:vAlign w:val="bottom"/>
          </w:tcPr>
          <w:p w14:paraId="16CD41F8" w14:textId="36D13250" w:rsidR="00C0658E" w:rsidRPr="005655AE" w:rsidRDefault="00C0658E" w:rsidP="00C0658E">
            <w:pPr>
              <w:rPr>
                <w:rFonts w:cs="Arial"/>
                <w:color w:val="000000"/>
              </w:rPr>
            </w:pPr>
            <w:r w:rsidRPr="005655AE">
              <w:rPr>
                <w:rFonts w:cs="Arial"/>
                <w:color w:val="000000"/>
                <w:szCs w:val="22"/>
              </w:rPr>
              <w:t>NA</w:t>
            </w:r>
          </w:p>
        </w:tc>
        <w:tc>
          <w:tcPr>
            <w:tcW w:w="1690" w:type="dxa"/>
            <w:shd w:val="clear" w:color="auto" w:fill="FFFFFF"/>
            <w:vAlign w:val="bottom"/>
          </w:tcPr>
          <w:p w14:paraId="5B687CAB" w14:textId="1283FD3C" w:rsidR="00C0658E" w:rsidRPr="005655AE" w:rsidRDefault="00C0658E" w:rsidP="00C0658E">
            <w:pPr>
              <w:rPr>
                <w:rFonts w:cs="Arial"/>
                <w:color w:val="000000"/>
              </w:rPr>
            </w:pPr>
            <w:r w:rsidRPr="005655AE">
              <w:rPr>
                <w:rFonts w:cs="Arial"/>
                <w:color w:val="000000"/>
                <w:szCs w:val="22"/>
              </w:rPr>
              <w:t>NA</w:t>
            </w:r>
          </w:p>
        </w:tc>
        <w:tc>
          <w:tcPr>
            <w:tcW w:w="1616" w:type="dxa"/>
            <w:shd w:val="clear" w:color="auto" w:fill="FFFFFF"/>
            <w:vAlign w:val="bottom"/>
          </w:tcPr>
          <w:p w14:paraId="52838117" w14:textId="6C9695ED" w:rsidR="00C0658E" w:rsidRPr="005655AE" w:rsidRDefault="00C0658E" w:rsidP="00C0658E">
            <w:pPr>
              <w:autoSpaceDE w:val="0"/>
              <w:autoSpaceDN w:val="0"/>
              <w:adjustRightInd w:val="0"/>
              <w:spacing w:line="276" w:lineRule="auto"/>
              <w:rPr>
                <w:rFonts w:cs="Arial"/>
                <w:color w:val="000000"/>
              </w:rPr>
            </w:pPr>
            <w:r w:rsidRPr="005655AE">
              <w:rPr>
                <w:rFonts w:cs="Arial"/>
                <w:color w:val="000000"/>
                <w:szCs w:val="22"/>
              </w:rPr>
              <w:t>NA</w:t>
            </w:r>
          </w:p>
        </w:tc>
      </w:tr>
      <w:tr w:rsidR="00C0658E" w:rsidRPr="005655AE" w14:paraId="59C1ACBB" w14:textId="77777777" w:rsidTr="000C7112">
        <w:trPr>
          <w:trHeight w:val="296"/>
        </w:trPr>
        <w:tc>
          <w:tcPr>
            <w:tcW w:w="1835" w:type="dxa"/>
            <w:shd w:val="clear" w:color="auto" w:fill="FFFFFF"/>
            <w:vAlign w:val="center"/>
          </w:tcPr>
          <w:p w14:paraId="7B2535C4" w14:textId="001F9548" w:rsidR="00C0658E" w:rsidRPr="005655AE" w:rsidRDefault="00C0658E" w:rsidP="00C0658E">
            <w:pPr>
              <w:autoSpaceDE w:val="0"/>
              <w:autoSpaceDN w:val="0"/>
              <w:adjustRightInd w:val="0"/>
              <w:spacing w:line="276" w:lineRule="auto"/>
              <w:ind w:left="90"/>
              <w:rPr>
                <w:rFonts w:cs="Arial"/>
                <w:color w:val="000000"/>
                <w:szCs w:val="22"/>
              </w:rPr>
            </w:pPr>
            <w:r w:rsidRPr="006A5566">
              <w:rPr>
                <w:rFonts w:cs="Arial"/>
                <w:b/>
                <w:bCs/>
                <w:color w:val="000000"/>
                <w:szCs w:val="22"/>
              </w:rPr>
              <w:t>Guidelines</w:t>
            </w:r>
          </w:p>
        </w:tc>
        <w:tc>
          <w:tcPr>
            <w:tcW w:w="1832" w:type="dxa"/>
            <w:shd w:val="clear" w:color="auto" w:fill="FFFFFF"/>
            <w:vAlign w:val="bottom"/>
          </w:tcPr>
          <w:p w14:paraId="5D8C9072" w14:textId="6802889A" w:rsidR="00C0658E" w:rsidRPr="005655AE" w:rsidRDefault="00C0658E" w:rsidP="00C0658E">
            <w:pPr>
              <w:spacing w:line="276" w:lineRule="auto"/>
              <w:rPr>
                <w:rFonts w:cs="Arial"/>
                <w:color w:val="000000"/>
              </w:rPr>
            </w:pPr>
            <w:r w:rsidRPr="005655AE">
              <w:rPr>
                <w:rFonts w:cs="Arial"/>
                <w:color w:val="000000"/>
                <w:szCs w:val="22"/>
              </w:rPr>
              <w:t>15,494,000</w:t>
            </w:r>
          </w:p>
        </w:tc>
        <w:tc>
          <w:tcPr>
            <w:tcW w:w="1550" w:type="dxa"/>
            <w:shd w:val="clear" w:color="auto" w:fill="FFFFFF"/>
            <w:vAlign w:val="bottom"/>
          </w:tcPr>
          <w:p w14:paraId="748E4325" w14:textId="443F5E2D" w:rsidR="00C0658E" w:rsidRPr="005655AE" w:rsidRDefault="00C0658E" w:rsidP="00C0658E">
            <w:pPr>
              <w:spacing w:line="276" w:lineRule="auto"/>
              <w:rPr>
                <w:rFonts w:cs="Arial"/>
                <w:color w:val="000000"/>
              </w:rPr>
            </w:pPr>
            <w:r w:rsidRPr="005655AE">
              <w:rPr>
                <w:rFonts w:cs="Arial"/>
                <w:color w:val="000000"/>
                <w:szCs w:val="22"/>
              </w:rPr>
              <w:t>544.53</w:t>
            </w:r>
          </w:p>
        </w:tc>
        <w:tc>
          <w:tcPr>
            <w:tcW w:w="1550" w:type="dxa"/>
            <w:shd w:val="clear" w:color="auto" w:fill="FFFFFF"/>
            <w:vAlign w:val="bottom"/>
          </w:tcPr>
          <w:p w14:paraId="10B2EB90" w14:textId="4E0CC335" w:rsidR="00C0658E" w:rsidRPr="005655AE" w:rsidRDefault="00C0658E" w:rsidP="00C0658E">
            <w:pPr>
              <w:rPr>
                <w:rFonts w:cs="Arial"/>
                <w:color w:val="000000"/>
              </w:rPr>
            </w:pPr>
            <w:r w:rsidRPr="005655AE">
              <w:rPr>
                <w:rFonts w:cs="Arial"/>
                <w:color w:val="000000"/>
                <w:szCs w:val="22"/>
              </w:rPr>
              <w:t>953</w:t>
            </w:r>
            <w:r>
              <w:rPr>
                <w:rFonts w:cs="Arial"/>
                <w:color w:val="000000"/>
                <w:szCs w:val="22"/>
              </w:rPr>
              <w:t>,</w:t>
            </w:r>
            <w:r w:rsidRPr="005655AE">
              <w:rPr>
                <w:rFonts w:cs="Arial"/>
                <w:color w:val="000000"/>
                <w:szCs w:val="22"/>
              </w:rPr>
              <w:t>000</w:t>
            </w:r>
          </w:p>
        </w:tc>
        <w:tc>
          <w:tcPr>
            <w:tcW w:w="1690" w:type="dxa"/>
            <w:shd w:val="clear" w:color="auto" w:fill="FFFFFF"/>
            <w:vAlign w:val="bottom"/>
          </w:tcPr>
          <w:p w14:paraId="3B03B660" w14:textId="5AA9A071" w:rsidR="00C0658E" w:rsidRPr="005655AE" w:rsidRDefault="00C0658E" w:rsidP="00C0658E">
            <w:pPr>
              <w:rPr>
                <w:rFonts w:cs="Arial"/>
                <w:color w:val="000000"/>
              </w:rPr>
            </w:pPr>
            <w:r w:rsidRPr="005655AE">
              <w:rPr>
                <w:rFonts w:cs="Arial"/>
                <w:color w:val="000000"/>
                <w:szCs w:val="22"/>
              </w:rPr>
              <w:t>45.68</w:t>
            </w:r>
            <w:r>
              <w:rPr>
                <w:rFonts w:cs="Arial"/>
                <w:color w:val="000000"/>
                <w:szCs w:val="22"/>
              </w:rPr>
              <w:t>0</w:t>
            </w:r>
          </w:p>
        </w:tc>
        <w:tc>
          <w:tcPr>
            <w:tcW w:w="1616" w:type="dxa"/>
            <w:shd w:val="clear" w:color="auto" w:fill="FFFFFF"/>
            <w:vAlign w:val="bottom"/>
          </w:tcPr>
          <w:p w14:paraId="18784A28" w14:textId="387D073D" w:rsidR="00C0658E" w:rsidRPr="005655AE" w:rsidRDefault="00C0658E" w:rsidP="00C0658E">
            <w:pPr>
              <w:autoSpaceDE w:val="0"/>
              <w:autoSpaceDN w:val="0"/>
              <w:adjustRightInd w:val="0"/>
              <w:spacing w:line="276" w:lineRule="auto"/>
              <w:rPr>
                <w:rFonts w:cs="Arial"/>
                <w:color w:val="000000"/>
              </w:rPr>
            </w:pPr>
            <w:r w:rsidRPr="005655AE">
              <w:rPr>
                <w:rFonts w:cs="Arial"/>
                <w:color w:val="000000"/>
                <w:szCs w:val="22"/>
              </w:rPr>
              <w:t>20</w:t>
            </w:r>
            <w:r>
              <w:rPr>
                <w:rFonts w:cs="Arial"/>
                <w:color w:val="000000"/>
                <w:szCs w:val="22"/>
              </w:rPr>
              <w:t>,</w:t>
            </w:r>
            <w:r w:rsidRPr="005655AE">
              <w:rPr>
                <w:rFonts w:cs="Arial"/>
                <w:color w:val="000000"/>
                <w:szCs w:val="22"/>
              </w:rPr>
              <w:t>863</w:t>
            </w:r>
          </w:p>
        </w:tc>
      </w:tr>
      <w:tr w:rsidR="00C0658E" w:rsidRPr="005655AE" w14:paraId="44292137" w14:textId="77777777" w:rsidTr="000C7112">
        <w:trPr>
          <w:trHeight w:val="296"/>
        </w:trPr>
        <w:tc>
          <w:tcPr>
            <w:tcW w:w="1835" w:type="dxa"/>
            <w:shd w:val="clear" w:color="auto" w:fill="FFFFFF"/>
            <w:vAlign w:val="center"/>
          </w:tcPr>
          <w:p w14:paraId="0F53AF91" w14:textId="56AE8A40" w:rsidR="00C0658E" w:rsidRPr="005655AE" w:rsidRDefault="00C0658E" w:rsidP="00C0658E">
            <w:pPr>
              <w:autoSpaceDE w:val="0"/>
              <w:autoSpaceDN w:val="0"/>
              <w:adjustRightInd w:val="0"/>
              <w:spacing w:line="276" w:lineRule="auto"/>
              <w:ind w:left="90"/>
              <w:rPr>
                <w:rFonts w:cs="Arial"/>
                <w:color w:val="000000"/>
                <w:szCs w:val="22"/>
              </w:rPr>
            </w:pPr>
            <w:r w:rsidRPr="006A5566">
              <w:rPr>
                <w:rFonts w:cs="Arial"/>
                <w:color w:val="000000"/>
                <w:szCs w:val="22"/>
              </w:rPr>
              <w:t>95% Uncertainty</w:t>
            </w:r>
          </w:p>
        </w:tc>
        <w:tc>
          <w:tcPr>
            <w:tcW w:w="1832" w:type="dxa"/>
            <w:shd w:val="clear" w:color="auto" w:fill="FFFFFF"/>
            <w:vAlign w:val="bottom"/>
          </w:tcPr>
          <w:p w14:paraId="188305E0" w14:textId="2F8B7020" w:rsidR="00C0658E" w:rsidRPr="005655AE" w:rsidRDefault="00C0658E" w:rsidP="00C0658E">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75851EB0" w14:textId="1359419C" w:rsidR="00C0658E" w:rsidRPr="005655AE" w:rsidRDefault="00C0658E" w:rsidP="00C0658E">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0EF74E9C" w14:textId="6236CA2C" w:rsidR="00C0658E" w:rsidRPr="005655AE" w:rsidRDefault="00C0658E" w:rsidP="00C0658E">
            <w:pPr>
              <w:rPr>
                <w:rFonts w:cs="Arial"/>
                <w:color w:val="000000"/>
              </w:rPr>
            </w:pPr>
            <w:r w:rsidRPr="005655AE">
              <w:rPr>
                <w:rFonts w:cs="Arial"/>
                <w:color w:val="000000"/>
                <w:szCs w:val="22"/>
              </w:rPr>
              <w:t>202</w:t>
            </w:r>
            <w:r>
              <w:rPr>
                <w:rFonts w:cs="Arial"/>
                <w:color w:val="000000"/>
                <w:szCs w:val="22"/>
              </w:rPr>
              <w:t>,</w:t>
            </w:r>
            <w:r w:rsidRPr="005655AE">
              <w:rPr>
                <w:rFonts w:cs="Arial"/>
                <w:color w:val="000000"/>
                <w:szCs w:val="22"/>
              </w:rPr>
              <w:t>170; 1</w:t>
            </w:r>
            <w:r>
              <w:rPr>
                <w:rFonts w:cs="Arial"/>
                <w:color w:val="000000"/>
                <w:szCs w:val="22"/>
              </w:rPr>
              <w:t>,</w:t>
            </w:r>
            <w:r w:rsidRPr="005655AE">
              <w:rPr>
                <w:rFonts w:cs="Arial"/>
                <w:color w:val="000000"/>
                <w:szCs w:val="22"/>
              </w:rPr>
              <w:t>785</w:t>
            </w:r>
            <w:r>
              <w:rPr>
                <w:rFonts w:cs="Arial"/>
                <w:color w:val="000000"/>
                <w:szCs w:val="22"/>
              </w:rPr>
              <w:t>,</w:t>
            </w:r>
            <w:r w:rsidRPr="005655AE">
              <w:rPr>
                <w:rFonts w:cs="Arial"/>
                <w:color w:val="000000"/>
                <w:szCs w:val="22"/>
              </w:rPr>
              <w:t>400</w:t>
            </w:r>
          </w:p>
        </w:tc>
        <w:tc>
          <w:tcPr>
            <w:tcW w:w="1690" w:type="dxa"/>
            <w:shd w:val="clear" w:color="auto" w:fill="FFFFFF"/>
            <w:vAlign w:val="bottom"/>
          </w:tcPr>
          <w:p w14:paraId="408F7623" w14:textId="6AF6E548" w:rsidR="00C0658E" w:rsidRPr="005655AE" w:rsidRDefault="00C0658E" w:rsidP="00C0658E">
            <w:pPr>
              <w:rPr>
                <w:rFonts w:cs="Arial"/>
                <w:color w:val="000000"/>
              </w:rPr>
            </w:pPr>
            <w:r w:rsidRPr="005655AE">
              <w:rPr>
                <w:rFonts w:cs="Arial"/>
                <w:color w:val="000000"/>
                <w:szCs w:val="22"/>
              </w:rPr>
              <w:t>12.112; 106.35</w:t>
            </w:r>
          </w:p>
        </w:tc>
        <w:tc>
          <w:tcPr>
            <w:tcW w:w="1616" w:type="dxa"/>
            <w:shd w:val="clear" w:color="auto" w:fill="FFFFFF"/>
            <w:vAlign w:val="bottom"/>
          </w:tcPr>
          <w:p w14:paraId="5AB3F0C8" w14:textId="1CC6D932" w:rsidR="00C0658E" w:rsidRPr="005655AE" w:rsidRDefault="00C0658E" w:rsidP="00C0658E">
            <w:pPr>
              <w:autoSpaceDE w:val="0"/>
              <w:autoSpaceDN w:val="0"/>
              <w:adjustRightInd w:val="0"/>
              <w:spacing w:line="276" w:lineRule="auto"/>
              <w:rPr>
                <w:rFonts w:cs="Arial"/>
                <w:color w:val="000000"/>
              </w:rPr>
            </w:pPr>
            <w:r w:rsidRPr="005655AE">
              <w:rPr>
                <w:rFonts w:cs="Arial"/>
                <w:color w:val="000000"/>
                <w:szCs w:val="22"/>
              </w:rPr>
              <w:t>3</w:t>
            </w:r>
            <w:r>
              <w:rPr>
                <w:rFonts w:cs="Arial"/>
                <w:color w:val="000000"/>
                <w:szCs w:val="22"/>
              </w:rPr>
              <w:t>,</w:t>
            </w:r>
            <w:r w:rsidRPr="005655AE">
              <w:rPr>
                <w:rFonts w:cs="Arial"/>
                <w:color w:val="000000"/>
                <w:szCs w:val="22"/>
              </w:rPr>
              <w:t>102.2;</w:t>
            </w:r>
            <w:r w:rsidRPr="005655AE">
              <w:rPr>
                <w:rFonts w:cs="Arial"/>
                <w:szCs w:val="22"/>
              </w:rPr>
              <w:t xml:space="preserve"> </w:t>
            </w:r>
            <w:r w:rsidRPr="005655AE">
              <w:rPr>
                <w:rFonts w:cs="Arial"/>
                <w:color w:val="000000"/>
                <w:szCs w:val="22"/>
              </w:rPr>
              <w:t>101</w:t>
            </w:r>
            <w:r>
              <w:rPr>
                <w:rFonts w:cs="Arial"/>
                <w:color w:val="000000"/>
                <w:szCs w:val="22"/>
              </w:rPr>
              <w:t>,</w:t>
            </w:r>
            <w:r w:rsidRPr="005655AE">
              <w:rPr>
                <w:rFonts w:cs="Arial"/>
                <w:color w:val="000000"/>
                <w:szCs w:val="22"/>
              </w:rPr>
              <w:t>790</w:t>
            </w:r>
          </w:p>
        </w:tc>
      </w:tr>
    </w:tbl>
    <w:p w14:paraId="7C1464C9" w14:textId="77777777" w:rsidR="00167E7B" w:rsidRPr="00176852" w:rsidRDefault="00167E7B" w:rsidP="00167E7B">
      <w:pPr>
        <w:spacing w:line="276" w:lineRule="auto"/>
        <w:rPr>
          <w:rFonts w:cs="Arial"/>
          <w:szCs w:val="22"/>
        </w:rPr>
      </w:pPr>
    </w:p>
    <w:p w14:paraId="5929024F" w14:textId="77777777" w:rsidR="00167E7B" w:rsidRPr="00176852" w:rsidRDefault="00167E7B" w:rsidP="00167E7B">
      <w:pPr>
        <w:spacing w:line="276" w:lineRule="auto"/>
        <w:rPr>
          <w:rFonts w:cs="Arial"/>
          <w:szCs w:val="22"/>
        </w:rPr>
      </w:pPr>
    </w:p>
    <w:p w14:paraId="154A776E" w14:textId="77777777" w:rsidR="00E6310B" w:rsidRDefault="00E6310B" w:rsidP="00A84B8D">
      <w:pPr>
        <w:rPr>
          <w:b/>
          <w:bCs/>
          <w:szCs w:val="22"/>
        </w:rPr>
      </w:pPr>
    </w:p>
    <w:p w14:paraId="06FB773C" w14:textId="4BF0A3D8" w:rsidR="00856988" w:rsidRDefault="00856988">
      <w:pPr>
        <w:rPr>
          <w:b/>
          <w:bCs/>
        </w:rPr>
        <w:sectPr w:rsidR="00856988" w:rsidSect="00D5043F">
          <w:pgSz w:w="12240" w:h="15840"/>
          <w:pgMar w:top="1440" w:right="1440" w:bottom="1440" w:left="1440" w:header="720" w:footer="720" w:gutter="0"/>
          <w:cols w:space="720"/>
          <w:docGrid w:linePitch="360"/>
        </w:sectPr>
      </w:pPr>
    </w:p>
    <w:p w14:paraId="7819FFAD" w14:textId="77777777" w:rsidR="00A84B8D" w:rsidRDefault="00A84B8D">
      <w:pPr>
        <w:rPr>
          <w:b/>
          <w:bCs/>
        </w:rPr>
      </w:pPr>
    </w:p>
    <w:p w14:paraId="1872899C" w14:textId="77777777" w:rsidR="00A84B8D" w:rsidRDefault="00A84B8D" w:rsidP="00A84B8D">
      <w:pPr>
        <w:pStyle w:val="ListParagraph"/>
        <w:numPr>
          <w:ilvl w:val="0"/>
          <w:numId w:val="1"/>
        </w:numPr>
        <w:rPr>
          <w:b/>
          <w:bCs/>
          <w:sz w:val="28"/>
          <w:szCs w:val="32"/>
        </w:rPr>
      </w:pPr>
      <w:r>
        <w:rPr>
          <w:b/>
          <w:bCs/>
          <w:sz w:val="28"/>
          <w:szCs w:val="32"/>
        </w:rPr>
        <w:t xml:space="preserve">Results using IOM utilities </w:t>
      </w:r>
    </w:p>
    <w:p w14:paraId="7D15DF97" w14:textId="77777777" w:rsidR="00E6310B" w:rsidRDefault="00E6310B">
      <w:pPr>
        <w:rPr>
          <w:b/>
          <w:bCs/>
        </w:rPr>
      </w:pPr>
    </w:p>
    <w:p w14:paraId="53C5B6F8" w14:textId="1127ED1A" w:rsidR="00C0658E" w:rsidRPr="00176852" w:rsidRDefault="00FA53FA" w:rsidP="00C0658E">
      <w:pPr>
        <w:spacing w:line="276" w:lineRule="auto"/>
        <w:rPr>
          <w:rFonts w:cs="Arial"/>
          <w:szCs w:val="22"/>
        </w:rPr>
      </w:pPr>
      <w:r w:rsidRPr="00176852">
        <w:rPr>
          <w:rFonts w:cs="Arial"/>
          <w:b/>
          <w:bCs/>
          <w:szCs w:val="22"/>
        </w:rPr>
        <w:t>Table S</w:t>
      </w:r>
      <w:r>
        <w:rPr>
          <w:rFonts w:cs="Arial"/>
          <w:b/>
          <w:bCs/>
          <w:szCs w:val="22"/>
        </w:rPr>
        <w:t>5</w:t>
      </w:r>
      <w:r w:rsidRPr="00176852">
        <w:rPr>
          <w:rFonts w:cs="Arial"/>
          <w:szCs w:val="22"/>
        </w:rPr>
        <w:t>. Incremental costs and benefits and cost-effectiveness ratio for the current policy compared to no screening and no partner notification (PN).</w:t>
      </w:r>
      <w:r w:rsidR="00C0658E">
        <w:rPr>
          <w:rFonts w:cs="Arial"/>
          <w:szCs w:val="22"/>
        </w:rPr>
        <w:t xml:space="preserve"> Costs are in 20</w:t>
      </w:r>
      <w:r w:rsidR="00414952">
        <w:rPr>
          <w:rFonts w:cs="Arial"/>
          <w:szCs w:val="22"/>
        </w:rPr>
        <w:t>2</w:t>
      </w:r>
      <w:r w:rsidR="00C0658E">
        <w:rPr>
          <w:rFonts w:cs="Arial"/>
          <w:szCs w:val="22"/>
        </w:rPr>
        <w:t>0 US dollars.</w:t>
      </w:r>
      <w:r w:rsidR="00C0658E" w:rsidRPr="00176852">
        <w:rPr>
          <w:rFonts w:cs="Arial"/>
          <w:szCs w:val="22"/>
        </w:rPr>
        <w:t xml:space="preserve"> </w:t>
      </w:r>
      <w:r w:rsidR="00C0658E">
        <w:rPr>
          <w:rFonts w:cs="Arial"/>
          <w:szCs w:val="22"/>
        </w:rPr>
        <w:t>All results are s</w:t>
      </w:r>
      <w:r w:rsidR="00C0658E" w:rsidRPr="00176852">
        <w:rPr>
          <w:rFonts w:cs="Arial"/>
          <w:szCs w:val="22"/>
        </w:rPr>
        <w:t>hown to 5 significant digits</w:t>
      </w:r>
      <w:r w:rsidR="00C0658E">
        <w:rPr>
          <w:rFonts w:cs="Arial"/>
          <w:szCs w:val="22"/>
        </w:rPr>
        <w:t>.</w:t>
      </w:r>
    </w:p>
    <w:p w14:paraId="7A4EAC4E" w14:textId="63091D5C" w:rsidR="00FA53FA" w:rsidRPr="00176852" w:rsidRDefault="00FA53FA" w:rsidP="00FA53FA">
      <w:pPr>
        <w:spacing w:line="276" w:lineRule="auto"/>
        <w:rPr>
          <w:rFonts w:cs="Arial"/>
          <w:szCs w:val="22"/>
        </w:rPr>
      </w:pPr>
    </w:p>
    <w:tbl>
      <w:tblPr>
        <w:tblpPr w:leftFromText="180" w:rightFromText="180" w:vertAnchor="text" w:horzAnchor="margin" w:tblpY="-37"/>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35"/>
        <w:gridCol w:w="1920"/>
        <w:gridCol w:w="1550"/>
        <w:gridCol w:w="1550"/>
        <w:gridCol w:w="1690"/>
        <w:gridCol w:w="1616"/>
      </w:tblGrid>
      <w:tr w:rsidR="00FA53FA" w:rsidRPr="005655AE" w14:paraId="3F3562DA" w14:textId="77777777" w:rsidTr="00024E5D">
        <w:trPr>
          <w:trHeight w:val="296"/>
        </w:trPr>
        <w:tc>
          <w:tcPr>
            <w:tcW w:w="1835" w:type="dxa"/>
            <w:shd w:val="clear" w:color="auto" w:fill="FFFFFF"/>
            <w:vAlign w:val="center"/>
          </w:tcPr>
          <w:p w14:paraId="37351AC8" w14:textId="77777777" w:rsidR="00FA53FA" w:rsidRPr="005655AE" w:rsidRDefault="00FA53FA" w:rsidP="00995D02">
            <w:pPr>
              <w:autoSpaceDE w:val="0"/>
              <w:autoSpaceDN w:val="0"/>
              <w:adjustRightInd w:val="0"/>
              <w:spacing w:line="276" w:lineRule="auto"/>
              <w:rPr>
                <w:rFonts w:cs="Arial"/>
                <w:b/>
                <w:bCs/>
                <w:color w:val="000000"/>
                <w:szCs w:val="22"/>
              </w:rPr>
            </w:pPr>
            <w:r w:rsidRPr="005655AE">
              <w:rPr>
                <w:rFonts w:cs="Arial"/>
                <w:b/>
                <w:bCs/>
                <w:color w:val="000000"/>
                <w:szCs w:val="22"/>
              </w:rPr>
              <w:t>Scenario</w:t>
            </w:r>
          </w:p>
        </w:tc>
        <w:tc>
          <w:tcPr>
            <w:tcW w:w="1920" w:type="dxa"/>
            <w:shd w:val="clear" w:color="auto" w:fill="FFFFFF"/>
            <w:vAlign w:val="center"/>
          </w:tcPr>
          <w:p w14:paraId="0B513A9C" w14:textId="77777777" w:rsidR="00FA53FA" w:rsidRPr="005655AE" w:rsidRDefault="00FA53FA" w:rsidP="00995D02">
            <w:pPr>
              <w:spacing w:line="276" w:lineRule="auto"/>
              <w:rPr>
                <w:rFonts w:cs="Arial"/>
                <w:b/>
                <w:bCs/>
                <w:szCs w:val="22"/>
              </w:rPr>
            </w:pPr>
            <w:r w:rsidRPr="005655AE">
              <w:rPr>
                <w:rFonts w:cs="Arial"/>
                <w:b/>
                <w:bCs/>
                <w:szCs w:val="22"/>
              </w:rPr>
              <w:t>Cumulative costs in ‘000s</w:t>
            </w:r>
          </w:p>
          <w:p w14:paraId="71A77E05" w14:textId="5C7E59F7" w:rsidR="00FA53FA" w:rsidRPr="005655AE" w:rsidRDefault="00FA53FA" w:rsidP="00995D02">
            <w:pPr>
              <w:autoSpaceDE w:val="0"/>
              <w:autoSpaceDN w:val="0"/>
              <w:adjustRightInd w:val="0"/>
              <w:spacing w:line="276" w:lineRule="auto"/>
              <w:rPr>
                <w:rFonts w:cs="Arial"/>
                <w:b/>
                <w:bCs/>
                <w:szCs w:val="22"/>
              </w:rPr>
            </w:pPr>
            <w:r w:rsidRPr="005655AE">
              <w:rPr>
                <w:rFonts w:cs="Arial"/>
                <w:b/>
                <w:bCs/>
                <w:szCs w:val="22"/>
              </w:rPr>
              <w:t>(discounted</w:t>
            </w:r>
            <w:proofErr w:type="gramStart"/>
            <w:r w:rsidRPr="005655AE">
              <w:rPr>
                <w:rFonts w:cs="Arial"/>
                <w:b/>
                <w:bCs/>
                <w:szCs w:val="22"/>
              </w:rPr>
              <w:t>)</w:t>
            </w:r>
            <w:r w:rsidRPr="005655AE">
              <w:rPr>
                <w:rFonts w:cs="Arial"/>
                <w:b/>
                <w:bCs/>
                <w:color w:val="000000"/>
                <w:szCs w:val="22"/>
              </w:rPr>
              <w:t>(</w:t>
            </w:r>
            <w:proofErr w:type="gramEnd"/>
            <w:r w:rsidRPr="005655AE">
              <w:rPr>
                <w:rFonts w:cs="Arial"/>
                <w:b/>
                <w:bCs/>
                <w:color w:val="000000"/>
                <w:szCs w:val="22"/>
              </w:rPr>
              <w:t>$)</w:t>
            </w:r>
          </w:p>
        </w:tc>
        <w:tc>
          <w:tcPr>
            <w:tcW w:w="1550" w:type="dxa"/>
            <w:shd w:val="clear" w:color="auto" w:fill="FFFFFF"/>
            <w:vAlign w:val="center"/>
          </w:tcPr>
          <w:p w14:paraId="419A6F51" w14:textId="77777777" w:rsidR="00FA53FA" w:rsidRPr="005655AE" w:rsidRDefault="00FA53FA" w:rsidP="00995D02">
            <w:pPr>
              <w:spacing w:line="276" w:lineRule="auto"/>
              <w:rPr>
                <w:rFonts w:cs="Arial"/>
                <w:b/>
                <w:bCs/>
                <w:szCs w:val="22"/>
              </w:rPr>
            </w:pPr>
            <w:r w:rsidRPr="005655AE">
              <w:rPr>
                <w:rFonts w:cs="Arial"/>
                <w:b/>
                <w:bCs/>
                <w:szCs w:val="22"/>
              </w:rPr>
              <w:t>Cumulative QALYs lost in ‘000s</w:t>
            </w:r>
          </w:p>
          <w:p w14:paraId="5CAD46AC" w14:textId="77777777" w:rsidR="00FA53FA" w:rsidRPr="005655AE" w:rsidRDefault="00FA53FA" w:rsidP="00995D02">
            <w:pPr>
              <w:autoSpaceDE w:val="0"/>
              <w:autoSpaceDN w:val="0"/>
              <w:adjustRightInd w:val="0"/>
              <w:spacing w:line="276" w:lineRule="auto"/>
              <w:rPr>
                <w:rFonts w:cs="Arial"/>
                <w:b/>
                <w:bCs/>
                <w:color w:val="000000"/>
                <w:szCs w:val="22"/>
              </w:rPr>
            </w:pPr>
            <w:r w:rsidRPr="005655AE">
              <w:rPr>
                <w:rFonts w:cs="Arial"/>
                <w:b/>
                <w:bCs/>
                <w:szCs w:val="22"/>
              </w:rPr>
              <w:t>(discounted)</w:t>
            </w:r>
          </w:p>
        </w:tc>
        <w:tc>
          <w:tcPr>
            <w:tcW w:w="1550" w:type="dxa"/>
            <w:shd w:val="clear" w:color="auto" w:fill="FFFFFF"/>
            <w:vAlign w:val="center"/>
          </w:tcPr>
          <w:p w14:paraId="7E7D22ED" w14:textId="77777777" w:rsidR="00FA53FA" w:rsidRPr="005655AE" w:rsidRDefault="00FA53FA" w:rsidP="00995D02">
            <w:pPr>
              <w:autoSpaceDE w:val="0"/>
              <w:autoSpaceDN w:val="0"/>
              <w:adjustRightInd w:val="0"/>
              <w:spacing w:line="276" w:lineRule="auto"/>
              <w:rPr>
                <w:rFonts w:cs="Arial"/>
                <w:b/>
                <w:bCs/>
                <w:color w:val="000000"/>
                <w:szCs w:val="22"/>
              </w:rPr>
            </w:pPr>
            <w:r w:rsidRPr="005655AE">
              <w:rPr>
                <w:rFonts w:cs="Arial"/>
                <w:b/>
                <w:bCs/>
                <w:color w:val="000000"/>
                <w:szCs w:val="22"/>
              </w:rPr>
              <w:t>Incremental Costs,</w:t>
            </w:r>
            <w:r w:rsidRPr="005655AE">
              <w:rPr>
                <w:rFonts w:cs="Arial"/>
                <w:b/>
                <w:bCs/>
                <w:szCs w:val="22"/>
              </w:rPr>
              <w:t xml:space="preserve"> in ‘000s</w:t>
            </w:r>
            <w:r w:rsidRPr="005655AE">
              <w:rPr>
                <w:rFonts w:cs="Arial"/>
                <w:b/>
                <w:bCs/>
                <w:color w:val="000000"/>
                <w:szCs w:val="22"/>
              </w:rPr>
              <w:t xml:space="preserve"> ($)</w:t>
            </w:r>
          </w:p>
        </w:tc>
        <w:tc>
          <w:tcPr>
            <w:tcW w:w="1690" w:type="dxa"/>
            <w:shd w:val="clear" w:color="auto" w:fill="FFFFFF"/>
            <w:vAlign w:val="center"/>
          </w:tcPr>
          <w:p w14:paraId="21B1D443" w14:textId="77777777" w:rsidR="00FA53FA" w:rsidRPr="005655AE" w:rsidRDefault="00FA53FA" w:rsidP="00995D02">
            <w:pPr>
              <w:autoSpaceDE w:val="0"/>
              <w:autoSpaceDN w:val="0"/>
              <w:adjustRightInd w:val="0"/>
              <w:spacing w:line="276" w:lineRule="auto"/>
              <w:rPr>
                <w:rFonts w:cs="Arial"/>
                <w:b/>
                <w:bCs/>
                <w:color w:val="000000"/>
                <w:szCs w:val="22"/>
              </w:rPr>
            </w:pPr>
            <w:r w:rsidRPr="005655AE">
              <w:rPr>
                <w:rFonts w:cs="Arial"/>
                <w:b/>
                <w:bCs/>
                <w:color w:val="000000"/>
                <w:szCs w:val="22"/>
              </w:rPr>
              <w:t>Incremental QALYs gained,</w:t>
            </w:r>
            <w:r w:rsidRPr="005655AE">
              <w:rPr>
                <w:rFonts w:cs="Arial"/>
                <w:b/>
                <w:bCs/>
                <w:szCs w:val="22"/>
              </w:rPr>
              <w:t xml:space="preserve"> in ‘000s</w:t>
            </w:r>
          </w:p>
        </w:tc>
        <w:tc>
          <w:tcPr>
            <w:tcW w:w="1616" w:type="dxa"/>
            <w:shd w:val="clear" w:color="auto" w:fill="FFFFFF"/>
            <w:vAlign w:val="center"/>
          </w:tcPr>
          <w:p w14:paraId="3E28D30D" w14:textId="77777777" w:rsidR="00FA53FA" w:rsidRPr="005655AE" w:rsidRDefault="00FA53FA" w:rsidP="00995D02">
            <w:pPr>
              <w:autoSpaceDE w:val="0"/>
              <w:autoSpaceDN w:val="0"/>
              <w:adjustRightInd w:val="0"/>
              <w:spacing w:line="276" w:lineRule="auto"/>
              <w:rPr>
                <w:rFonts w:cs="Arial"/>
                <w:b/>
                <w:bCs/>
                <w:color w:val="000000"/>
                <w:szCs w:val="22"/>
              </w:rPr>
            </w:pPr>
            <w:r w:rsidRPr="005655AE">
              <w:rPr>
                <w:rFonts w:cs="Arial"/>
                <w:b/>
                <w:bCs/>
                <w:color w:val="000000"/>
                <w:szCs w:val="22"/>
              </w:rPr>
              <w:t>ICER ($/ QALY gained)</w:t>
            </w:r>
          </w:p>
        </w:tc>
      </w:tr>
      <w:tr w:rsidR="004F4CC4" w:rsidRPr="005655AE" w14:paraId="5BCCE172" w14:textId="77777777" w:rsidTr="004F4CC4">
        <w:trPr>
          <w:trHeight w:val="296"/>
        </w:trPr>
        <w:tc>
          <w:tcPr>
            <w:tcW w:w="1835" w:type="dxa"/>
            <w:shd w:val="clear" w:color="auto" w:fill="D9D9D9" w:themeFill="background1" w:themeFillShade="D9"/>
            <w:vAlign w:val="center"/>
          </w:tcPr>
          <w:p w14:paraId="4A259D9D" w14:textId="137FD19D" w:rsidR="004F4CC4" w:rsidRPr="005655AE" w:rsidRDefault="004F4CC4" w:rsidP="0023372A">
            <w:pPr>
              <w:autoSpaceDE w:val="0"/>
              <w:autoSpaceDN w:val="0"/>
              <w:adjustRightInd w:val="0"/>
              <w:spacing w:line="276" w:lineRule="auto"/>
              <w:rPr>
                <w:rFonts w:cs="Arial"/>
                <w:b/>
                <w:bCs/>
                <w:color w:val="000000"/>
                <w:szCs w:val="22"/>
              </w:rPr>
            </w:pPr>
            <w:r w:rsidRPr="004F4CC4">
              <w:rPr>
                <w:rFonts w:cs="Arial"/>
                <w:b/>
                <w:bCs/>
                <w:color w:val="000000"/>
                <w:szCs w:val="22"/>
              </w:rPr>
              <w:t>1.</w:t>
            </w:r>
            <w:r>
              <w:rPr>
                <w:rFonts w:cs="Arial"/>
                <w:b/>
                <w:bCs/>
                <w:color w:val="000000"/>
                <w:szCs w:val="22"/>
              </w:rPr>
              <w:t xml:space="preserve"> 2000-2015</w:t>
            </w:r>
          </w:p>
        </w:tc>
        <w:tc>
          <w:tcPr>
            <w:tcW w:w="1920" w:type="dxa"/>
            <w:shd w:val="clear" w:color="auto" w:fill="D9D9D9" w:themeFill="background1" w:themeFillShade="D9"/>
            <w:vAlign w:val="bottom"/>
          </w:tcPr>
          <w:p w14:paraId="201C6C0D" w14:textId="77777777" w:rsidR="004F4CC4" w:rsidRPr="005655AE" w:rsidRDefault="004F4CC4" w:rsidP="0023372A">
            <w:pPr>
              <w:spacing w:line="276" w:lineRule="auto"/>
              <w:rPr>
                <w:rFonts w:cs="Arial"/>
                <w:color w:val="000000"/>
              </w:rPr>
            </w:pPr>
          </w:p>
        </w:tc>
        <w:tc>
          <w:tcPr>
            <w:tcW w:w="1550" w:type="dxa"/>
            <w:shd w:val="clear" w:color="auto" w:fill="D9D9D9" w:themeFill="background1" w:themeFillShade="D9"/>
            <w:vAlign w:val="bottom"/>
          </w:tcPr>
          <w:p w14:paraId="7D69E44B" w14:textId="77777777" w:rsidR="004F4CC4" w:rsidRPr="005655AE" w:rsidRDefault="004F4CC4" w:rsidP="0023372A">
            <w:pPr>
              <w:spacing w:line="276" w:lineRule="auto"/>
              <w:rPr>
                <w:rFonts w:cs="Arial"/>
                <w:color w:val="000000"/>
              </w:rPr>
            </w:pPr>
          </w:p>
        </w:tc>
        <w:tc>
          <w:tcPr>
            <w:tcW w:w="1550" w:type="dxa"/>
            <w:shd w:val="clear" w:color="auto" w:fill="D9D9D9" w:themeFill="background1" w:themeFillShade="D9"/>
            <w:vAlign w:val="bottom"/>
          </w:tcPr>
          <w:p w14:paraId="62680C94" w14:textId="77777777" w:rsidR="004F4CC4" w:rsidRPr="005655AE" w:rsidRDefault="004F4CC4" w:rsidP="0023372A">
            <w:pPr>
              <w:autoSpaceDE w:val="0"/>
              <w:autoSpaceDN w:val="0"/>
              <w:adjustRightInd w:val="0"/>
              <w:spacing w:line="276" w:lineRule="auto"/>
              <w:rPr>
                <w:rFonts w:cs="Arial"/>
                <w:color w:val="000000"/>
              </w:rPr>
            </w:pPr>
          </w:p>
        </w:tc>
        <w:tc>
          <w:tcPr>
            <w:tcW w:w="1690" w:type="dxa"/>
            <w:shd w:val="clear" w:color="auto" w:fill="D9D9D9" w:themeFill="background1" w:themeFillShade="D9"/>
            <w:vAlign w:val="bottom"/>
          </w:tcPr>
          <w:p w14:paraId="4CB76301" w14:textId="77777777" w:rsidR="004F4CC4" w:rsidRPr="005655AE" w:rsidRDefault="004F4CC4" w:rsidP="0023372A">
            <w:pPr>
              <w:autoSpaceDE w:val="0"/>
              <w:autoSpaceDN w:val="0"/>
              <w:adjustRightInd w:val="0"/>
              <w:spacing w:line="276" w:lineRule="auto"/>
              <w:rPr>
                <w:rFonts w:cs="Arial"/>
                <w:color w:val="000000"/>
              </w:rPr>
            </w:pPr>
          </w:p>
        </w:tc>
        <w:tc>
          <w:tcPr>
            <w:tcW w:w="1616" w:type="dxa"/>
            <w:shd w:val="clear" w:color="auto" w:fill="D9D9D9" w:themeFill="background1" w:themeFillShade="D9"/>
            <w:vAlign w:val="bottom"/>
          </w:tcPr>
          <w:p w14:paraId="325E0404" w14:textId="77777777" w:rsidR="004F4CC4" w:rsidRPr="005655AE" w:rsidRDefault="004F4CC4" w:rsidP="0023372A">
            <w:pPr>
              <w:spacing w:line="276" w:lineRule="auto"/>
              <w:rPr>
                <w:rFonts w:cs="Arial"/>
                <w:color w:val="000000"/>
              </w:rPr>
            </w:pPr>
          </w:p>
        </w:tc>
      </w:tr>
      <w:tr w:rsidR="0023372A" w:rsidRPr="005655AE" w14:paraId="6722F8E2" w14:textId="77777777" w:rsidTr="00024E5D">
        <w:trPr>
          <w:trHeight w:val="296"/>
        </w:trPr>
        <w:tc>
          <w:tcPr>
            <w:tcW w:w="1835" w:type="dxa"/>
            <w:shd w:val="clear" w:color="auto" w:fill="FFFFFF"/>
            <w:vAlign w:val="center"/>
          </w:tcPr>
          <w:p w14:paraId="7E1E29D2" w14:textId="77777777" w:rsidR="0023372A" w:rsidRPr="005655AE" w:rsidRDefault="0023372A" w:rsidP="0023372A">
            <w:pPr>
              <w:autoSpaceDE w:val="0"/>
              <w:autoSpaceDN w:val="0"/>
              <w:adjustRightInd w:val="0"/>
              <w:spacing w:line="276" w:lineRule="auto"/>
              <w:rPr>
                <w:rFonts w:cs="Arial"/>
                <w:b/>
                <w:bCs/>
                <w:color w:val="000000"/>
                <w:szCs w:val="22"/>
              </w:rPr>
            </w:pPr>
            <w:r w:rsidRPr="005655AE">
              <w:rPr>
                <w:rFonts w:cs="Arial"/>
                <w:b/>
                <w:bCs/>
                <w:color w:val="000000"/>
                <w:szCs w:val="22"/>
              </w:rPr>
              <w:t>No screening and no PN</w:t>
            </w:r>
          </w:p>
        </w:tc>
        <w:tc>
          <w:tcPr>
            <w:tcW w:w="1920" w:type="dxa"/>
            <w:shd w:val="clear" w:color="auto" w:fill="FFFFFF"/>
            <w:vAlign w:val="bottom"/>
          </w:tcPr>
          <w:p w14:paraId="66375B51" w14:textId="02AE53A4" w:rsidR="0023372A" w:rsidRPr="005655AE" w:rsidRDefault="0023372A" w:rsidP="0023372A">
            <w:pPr>
              <w:spacing w:line="276" w:lineRule="auto"/>
              <w:rPr>
                <w:rFonts w:cs="Arial"/>
                <w:szCs w:val="22"/>
              </w:rPr>
            </w:pPr>
            <w:r w:rsidRPr="005655AE">
              <w:rPr>
                <w:rFonts w:cs="Arial"/>
                <w:color w:val="000000"/>
              </w:rPr>
              <w:t>15,969,000</w:t>
            </w:r>
          </w:p>
        </w:tc>
        <w:tc>
          <w:tcPr>
            <w:tcW w:w="1550" w:type="dxa"/>
            <w:shd w:val="clear" w:color="auto" w:fill="FFFFFF"/>
            <w:vAlign w:val="bottom"/>
          </w:tcPr>
          <w:p w14:paraId="74B72058" w14:textId="7CC5AD74" w:rsidR="0023372A" w:rsidRPr="005655AE" w:rsidRDefault="0023372A" w:rsidP="0023372A">
            <w:pPr>
              <w:spacing w:line="276" w:lineRule="auto"/>
              <w:rPr>
                <w:rFonts w:cs="Arial"/>
                <w:szCs w:val="22"/>
              </w:rPr>
            </w:pPr>
            <w:r w:rsidRPr="005655AE">
              <w:rPr>
                <w:rFonts w:cs="Arial"/>
                <w:color w:val="000000"/>
              </w:rPr>
              <w:t>6,828.00</w:t>
            </w:r>
          </w:p>
        </w:tc>
        <w:tc>
          <w:tcPr>
            <w:tcW w:w="1550" w:type="dxa"/>
            <w:shd w:val="clear" w:color="auto" w:fill="FFFFFF"/>
            <w:vAlign w:val="bottom"/>
          </w:tcPr>
          <w:p w14:paraId="3060BBB8" w14:textId="72BFEF29" w:rsidR="0023372A" w:rsidRPr="005655AE" w:rsidRDefault="0023372A" w:rsidP="0023372A">
            <w:pPr>
              <w:autoSpaceDE w:val="0"/>
              <w:autoSpaceDN w:val="0"/>
              <w:adjustRightInd w:val="0"/>
              <w:spacing w:line="276" w:lineRule="auto"/>
              <w:rPr>
                <w:rFonts w:cs="Arial"/>
                <w:color w:val="000000"/>
                <w:szCs w:val="22"/>
              </w:rPr>
            </w:pPr>
            <w:r w:rsidRPr="005655AE">
              <w:rPr>
                <w:rFonts w:cs="Arial"/>
                <w:color w:val="000000"/>
              </w:rPr>
              <w:t>NA</w:t>
            </w:r>
          </w:p>
        </w:tc>
        <w:tc>
          <w:tcPr>
            <w:tcW w:w="1690" w:type="dxa"/>
            <w:shd w:val="clear" w:color="auto" w:fill="FFFFFF"/>
            <w:vAlign w:val="bottom"/>
          </w:tcPr>
          <w:p w14:paraId="0A0E3D1E" w14:textId="64F950CA" w:rsidR="0023372A" w:rsidRPr="005655AE" w:rsidRDefault="0023372A" w:rsidP="0023372A">
            <w:pPr>
              <w:autoSpaceDE w:val="0"/>
              <w:autoSpaceDN w:val="0"/>
              <w:adjustRightInd w:val="0"/>
              <w:spacing w:line="276" w:lineRule="auto"/>
              <w:rPr>
                <w:rFonts w:cs="Arial"/>
                <w:color w:val="000000"/>
                <w:szCs w:val="22"/>
              </w:rPr>
            </w:pPr>
            <w:r w:rsidRPr="005655AE">
              <w:rPr>
                <w:rFonts w:cs="Arial"/>
                <w:color w:val="000000"/>
              </w:rPr>
              <w:t>NA</w:t>
            </w:r>
          </w:p>
        </w:tc>
        <w:tc>
          <w:tcPr>
            <w:tcW w:w="1616" w:type="dxa"/>
            <w:shd w:val="clear" w:color="auto" w:fill="FFFFFF"/>
            <w:vAlign w:val="bottom"/>
          </w:tcPr>
          <w:p w14:paraId="5F4B4F02" w14:textId="6D5C5380" w:rsidR="0023372A" w:rsidRPr="005655AE" w:rsidRDefault="0023372A" w:rsidP="0023372A">
            <w:pPr>
              <w:spacing w:line="276" w:lineRule="auto"/>
              <w:rPr>
                <w:rFonts w:cs="Arial"/>
                <w:color w:val="000000"/>
                <w:szCs w:val="22"/>
              </w:rPr>
            </w:pPr>
            <w:r w:rsidRPr="005655AE">
              <w:rPr>
                <w:rFonts w:cs="Arial"/>
                <w:color w:val="000000"/>
              </w:rPr>
              <w:t>NA</w:t>
            </w:r>
          </w:p>
        </w:tc>
      </w:tr>
      <w:tr w:rsidR="0023372A" w:rsidRPr="005655AE" w14:paraId="22081F29" w14:textId="77777777" w:rsidTr="00024E5D">
        <w:trPr>
          <w:trHeight w:val="296"/>
        </w:trPr>
        <w:tc>
          <w:tcPr>
            <w:tcW w:w="1835" w:type="dxa"/>
            <w:shd w:val="clear" w:color="auto" w:fill="FFFFFF"/>
            <w:vAlign w:val="center"/>
          </w:tcPr>
          <w:p w14:paraId="43B2EB4A" w14:textId="77777777" w:rsidR="0023372A" w:rsidRPr="005655AE" w:rsidRDefault="0023372A" w:rsidP="0023372A">
            <w:pPr>
              <w:autoSpaceDE w:val="0"/>
              <w:autoSpaceDN w:val="0"/>
              <w:adjustRightInd w:val="0"/>
              <w:spacing w:line="276" w:lineRule="auto"/>
              <w:rPr>
                <w:rFonts w:cs="Arial"/>
                <w:b/>
                <w:bCs/>
                <w:color w:val="000000"/>
                <w:szCs w:val="22"/>
              </w:rPr>
            </w:pPr>
            <w:r w:rsidRPr="005655AE">
              <w:rPr>
                <w:rFonts w:cs="Arial"/>
                <w:b/>
                <w:bCs/>
                <w:color w:val="000000"/>
                <w:szCs w:val="22"/>
              </w:rPr>
              <w:t>Current Policy</w:t>
            </w:r>
          </w:p>
        </w:tc>
        <w:tc>
          <w:tcPr>
            <w:tcW w:w="1920" w:type="dxa"/>
            <w:shd w:val="clear" w:color="auto" w:fill="FFFFFF"/>
            <w:vAlign w:val="bottom"/>
          </w:tcPr>
          <w:p w14:paraId="41F95305" w14:textId="4FC47B59" w:rsidR="0023372A" w:rsidRPr="005655AE" w:rsidRDefault="0023372A" w:rsidP="0023372A">
            <w:pPr>
              <w:spacing w:line="276" w:lineRule="auto"/>
              <w:rPr>
                <w:rFonts w:cs="Arial"/>
                <w:szCs w:val="22"/>
              </w:rPr>
            </w:pPr>
            <w:r w:rsidRPr="005655AE">
              <w:rPr>
                <w:rFonts w:cs="Arial"/>
                <w:color w:val="000000"/>
              </w:rPr>
              <w:t>21,157,000</w:t>
            </w:r>
          </w:p>
        </w:tc>
        <w:tc>
          <w:tcPr>
            <w:tcW w:w="1550" w:type="dxa"/>
            <w:shd w:val="clear" w:color="auto" w:fill="FFFFFF"/>
            <w:vAlign w:val="bottom"/>
          </w:tcPr>
          <w:p w14:paraId="14F2B831" w14:textId="4F3F8A75" w:rsidR="0023372A" w:rsidRPr="005655AE" w:rsidRDefault="0023372A" w:rsidP="0023372A">
            <w:pPr>
              <w:spacing w:line="276" w:lineRule="auto"/>
              <w:rPr>
                <w:rFonts w:cs="Arial"/>
                <w:szCs w:val="22"/>
              </w:rPr>
            </w:pPr>
            <w:r w:rsidRPr="005655AE">
              <w:rPr>
                <w:rFonts w:cs="Arial"/>
                <w:color w:val="000000"/>
              </w:rPr>
              <w:t>4,909.20</w:t>
            </w:r>
          </w:p>
        </w:tc>
        <w:tc>
          <w:tcPr>
            <w:tcW w:w="1550" w:type="dxa"/>
            <w:shd w:val="clear" w:color="auto" w:fill="FFFFFF"/>
            <w:vAlign w:val="bottom"/>
          </w:tcPr>
          <w:p w14:paraId="3E90ED51" w14:textId="7C901C59" w:rsidR="0023372A" w:rsidRPr="005655AE" w:rsidRDefault="0023372A" w:rsidP="0023372A">
            <w:pPr>
              <w:autoSpaceDE w:val="0"/>
              <w:autoSpaceDN w:val="0"/>
              <w:adjustRightInd w:val="0"/>
              <w:spacing w:line="276" w:lineRule="auto"/>
              <w:rPr>
                <w:rFonts w:cs="Arial"/>
                <w:color w:val="000000"/>
                <w:szCs w:val="22"/>
              </w:rPr>
            </w:pPr>
            <w:r w:rsidRPr="005655AE">
              <w:rPr>
                <w:rFonts w:cs="Arial"/>
                <w:color w:val="000000"/>
              </w:rPr>
              <w:t>5</w:t>
            </w:r>
            <w:r w:rsidR="005655AE">
              <w:rPr>
                <w:rFonts w:cs="Arial"/>
                <w:color w:val="000000"/>
              </w:rPr>
              <w:t>,</w:t>
            </w:r>
            <w:r w:rsidRPr="005655AE">
              <w:rPr>
                <w:rFonts w:cs="Arial"/>
                <w:color w:val="000000"/>
              </w:rPr>
              <w:t>188</w:t>
            </w:r>
            <w:r w:rsidR="005655AE">
              <w:rPr>
                <w:rFonts w:cs="Arial"/>
                <w:color w:val="000000"/>
              </w:rPr>
              <w:t>,</w:t>
            </w:r>
            <w:r w:rsidRPr="005655AE">
              <w:rPr>
                <w:rFonts w:cs="Arial"/>
                <w:color w:val="000000"/>
              </w:rPr>
              <w:t>000</w:t>
            </w:r>
          </w:p>
        </w:tc>
        <w:tc>
          <w:tcPr>
            <w:tcW w:w="1690" w:type="dxa"/>
            <w:shd w:val="clear" w:color="auto" w:fill="FFFFFF"/>
            <w:vAlign w:val="bottom"/>
          </w:tcPr>
          <w:p w14:paraId="58ED1B22" w14:textId="23FC6617" w:rsidR="0023372A" w:rsidRPr="005655AE" w:rsidRDefault="0023372A" w:rsidP="0023372A">
            <w:pPr>
              <w:autoSpaceDE w:val="0"/>
              <w:autoSpaceDN w:val="0"/>
              <w:adjustRightInd w:val="0"/>
              <w:spacing w:line="276" w:lineRule="auto"/>
              <w:rPr>
                <w:rFonts w:cs="Arial"/>
                <w:color w:val="000000"/>
                <w:szCs w:val="22"/>
              </w:rPr>
            </w:pPr>
            <w:r w:rsidRPr="005655AE">
              <w:rPr>
                <w:rFonts w:cs="Arial"/>
                <w:color w:val="000000"/>
              </w:rPr>
              <w:t>1</w:t>
            </w:r>
            <w:r w:rsidR="005655AE">
              <w:rPr>
                <w:rFonts w:cs="Arial"/>
                <w:color w:val="000000"/>
              </w:rPr>
              <w:t>,</w:t>
            </w:r>
            <w:r w:rsidRPr="005655AE">
              <w:rPr>
                <w:rFonts w:cs="Arial"/>
                <w:color w:val="000000"/>
              </w:rPr>
              <w:t>918.8</w:t>
            </w:r>
          </w:p>
        </w:tc>
        <w:tc>
          <w:tcPr>
            <w:tcW w:w="1616" w:type="dxa"/>
            <w:shd w:val="clear" w:color="auto" w:fill="FFFFFF"/>
            <w:vAlign w:val="bottom"/>
          </w:tcPr>
          <w:p w14:paraId="1B36D7F9" w14:textId="3AB9B1EF" w:rsidR="0023372A" w:rsidRPr="005655AE" w:rsidRDefault="0023372A" w:rsidP="0023372A">
            <w:pPr>
              <w:rPr>
                <w:rFonts w:cs="Arial"/>
                <w:color w:val="000000"/>
                <w:szCs w:val="22"/>
              </w:rPr>
            </w:pPr>
            <w:r w:rsidRPr="005655AE">
              <w:rPr>
                <w:rFonts w:cs="Arial"/>
                <w:color w:val="000000"/>
              </w:rPr>
              <w:t>2</w:t>
            </w:r>
            <w:r w:rsidR="005655AE">
              <w:rPr>
                <w:rFonts w:cs="Arial"/>
                <w:color w:val="000000"/>
              </w:rPr>
              <w:t>,</w:t>
            </w:r>
            <w:r w:rsidRPr="005655AE">
              <w:rPr>
                <w:rFonts w:cs="Arial"/>
                <w:color w:val="000000"/>
              </w:rPr>
              <w:t>703.8</w:t>
            </w:r>
          </w:p>
        </w:tc>
      </w:tr>
      <w:tr w:rsidR="0023372A" w:rsidRPr="005655AE" w14:paraId="4BD80D01" w14:textId="77777777" w:rsidTr="00024E5D">
        <w:trPr>
          <w:trHeight w:val="296"/>
        </w:trPr>
        <w:tc>
          <w:tcPr>
            <w:tcW w:w="1835" w:type="dxa"/>
            <w:shd w:val="clear" w:color="auto" w:fill="FFFFFF"/>
            <w:vAlign w:val="center"/>
          </w:tcPr>
          <w:p w14:paraId="2CA0281C" w14:textId="77777777" w:rsidR="0023372A" w:rsidRPr="005655AE" w:rsidRDefault="0023372A" w:rsidP="0023372A">
            <w:pPr>
              <w:autoSpaceDE w:val="0"/>
              <w:autoSpaceDN w:val="0"/>
              <w:adjustRightInd w:val="0"/>
              <w:spacing w:line="276" w:lineRule="auto"/>
              <w:ind w:left="90"/>
              <w:rPr>
                <w:rFonts w:cs="Arial"/>
                <w:color w:val="000000"/>
                <w:szCs w:val="22"/>
              </w:rPr>
            </w:pPr>
            <w:r w:rsidRPr="005655AE">
              <w:rPr>
                <w:rFonts w:cs="Arial"/>
                <w:color w:val="000000"/>
                <w:szCs w:val="22"/>
              </w:rPr>
              <w:t>95% Uncertainty</w:t>
            </w:r>
          </w:p>
        </w:tc>
        <w:tc>
          <w:tcPr>
            <w:tcW w:w="1920" w:type="dxa"/>
            <w:shd w:val="clear" w:color="auto" w:fill="FFFFFF"/>
            <w:vAlign w:val="bottom"/>
          </w:tcPr>
          <w:p w14:paraId="172F8733" w14:textId="058EA113" w:rsidR="0023372A" w:rsidRPr="005655AE" w:rsidRDefault="0023372A" w:rsidP="0023372A">
            <w:pPr>
              <w:spacing w:line="276" w:lineRule="auto"/>
              <w:rPr>
                <w:rFonts w:cs="Arial"/>
                <w:color w:val="000000"/>
                <w:szCs w:val="22"/>
              </w:rPr>
            </w:pPr>
            <w:r w:rsidRPr="005655AE">
              <w:rPr>
                <w:rFonts w:cs="Arial"/>
                <w:color w:val="000000"/>
              </w:rPr>
              <w:t>NA</w:t>
            </w:r>
          </w:p>
        </w:tc>
        <w:tc>
          <w:tcPr>
            <w:tcW w:w="1550" w:type="dxa"/>
            <w:shd w:val="clear" w:color="auto" w:fill="FFFFFF"/>
            <w:vAlign w:val="bottom"/>
          </w:tcPr>
          <w:p w14:paraId="15627EE1" w14:textId="0998E670" w:rsidR="0023372A" w:rsidRPr="005655AE" w:rsidRDefault="0023372A" w:rsidP="0023372A">
            <w:pPr>
              <w:spacing w:line="276" w:lineRule="auto"/>
              <w:rPr>
                <w:rFonts w:cs="Arial"/>
                <w:color w:val="000000"/>
                <w:szCs w:val="22"/>
              </w:rPr>
            </w:pPr>
            <w:r w:rsidRPr="005655AE">
              <w:rPr>
                <w:rFonts w:cs="Arial"/>
                <w:color w:val="000000"/>
              </w:rPr>
              <w:t>NA</w:t>
            </w:r>
          </w:p>
        </w:tc>
        <w:tc>
          <w:tcPr>
            <w:tcW w:w="1550" w:type="dxa"/>
            <w:shd w:val="clear" w:color="auto" w:fill="FFFFFF"/>
            <w:vAlign w:val="bottom"/>
          </w:tcPr>
          <w:p w14:paraId="643CE4FC" w14:textId="7FF6DDA1" w:rsidR="0023372A" w:rsidRPr="005655AE" w:rsidRDefault="0023372A" w:rsidP="0023372A">
            <w:pPr>
              <w:rPr>
                <w:rFonts w:cs="Arial"/>
                <w:color w:val="000000"/>
                <w:szCs w:val="22"/>
              </w:rPr>
            </w:pPr>
            <w:r w:rsidRPr="005655AE">
              <w:rPr>
                <w:rFonts w:cs="Arial"/>
                <w:color w:val="000000"/>
              </w:rPr>
              <w:t>-270</w:t>
            </w:r>
            <w:r w:rsidR="005655AE">
              <w:rPr>
                <w:rFonts w:cs="Arial"/>
                <w:color w:val="000000"/>
              </w:rPr>
              <w:t>,</w:t>
            </w:r>
            <w:r w:rsidRPr="005655AE">
              <w:rPr>
                <w:rFonts w:cs="Arial"/>
                <w:color w:val="000000"/>
              </w:rPr>
              <w:t>670</w:t>
            </w:r>
            <w:proofErr w:type="gramStart"/>
            <w:r w:rsidRPr="005655AE">
              <w:rPr>
                <w:rFonts w:cs="Arial"/>
                <w:color w:val="000000"/>
              </w:rPr>
              <w:t xml:space="preserve">; </w:t>
            </w:r>
            <w:r w:rsidRPr="005655AE">
              <w:rPr>
                <w:rFonts w:cs="Arial"/>
              </w:rPr>
              <w:t xml:space="preserve"> </w:t>
            </w:r>
            <w:r w:rsidRPr="005655AE">
              <w:rPr>
                <w:rFonts w:cs="Arial"/>
                <w:color w:val="000000"/>
              </w:rPr>
              <w:t>11</w:t>
            </w:r>
            <w:r w:rsidR="00C97516">
              <w:rPr>
                <w:rFonts w:cs="Arial"/>
                <w:color w:val="000000"/>
              </w:rPr>
              <w:t>,</w:t>
            </w:r>
            <w:r w:rsidRPr="005655AE">
              <w:rPr>
                <w:rFonts w:cs="Arial"/>
                <w:color w:val="000000"/>
              </w:rPr>
              <w:t>369</w:t>
            </w:r>
            <w:r w:rsidR="005655AE">
              <w:rPr>
                <w:rFonts w:cs="Arial"/>
                <w:color w:val="000000"/>
              </w:rPr>
              <w:t>,</w:t>
            </w:r>
            <w:r w:rsidRPr="005655AE">
              <w:rPr>
                <w:rFonts w:cs="Arial"/>
                <w:color w:val="000000"/>
              </w:rPr>
              <w:t>000</w:t>
            </w:r>
            <w:proofErr w:type="gramEnd"/>
          </w:p>
        </w:tc>
        <w:tc>
          <w:tcPr>
            <w:tcW w:w="1690" w:type="dxa"/>
            <w:shd w:val="clear" w:color="auto" w:fill="FFFFFF"/>
            <w:vAlign w:val="bottom"/>
          </w:tcPr>
          <w:p w14:paraId="45D85EA7" w14:textId="5F44DC9D" w:rsidR="0023372A" w:rsidRPr="005655AE" w:rsidRDefault="0023372A" w:rsidP="0023372A">
            <w:pPr>
              <w:rPr>
                <w:rFonts w:cs="Arial"/>
                <w:color w:val="000000"/>
                <w:szCs w:val="22"/>
              </w:rPr>
            </w:pPr>
            <w:r w:rsidRPr="005655AE">
              <w:rPr>
                <w:rFonts w:cs="Arial"/>
                <w:color w:val="000000"/>
              </w:rPr>
              <w:t>541.56;</w:t>
            </w:r>
            <w:r w:rsidRPr="005655AE">
              <w:rPr>
                <w:rFonts w:cs="Arial"/>
              </w:rPr>
              <w:t xml:space="preserve"> </w:t>
            </w:r>
            <w:r w:rsidRPr="005655AE">
              <w:rPr>
                <w:rFonts w:cs="Arial"/>
                <w:color w:val="000000"/>
              </w:rPr>
              <w:t>4</w:t>
            </w:r>
            <w:r w:rsidR="005655AE">
              <w:rPr>
                <w:rFonts w:cs="Arial"/>
                <w:color w:val="000000"/>
              </w:rPr>
              <w:t>,</w:t>
            </w:r>
            <w:r w:rsidRPr="005655AE">
              <w:rPr>
                <w:rFonts w:cs="Arial"/>
                <w:color w:val="000000"/>
              </w:rPr>
              <w:t>162.7</w:t>
            </w:r>
          </w:p>
        </w:tc>
        <w:tc>
          <w:tcPr>
            <w:tcW w:w="1616" w:type="dxa"/>
            <w:shd w:val="clear" w:color="auto" w:fill="FFFFFF"/>
            <w:vAlign w:val="bottom"/>
          </w:tcPr>
          <w:p w14:paraId="18B3FC05" w14:textId="3CFE00FC" w:rsidR="0023372A" w:rsidRPr="005655AE" w:rsidRDefault="00A7310A" w:rsidP="0023372A">
            <w:pPr>
              <w:autoSpaceDE w:val="0"/>
              <w:autoSpaceDN w:val="0"/>
              <w:adjustRightInd w:val="0"/>
              <w:spacing w:line="276" w:lineRule="auto"/>
              <w:rPr>
                <w:rFonts w:cs="Arial"/>
                <w:color w:val="000000"/>
                <w:szCs w:val="22"/>
              </w:rPr>
            </w:pPr>
            <w:r w:rsidRPr="005655AE">
              <w:rPr>
                <w:rFonts w:cs="Arial"/>
                <w:color w:val="000000"/>
              </w:rPr>
              <w:t>Cost-saving</w:t>
            </w:r>
            <w:r w:rsidR="0023372A" w:rsidRPr="005655AE">
              <w:rPr>
                <w:rFonts w:cs="Arial"/>
                <w:color w:val="000000"/>
              </w:rPr>
              <w:t>; 14</w:t>
            </w:r>
            <w:r w:rsidR="005655AE">
              <w:rPr>
                <w:rFonts w:cs="Arial"/>
                <w:color w:val="000000"/>
              </w:rPr>
              <w:t>,</w:t>
            </w:r>
            <w:r w:rsidR="0023372A" w:rsidRPr="005655AE">
              <w:rPr>
                <w:rFonts w:cs="Arial"/>
                <w:color w:val="000000"/>
              </w:rPr>
              <w:t>318</w:t>
            </w:r>
          </w:p>
        </w:tc>
      </w:tr>
      <w:tr w:rsidR="004F4CC4" w:rsidRPr="005655AE" w14:paraId="6363A97A" w14:textId="77777777" w:rsidTr="004F4CC4">
        <w:trPr>
          <w:trHeight w:val="296"/>
        </w:trPr>
        <w:tc>
          <w:tcPr>
            <w:tcW w:w="1835" w:type="dxa"/>
            <w:shd w:val="clear" w:color="auto" w:fill="D9D9D9" w:themeFill="background1" w:themeFillShade="D9"/>
            <w:vAlign w:val="center"/>
          </w:tcPr>
          <w:p w14:paraId="59007F37" w14:textId="496587E3" w:rsidR="004F4CC4" w:rsidRPr="005655AE" w:rsidRDefault="004F4CC4" w:rsidP="004F4CC4">
            <w:pPr>
              <w:autoSpaceDE w:val="0"/>
              <w:autoSpaceDN w:val="0"/>
              <w:adjustRightInd w:val="0"/>
              <w:spacing w:line="276" w:lineRule="auto"/>
              <w:ind w:left="90"/>
              <w:rPr>
                <w:rFonts w:cs="Arial"/>
                <w:color w:val="000000"/>
                <w:szCs w:val="22"/>
              </w:rPr>
            </w:pPr>
            <w:r>
              <w:rPr>
                <w:rFonts w:cs="Arial"/>
                <w:b/>
                <w:bCs/>
                <w:color w:val="000000"/>
                <w:szCs w:val="22"/>
              </w:rPr>
              <w:t xml:space="preserve">2.1 </w:t>
            </w:r>
            <w:r w:rsidRPr="005655AE">
              <w:rPr>
                <w:rFonts w:cs="Arial"/>
                <w:b/>
                <w:bCs/>
                <w:color w:val="000000"/>
                <w:szCs w:val="22"/>
              </w:rPr>
              <w:t>2016-2019</w:t>
            </w:r>
          </w:p>
        </w:tc>
        <w:tc>
          <w:tcPr>
            <w:tcW w:w="1920" w:type="dxa"/>
            <w:shd w:val="clear" w:color="auto" w:fill="D9D9D9" w:themeFill="background1" w:themeFillShade="D9"/>
            <w:vAlign w:val="bottom"/>
          </w:tcPr>
          <w:p w14:paraId="031D3B20" w14:textId="77777777"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1371DB72" w14:textId="77777777"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11FC6D53" w14:textId="77777777" w:rsidR="004F4CC4" w:rsidRPr="005655AE" w:rsidRDefault="004F4CC4" w:rsidP="004F4CC4">
            <w:pPr>
              <w:rPr>
                <w:rFonts w:cs="Arial"/>
                <w:color w:val="000000"/>
              </w:rPr>
            </w:pPr>
          </w:p>
        </w:tc>
        <w:tc>
          <w:tcPr>
            <w:tcW w:w="1690" w:type="dxa"/>
            <w:shd w:val="clear" w:color="auto" w:fill="D9D9D9" w:themeFill="background1" w:themeFillShade="D9"/>
            <w:vAlign w:val="bottom"/>
          </w:tcPr>
          <w:p w14:paraId="1BFAC985" w14:textId="77777777" w:rsidR="004F4CC4" w:rsidRPr="005655AE" w:rsidRDefault="004F4CC4" w:rsidP="004F4CC4">
            <w:pPr>
              <w:rPr>
                <w:rFonts w:cs="Arial"/>
                <w:color w:val="000000"/>
              </w:rPr>
            </w:pPr>
          </w:p>
        </w:tc>
        <w:tc>
          <w:tcPr>
            <w:tcW w:w="1616" w:type="dxa"/>
            <w:shd w:val="clear" w:color="auto" w:fill="D9D9D9" w:themeFill="background1" w:themeFillShade="D9"/>
            <w:vAlign w:val="bottom"/>
          </w:tcPr>
          <w:p w14:paraId="7F11A7EA" w14:textId="77777777" w:rsidR="004F4CC4" w:rsidRPr="005655AE" w:rsidRDefault="004F4CC4" w:rsidP="004F4CC4">
            <w:pPr>
              <w:autoSpaceDE w:val="0"/>
              <w:autoSpaceDN w:val="0"/>
              <w:adjustRightInd w:val="0"/>
              <w:spacing w:line="276" w:lineRule="auto"/>
              <w:rPr>
                <w:rFonts w:cs="Arial"/>
                <w:color w:val="000000"/>
              </w:rPr>
            </w:pPr>
          </w:p>
        </w:tc>
      </w:tr>
      <w:tr w:rsidR="004F4CC4" w:rsidRPr="005655AE" w14:paraId="2DF921DC" w14:textId="77777777" w:rsidTr="00024E5D">
        <w:trPr>
          <w:trHeight w:val="296"/>
        </w:trPr>
        <w:tc>
          <w:tcPr>
            <w:tcW w:w="1835" w:type="dxa"/>
            <w:shd w:val="clear" w:color="auto" w:fill="FFFFFF"/>
            <w:vAlign w:val="center"/>
          </w:tcPr>
          <w:p w14:paraId="2F95183D" w14:textId="074B76EA" w:rsidR="004F4CC4" w:rsidRPr="005655AE" w:rsidRDefault="004F4CC4" w:rsidP="004F4CC4">
            <w:pPr>
              <w:autoSpaceDE w:val="0"/>
              <w:autoSpaceDN w:val="0"/>
              <w:adjustRightInd w:val="0"/>
              <w:spacing w:line="276" w:lineRule="auto"/>
              <w:ind w:left="90"/>
              <w:rPr>
                <w:rFonts w:cs="Arial"/>
                <w:color w:val="000000"/>
                <w:szCs w:val="22"/>
              </w:rPr>
            </w:pPr>
            <w:r w:rsidRPr="005655AE">
              <w:rPr>
                <w:rFonts w:cs="Arial"/>
                <w:b/>
                <w:bCs/>
                <w:color w:val="000000"/>
                <w:szCs w:val="22"/>
              </w:rPr>
              <w:t>Current Policy</w:t>
            </w:r>
          </w:p>
        </w:tc>
        <w:tc>
          <w:tcPr>
            <w:tcW w:w="1920" w:type="dxa"/>
            <w:shd w:val="clear" w:color="auto" w:fill="FFFFFF"/>
            <w:vAlign w:val="bottom"/>
          </w:tcPr>
          <w:p w14:paraId="05CFAD50" w14:textId="751D984A" w:rsidR="004F4CC4" w:rsidRPr="005655AE" w:rsidRDefault="004F4CC4" w:rsidP="004F4CC4">
            <w:pPr>
              <w:spacing w:line="276" w:lineRule="auto"/>
              <w:rPr>
                <w:rFonts w:cs="Arial"/>
                <w:color w:val="000000"/>
              </w:rPr>
            </w:pPr>
            <w:r w:rsidRPr="005655AE">
              <w:rPr>
                <w:rFonts w:cs="Arial"/>
                <w:color w:val="000000"/>
                <w:szCs w:val="22"/>
              </w:rPr>
              <w:t>6,919,100</w:t>
            </w:r>
          </w:p>
        </w:tc>
        <w:tc>
          <w:tcPr>
            <w:tcW w:w="1550" w:type="dxa"/>
            <w:shd w:val="clear" w:color="auto" w:fill="FFFFFF"/>
            <w:vAlign w:val="bottom"/>
          </w:tcPr>
          <w:p w14:paraId="0B387EAD" w14:textId="0B685250" w:rsidR="004F4CC4" w:rsidRPr="005655AE" w:rsidRDefault="004F4CC4" w:rsidP="004F4CC4">
            <w:pPr>
              <w:spacing w:line="276" w:lineRule="auto"/>
              <w:rPr>
                <w:rFonts w:cs="Arial"/>
                <w:color w:val="000000"/>
              </w:rPr>
            </w:pPr>
            <w:r w:rsidRPr="005655AE">
              <w:rPr>
                <w:rFonts w:cs="Arial"/>
                <w:color w:val="000000"/>
                <w:szCs w:val="22"/>
              </w:rPr>
              <w:t>1,251.40</w:t>
            </w:r>
          </w:p>
        </w:tc>
        <w:tc>
          <w:tcPr>
            <w:tcW w:w="1550" w:type="dxa"/>
            <w:shd w:val="clear" w:color="auto" w:fill="FFFFFF"/>
            <w:vAlign w:val="bottom"/>
          </w:tcPr>
          <w:p w14:paraId="1160778F" w14:textId="3C2A6B41" w:rsidR="004F4CC4" w:rsidRPr="005655AE" w:rsidRDefault="004F4CC4" w:rsidP="004F4CC4">
            <w:pPr>
              <w:rPr>
                <w:rFonts w:cs="Arial"/>
                <w:color w:val="000000"/>
              </w:rPr>
            </w:pPr>
            <w:r w:rsidRPr="005655AE">
              <w:rPr>
                <w:rFonts w:cs="Arial"/>
                <w:color w:val="000000"/>
                <w:szCs w:val="22"/>
              </w:rPr>
              <w:t>NA</w:t>
            </w:r>
          </w:p>
        </w:tc>
        <w:tc>
          <w:tcPr>
            <w:tcW w:w="1690" w:type="dxa"/>
            <w:shd w:val="clear" w:color="auto" w:fill="FFFFFF"/>
            <w:vAlign w:val="bottom"/>
          </w:tcPr>
          <w:p w14:paraId="3CD77214" w14:textId="42616C30" w:rsidR="004F4CC4" w:rsidRPr="005655AE" w:rsidRDefault="004F4CC4" w:rsidP="004F4CC4">
            <w:pPr>
              <w:rPr>
                <w:rFonts w:cs="Arial"/>
                <w:color w:val="000000"/>
              </w:rPr>
            </w:pPr>
            <w:r w:rsidRPr="005655AE">
              <w:rPr>
                <w:rFonts w:cs="Arial"/>
                <w:color w:val="000000"/>
                <w:szCs w:val="22"/>
              </w:rPr>
              <w:t>NA</w:t>
            </w:r>
          </w:p>
        </w:tc>
        <w:tc>
          <w:tcPr>
            <w:tcW w:w="1616" w:type="dxa"/>
            <w:shd w:val="clear" w:color="auto" w:fill="FFFFFF"/>
            <w:vAlign w:val="bottom"/>
          </w:tcPr>
          <w:p w14:paraId="30404DE5" w14:textId="2E804388" w:rsidR="004F4CC4" w:rsidRPr="005655AE" w:rsidRDefault="004F4CC4" w:rsidP="004F4CC4">
            <w:pPr>
              <w:autoSpaceDE w:val="0"/>
              <w:autoSpaceDN w:val="0"/>
              <w:adjustRightInd w:val="0"/>
              <w:spacing w:line="276" w:lineRule="auto"/>
              <w:rPr>
                <w:rFonts w:cs="Arial"/>
                <w:color w:val="000000"/>
              </w:rPr>
            </w:pPr>
            <w:r w:rsidRPr="005655AE">
              <w:rPr>
                <w:rFonts w:cs="Arial"/>
                <w:color w:val="000000"/>
                <w:szCs w:val="22"/>
              </w:rPr>
              <w:t>NA</w:t>
            </w:r>
          </w:p>
        </w:tc>
      </w:tr>
      <w:tr w:rsidR="004F4CC4" w:rsidRPr="005655AE" w14:paraId="2E4CE03E" w14:textId="77777777" w:rsidTr="00024E5D">
        <w:trPr>
          <w:trHeight w:val="296"/>
        </w:trPr>
        <w:tc>
          <w:tcPr>
            <w:tcW w:w="1835" w:type="dxa"/>
            <w:shd w:val="clear" w:color="auto" w:fill="FFFFFF"/>
            <w:vAlign w:val="center"/>
          </w:tcPr>
          <w:p w14:paraId="4CBAE32A" w14:textId="09AB86EF" w:rsidR="004F4CC4" w:rsidRPr="005655AE" w:rsidRDefault="004F4CC4" w:rsidP="004F4CC4">
            <w:pPr>
              <w:autoSpaceDE w:val="0"/>
              <w:autoSpaceDN w:val="0"/>
              <w:adjustRightInd w:val="0"/>
              <w:spacing w:line="276" w:lineRule="auto"/>
              <w:ind w:left="90"/>
              <w:rPr>
                <w:rFonts w:cs="Arial"/>
                <w:color w:val="000000"/>
                <w:szCs w:val="22"/>
              </w:rPr>
            </w:pPr>
            <w:r w:rsidRPr="005655AE">
              <w:rPr>
                <w:rFonts w:cs="Arial"/>
                <w:b/>
                <w:bCs/>
                <w:color w:val="000000"/>
                <w:szCs w:val="22"/>
              </w:rPr>
              <w:t>Guidelines</w:t>
            </w:r>
          </w:p>
        </w:tc>
        <w:tc>
          <w:tcPr>
            <w:tcW w:w="1920" w:type="dxa"/>
            <w:shd w:val="clear" w:color="auto" w:fill="FFFFFF"/>
            <w:vAlign w:val="bottom"/>
          </w:tcPr>
          <w:p w14:paraId="38A98F36" w14:textId="14644017" w:rsidR="004F4CC4" w:rsidRPr="005655AE" w:rsidRDefault="004F4CC4" w:rsidP="004F4CC4">
            <w:pPr>
              <w:spacing w:line="276" w:lineRule="auto"/>
              <w:rPr>
                <w:rFonts w:cs="Arial"/>
                <w:color w:val="000000"/>
              </w:rPr>
            </w:pPr>
            <w:r w:rsidRPr="005655AE">
              <w:rPr>
                <w:rFonts w:cs="Arial"/>
                <w:color w:val="000000"/>
                <w:szCs w:val="22"/>
              </w:rPr>
              <w:t>8,042,900</w:t>
            </w:r>
          </w:p>
        </w:tc>
        <w:tc>
          <w:tcPr>
            <w:tcW w:w="1550" w:type="dxa"/>
            <w:shd w:val="clear" w:color="auto" w:fill="FFFFFF"/>
            <w:vAlign w:val="bottom"/>
          </w:tcPr>
          <w:p w14:paraId="5BE7D2FF" w14:textId="64FB6DD9" w:rsidR="004F4CC4" w:rsidRPr="005655AE" w:rsidRDefault="004F4CC4" w:rsidP="004F4CC4">
            <w:pPr>
              <w:spacing w:line="276" w:lineRule="auto"/>
              <w:rPr>
                <w:rFonts w:cs="Arial"/>
                <w:color w:val="000000"/>
              </w:rPr>
            </w:pPr>
            <w:r w:rsidRPr="005655AE">
              <w:rPr>
                <w:rFonts w:cs="Arial"/>
                <w:color w:val="000000"/>
                <w:szCs w:val="22"/>
              </w:rPr>
              <w:t>1,112.70</w:t>
            </w:r>
          </w:p>
        </w:tc>
        <w:tc>
          <w:tcPr>
            <w:tcW w:w="1550" w:type="dxa"/>
            <w:shd w:val="clear" w:color="auto" w:fill="FFFFFF"/>
            <w:vAlign w:val="bottom"/>
          </w:tcPr>
          <w:p w14:paraId="67966C4E" w14:textId="1CB20037" w:rsidR="004F4CC4" w:rsidRPr="005655AE" w:rsidRDefault="004F4CC4" w:rsidP="004F4CC4">
            <w:pPr>
              <w:rPr>
                <w:rFonts w:cs="Arial"/>
                <w:color w:val="000000"/>
              </w:rPr>
            </w:pPr>
            <w:r w:rsidRPr="00C97516">
              <w:rPr>
                <w:rFonts w:cs="Arial"/>
                <w:color w:val="000000"/>
                <w:szCs w:val="22"/>
              </w:rPr>
              <w:t>1,123,800</w:t>
            </w:r>
          </w:p>
        </w:tc>
        <w:tc>
          <w:tcPr>
            <w:tcW w:w="1690" w:type="dxa"/>
            <w:shd w:val="clear" w:color="auto" w:fill="FFFFFF"/>
            <w:vAlign w:val="bottom"/>
          </w:tcPr>
          <w:p w14:paraId="10C5ED37" w14:textId="73BF0469" w:rsidR="004F4CC4" w:rsidRPr="005655AE" w:rsidRDefault="004F4CC4" w:rsidP="004F4CC4">
            <w:pPr>
              <w:rPr>
                <w:rFonts w:cs="Arial"/>
                <w:color w:val="000000"/>
              </w:rPr>
            </w:pPr>
            <w:r w:rsidRPr="00C97516">
              <w:rPr>
                <w:rFonts w:cs="Arial"/>
                <w:color w:val="000000"/>
                <w:szCs w:val="22"/>
              </w:rPr>
              <w:t>138.70</w:t>
            </w:r>
          </w:p>
        </w:tc>
        <w:tc>
          <w:tcPr>
            <w:tcW w:w="1616" w:type="dxa"/>
            <w:shd w:val="clear" w:color="auto" w:fill="FFFFFF"/>
            <w:vAlign w:val="bottom"/>
          </w:tcPr>
          <w:p w14:paraId="142A1AA5" w14:textId="02192676" w:rsidR="004F4CC4" w:rsidRPr="005655AE" w:rsidRDefault="004F4CC4" w:rsidP="004F4CC4">
            <w:pPr>
              <w:autoSpaceDE w:val="0"/>
              <w:autoSpaceDN w:val="0"/>
              <w:adjustRightInd w:val="0"/>
              <w:spacing w:line="276" w:lineRule="auto"/>
              <w:rPr>
                <w:rFonts w:cs="Arial"/>
                <w:color w:val="000000"/>
              </w:rPr>
            </w:pPr>
            <w:r w:rsidRPr="005655AE">
              <w:rPr>
                <w:rFonts w:cs="Arial"/>
                <w:color w:val="000000"/>
                <w:szCs w:val="22"/>
              </w:rPr>
              <w:t>8</w:t>
            </w:r>
            <w:r>
              <w:rPr>
                <w:rFonts w:cs="Arial"/>
                <w:color w:val="000000"/>
                <w:szCs w:val="22"/>
              </w:rPr>
              <w:t>,</w:t>
            </w:r>
            <w:r w:rsidRPr="005655AE">
              <w:rPr>
                <w:rFonts w:cs="Arial"/>
                <w:color w:val="000000"/>
                <w:szCs w:val="22"/>
              </w:rPr>
              <w:t>102.4</w:t>
            </w:r>
          </w:p>
        </w:tc>
      </w:tr>
      <w:tr w:rsidR="004F4CC4" w:rsidRPr="005655AE" w14:paraId="5AA2AD8B" w14:textId="77777777" w:rsidTr="00024E5D">
        <w:trPr>
          <w:trHeight w:val="296"/>
        </w:trPr>
        <w:tc>
          <w:tcPr>
            <w:tcW w:w="1835" w:type="dxa"/>
            <w:shd w:val="clear" w:color="auto" w:fill="FFFFFF"/>
            <w:vAlign w:val="center"/>
          </w:tcPr>
          <w:p w14:paraId="74A9448A" w14:textId="19E52927" w:rsidR="004F4CC4" w:rsidRPr="005655AE" w:rsidRDefault="004F4CC4" w:rsidP="004F4CC4">
            <w:pPr>
              <w:autoSpaceDE w:val="0"/>
              <w:autoSpaceDN w:val="0"/>
              <w:adjustRightInd w:val="0"/>
              <w:spacing w:line="276" w:lineRule="auto"/>
              <w:ind w:left="90"/>
              <w:rPr>
                <w:rFonts w:cs="Arial"/>
                <w:color w:val="000000"/>
                <w:szCs w:val="22"/>
              </w:rPr>
            </w:pPr>
            <w:r w:rsidRPr="005655AE">
              <w:rPr>
                <w:rFonts w:cs="Arial"/>
                <w:color w:val="000000"/>
                <w:szCs w:val="22"/>
              </w:rPr>
              <w:t>95% Uncertainty</w:t>
            </w:r>
          </w:p>
        </w:tc>
        <w:tc>
          <w:tcPr>
            <w:tcW w:w="1920" w:type="dxa"/>
            <w:shd w:val="clear" w:color="auto" w:fill="FFFFFF"/>
            <w:vAlign w:val="bottom"/>
          </w:tcPr>
          <w:p w14:paraId="1CB745DD" w14:textId="07687E10" w:rsidR="004F4CC4" w:rsidRPr="005655AE" w:rsidRDefault="004F4CC4" w:rsidP="004F4CC4">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3E000022" w14:textId="4EB8DB77" w:rsidR="004F4CC4" w:rsidRPr="005655AE" w:rsidRDefault="004F4CC4" w:rsidP="004F4CC4">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2111F1D1" w14:textId="24C85227" w:rsidR="004F4CC4" w:rsidRPr="005655AE" w:rsidRDefault="004F4CC4" w:rsidP="004F4CC4">
            <w:pPr>
              <w:rPr>
                <w:rFonts w:cs="Arial"/>
                <w:color w:val="000000"/>
              </w:rPr>
            </w:pPr>
            <w:r w:rsidRPr="005655AE">
              <w:rPr>
                <w:rFonts w:cs="Arial"/>
                <w:color w:val="000000"/>
                <w:szCs w:val="22"/>
              </w:rPr>
              <w:t>416</w:t>
            </w:r>
            <w:r>
              <w:rPr>
                <w:rFonts w:cs="Arial"/>
                <w:color w:val="000000"/>
                <w:szCs w:val="22"/>
              </w:rPr>
              <w:t>,</w:t>
            </w:r>
            <w:r w:rsidRPr="005655AE">
              <w:rPr>
                <w:rFonts w:cs="Arial"/>
                <w:color w:val="000000"/>
                <w:szCs w:val="22"/>
              </w:rPr>
              <w:t>440;</w:t>
            </w:r>
            <w:r w:rsidRPr="005655AE">
              <w:rPr>
                <w:rFonts w:cs="Arial"/>
                <w:szCs w:val="22"/>
              </w:rPr>
              <w:t xml:space="preserve"> </w:t>
            </w:r>
            <w:r w:rsidRPr="005655AE">
              <w:rPr>
                <w:rFonts w:cs="Arial"/>
                <w:color w:val="000000"/>
                <w:szCs w:val="22"/>
              </w:rPr>
              <w:t>1</w:t>
            </w:r>
            <w:r>
              <w:rPr>
                <w:rFonts w:cs="Arial"/>
                <w:color w:val="000000"/>
                <w:szCs w:val="22"/>
              </w:rPr>
              <w:t>,</w:t>
            </w:r>
            <w:r w:rsidRPr="005655AE">
              <w:rPr>
                <w:rFonts w:cs="Arial"/>
                <w:color w:val="000000"/>
                <w:szCs w:val="22"/>
              </w:rPr>
              <w:t>938</w:t>
            </w:r>
            <w:r>
              <w:rPr>
                <w:rFonts w:cs="Arial"/>
                <w:color w:val="000000"/>
                <w:szCs w:val="22"/>
              </w:rPr>
              <w:t>,</w:t>
            </w:r>
            <w:r w:rsidRPr="005655AE">
              <w:rPr>
                <w:rFonts w:cs="Arial"/>
                <w:color w:val="000000"/>
                <w:szCs w:val="22"/>
              </w:rPr>
              <w:t>200</w:t>
            </w:r>
          </w:p>
        </w:tc>
        <w:tc>
          <w:tcPr>
            <w:tcW w:w="1690" w:type="dxa"/>
            <w:shd w:val="clear" w:color="auto" w:fill="FFFFFF"/>
            <w:vAlign w:val="bottom"/>
          </w:tcPr>
          <w:p w14:paraId="4876B41E" w14:textId="3404678D" w:rsidR="004F4CC4" w:rsidRPr="005655AE" w:rsidRDefault="004F4CC4" w:rsidP="004F4CC4">
            <w:pPr>
              <w:rPr>
                <w:rFonts w:cs="Arial"/>
                <w:color w:val="000000"/>
              </w:rPr>
            </w:pPr>
            <w:r w:rsidRPr="005655AE">
              <w:rPr>
                <w:rFonts w:cs="Arial"/>
                <w:color w:val="000000"/>
                <w:szCs w:val="22"/>
              </w:rPr>
              <w:t>39.412; 294.20</w:t>
            </w:r>
          </w:p>
        </w:tc>
        <w:tc>
          <w:tcPr>
            <w:tcW w:w="1616" w:type="dxa"/>
            <w:shd w:val="clear" w:color="auto" w:fill="FFFFFF"/>
            <w:vAlign w:val="bottom"/>
          </w:tcPr>
          <w:p w14:paraId="0CE8D0E6" w14:textId="28056DB5" w:rsidR="004F4CC4" w:rsidRPr="005655AE" w:rsidRDefault="004F4CC4" w:rsidP="004F4CC4">
            <w:pPr>
              <w:autoSpaceDE w:val="0"/>
              <w:autoSpaceDN w:val="0"/>
              <w:adjustRightInd w:val="0"/>
              <w:spacing w:line="276" w:lineRule="auto"/>
              <w:rPr>
                <w:rFonts w:cs="Arial"/>
                <w:color w:val="000000"/>
              </w:rPr>
            </w:pPr>
            <w:r w:rsidRPr="005655AE">
              <w:rPr>
                <w:rFonts w:cs="Arial"/>
                <w:color w:val="000000"/>
                <w:szCs w:val="22"/>
              </w:rPr>
              <w:t>2</w:t>
            </w:r>
            <w:r>
              <w:rPr>
                <w:rFonts w:cs="Arial"/>
                <w:color w:val="000000"/>
                <w:szCs w:val="22"/>
              </w:rPr>
              <w:t>,</w:t>
            </w:r>
            <w:r w:rsidRPr="005655AE">
              <w:rPr>
                <w:rFonts w:cs="Arial"/>
                <w:color w:val="000000"/>
                <w:szCs w:val="22"/>
              </w:rPr>
              <w:t>166.8; 33</w:t>
            </w:r>
            <w:r>
              <w:rPr>
                <w:rFonts w:cs="Arial"/>
                <w:color w:val="000000"/>
                <w:szCs w:val="22"/>
              </w:rPr>
              <w:t>,</w:t>
            </w:r>
            <w:r w:rsidRPr="005655AE">
              <w:rPr>
                <w:rFonts w:cs="Arial"/>
                <w:color w:val="000000"/>
                <w:szCs w:val="22"/>
              </w:rPr>
              <w:t>932</w:t>
            </w:r>
          </w:p>
        </w:tc>
      </w:tr>
      <w:tr w:rsidR="004F4CC4" w:rsidRPr="005655AE" w14:paraId="32948949" w14:textId="77777777" w:rsidTr="004F4CC4">
        <w:trPr>
          <w:trHeight w:val="296"/>
        </w:trPr>
        <w:tc>
          <w:tcPr>
            <w:tcW w:w="1835" w:type="dxa"/>
            <w:shd w:val="clear" w:color="auto" w:fill="D9D9D9" w:themeFill="background1" w:themeFillShade="D9"/>
            <w:vAlign w:val="center"/>
          </w:tcPr>
          <w:p w14:paraId="7441D0CB" w14:textId="42B6C193" w:rsidR="004F4CC4" w:rsidRPr="005655AE" w:rsidRDefault="004F4CC4" w:rsidP="004F4CC4">
            <w:pPr>
              <w:autoSpaceDE w:val="0"/>
              <w:autoSpaceDN w:val="0"/>
              <w:adjustRightInd w:val="0"/>
              <w:spacing w:line="276" w:lineRule="auto"/>
              <w:ind w:left="90"/>
              <w:rPr>
                <w:rFonts w:cs="Arial"/>
                <w:color w:val="000000"/>
                <w:szCs w:val="22"/>
              </w:rPr>
            </w:pPr>
            <w:r>
              <w:rPr>
                <w:rFonts w:cs="Arial"/>
                <w:b/>
                <w:bCs/>
                <w:color w:val="000000"/>
                <w:szCs w:val="22"/>
              </w:rPr>
              <w:t xml:space="preserve">2.2 </w:t>
            </w:r>
            <w:r w:rsidRPr="005655AE">
              <w:rPr>
                <w:rFonts w:cs="Arial"/>
                <w:b/>
                <w:bCs/>
                <w:color w:val="000000"/>
                <w:szCs w:val="22"/>
              </w:rPr>
              <w:t xml:space="preserve">2016-2019 + 5 years </w:t>
            </w:r>
          </w:p>
        </w:tc>
        <w:tc>
          <w:tcPr>
            <w:tcW w:w="1920" w:type="dxa"/>
            <w:shd w:val="clear" w:color="auto" w:fill="D9D9D9" w:themeFill="background1" w:themeFillShade="D9"/>
            <w:vAlign w:val="bottom"/>
          </w:tcPr>
          <w:p w14:paraId="1BF3E10D" w14:textId="77777777"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760D7960" w14:textId="77777777" w:rsidR="004F4CC4" w:rsidRPr="005655AE" w:rsidRDefault="004F4CC4" w:rsidP="004F4CC4">
            <w:pPr>
              <w:spacing w:line="276" w:lineRule="auto"/>
              <w:rPr>
                <w:rFonts w:cs="Arial"/>
                <w:color w:val="000000"/>
              </w:rPr>
            </w:pPr>
          </w:p>
        </w:tc>
        <w:tc>
          <w:tcPr>
            <w:tcW w:w="1550" w:type="dxa"/>
            <w:shd w:val="clear" w:color="auto" w:fill="D9D9D9" w:themeFill="background1" w:themeFillShade="D9"/>
            <w:vAlign w:val="bottom"/>
          </w:tcPr>
          <w:p w14:paraId="7DF646EA" w14:textId="77777777" w:rsidR="004F4CC4" w:rsidRPr="005655AE" w:rsidRDefault="004F4CC4" w:rsidP="004F4CC4">
            <w:pPr>
              <w:rPr>
                <w:rFonts w:cs="Arial"/>
                <w:color w:val="000000"/>
              </w:rPr>
            </w:pPr>
          </w:p>
        </w:tc>
        <w:tc>
          <w:tcPr>
            <w:tcW w:w="1690" w:type="dxa"/>
            <w:shd w:val="clear" w:color="auto" w:fill="D9D9D9" w:themeFill="background1" w:themeFillShade="D9"/>
            <w:vAlign w:val="bottom"/>
          </w:tcPr>
          <w:p w14:paraId="6C0B86B3" w14:textId="77777777" w:rsidR="004F4CC4" w:rsidRPr="005655AE" w:rsidRDefault="004F4CC4" w:rsidP="004F4CC4">
            <w:pPr>
              <w:rPr>
                <w:rFonts w:cs="Arial"/>
                <w:color w:val="000000"/>
              </w:rPr>
            </w:pPr>
          </w:p>
        </w:tc>
        <w:tc>
          <w:tcPr>
            <w:tcW w:w="1616" w:type="dxa"/>
            <w:shd w:val="clear" w:color="auto" w:fill="D9D9D9" w:themeFill="background1" w:themeFillShade="D9"/>
            <w:vAlign w:val="bottom"/>
          </w:tcPr>
          <w:p w14:paraId="113B7F6F" w14:textId="77777777" w:rsidR="004F4CC4" w:rsidRPr="005655AE" w:rsidRDefault="004F4CC4" w:rsidP="004F4CC4">
            <w:pPr>
              <w:autoSpaceDE w:val="0"/>
              <w:autoSpaceDN w:val="0"/>
              <w:adjustRightInd w:val="0"/>
              <w:spacing w:line="276" w:lineRule="auto"/>
              <w:rPr>
                <w:rFonts w:cs="Arial"/>
                <w:color w:val="000000"/>
              </w:rPr>
            </w:pPr>
          </w:p>
        </w:tc>
      </w:tr>
      <w:tr w:rsidR="004F4CC4" w:rsidRPr="005655AE" w14:paraId="7FF1294B" w14:textId="77777777" w:rsidTr="00024E5D">
        <w:trPr>
          <w:trHeight w:val="296"/>
        </w:trPr>
        <w:tc>
          <w:tcPr>
            <w:tcW w:w="1835" w:type="dxa"/>
            <w:shd w:val="clear" w:color="auto" w:fill="FFFFFF"/>
            <w:vAlign w:val="center"/>
          </w:tcPr>
          <w:p w14:paraId="0E5DF44F" w14:textId="2469B049" w:rsidR="004F4CC4" w:rsidRPr="005655AE" w:rsidRDefault="004F4CC4" w:rsidP="004F4CC4">
            <w:pPr>
              <w:autoSpaceDE w:val="0"/>
              <w:autoSpaceDN w:val="0"/>
              <w:adjustRightInd w:val="0"/>
              <w:spacing w:line="276" w:lineRule="auto"/>
              <w:ind w:left="90"/>
              <w:rPr>
                <w:rFonts w:cs="Arial"/>
                <w:color w:val="000000"/>
                <w:szCs w:val="22"/>
              </w:rPr>
            </w:pPr>
            <w:r w:rsidRPr="005655AE">
              <w:rPr>
                <w:rFonts w:cs="Arial"/>
                <w:b/>
                <w:bCs/>
                <w:color w:val="000000"/>
                <w:szCs w:val="22"/>
              </w:rPr>
              <w:t>Current Policy</w:t>
            </w:r>
          </w:p>
        </w:tc>
        <w:tc>
          <w:tcPr>
            <w:tcW w:w="1920" w:type="dxa"/>
            <w:shd w:val="clear" w:color="auto" w:fill="FFFFFF"/>
            <w:vAlign w:val="bottom"/>
          </w:tcPr>
          <w:p w14:paraId="457230DF" w14:textId="059CAEAC" w:rsidR="004F4CC4" w:rsidRPr="005655AE" w:rsidRDefault="004F4CC4" w:rsidP="004F4CC4">
            <w:pPr>
              <w:spacing w:line="276" w:lineRule="auto"/>
              <w:rPr>
                <w:rFonts w:cs="Arial"/>
                <w:color w:val="000000"/>
              </w:rPr>
            </w:pPr>
            <w:r w:rsidRPr="005655AE">
              <w:rPr>
                <w:rFonts w:cs="Arial"/>
                <w:color w:val="000000"/>
                <w:szCs w:val="22"/>
              </w:rPr>
              <w:t>14,541,000</w:t>
            </w:r>
          </w:p>
        </w:tc>
        <w:tc>
          <w:tcPr>
            <w:tcW w:w="1550" w:type="dxa"/>
            <w:shd w:val="clear" w:color="auto" w:fill="FFFFFF"/>
            <w:vAlign w:val="bottom"/>
          </w:tcPr>
          <w:p w14:paraId="48C9C15D" w14:textId="66E5C144" w:rsidR="004F4CC4" w:rsidRPr="005655AE" w:rsidRDefault="004F4CC4" w:rsidP="004F4CC4">
            <w:pPr>
              <w:spacing w:line="276" w:lineRule="auto"/>
              <w:rPr>
                <w:rFonts w:cs="Arial"/>
                <w:color w:val="000000"/>
              </w:rPr>
            </w:pPr>
            <w:r w:rsidRPr="005655AE">
              <w:rPr>
                <w:rFonts w:cs="Arial"/>
                <w:color w:val="000000"/>
                <w:szCs w:val="22"/>
              </w:rPr>
              <w:t>2,640.20</w:t>
            </w:r>
          </w:p>
        </w:tc>
        <w:tc>
          <w:tcPr>
            <w:tcW w:w="1550" w:type="dxa"/>
            <w:shd w:val="clear" w:color="auto" w:fill="FFFFFF"/>
            <w:vAlign w:val="bottom"/>
          </w:tcPr>
          <w:p w14:paraId="7F0BEB44" w14:textId="1734442B" w:rsidR="004F4CC4" w:rsidRPr="005655AE" w:rsidRDefault="004F4CC4" w:rsidP="004F4CC4">
            <w:pPr>
              <w:rPr>
                <w:rFonts w:cs="Arial"/>
                <w:color w:val="000000"/>
              </w:rPr>
            </w:pPr>
            <w:r w:rsidRPr="005655AE">
              <w:rPr>
                <w:rFonts w:cs="Arial"/>
                <w:color w:val="000000"/>
                <w:szCs w:val="22"/>
              </w:rPr>
              <w:t>NA</w:t>
            </w:r>
          </w:p>
        </w:tc>
        <w:tc>
          <w:tcPr>
            <w:tcW w:w="1690" w:type="dxa"/>
            <w:shd w:val="clear" w:color="auto" w:fill="FFFFFF"/>
            <w:vAlign w:val="bottom"/>
          </w:tcPr>
          <w:p w14:paraId="074D91C8" w14:textId="4B27DFC4" w:rsidR="004F4CC4" w:rsidRPr="005655AE" w:rsidRDefault="004F4CC4" w:rsidP="004F4CC4">
            <w:pPr>
              <w:rPr>
                <w:rFonts w:cs="Arial"/>
                <w:color w:val="000000"/>
              </w:rPr>
            </w:pPr>
            <w:r w:rsidRPr="005655AE">
              <w:rPr>
                <w:rFonts w:cs="Arial"/>
                <w:color w:val="000000"/>
                <w:szCs w:val="22"/>
              </w:rPr>
              <w:t>NA</w:t>
            </w:r>
          </w:p>
        </w:tc>
        <w:tc>
          <w:tcPr>
            <w:tcW w:w="1616" w:type="dxa"/>
            <w:shd w:val="clear" w:color="auto" w:fill="FFFFFF"/>
            <w:vAlign w:val="bottom"/>
          </w:tcPr>
          <w:p w14:paraId="45DE65B8" w14:textId="53C03A3E" w:rsidR="004F4CC4" w:rsidRPr="005655AE" w:rsidRDefault="004F4CC4" w:rsidP="004F4CC4">
            <w:pPr>
              <w:autoSpaceDE w:val="0"/>
              <w:autoSpaceDN w:val="0"/>
              <w:adjustRightInd w:val="0"/>
              <w:spacing w:line="276" w:lineRule="auto"/>
              <w:rPr>
                <w:rFonts w:cs="Arial"/>
                <w:color w:val="000000"/>
              </w:rPr>
            </w:pPr>
            <w:r w:rsidRPr="005655AE">
              <w:rPr>
                <w:rFonts w:cs="Arial"/>
                <w:color w:val="000000"/>
                <w:szCs w:val="22"/>
              </w:rPr>
              <w:t>NA</w:t>
            </w:r>
          </w:p>
        </w:tc>
      </w:tr>
      <w:tr w:rsidR="004F4CC4" w:rsidRPr="005655AE" w14:paraId="16DD9635" w14:textId="77777777" w:rsidTr="00024E5D">
        <w:trPr>
          <w:trHeight w:val="296"/>
        </w:trPr>
        <w:tc>
          <w:tcPr>
            <w:tcW w:w="1835" w:type="dxa"/>
            <w:shd w:val="clear" w:color="auto" w:fill="FFFFFF"/>
            <w:vAlign w:val="center"/>
          </w:tcPr>
          <w:p w14:paraId="5A4A537D" w14:textId="108746C6" w:rsidR="004F4CC4" w:rsidRPr="005655AE" w:rsidRDefault="004F4CC4" w:rsidP="004F4CC4">
            <w:pPr>
              <w:autoSpaceDE w:val="0"/>
              <w:autoSpaceDN w:val="0"/>
              <w:adjustRightInd w:val="0"/>
              <w:spacing w:line="276" w:lineRule="auto"/>
              <w:ind w:left="90"/>
              <w:rPr>
                <w:rFonts w:cs="Arial"/>
                <w:color w:val="000000"/>
                <w:szCs w:val="22"/>
              </w:rPr>
            </w:pPr>
            <w:r w:rsidRPr="005655AE">
              <w:rPr>
                <w:rFonts w:cs="Arial"/>
                <w:b/>
                <w:bCs/>
                <w:color w:val="000000"/>
                <w:szCs w:val="22"/>
              </w:rPr>
              <w:t>Guidelines</w:t>
            </w:r>
          </w:p>
        </w:tc>
        <w:tc>
          <w:tcPr>
            <w:tcW w:w="1920" w:type="dxa"/>
            <w:shd w:val="clear" w:color="auto" w:fill="FFFFFF"/>
            <w:vAlign w:val="bottom"/>
          </w:tcPr>
          <w:p w14:paraId="7071CE3B" w14:textId="30B2E323" w:rsidR="004F4CC4" w:rsidRPr="005655AE" w:rsidRDefault="004F4CC4" w:rsidP="004F4CC4">
            <w:pPr>
              <w:spacing w:line="276" w:lineRule="auto"/>
              <w:rPr>
                <w:rFonts w:cs="Arial"/>
                <w:color w:val="000000"/>
              </w:rPr>
            </w:pPr>
            <w:r w:rsidRPr="005655AE">
              <w:rPr>
                <w:rFonts w:cs="Arial"/>
                <w:color w:val="000000"/>
                <w:szCs w:val="22"/>
              </w:rPr>
              <w:t>15,494,000</w:t>
            </w:r>
          </w:p>
        </w:tc>
        <w:tc>
          <w:tcPr>
            <w:tcW w:w="1550" w:type="dxa"/>
            <w:shd w:val="clear" w:color="auto" w:fill="FFFFFF"/>
            <w:vAlign w:val="bottom"/>
          </w:tcPr>
          <w:p w14:paraId="590195E2" w14:textId="59C07AF3" w:rsidR="004F4CC4" w:rsidRPr="005655AE" w:rsidRDefault="004F4CC4" w:rsidP="004F4CC4">
            <w:pPr>
              <w:spacing w:line="276" w:lineRule="auto"/>
              <w:rPr>
                <w:rFonts w:cs="Arial"/>
                <w:color w:val="000000"/>
              </w:rPr>
            </w:pPr>
            <w:r w:rsidRPr="005655AE">
              <w:rPr>
                <w:rFonts w:cs="Arial"/>
                <w:color w:val="000000"/>
                <w:szCs w:val="22"/>
              </w:rPr>
              <w:t>2,433.90</w:t>
            </w:r>
          </w:p>
        </w:tc>
        <w:tc>
          <w:tcPr>
            <w:tcW w:w="1550" w:type="dxa"/>
            <w:shd w:val="clear" w:color="auto" w:fill="FFFFFF"/>
            <w:vAlign w:val="bottom"/>
          </w:tcPr>
          <w:p w14:paraId="2CDFE109" w14:textId="48398FD2" w:rsidR="004F4CC4" w:rsidRPr="005655AE" w:rsidRDefault="004F4CC4" w:rsidP="004F4CC4">
            <w:pPr>
              <w:rPr>
                <w:rFonts w:cs="Arial"/>
                <w:color w:val="000000"/>
              </w:rPr>
            </w:pPr>
            <w:r w:rsidRPr="005655AE">
              <w:rPr>
                <w:rFonts w:cs="Arial"/>
                <w:color w:val="000000"/>
                <w:szCs w:val="22"/>
              </w:rPr>
              <w:t>953</w:t>
            </w:r>
            <w:r>
              <w:rPr>
                <w:rFonts w:cs="Arial"/>
                <w:color w:val="000000"/>
                <w:szCs w:val="22"/>
              </w:rPr>
              <w:t>,</w:t>
            </w:r>
            <w:r w:rsidRPr="005655AE">
              <w:rPr>
                <w:rFonts w:cs="Arial"/>
                <w:color w:val="000000"/>
                <w:szCs w:val="22"/>
              </w:rPr>
              <w:t>000</w:t>
            </w:r>
          </w:p>
        </w:tc>
        <w:tc>
          <w:tcPr>
            <w:tcW w:w="1690" w:type="dxa"/>
            <w:shd w:val="clear" w:color="auto" w:fill="FFFFFF"/>
            <w:vAlign w:val="bottom"/>
          </w:tcPr>
          <w:p w14:paraId="23C8D942" w14:textId="634F596F" w:rsidR="004F4CC4" w:rsidRPr="005655AE" w:rsidRDefault="004F4CC4" w:rsidP="004F4CC4">
            <w:pPr>
              <w:rPr>
                <w:rFonts w:cs="Arial"/>
                <w:color w:val="000000"/>
              </w:rPr>
            </w:pPr>
            <w:r w:rsidRPr="00C97516">
              <w:rPr>
                <w:rFonts w:cs="Arial"/>
                <w:color w:val="000000"/>
                <w:szCs w:val="22"/>
              </w:rPr>
              <w:t>206.30</w:t>
            </w:r>
          </w:p>
        </w:tc>
        <w:tc>
          <w:tcPr>
            <w:tcW w:w="1616" w:type="dxa"/>
            <w:shd w:val="clear" w:color="auto" w:fill="FFFFFF"/>
            <w:vAlign w:val="bottom"/>
          </w:tcPr>
          <w:p w14:paraId="6B437B49" w14:textId="7626D19C" w:rsidR="004F4CC4" w:rsidRPr="005655AE" w:rsidRDefault="004F4CC4" w:rsidP="004F4CC4">
            <w:pPr>
              <w:autoSpaceDE w:val="0"/>
              <w:autoSpaceDN w:val="0"/>
              <w:adjustRightInd w:val="0"/>
              <w:spacing w:line="276" w:lineRule="auto"/>
              <w:rPr>
                <w:rFonts w:cs="Arial"/>
                <w:color w:val="000000"/>
              </w:rPr>
            </w:pPr>
            <w:r w:rsidRPr="005655AE">
              <w:rPr>
                <w:rFonts w:cs="Arial"/>
                <w:color w:val="000000"/>
                <w:szCs w:val="22"/>
              </w:rPr>
              <w:t>4</w:t>
            </w:r>
            <w:r>
              <w:rPr>
                <w:rFonts w:cs="Arial"/>
                <w:color w:val="000000"/>
                <w:szCs w:val="22"/>
              </w:rPr>
              <w:t>,</w:t>
            </w:r>
            <w:r w:rsidRPr="005655AE">
              <w:rPr>
                <w:rFonts w:cs="Arial"/>
                <w:color w:val="000000"/>
                <w:szCs w:val="22"/>
              </w:rPr>
              <w:t>619.5</w:t>
            </w:r>
          </w:p>
        </w:tc>
      </w:tr>
      <w:tr w:rsidR="004F4CC4" w:rsidRPr="005655AE" w14:paraId="38E6345E" w14:textId="77777777" w:rsidTr="00024E5D">
        <w:trPr>
          <w:trHeight w:val="296"/>
        </w:trPr>
        <w:tc>
          <w:tcPr>
            <w:tcW w:w="1835" w:type="dxa"/>
            <w:shd w:val="clear" w:color="auto" w:fill="FFFFFF"/>
            <w:vAlign w:val="center"/>
          </w:tcPr>
          <w:p w14:paraId="626DE58C" w14:textId="4A444927" w:rsidR="004F4CC4" w:rsidRPr="005655AE" w:rsidRDefault="004F4CC4" w:rsidP="004F4CC4">
            <w:pPr>
              <w:autoSpaceDE w:val="0"/>
              <w:autoSpaceDN w:val="0"/>
              <w:adjustRightInd w:val="0"/>
              <w:spacing w:line="276" w:lineRule="auto"/>
              <w:ind w:left="90"/>
              <w:rPr>
                <w:rFonts w:cs="Arial"/>
                <w:color w:val="000000"/>
                <w:szCs w:val="22"/>
              </w:rPr>
            </w:pPr>
            <w:r w:rsidRPr="005655AE">
              <w:rPr>
                <w:rFonts w:cs="Arial"/>
                <w:color w:val="000000"/>
                <w:szCs w:val="22"/>
              </w:rPr>
              <w:t>95% Uncertainty</w:t>
            </w:r>
          </w:p>
        </w:tc>
        <w:tc>
          <w:tcPr>
            <w:tcW w:w="1920" w:type="dxa"/>
            <w:shd w:val="clear" w:color="auto" w:fill="FFFFFF"/>
            <w:vAlign w:val="bottom"/>
          </w:tcPr>
          <w:p w14:paraId="2D0C26D1" w14:textId="38B74432" w:rsidR="004F4CC4" w:rsidRPr="005655AE" w:rsidRDefault="004F4CC4" w:rsidP="004F4CC4">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4639FC89" w14:textId="69C002A3" w:rsidR="004F4CC4" w:rsidRPr="005655AE" w:rsidRDefault="004F4CC4" w:rsidP="004F4CC4">
            <w:pPr>
              <w:spacing w:line="276" w:lineRule="auto"/>
              <w:rPr>
                <w:rFonts w:cs="Arial"/>
                <w:color w:val="000000"/>
              </w:rPr>
            </w:pPr>
            <w:r w:rsidRPr="005655AE">
              <w:rPr>
                <w:rFonts w:cs="Arial"/>
                <w:color w:val="000000"/>
                <w:szCs w:val="22"/>
              </w:rPr>
              <w:t>NA</w:t>
            </w:r>
          </w:p>
        </w:tc>
        <w:tc>
          <w:tcPr>
            <w:tcW w:w="1550" w:type="dxa"/>
            <w:shd w:val="clear" w:color="auto" w:fill="FFFFFF"/>
            <w:vAlign w:val="bottom"/>
          </w:tcPr>
          <w:p w14:paraId="399A0117" w14:textId="06320434" w:rsidR="004F4CC4" w:rsidRPr="005655AE" w:rsidRDefault="004F4CC4" w:rsidP="004F4CC4">
            <w:pPr>
              <w:rPr>
                <w:rFonts w:cs="Arial"/>
                <w:color w:val="000000"/>
              </w:rPr>
            </w:pPr>
            <w:r w:rsidRPr="005655AE">
              <w:rPr>
                <w:rFonts w:cs="Arial"/>
                <w:color w:val="000000"/>
                <w:szCs w:val="22"/>
              </w:rPr>
              <w:t>202</w:t>
            </w:r>
            <w:r>
              <w:rPr>
                <w:rFonts w:cs="Arial"/>
                <w:color w:val="000000"/>
                <w:szCs w:val="22"/>
              </w:rPr>
              <w:t>,</w:t>
            </w:r>
            <w:r w:rsidRPr="005655AE">
              <w:rPr>
                <w:rFonts w:cs="Arial"/>
                <w:color w:val="000000"/>
                <w:szCs w:val="22"/>
              </w:rPr>
              <w:t>170;</w:t>
            </w:r>
            <w:r w:rsidRPr="005655AE">
              <w:rPr>
                <w:rFonts w:cs="Arial"/>
                <w:szCs w:val="22"/>
              </w:rPr>
              <w:t xml:space="preserve"> </w:t>
            </w:r>
            <w:r w:rsidRPr="005655AE">
              <w:rPr>
                <w:rFonts w:cs="Arial"/>
                <w:color w:val="000000"/>
                <w:szCs w:val="22"/>
              </w:rPr>
              <w:t>1</w:t>
            </w:r>
            <w:r>
              <w:rPr>
                <w:rFonts w:cs="Arial"/>
                <w:color w:val="000000"/>
                <w:szCs w:val="22"/>
              </w:rPr>
              <w:t>,</w:t>
            </w:r>
            <w:r w:rsidRPr="005655AE">
              <w:rPr>
                <w:rFonts w:cs="Arial"/>
                <w:color w:val="000000"/>
                <w:szCs w:val="22"/>
              </w:rPr>
              <w:t>785</w:t>
            </w:r>
            <w:r>
              <w:rPr>
                <w:rFonts w:cs="Arial"/>
                <w:color w:val="000000"/>
                <w:szCs w:val="22"/>
              </w:rPr>
              <w:t>,</w:t>
            </w:r>
            <w:r w:rsidRPr="005655AE">
              <w:rPr>
                <w:rFonts w:cs="Arial"/>
                <w:color w:val="000000"/>
                <w:szCs w:val="22"/>
              </w:rPr>
              <w:t>400</w:t>
            </w:r>
          </w:p>
        </w:tc>
        <w:tc>
          <w:tcPr>
            <w:tcW w:w="1690" w:type="dxa"/>
            <w:shd w:val="clear" w:color="auto" w:fill="FFFFFF"/>
            <w:vAlign w:val="bottom"/>
          </w:tcPr>
          <w:p w14:paraId="6428A9B8" w14:textId="47D80253" w:rsidR="004F4CC4" w:rsidRPr="005655AE" w:rsidRDefault="004F4CC4" w:rsidP="004F4CC4">
            <w:pPr>
              <w:rPr>
                <w:rFonts w:cs="Arial"/>
                <w:color w:val="000000"/>
              </w:rPr>
            </w:pPr>
            <w:r w:rsidRPr="005655AE">
              <w:rPr>
                <w:rFonts w:cs="Arial"/>
                <w:color w:val="000000"/>
                <w:szCs w:val="22"/>
              </w:rPr>
              <w:t>57.967; 446.97</w:t>
            </w:r>
          </w:p>
        </w:tc>
        <w:tc>
          <w:tcPr>
            <w:tcW w:w="1616" w:type="dxa"/>
            <w:shd w:val="clear" w:color="auto" w:fill="FFFFFF"/>
            <w:vAlign w:val="bottom"/>
          </w:tcPr>
          <w:p w14:paraId="0703D3EF" w14:textId="44DE1646" w:rsidR="004F4CC4" w:rsidRPr="005655AE" w:rsidRDefault="004F4CC4" w:rsidP="004F4CC4">
            <w:pPr>
              <w:autoSpaceDE w:val="0"/>
              <w:autoSpaceDN w:val="0"/>
              <w:adjustRightInd w:val="0"/>
              <w:spacing w:line="276" w:lineRule="auto"/>
              <w:rPr>
                <w:rFonts w:cs="Arial"/>
                <w:color w:val="000000"/>
              </w:rPr>
            </w:pPr>
            <w:r w:rsidRPr="00C97516">
              <w:rPr>
                <w:rFonts w:cs="Arial"/>
                <w:color w:val="000000"/>
                <w:szCs w:val="22"/>
              </w:rPr>
              <w:t>695.70</w:t>
            </w:r>
            <w:r w:rsidRPr="005655AE">
              <w:rPr>
                <w:rFonts w:cs="Arial"/>
                <w:color w:val="000000"/>
                <w:szCs w:val="22"/>
              </w:rPr>
              <w:t>;</w:t>
            </w:r>
            <w:r w:rsidRPr="005655AE">
              <w:rPr>
                <w:rFonts w:cs="Arial"/>
                <w:szCs w:val="22"/>
              </w:rPr>
              <w:t xml:space="preserve"> </w:t>
            </w:r>
            <w:r w:rsidRPr="005655AE">
              <w:rPr>
                <w:rFonts w:cs="Arial"/>
                <w:color w:val="000000"/>
                <w:szCs w:val="22"/>
              </w:rPr>
              <w:t>21</w:t>
            </w:r>
            <w:r>
              <w:rPr>
                <w:rFonts w:cs="Arial"/>
                <w:color w:val="000000"/>
                <w:szCs w:val="22"/>
              </w:rPr>
              <w:t>,</w:t>
            </w:r>
            <w:r w:rsidRPr="005655AE">
              <w:rPr>
                <w:rFonts w:cs="Arial"/>
                <w:color w:val="000000"/>
                <w:szCs w:val="22"/>
              </w:rPr>
              <w:t>426</w:t>
            </w:r>
          </w:p>
        </w:tc>
      </w:tr>
    </w:tbl>
    <w:p w14:paraId="3A77BA41" w14:textId="77777777" w:rsidR="00FA53FA" w:rsidRPr="00176852" w:rsidRDefault="00FA53FA" w:rsidP="00FA53FA">
      <w:pPr>
        <w:spacing w:line="276" w:lineRule="auto"/>
        <w:rPr>
          <w:rFonts w:cs="Arial"/>
          <w:b/>
          <w:bCs/>
          <w:szCs w:val="22"/>
        </w:rPr>
      </w:pPr>
    </w:p>
    <w:p w14:paraId="5B36252B" w14:textId="77777777" w:rsidR="00FA53FA" w:rsidRPr="00176852" w:rsidRDefault="00FA53FA" w:rsidP="00FA53FA">
      <w:pPr>
        <w:spacing w:line="276" w:lineRule="auto"/>
        <w:rPr>
          <w:rFonts w:cs="Arial"/>
          <w:szCs w:val="22"/>
        </w:rPr>
      </w:pPr>
    </w:p>
    <w:p w14:paraId="2D034442" w14:textId="77777777" w:rsidR="008B4A6A" w:rsidRDefault="008B4A6A">
      <w:pPr>
        <w:rPr>
          <w:szCs w:val="22"/>
        </w:rPr>
      </w:pPr>
    </w:p>
    <w:p w14:paraId="48929A67" w14:textId="149028B5" w:rsidR="008B4A6A" w:rsidRDefault="008B4A6A" w:rsidP="00EE4F06">
      <w:pPr>
        <w:sectPr w:rsidR="008B4A6A" w:rsidSect="00D5043F">
          <w:pgSz w:w="12240" w:h="15840"/>
          <w:pgMar w:top="1440" w:right="1440" w:bottom="1440" w:left="1440" w:header="720" w:footer="720" w:gutter="0"/>
          <w:cols w:space="720"/>
          <w:docGrid w:linePitch="360"/>
        </w:sectPr>
      </w:pPr>
    </w:p>
    <w:p w14:paraId="3B3A46CC" w14:textId="0810856E" w:rsidR="00FA53FA" w:rsidRPr="00DC5EDD" w:rsidRDefault="00FA53FA" w:rsidP="00DC5EDD">
      <w:pPr>
        <w:pStyle w:val="ListParagraph"/>
        <w:numPr>
          <w:ilvl w:val="0"/>
          <w:numId w:val="1"/>
        </w:numPr>
        <w:rPr>
          <w:b/>
          <w:bCs/>
          <w:sz w:val="28"/>
          <w:szCs w:val="32"/>
        </w:rPr>
      </w:pPr>
      <w:r w:rsidRPr="00DC5EDD">
        <w:rPr>
          <w:b/>
          <w:bCs/>
          <w:sz w:val="28"/>
          <w:szCs w:val="32"/>
        </w:rPr>
        <w:lastRenderedPageBreak/>
        <w:t>Results discounting to the year of infection</w:t>
      </w:r>
    </w:p>
    <w:p w14:paraId="45BAD0BB" w14:textId="77777777" w:rsidR="00FA53FA" w:rsidRDefault="00FA53FA" w:rsidP="00FA53FA">
      <w:pPr>
        <w:rPr>
          <w:b/>
          <w:bCs/>
        </w:rPr>
      </w:pPr>
    </w:p>
    <w:p w14:paraId="3DDBFDAA" w14:textId="2AE02A81" w:rsidR="00C0658E" w:rsidRPr="00176852" w:rsidRDefault="00FA53FA" w:rsidP="00C0658E">
      <w:pPr>
        <w:spacing w:line="276" w:lineRule="auto"/>
        <w:rPr>
          <w:rFonts w:cs="Arial"/>
          <w:szCs w:val="22"/>
        </w:rPr>
      </w:pPr>
      <w:r w:rsidRPr="00176852">
        <w:rPr>
          <w:rFonts w:cs="Arial"/>
          <w:b/>
          <w:bCs/>
          <w:szCs w:val="22"/>
        </w:rPr>
        <w:t>Table S</w:t>
      </w:r>
      <w:r>
        <w:rPr>
          <w:rFonts w:cs="Arial"/>
          <w:b/>
          <w:bCs/>
          <w:szCs w:val="22"/>
        </w:rPr>
        <w:t>6</w:t>
      </w:r>
      <w:r w:rsidRPr="00176852">
        <w:rPr>
          <w:rFonts w:cs="Arial"/>
          <w:szCs w:val="22"/>
        </w:rPr>
        <w:t>. Incremental costs and benefits and cost-effectiveness ratio for the current policy compared to no screening and no partner notification (PN).</w:t>
      </w:r>
      <w:r w:rsidR="00C0658E">
        <w:rPr>
          <w:rFonts w:cs="Arial"/>
          <w:szCs w:val="22"/>
        </w:rPr>
        <w:t xml:space="preserve"> Costs are in 20</w:t>
      </w:r>
      <w:r w:rsidR="00414952">
        <w:rPr>
          <w:rFonts w:cs="Arial"/>
          <w:szCs w:val="22"/>
        </w:rPr>
        <w:t>2</w:t>
      </w:r>
      <w:r w:rsidR="00C0658E">
        <w:rPr>
          <w:rFonts w:cs="Arial"/>
          <w:szCs w:val="22"/>
        </w:rPr>
        <w:t>0 US dollars.</w:t>
      </w:r>
      <w:r w:rsidR="00C0658E" w:rsidRPr="00176852">
        <w:rPr>
          <w:rFonts w:cs="Arial"/>
          <w:szCs w:val="22"/>
        </w:rPr>
        <w:t xml:space="preserve"> </w:t>
      </w:r>
      <w:r w:rsidR="00C0658E">
        <w:rPr>
          <w:rFonts w:cs="Arial"/>
          <w:szCs w:val="22"/>
        </w:rPr>
        <w:t>All results are s</w:t>
      </w:r>
      <w:r w:rsidR="00C0658E" w:rsidRPr="00176852">
        <w:rPr>
          <w:rFonts w:cs="Arial"/>
          <w:szCs w:val="22"/>
        </w:rPr>
        <w:t>hown to 5 significant digits</w:t>
      </w:r>
      <w:r w:rsidR="00C0658E">
        <w:rPr>
          <w:rFonts w:cs="Arial"/>
          <w:szCs w:val="22"/>
        </w:rPr>
        <w:t>.</w:t>
      </w:r>
    </w:p>
    <w:p w14:paraId="67EA331D" w14:textId="77777777" w:rsidR="00FA53FA" w:rsidRPr="00176852" w:rsidRDefault="00FA53FA" w:rsidP="00FA53FA">
      <w:pPr>
        <w:spacing w:line="276" w:lineRule="auto"/>
        <w:rPr>
          <w:rFonts w:cs="Arial"/>
          <w:szCs w:val="22"/>
        </w:rPr>
      </w:pPr>
    </w:p>
    <w:tbl>
      <w:tblPr>
        <w:tblpPr w:leftFromText="180" w:rightFromText="180" w:vertAnchor="text" w:horzAnchor="margin" w:tblpY="-37"/>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35"/>
        <w:gridCol w:w="1866"/>
        <w:gridCol w:w="1550"/>
        <w:gridCol w:w="1550"/>
        <w:gridCol w:w="1690"/>
        <w:gridCol w:w="1616"/>
      </w:tblGrid>
      <w:tr w:rsidR="00FA53FA" w:rsidRPr="00DA00A9" w14:paraId="25602333" w14:textId="77777777" w:rsidTr="00AB1958">
        <w:trPr>
          <w:trHeight w:val="296"/>
        </w:trPr>
        <w:tc>
          <w:tcPr>
            <w:tcW w:w="1835" w:type="dxa"/>
            <w:shd w:val="clear" w:color="auto" w:fill="FFFFFF"/>
            <w:vAlign w:val="center"/>
          </w:tcPr>
          <w:p w14:paraId="1EB7CC69" w14:textId="77777777" w:rsidR="00FA53FA" w:rsidRPr="00DA00A9" w:rsidRDefault="00FA53FA" w:rsidP="00995D02">
            <w:pPr>
              <w:autoSpaceDE w:val="0"/>
              <w:autoSpaceDN w:val="0"/>
              <w:adjustRightInd w:val="0"/>
              <w:spacing w:line="276" w:lineRule="auto"/>
              <w:rPr>
                <w:rFonts w:cs="Arial"/>
                <w:b/>
                <w:bCs/>
                <w:color w:val="000000"/>
                <w:szCs w:val="22"/>
              </w:rPr>
            </w:pPr>
            <w:r w:rsidRPr="00DA00A9">
              <w:rPr>
                <w:rFonts w:cs="Arial"/>
                <w:b/>
                <w:bCs/>
                <w:color w:val="000000"/>
                <w:szCs w:val="22"/>
              </w:rPr>
              <w:t>Scenario</w:t>
            </w:r>
          </w:p>
        </w:tc>
        <w:tc>
          <w:tcPr>
            <w:tcW w:w="1866" w:type="dxa"/>
            <w:shd w:val="clear" w:color="auto" w:fill="FFFFFF"/>
            <w:vAlign w:val="center"/>
          </w:tcPr>
          <w:p w14:paraId="0C2988B4" w14:textId="77777777" w:rsidR="00FA53FA" w:rsidRPr="00DA00A9" w:rsidRDefault="00FA53FA" w:rsidP="00995D02">
            <w:pPr>
              <w:spacing w:line="276" w:lineRule="auto"/>
              <w:rPr>
                <w:rFonts w:cs="Arial"/>
                <w:b/>
                <w:bCs/>
                <w:szCs w:val="22"/>
              </w:rPr>
            </w:pPr>
            <w:r w:rsidRPr="00DA00A9">
              <w:rPr>
                <w:rFonts w:cs="Arial"/>
                <w:b/>
                <w:bCs/>
                <w:szCs w:val="22"/>
              </w:rPr>
              <w:t>Cumulative costs in ‘000s</w:t>
            </w:r>
          </w:p>
          <w:p w14:paraId="086E6DFB" w14:textId="36659CB2" w:rsidR="00FA53FA" w:rsidRPr="00DA00A9" w:rsidRDefault="00FA53FA" w:rsidP="00995D02">
            <w:pPr>
              <w:autoSpaceDE w:val="0"/>
              <w:autoSpaceDN w:val="0"/>
              <w:adjustRightInd w:val="0"/>
              <w:spacing w:line="276" w:lineRule="auto"/>
              <w:rPr>
                <w:rFonts w:cs="Arial"/>
                <w:b/>
                <w:bCs/>
                <w:szCs w:val="22"/>
              </w:rPr>
            </w:pPr>
            <w:r w:rsidRPr="00DA00A9">
              <w:rPr>
                <w:rFonts w:cs="Arial"/>
                <w:b/>
                <w:bCs/>
                <w:szCs w:val="22"/>
              </w:rPr>
              <w:t>(discounted</w:t>
            </w:r>
            <w:proofErr w:type="gramStart"/>
            <w:r w:rsidRPr="00DA00A9">
              <w:rPr>
                <w:rFonts w:cs="Arial"/>
                <w:b/>
                <w:bCs/>
                <w:szCs w:val="22"/>
              </w:rPr>
              <w:t>)</w:t>
            </w:r>
            <w:r w:rsidRPr="00DA00A9">
              <w:rPr>
                <w:rFonts w:cs="Arial"/>
                <w:b/>
                <w:bCs/>
                <w:color w:val="000000"/>
                <w:szCs w:val="22"/>
              </w:rPr>
              <w:t>(</w:t>
            </w:r>
            <w:proofErr w:type="gramEnd"/>
            <w:r w:rsidRPr="00DA00A9">
              <w:rPr>
                <w:rFonts w:cs="Arial"/>
                <w:b/>
                <w:bCs/>
                <w:color w:val="000000"/>
                <w:szCs w:val="22"/>
              </w:rPr>
              <w:t>$)</w:t>
            </w:r>
          </w:p>
        </w:tc>
        <w:tc>
          <w:tcPr>
            <w:tcW w:w="1550" w:type="dxa"/>
            <w:shd w:val="clear" w:color="auto" w:fill="FFFFFF"/>
            <w:vAlign w:val="center"/>
          </w:tcPr>
          <w:p w14:paraId="0F7DF5CD" w14:textId="77777777" w:rsidR="00FA53FA" w:rsidRPr="00DA00A9" w:rsidRDefault="00FA53FA" w:rsidP="00995D02">
            <w:pPr>
              <w:spacing w:line="276" w:lineRule="auto"/>
              <w:rPr>
                <w:rFonts w:cs="Arial"/>
                <w:b/>
                <w:bCs/>
                <w:szCs w:val="22"/>
              </w:rPr>
            </w:pPr>
            <w:r w:rsidRPr="00DA00A9">
              <w:rPr>
                <w:rFonts w:cs="Arial"/>
                <w:b/>
                <w:bCs/>
                <w:szCs w:val="22"/>
              </w:rPr>
              <w:t>Cumulative QALYs lost in ‘000s</w:t>
            </w:r>
          </w:p>
          <w:p w14:paraId="6E4B751D" w14:textId="77777777" w:rsidR="00FA53FA" w:rsidRPr="00DA00A9" w:rsidRDefault="00FA53FA" w:rsidP="00995D02">
            <w:pPr>
              <w:autoSpaceDE w:val="0"/>
              <w:autoSpaceDN w:val="0"/>
              <w:adjustRightInd w:val="0"/>
              <w:spacing w:line="276" w:lineRule="auto"/>
              <w:rPr>
                <w:rFonts w:cs="Arial"/>
                <w:b/>
                <w:bCs/>
                <w:color w:val="000000"/>
                <w:szCs w:val="22"/>
              </w:rPr>
            </w:pPr>
            <w:r w:rsidRPr="00DA00A9">
              <w:rPr>
                <w:rFonts w:cs="Arial"/>
                <w:b/>
                <w:bCs/>
                <w:szCs w:val="22"/>
              </w:rPr>
              <w:t>(discounted)</w:t>
            </w:r>
          </w:p>
        </w:tc>
        <w:tc>
          <w:tcPr>
            <w:tcW w:w="1550" w:type="dxa"/>
            <w:shd w:val="clear" w:color="auto" w:fill="FFFFFF"/>
            <w:vAlign w:val="center"/>
          </w:tcPr>
          <w:p w14:paraId="5FD8C9DA" w14:textId="77777777" w:rsidR="00FA53FA" w:rsidRPr="00DA00A9" w:rsidRDefault="00FA53FA" w:rsidP="00995D02">
            <w:pPr>
              <w:autoSpaceDE w:val="0"/>
              <w:autoSpaceDN w:val="0"/>
              <w:adjustRightInd w:val="0"/>
              <w:spacing w:line="276" w:lineRule="auto"/>
              <w:rPr>
                <w:rFonts w:cs="Arial"/>
                <w:b/>
                <w:bCs/>
                <w:color w:val="000000"/>
                <w:szCs w:val="22"/>
              </w:rPr>
            </w:pPr>
            <w:r w:rsidRPr="00DA00A9">
              <w:rPr>
                <w:rFonts w:cs="Arial"/>
                <w:b/>
                <w:bCs/>
                <w:color w:val="000000"/>
                <w:szCs w:val="22"/>
              </w:rPr>
              <w:t>Incremental Costs,</w:t>
            </w:r>
            <w:r w:rsidRPr="00DA00A9">
              <w:rPr>
                <w:rFonts w:cs="Arial"/>
                <w:b/>
                <w:bCs/>
                <w:szCs w:val="22"/>
              </w:rPr>
              <w:t xml:space="preserve"> in ‘000s</w:t>
            </w:r>
            <w:r w:rsidRPr="00DA00A9">
              <w:rPr>
                <w:rFonts w:cs="Arial"/>
                <w:b/>
                <w:bCs/>
                <w:color w:val="000000"/>
                <w:szCs w:val="22"/>
              </w:rPr>
              <w:t xml:space="preserve"> ($)</w:t>
            </w:r>
          </w:p>
        </w:tc>
        <w:tc>
          <w:tcPr>
            <w:tcW w:w="1690" w:type="dxa"/>
            <w:shd w:val="clear" w:color="auto" w:fill="FFFFFF"/>
            <w:vAlign w:val="center"/>
          </w:tcPr>
          <w:p w14:paraId="1AC494D4" w14:textId="77777777" w:rsidR="00FA53FA" w:rsidRPr="00DA00A9" w:rsidRDefault="00FA53FA" w:rsidP="00995D02">
            <w:pPr>
              <w:autoSpaceDE w:val="0"/>
              <w:autoSpaceDN w:val="0"/>
              <w:adjustRightInd w:val="0"/>
              <w:spacing w:line="276" w:lineRule="auto"/>
              <w:rPr>
                <w:rFonts w:cs="Arial"/>
                <w:b/>
                <w:bCs/>
                <w:color w:val="000000"/>
                <w:szCs w:val="22"/>
              </w:rPr>
            </w:pPr>
            <w:r w:rsidRPr="00DA00A9">
              <w:rPr>
                <w:rFonts w:cs="Arial"/>
                <w:b/>
                <w:bCs/>
                <w:color w:val="000000"/>
                <w:szCs w:val="22"/>
              </w:rPr>
              <w:t>Incremental QALYs gained,</w:t>
            </w:r>
            <w:r w:rsidRPr="00DA00A9">
              <w:rPr>
                <w:rFonts w:cs="Arial"/>
                <w:b/>
                <w:bCs/>
                <w:szCs w:val="22"/>
              </w:rPr>
              <w:t xml:space="preserve"> in ‘000s</w:t>
            </w:r>
          </w:p>
        </w:tc>
        <w:tc>
          <w:tcPr>
            <w:tcW w:w="1616" w:type="dxa"/>
            <w:shd w:val="clear" w:color="auto" w:fill="FFFFFF"/>
            <w:vAlign w:val="center"/>
          </w:tcPr>
          <w:p w14:paraId="028E3A53" w14:textId="77777777" w:rsidR="00FA53FA" w:rsidRPr="00DA00A9" w:rsidRDefault="00FA53FA" w:rsidP="00995D02">
            <w:pPr>
              <w:autoSpaceDE w:val="0"/>
              <w:autoSpaceDN w:val="0"/>
              <w:adjustRightInd w:val="0"/>
              <w:spacing w:line="276" w:lineRule="auto"/>
              <w:rPr>
                <w:rFonts w:cs="Arial"/>
                <w:b/>
                <w:bCs/>
                <w:color w:val="000000"/>
                <w:szCs w:val="22"/>
              </w:rPr>
            </w:pPr>
            <w:r w:rsidRPr="00DA00A9">
              <w:rPr>
                <w:rFonts w:cs="Arial"/>
                <w:b/>
                <w:bCs/>
                <w:color w:val="000000"/>
                <w:szCs w:val="22"/>
              </w:rPr>
              <w:t>ICER ($/ QALY gained)</w:t>
            </w:r>
          </w:p>
        </w:tc>
      </w:tr>
      <w:tr w:rsidR="004F4CC4" w:rsidRPr="00DA00A9" w14:paraId="15E1BA43" w14:textId="77777777" w:rsidTr="004F4CC4">
        <w:trPr>
          <w:trHeight w:val="296"/>
        </w:trPr>
        <w:tc>
          <w:tcPr>
            <w:tcW w:w="1835" w:type="dxa"/>
            <w:shd w:val="clear" w:color="auto" w:fill="D9D9D9" w:themeFill="background1" w:themeFillShade="D9"/>
            <w:vAlign w:val="center"/>
          </w:tcPr>
          <w:p w14:paraId="1B926C90" w14:textId="5E5D0ABE" w:rsidR="004F4CC4" w:rsidRPr="00DA00A9" w:rsidRDefault="004F4CC4" w:rsidP="0023372A">
            <w:pPr>
              <w:autoSpaceDE w:val="0"/>
              <w:autoSpaceDN w:val="0"/>
              <w:adjustRightInd w:val="0"/>
              <w:spacing w:line="276" w:lineRule="auto"/>
              <w:rPr>
                <w:rFonts w:cs="Arial"/>
                <w:b/>
                <w:bCs/>
                <w:color w:val="000000"/>
                <w:szCs w:val="22"/>
              </w:rPr>
            </w:pPr>
            <w:r w:rsidRPr="004F4CC4">
              <w:rPr>
                <w:rFonts w:cs="Arial"/>
                <w:b/>
                <w:bCs/>
                <w:color w:val="000000"/>
                <w:szCs w:val="22"/>
              </w:rPr>
              <w:t>1.</w:t>
            </w:r>
            <w:r>
              <w:rPr>
                <w:rFonts w:cs="Arial"/>
                <w:b/>
                <w:bCs/>
                <w:color w:val="000000"/>
                <w:szCs w:val="22"/>
              </w:rPr>
              <w:t xml:space="preserve"> 2000-2015</w:t>
            </w:r>
          </w:p>
        </w:tc>
        <w:tc>
          <w:tcPr>
            <w:tcW w:w="1866" w:type="dxa"/>
            <w:shd w:val="clear" w:color="auto" w:fill="D9D9D9" w:themeFill="background1" w:themeFillShade="D9"/>
            <w:vAlign w:val="bottom"/>
          </w:tcPr>
          <w:p w14:paraId="5B5B8ECD" w14:textId="77777777" w:rsidR="004F4CC4" w:rsidRPr="00DA00A9" w:rsidRDefault="004F4CC4" w:rsidP="0023372A">
            <w:pPr>
              <w:spacing w:line="276" w:lineRule="auto"/>
              <w:rPr>
                <w:rFonts w:cs="Arial"/>
                <w:color w:val="000000"/>
              </w:rPr>
            </w:pPr>
          </w:p>
        </w:tc>
        <w:tc>
          <w:tcPr>
            <w:tcW w:w="1550" w:type="dxa"/>
            <w:shd w:val="clear" w:color="auto" w:fill="D9D9D9" w:themeFill="background1" w:themeFillShade="D9"/>
            <w:vAlign w:val="bottom"/>
          </w:tcPr>
          <w:p w14:paraId="62823B0B" w14:textId="77777777" w:rsidR="004F4CC4" w:rsidRPr="00DA00A9" w:rsidRDefault="004F4CC4" w:rsidP="0023372A">
            <w:pPr>
              <w:spacing w:line="276" w:lineRule="auto"/>
              <w:rPr>
                <w:rFonts w:cs="Arial"/>
                <w:color w:val="000000"/>
              </w:rPr>
            </w:pPr>
          </w:p>
        </w:tc>
        <w:tc>
          <w:tcPr>
            <w:tcW w:w="1550" w:type="dxa"/>
            <w:shd w:val="clear" w:color="auto" w:fill="D9D9D9" w:themeFill="background1" w:themeFillShade="D9"/>
            <w:vAlign w:val="bottom"/>
          </w:tcPr>
          <w:p w14:paraId="391FF667" w14:textId="77777777" w:rsidR="004F4CC4" w:rsidRPr="00DA00A9" w:rsidRDefault="004F4CC4" w:rsidP="0023372A">
            <w:pPr>
              <w:autoSpaceDE w:val="0"/>
              <w:autoSpaceDN w:val="0"/>
              <w:adjustRightInd w:val="0"/>
              <w:spacing w:line="276" w:lineRule="auto"/>
              <w:rPr>
                <w:rFonts w:cs="Arial"/>
                <w:color w:val="000000"/>
              </w:rPr>
            </w:pPr>
          </w:p>
        </w:tc>
        <w:tc>
          <w:tcPr>
            <w:tcW w:w="1690" w:type="dxa"/>
            <w:shd w:val="clear" w:color="auto" w:fill="D9D9D9" w:themeFill="background1" w:themeFillShade="D9"/>
            <w:vAlign w:val="bottom"/>
          </w:tcPr>
          <w:p w14:paraId="1A3CAC5B" w14:textId="77777777" w:rsidR="004F4CC4" w:rsidRPr="00DA00A9" w:rsidRDefault="004F4CC4" w:rsidP="0023372A">
            <w:pPr>
              <w:autoSpaceDE w:val="0"/>
              <w:autoSpaceDN w:val="0"/>
              <w:adjustRightInd w:val="0"/>
              <w:spacing w:line="276" w:lineRule="auto"/>
              <w:rPr>
                <w:rFonts w:cs="Arial"/>
                <w:color w:val="000000"/>
              </w:rPr>
            </w:pPr>
          </w:p>
        </w:tc>
        <w:tc>
          <w:tcPr>
            <w:tcW w:w="1616" w:type="dxa"/>
            <w:shd w:val="clear" w:color="auto" w:fill="D9D9D9" w:themeFill="background1" w:themeFillShade="D9"/>
            <w:vAlign w:val="bottom"/>
          </w:tcPr>
          <w:p w14:paraId="24ACD7DB" w14:textId="77777777" w:rsidR="004F4CC4" w:rsidRPr="00DA00A9" w:rsidRDefault="004F4CC4" w:rsidP="0023372A">
            <w:pPr>
              <w:spacing w:line="276" w:lineRule="auto"/>
              <w:rPr>
                <w:rFonts w:cs="Arial"/>
                <w:color w:val="000000"/>
              </w:rPr>
            </w:pPr>
          </w:p>
        </w:tc>
      </w:tr>
      <w:tr w:rsidR="0023372A" w:rsidRPr="00DA00A9" w14:paraId="73B5028B" w14:textId="77777777" w:rsidTr="00AB1958">
        <w:trPr>
          <w:trHeight w:val="296"/>
        </w:trPr>
        <w:tc>
          <w:tcPr>
            <w:tcW w:w="1835" w:type="dxa"/>
            <w:shd w:val="clear" w:color="auto" w:fill="FFFFFF"/>
            <w:vAlign w:val="center"/>
          </w:tcPr>
          <w:p w14:paraId="743312F9" w14:textId="77777777" w:rsidR="0023372A" w:rsidRPr="00DA00A9" w:rsidRDefault="0023372A" w:rsidP="0023372A">
            <w:pPr>
              <w:autoSpaceDE w:val="0"/>
              <w:autoSpaceDN w:val="0"/>
              <w:adjustRightInd w:val="0"/>
              <w:spacing w:line="276" w:lineRule="auto"/>
              <w:rPr>
                <w:rFonts w:cs="Arial"/>
                <w:b/>
                <w:bCs/>
                <w:color w:val="000000"/>
                <w:szCs w:val="22"/>
              </w:rPr>
            </w:pPr>
            <w:r w:rsidRPr="00DA00A9">
              <w:rPr>
                <w:rFonts w:cs="Arial"/>
                <w:b/>
                <w:bCs/>
                <w:color w:val="000000"/>
                <w:szCs w:val="22"/>
              </w:rPr>
              <w:t>No screening and no PN</w:t>
            </w:r>
          </w:p>
        </w:tc>
        <w:tc>
          <w:tcPr>
            <w:tcW w:w="1866" w:type="dxa"/>
            <w:shd w:val="clear" w:color="auto" w:fill="FFFFFF"/>
            <w:vAlign w:val="bottom"/>
          </w:tcPr>
          <w:p w14:paraId="666BDB2F" w14:textId="67092306" w:rsidR="0023372A" w:rsidRPr="00DA00A9" w:rsidRDefault="0023372A" w:rsidP="0023372A">
            <w:pPr>
              <w:spacing w:line="276" w:lineRule="auto"/>
              <w:rPr>
                <w:rFonts w:cs="Arial"/>
                <w:szCs w:val="22"/>
              </w:rPr>
            </w:pPr>
            <w:r w:rsidRPr="00DA00A9">
              <w:rPr>
                <w:rFonts w:cs="Arial"/>
                <w:color w:val="000000"/>
              </w:rPr>
              <w:t>19,818,000</w:t>
            </w:r>
          </w:p>
        </w:tc>
        <w:tc>
          <w:tcPr>
            <w:tcW w:w="1550" w:type="dxa"/>
            <w:shd w:val="clear" w:color="auto" w:fill="FFFFFF"/>
            <w:vAlign w:val="bottom"/>
          </w:tcPr>
          <w:p w14:paraId="52C4764F" w14:textId="281B9B68" w:rsidR="0023372A" w:rsidRPr="00DA00A9" w:rsidRDefault="0023372A" w:rsidP="0023372A">
            <w:pPr>
              <w:spacing w:line="276" w:lineRule="auto"/>
              <w:rPr>
                <w:rFonts w:cs="Arial"/>
                <w:szCs w:val="22"/>
              </w:rPr>
            </w:pPr>
            <w:r w:rsidRPr="00DA00A9">
              <w:rPr>
                <w:rFonts w:cs="Arial"/>
                <w:color w:val="000000"/>
              </w:rPr>
              <w:t>2,367.10</w:t>
            </w:r>
          </w:p>
        </w:tc>
        <w:tc>
          <w:tcPr>
            <w:tcW w:w="1550" w:type="dxa"/>
            <w:shd w:val="clear" w:color="auto" w:fill="FFFFFF"/>
            <w:vAlign w:val="bottom"/>
          </w:tcPr>
          <w:p w14:paraId="55FBA58A" w14:textId="2CC793B6" w:rsidR="0023372A" w:rsidRPr="00DA00A9" w:rsidRDefault="0023372A" w:rsidP="0023372A">
            <w:pPr>
              <w:autoSpaceDE w:val="0"/>
              <w:autoSpaceDN w:val="0"/>
              <w:adjustRightInd w:val="0"/>
              <w:spacing w:line="276" w:lineRule="auto"/>
              <w:rPr>
                <w:rFonts w:cs="Arial"/>
                <w:color w:val="000000"/>
                <w:szCs w:val="22"/>
              </w:rPr>
            </w:pPr>
            <w:r w:rsidRPr="00DA00A9">
              <w:rPr>
                <w:rFonts w:cs="Arial"/>
                <w:color w:val="000000"/>
              </w:rPr>
              <w:t>NA</w:t>
            </w:r>
          </w:p>
        </w:tc>
        <w:tc>
          <w:tcPr>
            <w:tcW w:w="1690" w:type="dxa"/>
            <w:shd w:val="clear" w:color="auto" w:fill="FFFFFF"/>
            <w:vAlign w:val="bottom"/>
          </w:tcPr>
          <w:p w14:paraId="320A8E1A" w14:textId="18C0CBE3" w:rsidR="0023372A" w:rsidRPr="00DA00A9" w:rsidRDefault="0023372A" w:rsidP="0023372A">
            <w:pPr>
              <w:autoSpaceDE w:val="0"/>
              <w:autoSpaceDN w:val="0"/>
              <w:adjustRightInd w:val="0"/>
              <w:spacing w:line="276" w:lineRule="auto"/>
              <w:rPr>
                <w:rFonts w:cs="Arial"/>
                <w:color w:val="000000"/>
                <w:szCs w:val="22"/>
              </w:rPr>
            </w:pPr>
            <w:r w:rsidRPr="00DA00A9">
              <w:rPr>
                <w:rFonts w:cs="Arial"/>
                <w:color w:val="000000"/>
              </w:rPr>
              <w:t>NA</w:t>
            </w:r>
          </w:p>
        </w:tc>
        <w:tc>
          <w:tcPr>
            <w:tcW w:w="1616" w:type="dxa"/>
            <w:shd w:val="clear" w:color="auto" w:fill="FFFFFF"/>
            <w:vAlign w:val="bottom"/>
          </w:tcPr>
          <w:p w14:paraId="59FA55A8" w14:textId="2812A4E0" w:rsidR="0023372A" w:rsidRPr="00DA00A9" w:rsidRDefault="0023372A" w:rsidP="0023372A">
            <w:pPr>
              <w:spacing w:line="276" w:lineRule="auto"/>
              <w:rPr>
                <w:rFonts w:cs="Arial"/>
                <w:color w:val="000000"/>
                <w:szCs w:val="22"/>
              </w:rPr>
            </w:pPr>
            <w:r w:rsidRPr="00DA00A9">
              <w:rPr>
                <w:rFonts w:cs="Arial"/>
                <w:color w:val="000000"/>
              </w:rPr>
              <w:t>NA</w:t>
            </w:r>
          </w:p>
        </w:tc>
      </w:tr>
      <w:tr w:rsidR="0023372A" w:rsidRPr="00DA00A9" w14:paraId="3C3E8097" w14:textId="77777777" w:rsidTr="00AB1958">
        <w:trPr>
          <w:trHeight w:val="296"/>
        </w:trPr>
        <w:tc>
          <w:tcPr>
            <w:tcW w:w="1835" w:type="dxa"/>
            <w:shd w:val="clear" w:color="auto" w:fill="FFFFFF"/>
            <w:vAlign w:val="center"/>
          </w:tcPr>
          <w:p w14:paraId="022F79A6" w14:textId="77777777" w:rsidR="0023372A" w:rsidRPr="00DA00A9" w:rsidRDefault="0023372A" w:rsidP="0023372A">
            <w:pPr>
              <w:autoSpaceDE w:val="0"/>
              <w:autoSpaceDN w:val="0"/>
              <w:adjustRightInd w:val="0"/>
              <w:spacing w:line="276" w:lineRule="auto"/>
              <w:rPr>
                <w:rFonts w:cs="Arial"/>
                <w:b/>
                <w:bCs/>
                <w:color w:val="000000"/>
                <w:szCs w:val="22"/>
              </w:rPr>
            </w:pPr>
            <w:r w:rsidRPr="00DA00A9">
              <w:rPr>
                <w:rFonts w:cs="Arial"/>
                <w:b/>
                <w:bCs/>
                <w:color w:val="000000"/>
                <w:szCs w:val="22"/>
              </w:rPr>
              <w:t>Current Policy</w:t>
            </w:r>
          </w:p>
        </w:tc>
        <w:tc>
          <w:tcPr>
            <w:tcW w:w="1866" w:type="dxa"/>
            <w:shd w:val="clear" w:color="auto" w:fill="FFFFFF"/>
            <w:vAlign w:val="bottom"/>
          </w:tcPr>
          <w:p w14:paraId="725A7F30" w14:textId="004386D2" w:rsidR="0023372A" w:rsidRPr="00DA00A9" w:rsidRDefault="0023372A" w:rsidP="0023372A">
            <w:pPr>
              <w:spacing w:line="276" w:lineRule="auto"/>
              <w:rPr>
                <w:rFonts w:cs="Arial"/>
                <w:szCs w:val="22"/>
              </w:rPr>
            </w:pPr>
            <w:r w:rsidRPr="00DA00A9">
              <w:rPr>
                <w:rFonts w:cs="Arial"/>
                <w:color w:val="000000"/>
              </w:rPr>
              <w:t>26,580,000</w:t>
            </w:r>
          </w:p>
        </w:tc>
        <w:tc>
          <w:tcPr>
            <w:tcW w:w="1550" w:type="dxa"/>
            <w:shd w:val="clear" w:color="auto" w:fill="FFFFFF"/>
            <w:vAlign w:val="bottom"/>
          </w:tcPr>
          <w:p w14:paraId="14CE42E3" w14:textId="50E49900" w:rsidR="0023372A" w:rsidRPr="00DA00A9" w:rsidRDefault="0023372A" w:rsidP="0023372A">
            <w:pPr>
              <w:spacing w:line="276" w:lineRule="auto"/>
              <w:rPr>
                <w:rFonts w:cs="Arial"/>
                <w:szCs w:val="22"/>
              </w:rPr>
            </w:pPr>
            <w:r w:rsidRPr="00DA00A9">
              <w:rPr>
                <w:rFonts w:cs="Arial"/>
                <w:color w:val="000000"/>
              </w:rPr>
              <w:t>1,671.60</w:t>
            </w:r>
          </w:p>
        </w:tc>
        <w:tc>
          <w:tcPr>
            <w:tcW w:w="1550" w:type="dxa"/>
            <w:shd w:val="clear" w:color="auto" w:fill="FFFFFF"/>
            <w:vAlign w:val="bottom"/>
          </w:tcPr>
          <w:p w14:paraId="47E8BEFA" w14:textId="4BD0C439" w:rsidR="0023372A" w:rsidRPr="00DA00A9" w:rsidRDefault="0023372A" w:rsidP="0023372A">
            <w:pPr>
              <w:autoSpaceDE w:val="0"/>
              <w:autoSpaceDN w:val="0"/>
              <w:adjustRightInd w:val="0"/>
              <w:spacing w:line="276" w:lineRule="auto"/>
              <w:rPr>
                <w:rFonts w:cs="Arial"/>
                <w:color w:val="000000"/>
                <w:szCs w:val="22"/>
              </w:rPr>
            </w:pPr>
            <w:r w:rsidRPr="00DA00A9">
              <w:rPr>
                <w:rFonts w:cs="Arial"/>
                <w:color w:val="000000"/>
              </w:rPr>
              <w:t>6</w:t>
            </w:r>
            <w:r w:rsidR="00DA00A9">
              <w:rPr>
                <w:rFonts w:cs="Arial"/>
                <w:color w:val="000000"/>
              </w:rPr>
              <w:t>,</w:t>
            </w:r>
            <w:r w:rsidRPr="00DA00A9">
              <w:rPr>
                <w:rFonts w:cs="Arial"/>
                <w:color w:val="000000"/>
              </w:rPr>
              <w:t>762</w:t>
            </w:r>
            <w:r w:rsidR="00DA00A9">
              <w:rPr>
                <w:rFonts w:cs="Arial"/>
                <w:color w:val="000000"/>
              </w:rPr>
              <w:t>,</w:t>
            </w:r>
            <w:r w:rsidRPr="00DA00A9">
              <w:rPr>
                <w:rFonts w:cs="Arial"/>
                <w:color w:val="000000"/>
              </w:rPr>
              <w:t>000</w:t>
            </w:r>
          </w:p>
        </w:tc>
        <w:tc>
          <w:tcPr>
            <w:tcW w:w="1690" w:type="dxa"/>
            <w:shd w:val="clear" w:color="auto" w:fill="FFFFFF"/>
            <w:vAlign w:val="bottom"/>
          </w:tcPr>
          <w:p w14:paraId="46F365B8" w14:textId="5F422EC5" w:rsidR="0023372A" w:rsidRPr="00DA00A9" w:rsidRDefault="0023372A" w:rsidP="0023372A">
            <w:pPr>
              <w:autoSpaceDE w:val="0"/>
              <w:autoSpaceDN w:val="0"/>
              <w:adjustRightInd w:val="0"/>
              <w:spacing w:line="276" w:lineRule="auto"/>
              <w:rPr>
                <w:rFonts w:cs="Arial"/>
                <w:color w:val="000000"/>
                <w:szCs w:val="22"/>
              </w:rPr>
            </w:pPr>
            <w:r w:rsidRPr="00C97516">
              <w:rPr>
                <w:rFonts w:cs="Arial"/>
                <w:color w:val="000000"/>
              </w:rPr>
              <w:t>695.5</w:t>
            </w:r>
            <w:r w:rsidR="00C97516" w:rsidRPr="00C97516">
              <w:rPr>
                <w:rFonts w:cs="Arial"/>
                <w:color w:val="000000"/>
              </w:rPr>
              <w:t>0</w:t>
            </w:r>
          </w:p>
        </w:tc>
        <w:tc>
          <w:tcPr>
            <w:tcW w:w="1616" w:type="dxa"/>
            <w:shd w:val="clear" w:color="auto" w:fill="FFFFFF"/>
            <w:vAlign w:val="bottom"/>
          </w:tcPr>
          <w:p w14:paraId="02922913" w14:textId="404BD78E" w:rsidR="0023372A" w:rsidRPr="00DA00A9" w:rsidRDefault="0023372A" w:rsidP="0023372A">
            <w:pPr>
              <w:autoSpaceDE w:val="0"/>
              <w:autoSpaceDN w:val="0"/>
              <w:adjustRightInd w:val="0"/>
              <w:spacing w:line="276" w:lineRule="auto"/>
              <w:rPr>
                <w:rFonts w:cs="Arial"/>
                <w:color w:val="000000"/>
                <w:szCs w:val="22"/>
              </w:rPr>
            </w:pPr>
            <w:r w:rsidRPr="00DA00A9">
              <w:rPr>
                <w:rFonts w:cs="Arial"/>
                <w:color w:val="000000"/>
              </w:rPr>
              <w:t>9</w:t>
            </w:r>
            <w:r w:rsidR="00DA00A9">
              <w:rPr>
                <w:rFonts w:cs="Arial"/>
                <w:color w:val="000000"/>
              </w:rPr>
              <w:t>,</w:t>
            </w:r>
            <w:r w:rsidRPr="00DA00A9">
              <w:rPr>
                <w:rFonts w:cs="Arial"/>
                <w:color w:val="000000"/>
              </w:rPr>
              <w:t>722.5</w:t>
            </w:r>
          </w:p>
        </w:tc>
      </w:tr>
      <w:tr w:rsidR="0023372A" w:rsidRPr="00DA00A9" w14:paraId="2690A450" w14:textId="77777777" w:rsidTr="00AB1958">
        <w:trPr>
          <w:trHeight w:val="296"/>
        </w:trPr>
        <w:tc>
          <w:tcPr>
            <w:tcW w:w="1835" w:type="dxa"/>
            <w:shd w:val="clear" w:color="auto" w:fill="FFFFFF"/>
            <w:vAlign w:val="center"/>
          </w:tcPr>
          <w:p w14:paraId="44D7EDA9" w14:textId="77777777" w:rsidR="0023372A" w:rsidRPr="00DA00A9" w:rsidRDefault="0023372A" w:rsidP="0023372A">
            <w:pPr>
              <w:autoSpaceDE w:val="0"/>
              <w:autoSpaceDN w:val="0"/>
              <w:adjustRightInd w:val="0"/>
              <w:spacing w:line="276" w:lineRule="auto"/>
              <w:ind w:left="90"/>
              <w:rPr>
                <w:rFonts w:cs="Arial"/>
                <w:color w:val="000000"/>
                <w:szCs w:val="22"/>
              </w:rPr>
            </w:pPr>
            <w:r w:rsidRPr="00DA00A9">
              <w:rPr>
                <w:rFonts w:cs="Arial"/>
                <w:color w:val="000000"/>
                <w:szCs w:val="22"/>
              </w:rPr>
              <w:t>95% Uncertainty</w:t>
            </w:r>
          </w:p>
        </w:tc>
        <w:tc>
          <w:tcPr>
            <w:tcW w:w="1866" w:type="dxa"/>
            <w:shd w:val="clear" w:color="auto" w:fill="FFFFFF"/>
            <w:vAlign w:val="bottom"/>
          </w:tcPr>
          <w:p w14:paraId="2AC53DD8" w14:textId="21C6406B" w:rsidR="0023372A" w:rsidRPr="00DA00A9" w:rsidRDefault="0023372A" w:rsidP="0023372A">
            <w:pPr>
              <w:spacing w:line="276" w:lineRule="auto"/>
              <w:rPr>
                <w:rFonts w:cs="Arial"/>
                <w:color w:val="000000"/>
                <w:szCs w:val="22"/>
              </w:rPr>
            </w:pPr>
            <w:r w:rsidRPr="00DA00A9">
              <w:rPr>
                <w:rFonts w:cs="Arial"/>
                <w:color w:val="000000"/>
              </w:rPr>
              <w:t>NA</w:t>
            </w:r>
          </w:p>
        </w:tc>
        <w:tc>
          <w:tcPr>
            <w:tcW w:w="1550" w:type="dxa"/>
            <w:shd w:val="clear" w:color="auto" w:fill="FFFFFF"/>
            <w:vAlign w:val="bottom"/>
          </w:tcPr>
          <w:p w14:paraId="6BE24BF3" w14:textId="5E23686B" w:rsidR="0023372A" w:rsidRPr="00DA00A9" w:rsidRDefault="0023372A" w:rsidP="0023372A">
            <w:pPr>
              <w:spacing w:line="276" w:lineRule="auto"/>
              <w:rPr>
                <w:rFonts w:cs="Arial"/>
                <w:color w:val="000000"/>
                <w:szCs w:val="22"/>
              </w:rPr>
            </w:pPr>
            <w:r w:rsidRPr="00DA00A9">
              <w:rPr>
                <w:rFonts w:cs="Arial"/>
                <w:color w:val="000000"/>
              </w:rPr>
              <w:t>NA</w:t>
            </w:r>
          </w:p>
        </w:tc>
        <w:tc>
          <w:tcPr>
            <w:tcW w:w="1550" w:type="dxa"/>
            <w:shd w:val="clear" w:color="auto" w:fill="FFFFFF"/>
            <w:vAlign w:val="bottom"/>
          </w:tcPr>
          <w:p w14:paraId="0CF76424" w14:textId="270566F7" w:rsidR="0023372A" w:rsidRPr="00DA00A9" w:rsidRDefault="0023372A" w:rsidP="0023372A">
            <w:pPr>
              <w:rPr>
                <w:rFonts w:cs="Arial"/>
                <w:color w:val="000000"/>
                <w:szCs w:val="22"/>
              </w:rPr>
            </w:pPr>
            <w:r w:rsidRPr="00DA00A9">
              <w:rPr>
                <w:rFonts w:cs="Arial"/>
                <w:color w:val="000000"/>
              </w:rPr>
              <w:t>-351</w:t>
            </w:r>
            <w:r w:rsidR="00DA00A9">
              <w:rPr>
                <w:rFonts w:cs="Arial"/>
                <w:color w:val="000000"/>
              </w:rPr>
              <w:t>,</w:t>
            </w:r>
            <w:r w:rsidRPr="00DA00A9">
              <w:rPr>
                <w:rFonts w:cs="Arial"/>
                <w:color w:val="000000"/>
              </w:rPr>
              <w:t>390</w:t>
            </w:r>
            <w:r w:rsidR="00A7310A" w:rsidRPr="00DA00A9">
              <w:rPr>
                <w:rFonts w:cs="Arial"/>
                <w:color w:val="000000"/>
              </w:rPr>
              <w:t>; 14</w:t>
            </w:r>
            <w:r w:rsidR="00DA00A9">
              <w:rPr>
                <w:rFonts w:cs="Arial"/>
                <w:color w:val="000000"/>
              </w:rPr>
              <w:t>,</w:t>
            </w:r>
            <w:r w:rsidR="00A7310A" w:rsidRPr="00DA00A9">
              <w:rPr>
                <w:rFonts w:cs="Arial"/>
                <w:color w:val="000000"/>
              </w:rPr>
              <w:t>658</w:t>
            </w:r>
            <w:r w:rsidR="00DA00A9">
              <w:rPr>
                <w:rFonts w:cs="Arial"/>
                <w:color w:val="000000"/>
              </w:rPr>
              <w:t>,</w:t>
            </w:r>
            <w:r w:rsidR="00A7310A" w:rsidRPr="00DA00A9">
              <w:rPr>
                <w:rFonts w:cs="Arial"/>
                <w:color w:val="000000"/>
              </w:rPr>
              <w:t>000</w:t>
            </w:r>
          </w:p>
        </w:tc>
        <w:tc>
          <w:tcPr>
            <w:tcW w:w="1690" w:type="dxa"/>
            <w:shd w:val="clear" w:color="auto" w:fill="FFFFFF"/>
            <w:vAlign w:val="bottom"/>
          </w:tcPr>
          <w:p w14:paraId="0FE32EED" w14:textId="09588C3E" w:rsidR="0023372A" w:rsidRPr="00DA00A9" w:rsidRDefault="0023372A" w:rsidP="0023372A">
            <w:pPr>
              <w:rPr>
                <w:rFonts w:cs="Arial"/>
                <w:color w:val="000000"/>
                <w:szCs w:val="22"/>
              </w:rPr>
            </w:pPr>
            <w:r w:rsidRPr="00DA00A9">
              <w:rPr>
                <w:rFonts w:cs="Arial"/>
                <w:color w:val="000000"/>
              </w:rPr>
              <w:t>205.12</w:t>
            </w:r>
            <w:r w:rsidR="00A7310A" w:rsidRPr="00DA00A9">
              <w:rPr>
                <w:rFonts w:cs="Arial"/>
                <w:color w:val="000000"/>
              </w:rPr>
              <w:t>; 1</w:t>
            </w:r>
            <w:r w:rsidR="00DA00A9">
              <w:rPr>
                <w:rFonts w:cs="Arial"/>
                <w:color w:val="000000"/>
              </w:rPr>
              <w:t>,</w:t>
            </w:r>
            <w:r w:rsidR="00A7310A" w:rsidRPr="00DA00A9">
              <w:rPr>
                <w:rFonts w:cs="Arial"/>
                <w:color w:val="000000"/>
              </w:rPr>
              <w:t>524.8</w:t>
            </w:r>
          </w:p>
        </w:tc>
        <w:tc>
          <w:tcPr>
            <w:tcW w:w="1616" w:type="dxa"/>
            <w:shd w:val="clear" w:color="auto" w:fill="FFFFFF"/>
            <w:vAlign w:val="bottom"/>
          </w:tcPr>
          <w:p w14:paraId="198BE303" w14:textId="25CDF09D" w:rsidR="0023372A" w:rsidRPr="00DA00A9" w:rsidRDefault="00A7310A" w:rsidP="0023372A">
            <w:pPr>
              <w:autoSpaceDE w:val="0"/>
              <w:autoSpaceDN w:val="0"/>
              <w:adjustRightInd w:val="0"/>
              <w:spacing w:line="276" w:lineRule="auto"/>
              <w:rPr>
                <w:rFonts w:cs="Arial"/>
                <w:color w:val="000000"/>
                <w:szCs w:val="22"/>
              </w:rPr>
            </w:pPr>
            <w:r w:rsidRPr="00DA00A9">
              <w:rPr>
                <w:rFonts w:cs="Arial"/>
                <w:color w:val="000000"/>
              </w:rPr>
              <w:t>Cost-saving; 49</w:t>
            </w:r>
            <w:r w:rsidR="00DA00A9">
              <w:rPr>
                <w:rFonts w:cs="Arial"/>
                <w:color w:val="000000"/>
              </w:rPr>
              <w:t>,</w:t>
            </w:r>
            <w:r w:rsidRPr="00DA00A9">
              <w:rPr>
                <w:rFonts w:cs="Arial"/>
                <w:color w:val="000000"/>
              </w:rPr>
              <w:t>511</w:t>
            </w:r>
          </w:p>
        </w:tc>
      </w:tr>
      <w:tr w:rsidR="004F4CC4" w:rsidRPr="00DA00A9" w14:paraId="27904F95" w14:textId="77777777" w:rsidTr="004F4CC4">
        <w:trPr>
          <w:trHeight w:val="296"/>
        </w:trPr>
        <w:tc>
          <w:tcPr>
            <w:tcW w:w="1835" w:type="dxa"/>
            <w:shd w:val="clear" w:color="auto" w:fill="D9D9D9" w:themeFill="background1" w:themeFillShade="D9"/>
            <w:vAlign w:val="center"/>
          </w:tcPr>
          <w:p w14:paraId="707E9ED8" w14:textId="6035C1E0" w:rsidR="004F4CC4" w:rsidRPr="00DA00A9" w:rsidRDefault="004F4CC4" w:rsidP="004F4CC4">
            <w:pPr>
              <w:autoSpaceDE w:val="0"/>
              <w:autoSpaceDN w:val="0"/>
              <w:adjustRightInd w:val="0"/>
              <w:spacing w:line="276" w:lineRule="auto"/>
              <w:ind w:left="90"/>
              <w:rPr>
                <w:rFonts w:cs="Arial"/>
                <w:color w:val="000000"/>
                <w:szCs w:val="22"/>
              </w:rPr>
            </w:pPr>
            <w:r>
              <w:rPr>
                <w:rFonts w:cs="Arial"/>
                <w:b/>
                <w:bCs/>
                <w:color w:val="000000"/>
                <w:szCs w:val="22"/>
              </w:rPr>
              <w:t xml:space="preserve">2.1. </w:t>
            </w:r>
            <w:r w:rsidRPr="00DA00A9">
              <w:rPr>
                <w:rFonts w:cs="Arial"/>
                <w:b/>
                <w:bCs/>
                <w:color w:val="000000"/>
                <w:szCs w:val="22"/>
              </w:rPr>
              <w:t>2016-2019</w:t>
            </w:r>
          </w:p>
        </w:tc>
        <w:tc>
          <w:tcPr>
            <w:tcW w:w="1866" w:type="dxa"/>
            <w:shd w:val="clear" w:color="auto" w:fill="D9D9D9" w:themeFill="background1" w:themeFillShade="D9"/>
            <w:vAlign w:val="bottom"/>
          </w:tcPr>
          <w:p w14:paraId="44A0C831" w14:textId="77777777" w:rsidR="004F4CC4" w:rsidRPr="00DA00A9" w:rsidRDefault="004F4CC4" w:rsidP="004F4CC4">
            <w:pPr>
              <w:spacing w:line="276" w:lineRule="auto"/>
              <w:rPr>
                <w:rFonts w:cs="Arial"/>
                <w:color w:val="000000"/>
              </w:rPr>
            </w:pPr>
          </w:p>
        </w:tc>
        <w:tc>
          <w:tcPr>
            <w:tcW w:w="1550" w:type="dxa"/>
            <w:shd w:val="clear" w:color="auto" w:fill="D9D9D9" w:themeFill="background1" w:themeFillShade="D9"/>
            <w:vAlign w:val="bottom"/>
          </w:tcPr>
          <w:p w14:paraId="672CE63A" w14:textId="77777777" w:rsidR="004F4CC4" w:rsidRPr="00DA00A9" w:rsidRDefault="004F4CC4" w:rsidP="004F4CC4">
            <w:pPr>
              <w:spacing w:line="276" w:lineRule="auto"/>
              <w:rPr>
                <w:rFonts w:cs="Arial"/>
                <w:color w:val="000000"/>
              </w:rPr>
            </w:pPr>
          </w:p>
        </w:tc>
        <w:tc>
          <w:tcPr>
            <w:tcW w:w="1550" w:type="dxa"/>
            <w:shd w:val="clear" w:color="auto" w:fill="D9D9D9" w:themeFill="background1" w:themeFillShade="D9"/>
            <w:vAlign w:val="bottom"/>
          </w:tcPr>
          <w:p w14:paraId="40892486" w14:textId="77777777" w:rsidR="004F4CC4" w:rsidRPr="00DA00A9" w:rsidRDefault="004F4CC4" w:rsidP="004F4CC4">
            <w:pPr>
              <w:rPr>
                <w:rFonts w:cs="Arial"/>
                <w:color w:val="000000"/>
              </w:rPr>
            </w:pPr>
          </w:p>
        </w:tc>
        <w:tc>
          <w:tcPr>
            <w:tcW w:w="1690" w:type="dxa"/>
            <w:shd w:val="clear" w:color="auto" w:fill="D9D9D9" w:themeFill="background1" w:themeFillShade="D9"/>
            <w:vAlign w:val="bottom"/>
          </w:tcPr>
          <w:p w14:paraId="684B0045" w14:textId="77777777" w:rsidR="004F4CC4" w:rsidRPr="00DA00A9" w:rsidRDefault="004F4CC4" w:rsidP="004F4CC4">
            <w:pPr>
              <w:rPr>
                <w:rFonts w:cs="Arial"/>
                <w:color w:val="000000"/>
              </w:rPr>
            </w:pPr>
          </w:p>
        </w:tc>
        <w:tc>
          <w:tcPr>
            <w:tcW w:w="1616" w:type="dxa"/>
            <w:shd w:val="clear" w:color="auto" w:fill="D9D9D9" w:themeFill="background1" w:themeFillShade="D9"/>
            <w:vAlign w:val="bottom"/>
          </w:tcPr>
          <w:p w14:paraId="20563DDF" w14:textId="77777777" w:rsidR="004F4CC4" w:rsidRPr="00DA00A9" w:rsidRDefault="004F4CC4" w:rsidP="004F4CC4">
            <w:pPr>
              <w:autoSpaceDE w:val="0"/>
              <w:autoSpaceDN w:val="0"/>
              <w:adjustRightInd w:val="0"/>
              <w:spacing w:line="276" w:lineRule="auto"/>
              <w:rPr>
                <w:rFonts w:cs="Arial"/>
                <w:color w:val="000000"/>
              </w:rPr>
            </w:pPr>
          </w:p>
        </w:tc>
      </w:tr>
      <w:tr w:rsidR="004F4CC4" w:rsidRPr="00DA00A9" w14:paraId="51043FDD" w14:textId="77777777" w:rsidTr="00AB1958">
        <w:trPr>
          <w:trHeight w:val="296"/>
        </w:trPr>
        <w:tc>
          <w:tcPr>
            <w:tcW w:w="1835" w:type="dxa"/>
            <w:shd w:val="clear" w:color="auto" w:fill="FFFFFF"/>
            <w:vAlign w:val="center"/>
          </w:tcPr>
          <w:p w14:paraId="0EFDB9D2" w14:textId="5834A504" w:rsidR="004F4CC4" w:rsidRPr="00DA00A9" w:rsidRDefault="004F4CC4" w:rsidP="004F4CC4">
            <w:pPr>
              <w:autoSpaceDE w:val="0"/>
              <w:autoSpaceDN w:val="0"/>
              <w:adjustRightInd w:val="0"/>
              <w:spacing w:line="276" w:lineRule="auto"/>
              <w:ind w:left="90"/>
              <w:rPr>
                <w:rFonts w:cs="Arial"/>
                <w:color w:val="000000"/>
                <w:szCs w:val="22"/>
              </w:rPr>
            </w:pPr>
            <w:r w:rsidRPr="00DA00A9">
              <w:rPr>
                <w:rFonts w:cs="Arial"/>
                <w:b/>
                <w:bCs/>
                <w:color w:val="000000"/>
                <w:szCs w:val="22"/>
              </w:rPr>
              <w:t>Current Policy</w:t>
            </w:r>
          </w:p>
        </w:tc>
        <w:tc>
          <w:tcPr>
            <w:tcW w:w="1866" w:type="dxa"/>
            <w:shd w:val="clear" w:color="auto" w:fill="FFFFFF"/>
            <w:vAlign w:val="bottom"/>
          </w:tcPr>
          <w:p w14:paraId="36CE6C74" w14:textId="76AB7F6A" w:rsidR="004F4CC4" w:rsidRPr="00DA00A9" w:rsidRDefault="004F4CC4" w:rsidP="004F4CC4">
            <w:pPr>
              <w:spacing w:line="276" w:lineRule="auto"/>
              <w:rPr>
                <w:rFonts w:cs="Arial"/>
                <w:color w:val="000000"/>
              </w:rPr>
            </w:pPr>
            <w:r w:rsidRPr="00DA00A9">
              <w:rPr>
                <w:rFonts w:cs="Arial"/>
                <w:color w:val="000000"/>
                <w:szCs w:val="22"/>
              </w:rPr>
              <w:t>7,229,700</w:t>
            </w:r>
          </w:p>
        </w:tc>
        <w:tc>
          <w:tcPr>
            <w:tcW w:w="1550" w:type="dxa"/>
            <w:shd w:val="clear" w:color="auto" w:fill="FFFFFF"/>
            <w:vAlign w:val="bottom"/>
          </w:tcPr>
          <w:p w14:paraId="28237CB4" w14:textId="2C43F41A" w:rsidR="004F4CC4" w:rsidRPr="00DA00A9" w:rsidRDefault="004F4CC4" w:rsidP="004F4CC4">
            <w:pPr>
              <w:spacing w:line="276" w:lineRule="auto"/>
              <w:rPr>
                <w:rFonts w:cs="Arial"/>
                <w:color w:val="000000"/>
              </w:rPr>
            </w:pPr>
            <w:r w:rsidRPr="00DA00A9">
              <w:rPr>
                <w:rFonts w:cs="Arial"/>
                <w:color w:val="000000"/>
                <w:szCs w:val="22"/>
              </w:rPr>
              <w:t>365.73</w:t>
            </w:r>
          </w:p>
        </w:tc>
        <w:tc>
          <w:tcPr>
            <w:tcW w:w="1550" w:type="dxa"/>
            <w:shd w:val="clear" w:color="auto" w:fill="FFFFFF"/>
            <w:vAlign w:val="bottom"/>
          </w:tcPr>
          <w:p w14:paraId="7473C1B4" w14:textId="45F8672E" w:rsidR="004F4CC4" w:rsidRPr="00DA00A9" w:rsidRDefault="004F4CC4" w:rsidP="004F4CC4">
            <w:pPr>
              <w:rPr>
                <w:rFonts w:cs="Arial"/>
                <w:color w:val="000000"/>
              </w:rPr>
            </w:pPr>
            <w:r w:rsidRPr="00DA00A9">
              <w:rPr>
                <w:rFonts w:cs="Arial"/>
                <w:color w:val="000000"/>
                <w:szCs w:val="22"/>
              </w:rPr>
              <w:t>NA</w:t>
            </w:r>
          </w:p>
        </w:tc>
        <w:tc>
          <w:tcPr>
            <w:tcW w:w="1690" w:type="dxa"/>
            <w:shd w:val="clear" w:color="auto" w:fill="FFFFFF"/>
            <w:vAlign w:val="bottom"/>
          </w:tcPr>
          <w:p w14:paraId="17DB1F10" w14:textId="659B3277" w:rsidR="004F4CC4" w:rsidRPr="00DA00A9" w:rsidRDefault="004F4CC4" w:rsidP="004F4CC4">
            <w:pPr>
              <w:rPr>
                <w:rFonts w:cs="Arial"/>
                <w:color w:val="000000"/>
              </w:rPr>
            </w:pPr>
            <w:r w:rsidRPr="00DA00A9">
              <w:rPr>
                <w:rFonts w:cs="Arial"/>
                <w:color w:val="000000"/>
                <w:szCs w:val="22"/>
              </w:rPr>
              <w:t>NA</w:t>
            </w:r>
          </w:p>
        </w:tc>
        <w:tc>
          <w:tcPr>
            <w:tcW w:w="1616" w:type="dxa"/>
            <w:shd w:val="clear" w:color="auto" w:fill="FFFFFF"/>
            <w:vAlign w:val="bottom"/>
          </w:tcPr>
          <w:p w14:paraId="4C436847" w14:textId="0DEBE882" w:rsidR="004F4CC4" w:rsidRPr="00DA00A9" w:rsidRDefault="004F4CC4" w:rsidP="004F4CC4">
            <w:pPr>
              <w:autoSpaceDE w:val="0"/>
              <w:autoSpaceDN w:val="0"/>
              <w:adjustRightInd w:val="0"/>
              <w:spacing w:line="276" w:lineRule="auto"/>
              <w:rPr>
                <w:rFonts w:cs="Arial"/>
                <w:color w:val="000000"/>
              </w:rPr>
            </w:pPr>
            <w:r w:rsidRPr="00DA00A9">
              <w:rPr>
                <w:rFonts w:cs="Arial"/>
                <w:color w:val="000000"/>
                <w:szCs w:val="22"/>
              </w:rPr>
              <w:t>NA</w:t>
            </w:r>
          </w:p>
        </w:tc>
      </w:tr>
      <w:tr w:rsidR="004F4CC4" w:rsidRPr="00DA00A9" w14:paraId="2784E37D" w14:textId="77777777" w:rsidTr="00AB1958">
        <w:trPr>
          <w:trHeight w:val="296"/>
        </w:trPr>
        <w:tc>
          <w:tcPr>
            <w:tcW w:w="1835" w:type="dxa"/>
            <w:shd w:val="clear" w:color="auto" w:fill="FFFFFF"/>
            <w:vAlign w:val="center"/>
          </w:tcPr>
          <w:p w14:paraId="000FDE9F" w14:textId="2E437E92" w:rsidR="004F4CC4" w:rsidRPr="00DA00A9" w:rsidRDefault="004F4CC4" w:rsidP="004F4CC4">
            <w:pPr>
              <w:autoSpaceDE w:val="0"/>
              <w:autoSpaceDN w:val="0"/>
              <w:adjustRightInd w:val="0"/>
              <w:spacing w:line="276" w:lineRule="auto"/>
              <w:ind w:left="90"/>
              <w:rPr>
                <w:rFonts w:cs="Arial"/>
                <w:color w:val="000000"/>
                <w:szCs w:val="22"/>
              </w:rPr>
            </w:pPr>
            <w:r w:rsidRPr="00DA00A9">
              <w:rPr>
                <w:rFonts w:cs="Arial"/>
                <w:b/>
                <w:bCs/>
                <w:color w:val="000000"/>
                <w:szCs w:val="22"/>
              </w:rPr>
              <w:t>Guidelines</w:t>
            </w:r>
          </w:p>
        </w:tc>
        <w:tc>
          <w:tcPr>
            <w:tcW w:w="1866" w:type="dxa"/>
            <w:shd w:val="clear" w:color="auto" w:fill="FFFFFF"/>
            <w:vAlign w:val="bottom"/>
          </w:tcPr>
          <w:p w14:paraId="7BDC20DF" w14:textId="6E5B7B7B" w:rsidR="004F4CC4" w:rsidRPr="00DA00A9" w:rsidRDefault="004F4CC4" w:rsidP="004F4CC4">
            <w:pPr>
              <w:spacing w:line="276" w:lineRule="auto"/>
              <w:rPr>
                <w:rFonts w:cs="Arial"/>
                <w:color w:val="000000"/>
              </w:rPr>
            </w:pPr>
            <w:r w:rsidRPr="00DA00A9">
              <w:rPr>
                <w:rFonts w:cs="Arial"/>
                <w:color w:val="000000"/>
                <w:szCs w:val="22"/>
              </w:rPr>
              <w:t>8,399,300</w:t>
            </w:r>
          </w:p>
        </w:tc>
        <w:tc>
          <w:tcPr>
            <w:tcW w:w="1550" w:type="dxa"/>
            <w:shd w:val="clear" w:color="auto" w:fill="FFFFFF"/>
            <w:vAlign w:val="bottom"/>
          </w:tcPr>
          <w:p w14:paraId="46E6042C" w14:textId="469D12B9" w:rsidR="004F4CC4" w:rsidRPr="00DA00A9" w:rsidRDefault="004F4CC4" w:rsidP="004F4CC4">
            <w:pPr>
              <w:spacing w:line="276" w:lineRule="auto"/>
              <w:rPr>
                <w:rFonts w:cs="Arial"/>
                <w:color w:val="000000"/>
              </w:rPr>
            </w:pPr>
            <w:r w:rsidRPr="00DA00A9">
              <w:rPr>
                <w:rFonts w:cs="Arial"/>
                <w:color w:val="000000"/>
                <w:szCs w:val="22"/>
              </w:rPr>
              <w:t>325.58</w:t>
            </w:r>
          </w:p>
        </w:tc>
        <w:tc>
          <w:tcPr>
            <w:tcW w:w="1550" w:type="dxa"/>
            <w:shd w:val="clear" w:color="auto" w:fill="FFFFFF"/>
            <w:vAlign w:val="bottom"/>
          </w:tcPr>
          <w:p w14:paraId="013AE886" w14:textId="12E4128F" w:rsidR="004F4CC4" w:rsidRPr="00DA00A9" w:rsidRDefault="004F4CC4" w:rsidP="004F4CC4">
            <w:pPr>
              <w:rPr>
                <w:rFonts w:cs="Arial"/>
                <w:color w:val="000000"/>
              </w:rPr>
            </w:pPr>
            <w:r w:rsidRPr="00DA00A9">
              <w:rPr>
                <w:rFonts w:cs="Arial"/>
                <w:color w:val="000000"/>
                <w:szCs w:val="22"/>
              </w:rPr>
              <w:t>1</w:t>
            </w:r>
            <w:r>
              <w:rPr>
                <w:rFonts w:cs="Arial"/>
                <w:color w:val="000000"/>
                <w:szCs w:val="22"/>
              </w:rPr>
              <w:t>,</w:t>
            </w:r>
            <w:r w:rsidRPr="00DA00A9">
              <w:rPr>
                <w:rFonts w:cs="Arial"/>
                <w:color w:val="000000"/>
                <w:szCs w:val="22"/>
              </w:rPr>
              <w:t>169</w:t>
            </w:r>
            <w:r>
              <w:rPr>
                <w:rFonts w:cs="Arial"/>
                <w:color w:val="000000"/>
                <w:szCs w:val="22"/>
              </w:rPr>
              <w:t>,</w:t>
            </w:r>
            <w:r w:rsidRPr="00DA00A9">
              <w:rPr>
                <w:rFonts w:cs="Arial"/>
                <w:color w:val="000000"/>
                <w:szCs w:val="22"/>
              </w:rPr>
              <w:t>600</w:t>
            </w:r>
          </w:p>
        </w:tc>
        <w:tc>
          <w:tcPr>
            <w:tcW w:w="1690" w:type="dxa"/>
            <w:shd w:val="clear" w:color="auto" w:fill="FFFFFF"/>
            <w:vAlign w:val="bottom"/>
          </w:tcPr>
          <w:p w14:paraId="4BF71CAB" w14:textId="52A8B923" w:rsidR="004F4CC4" w:rsidRPr="00DA00A9" w:rsidRDefault="004F4CC4" w:rsidP="004F4CC4">
            <w:pPr>
              <w:rPr>
                <w:rFonts w:cs="Arial"/>
                <w:color w:val="000000"/>
              </w:rPr>
            </w:pPr>
            <w:r w:rsidRPr="00C97516">
              <w:rPr>
                <w:rFonts w:cs="Arial"/>
                <w:color w:val="000000"/>
                <w:szCs w:val="22"/>
              </w:rPr>
              <w:t>40.150</w:t>
            </w:r>
          </w:p>
        </w:tc>
        <w:tc>
          <w:tcPr>
            <w:tcW w:w="1616" w:type="dxa"/>
            <w:shd w:val="clear" w:color="auto" w:fill="FFFFFF"/>
            <w:vAlign w:val="bottom"/>
          </w:tcPr>
          <w:p w14:paraId="6213AA9B" w14:textId="2DD34E9B" w:rsidR="004F4CC4" w:rsidRPr="00DA00A9" w:rsidRDefault="004F4CC4" w:rsidP="004F4CC4">
            <w:pPr>
              <w:autoSpaceDE w:val="0"/>
              <w:autoSpaceDN w:val="0"/>
              <w:adjustRightInd w:val="0"/>
              <w:spacing w:line="276" w:lineRule="auto"/>
              <w:rPr>
                <w:rFonts w:cs="Arial"/>
                <w:color w:val="000000"/>
              </w:rPr>
            </w:pPr>
            <w:r w:rsidRPr="00DA00A9">
              <w:rPr>
                <w:rFonts w:cs="Arial"/>
                <w:color w:val="000000"/>
                <w:szCs w:val="22"/>
              </w:rPr>
              <w:t>29</w:t>
            </w:r>
            <w:r>
              <w:rPr>
                <w:rFonts w:cs="Arial"/>
                <w:color w:val="000000"/>
                <w:szCs w:val="22"/>
              </w:rPr>
              <w:t>,</w:t>
            </w:r>
            <w:r w:rsidRPr="00DA00A9">
              <w:rPr>
                <w:rFonts w:cs="Arial"/>
                <w:color w:val="000000"/>
                <w:szCs w:val="22"/>
              </w:rPr>
              <w:t>131</w:t>
            </w:r>
          </w:p>
        </w:tc>
      </w:tr>
      <w:tr w:rsidR="004F4CC4" w:rsidRPr="00DA00A9" w14:paraId="155AA84C" w14:textId="77777777" w:rsidTr="00AB1958">
        <w:trPr>
          <w:trHeight w:val="296"/>
        </w:trPr>
        <w:tc>
          <w:tcPr>
            <w:tcW w:w="1835" w:type="dxa"/>
            <w:shd w:val="clear" w:color="auto" w:fill="FFFFFF"/>
            <w:vAlign w:val="center"/>
          </w:tcPr>
          <w:p w14:paraId="5E181EB9" w14:textId="1E7B5073" w:rsidR="004F4CC4" w:rsidRPr="00DA00A9" w:rsidRDefault="004F4CC4" w:rsidP="004F4CC4">
            <w:pPr>
              <w:autoSpaceDE w:val="0"/>
              <w:autoSpaceDN w:val="0"/>
              <w:adjustRightInd w:val="0"/>
              <w:spacing w:line="276" w:lineRule="auto"/>
              <w:ind w:left="90"/>
              <w:rPr>
                <w:rFonts w:cs="Arial"/>
                <w:color w:val="000000"/>
                <w:szCs w:val="22"/>
              </w:rPr>
            </w:pPr>
            <w:r w:rsidRPr="00DA00A9">
              <w:rPr>
                <w:rFonts w:cs="Arial"/>
                <w:color w:val="000000"/>
                <w:szCs w:val="22"/>
              </w:rPr>
              <w:t>95% Uncertainty</w:t>
            </w:r>
          </w:p>
        </w:tc>
        <w:tc>
          <w:tcPr>
            <w:tcW w:w="1866" w:type="dxa"/>
            <w:shd w:val="clear" w:color="auto" w:fill="FFFFFF"/>
            <w:vAlign w:val="bottom"/>
          </w:tcPr>
          <w:p w14:paraId="5E5F9A8A" w14:textId="7BCA11D5" w:rsidR="004F4CC4" w:rsidRPr="00DA00A9" w:rsidRDefault="004F4CC4" w:rsidP="004F4CC4">
            <w:pPr>
              <w:spacing w:line="276" w:lineRule="auto"/>
              <w:rPr>
                <w:rFonts w:cs="Arial"/>
                <w:color w:val="000000"/>
              </w:rPr>
            </w:pPr>
            <w:r w:rsidRPr="00DA00A9">
              <w:rPr>
                <w:rFonts w:cs="Arial"/>
                <w:color w:val="000000"/>
                <w:szCs w:val="22"/>
              </w:rPr>
              <w:t>NA</w:t>
            </w:r>
          </w:p>
        </w:tc>
        <w:tc>
          <w:tcPr>
            <w:tcW w:w="1550" w:type="dxa"/>
            <w:shd w:val="clear" w:color="auto" w:fill="FFFFFF"/>
            <w:vAlign w:val="bottom"/>
          </w:tcPr>
          <w:p w14:paraId="14B8793A" w14:textId="121B1237" w:rsidR="004F4CC4" w:rsidRPr="00DA00A9" w:rsidRDefault="004F4CC4" w:rsidP="004F4CC4">
            <w:pPr>
              <w:spacing w:line="276" w:lineRule="auto"/>
              <w:rPr>
                <w:rFonts w:cs="Arial"/>
                <w:color w:val="000000"/>
              </w:rPr>
            </w:pPr>
            <w:r w:rsidRPr="00DA00A9">
              <w:rPr>
                <w:rFonts w:cs="Arial"/>
                <w:color w:val="000000"/>
                <w:szCs w:val="22"/>
              </w:rPr>
              <w:t>NA</w:t>
            </w:r>
          </w:p>
        </w:tc>
        <w:tc>
          <w:tcPr>
            <w:tcW w:w="1550" w:type="dxa"/>
            <w:shd w:val="clear" w:color="auto" w:fill="FFFFFF"/>
            <w:vAlign w:val="bottom"/>
          </w:tcPr>
          <w:p w14:paraId="040F586D" w14:textId="339688F2" w:rsidR="004F4CC4" w:rsidRPr="00DA00A9" w:rsidRDefault="004F4CC4" w:rsidP="004F4CC4">
            <w:pPr>
              <w:rPr>
                <w:rFonts w:cs="Arial"/>
                <w:color w:val="000000"/>
              </w:rPr>
            </w:pPr>
            <w:r w:rsidRPr="00DA00A9">
              <w:rPr>
                <w:rFonts w:cs="Arial"/>
                <w:color w:val="000000"/>
                <w:szCs w:val="22"/>
              </w:rPr>
              <w:t>430</w:t>
            </w:r>
            <w:r>
              <w:rPr>
                <w:rFonts w:cs="Arial"/>
                <w:color w:val="000000"/>
                <w:szCs w:val="22"/>
              </w:rPr>
              <w:t>,</w:t>
            </w:r>
            <w:r w:rsidRPr="00DA00A9">
              <w:rPr>
                <w:rFonts w:cs="Arial"/>
                <w:color w:val="000000"/>
                <w:szCs w:val="22"/>
              </w:rPr>
              <w:t>360; 2</w:t>
            </w:r>
            <w:r>
              <w:rPr>
                <w:rFonts w:cs="Arial"/>
                <w:color w:val="000000"/>
                <w:szCs w:val="22"/>
              </w:rPr>
              <w:t>,</w:t>
            </w:r>
            <w:r w:rsidRPr="00DA00A9">
              <w:rPr>
                <w:rFonts w:cs="Arial"/>
                <w:color w:val="000000"/>
                <w:szCs w:val="22"/>
              </w:rPr>
              <w:t>021</w:t>
            </w:r>
            <w:r>
              <w:rPr>
                <w:rFonts w:cs="Arial"/>
                <w:color w:val="000000"/>
                <w:szCs w:val="22"/>
              </w:rPr>
              <w:t>,</w:t>
            </w:r>
            <w:r w:rsidRPr="00DA00A9">
              <w:rPr>
                <w:rFonts w:cs="Arial"/>
                <w:color w:val="000000"/>
                <w:szCs w:val="22"/>
              </w:rPr>
              <w:t>200</w:t>
            </w:r>
          </w:p>
        </w:tc>
        <w:tc>
          <w:tcPr>
            <w:tcW w:w="1690" w:type="dxa"/>
            <w:shd w:val="clear" w:color="auto" w:fill="FFFFFF"/>
            <w:vAlign w:val="bottom"/>
          </w:tcPr>
          <w:p w14:paraId="5BC00378" w14:textId="311071E6" w:rsidR="004F4CC4" w:rsidRPr="00DA00A9" w:rsidRDefault="004F4CC4" w:rsidP="004F4CC4">
            <w:pPr>
              <w:rPr>
                <w:rFonts w:cs="Arial"/>
                <w:color w:val="000000"/>
              </w:rPr>
            </w:pPr>
            <w:r w:rsidRPr="00DA00A9">
              <w:rPr>
                <w:rFonts w:cs="Arial"/>
                <w:color w:val="000000"/>
                <w:szCs w:val="22"/>
              </w:rPr>
              <w:t>12.013; 86.736</w:t>
            </w:r>
          </w:p>
        </w:tc>
        <w:tc>
          <w:tcPr>
            <w:tcW w:w="1616" w:type="dxa"/>
            <w:shd w:val="clear" w:color="auto" w:fill="FFFFFF"/>
            <w:vAlign w:val="bottom"/>
          </w:tcPr>
          <w:p w14:paraId="7052036F" w14:textId="5EEE510E" w:rsidR="004F4CC4" w:rsidRPr="00DA00A9" w:rsidRDefault="004F4CC4" w:rsidP="004F4CC4">
            <w:pPr>
              <w:autoSpaceDE w:val="0"/>
              <w:autoSpaceDN w:val="0"/>
              <w:adjustRightInd w:val="0"/>
              <w:spacing w:line="276" w:lineRule="auto"/>
              <w:rPr>
                <w:rFonts w:cs="Arial"/>
                <w:color w:val="000000"/>
              </w:rPr>
            </w:pPr>
            <w:r w:rsidRPr="00DA00A9">
              <w:rPr>
                <w:rFonts w:cs="Arial"/>
                <w:color w:val="000000"/>
                <w:szCs w:val="22"/>
              </w:rPr>
              <w:t>7</w:t>
            </w:r>
            <w:r>
              <w:rPr>
                <w:rFonts w:cs="Arial"/>
                <w:color w:val="000000"/>
                <w:szCs w:val="22"/>
              </w:rPr>
              <w:t>,</w:t>
            </w:r>
            <w:r w:rsidRPr="00DA00A9">
              <w:rPr>
                <w:rFonts w:cs="Arial"/>
                <w:color w:val="000000"/>
                <w:szCs w:val="22"/>
              </w:rPr>
              <w:t>669.6; 115</w:t>
            </w:r>
            <w:r>
              <w:rPr>
                <w:rFonts w:cs="Arial"/>
                <w:color w:val="000000"/>
                <w:szCs w:val="22"/>
              </w:rPr>
              <w:t>,</w:t>
            </w:r>
            <w:r w:rsidRPr="00DA00A9">
              <w:rPr>
                <w:rFonts w:cs="Arial"/>
                <w:color w:val="000000"/>
                <w:szCs w:val="22"/>
              </w:rPr>
              <w:t>790</w:t>
            </w:r>
          </w:p>
        </w:tc>
      </w:tr>
      <w:tr w:rsidR="004F4CC4" w:rsidRPr="00DA00A9" w14:paraId="2916AEE9" w14:textId="77777777" w:rsidTr="004F4CC4">
        <w:trPr>
          <w:trHeight w:val="296"/>
        </w:trPr>
        <w:tc>
          <w:tcPr>
            <w:tcW w:w="1835" w:type="dxa"/>
            <w:shd w:val="clear" w:color="auto" w:fill="D9D9D9" w:themeFill="background1" w:themeFillShade="D9"/>
            <w:vAlign w:val="center"/>
          </w:tcPr>
          <w:p w14:paraId="07217253" w14:textId="021ACBFD" w:rsidR="004F4CC4" w:rsidRPr="00DA00A9" w:rsidRDefault="004F4CC4" w:rsidP="004F4CC4">
            <w:pPr>
              <w:autoSpaceDE w:val="0"/>
              <w:autoSpaceDN w:val="0"/>
              <w:adjustRightInd w:val="0"/>
              <w:spacing w:line="276" w:lineRule="auto"/>
              <w:ind w:left="90"/>
              <w:rPr>
                <w:rFonts w:cs="Arial"/>
                <w:color w:val="000000"/>
                <w:szCs w:val="22"/>
              </w:rPr>
            </w:pPr>
            <w:r>
              <w:rPr>
                <w:rFonts w:cs="Arial"/>
                <w:b/>
                <w:bCs/>
                <w:color w:val="000000"/>
                <w:szCs w:val="22"/>
              </w:rPr>
              <w:t xml:space="preserve">2.2. </w:t>
            </w:r>
            <w:r w:rsidRPr="00DA00A9">
              <w:rPr>
                <w:rFonts w:cs="Arial"/>
                <w:b/>
                <w:bCs/>
                <w:color w:val="000000"/>
                <w:szCs w:val="22"/>
              </w:rPr>
              <w:t xml:space="preserve">2016-2019 + 5 years </w:t>
            </w:r>
          </w:p>
        </w:tc>
        <w:tc>
          <w:tcPr>
            <w:tcW w:w="1866" w:type="dxa"/>
            <w:shd w:val="clear" w:color="auto" w:fill="D9D9D9" w:themeFill="background1" w:themeFillShade="D9"/>
            <w:vAlign w:val="bottom"/>
          </w:tcPr>
          <w:p w14:paraId="292B91C0" w14:textId="77777777" w:rsidR="004F4CC4" w:rsidRPr="00DA00A9" w:rsidRDefault="004F4CC4" w:rsidP="004F4CC4">
            <w:pPr>
              <w:spacing w:line="276" w:lineRule="auto"/>
              <w:rPr>
                <w:rFonts w:cs="Arial"/>
                <w:color w:val="000000"/>
              </w:rPr>
            </w:pPr>
          </w:p>
        </w:tc>
        <w:tc>
          <w:tcPr>
            <w:tcW w:w="1550" w:type="dxa"/>
            <w:shd w:val="clear" w:color="auto" w:fill="D9D9D9" w:themeFill="background1" w:themeFillShade="D9"/>
            <w:vAlign w:val="bottom"/>
          </w:tcPr>
          <w:p w14:paraId="0783440D" w14:textId="77777777" w:rsidR="004F4CC4" w:rsidRPr="00DA00A9" w:rsidRDefault="004F4CC4" w:rsidP="004F4CC4">
            <w:pPr>
              <w:spacing w:line="276" w:lineRule="auto"/>
              <w:rPr>
                <w:rFonts w:cs="Arial"/>
                <w:color w:val="000000"/>
              </w:rPr>
            </w:pPr>
          </w:p>
        </w:tc>
        <w:tc>
          <w:tcPr>
            <w:tcW w:w="1550" w:type="dxa"/>
            <w:shd w:val="clear" w:color="auto" w:fill="D9D9D9" w:themeFill="background1" w:themeFillShade="D9"/>
            <w:vAlign w:val="bottom"/>
          </w:tcPr>
          <w:p w14:paraId="51D65D45" w14:textId="77777777" w:rsidR="004F4CC4" w:rsidRPr="00DA00A9" w:rsidRDefault="004F4CC4" w:rsidP="004F4CC4">
            <w:pPr>
              <w:rPr>
                <w:rFonts w:cs="Arial"/>
                <w:color w:val="000000"/>
              </w:rPr>
            </w:pPr>
          </w:p>
        </w:tc>
        <w:tc>
          <w:tcPr>
            <w:tcW w:w="1690" w:type="dxa"/>
            <w:shd w:val="clear" w:color="auto" w:fill="D9D9D9" w:themeFill="background1" w:themeFillShade="D9"/>
            <w:vAlign w:val="bottom"/>
          </w:tcPr>
          <w:p w14:paraId="27C502E6" w14:textId="77777777" w:rsidR="004F4CC4" w:rsidRPr="00DA00A9" w:rsidRDefault="004F4CC4" w:rsidP="004F4CC4">
            <w:pPr>
              <w:rPr>
                <w:rFonts w:cs="Arial"/>
                <w:color w:val="000000"/>
              </w:rPr>
            </w:pPr>
          </w:p>
        </w:tc>
        <w:tc>
          <w:tcPr>
            <w:tcW w:w="1616" w:type="dxa"/>
            <w:shd w:val="clear" w:color="auto" w:fill="D9D9D9" w:themeFill="background1" w:themeFillShade="D9"/>
            <w:vAlign w:val="bottom"/>
          </w:tcPr>
          <w:p w14:paraId="4C0CFB6F" w14:textId="77777777" w:rsidR="004F4CC4" w:rsidRPr="00DA00A9" w:rsidRDefault="004F4CC4" w:rsidP="004F4CC4">
            <w:pPr>
              <w:autoSpaceDE w:val="0"/>
              <w:autoSpaceDN w:val="0"/>
              <w:adjustRightInd w:val="0"/>
              <w:spacing w:line="276" w:lineRule="auto"/>
              <w:rPr>
                <w:rFonts w:cs="Arial"/>
                <w:color w:val="000000"/>
              </w:rPr>
            </w:pPr>
          </w:p>
        </w:tc>
      </w:tr>
      <w:tr w:rsidR="004F4CC4" w:rsidRPr="00DA00A9" w14:paraId="1964C151" w14:textId="77777777" w:rsidTr="00AB1958">
        <w:trPr>
          <w:trHeight w:val="296"/>
        </w:trPr>
        <w:tc>
          <w:tcPr>
            <w:tcW w:w="1835" w:type="dxa"/>
            <w:shd w:val="clear" w:color="auto" w:fill="FFFFFF"/>
            <w:vAlign w:val="center"/>
          </w:tcPr>
          <w:p w14:paraId="2FAE0265" w14:textId="14129AA4" w:rsidR="004F4CC4" w:rsidRPr="00DA00A9" w:rsidRDefault="004F4CC4" w:rsidP="004F4CC4">
            <w:pPr>
              <w:autoSpaceDE w:val="0"/>
              <w:autoSpaceDN w:val="0"/>
              <w:adjustRightInd w:val="0"/>
              <w:spacing w:line="276" w:lineRule="auto"/>
              <w:ind w:left="90"/>
              <w:rPr>
                <w:rFonts w:cs="Arial"/>
                <w:color w:val="000000"/>
                <w:szCs w:val="22"/>
              </w:rPr>
            </w:pPr>
            <w:r w:rsidRPr="00DA00A9">
              <w:rPr>
                <w:rFonts w:cs="Arial"/>
                <w:b/>
                <w:bCs/>
                <w:color w:val="000000"/>
                <w:szCs w:val="22"/>
              </w:rPr>
              <w:t>Current Policy</w:t>
            </w:r>
          </w:p>
        </w:tc>
        <w:tc>
          <w:tcPr>
            <w:tcW w:w="1866" w:type="dxa"/>
            <w:shd w:val="clear" w:color="auto" w:fill="FFFFFF"/>
            <w:vAlign w:val="bottom"/>
          </w:tcPr>
          <w:p w14:paraId="419EA2E6" w14:textId="28C3378F" w:rsidR="004F4CC4" w:rsidRPr="00DA00A9" w:rsidRDefault="004F4CC4" w:rsidP="004F4CC4">
            <w:pPr>
              <w:spacing w:line="276" w:lineRule="auto"/>
              <w:rPr>
                <w:rFonts w:cs="Arial"/>
                <w:color w:val="000000"/>
              </w:rPr>
            </w:pPr>
            <w:r w:rsidRPr="00DA00A9">
              <w:rPr>
                <w:rFonts w:cs="Arial"/>
                <w:color w:val="000000"/>
                <w:szCs w:val="22"/>
              </w:rPr>
              <w:t>16,323,000</w:t>
            </w:r>
          </w:p>
        </w:tc>
        <w:tc>
          <w:tcPr>
            <w:tcW w:w="1550" w:type="dxa"/>
            <w:shd w:val="clear" w:color="auto" w:fill="FFFFFF"/>
            <w:vAlign w:val="bottom"/>
          </w:tcPr>
          <w:p w14:paraId="7DDC32F5" w14:textId="64372258" w:rsidR="004F4CC4" w:rsidRPr="00DA00A9" w:rsidRDefault="004F4CC4" w:rsidP="004F4CC4">
            <w:pPr>
              <w:spacing w:line="276" w:lineRule="auto"/>
              <w:rPr>
                <w:rFonts w:cs="Arial"/>
                <w:color w:val="000000"/>
              </w:rPr>
            </w:pPr>
            <w:r w:rsidRPr="00DA00A9">
              <w:rPr>
                <w:rFonts w:cs="Arial"/>
                <w:color w:val="000000"/>
                <w:szCs w:val="22"/>
              </w:rPr>
              <w:t>829.09</w:t>
            </w:r>
          </w:p>
        </w:tc>
        <w:tc>
          <w:tcPr>
            <w:tcW w:w="1550" w:type="dxa"/>
            <w:shd w:val="clear" w:color="auto" w:fill="FFFFFF"/>
            <w:vAlign w:val="bottom"/>
          </w:tcPr>
          <w:p w14:paraId="039BE64E" w14:textId="322D690E" w:rsidR="004F4CC4" w:rsidRPr="00DA00A9" w:rsidRDefault="004F4CC4" w:rsidP="004F4CC4">
            <w:pPr>
              <w:rPr>
                <w:rFonts w:cs="Arial"/>
                <w:color w:val="000000"/>
              </w:rPr>
            </w:pPr>
            <w:r w:rsidRPr="00DA00A9">
              <w:rPr>
                <w:rFonts w:cs="Arial"/>
                <w:color w:val="000000"/>
                <w:szCs w:val="22"/>
              </w:rPr>
              <w:t>NA</w:t>
            </w:r>
          </w:p>
        </w:tc>
        <w:tc>
          <w:tcPr>
            <w:tcW w:w="1690" w:type="dxa"/>
            <w:shd w:val="clear" w:color="auto" w:fill="FFFFFF"/>
            <w:vAlign w:val="bottom"/>
          </w:tcPr>
          <w:p w14:paraId="0EDEF736" w14:textId="132404D2" w:rsidR="004F4CC4" w:rsidRPr="00DA00A9" w:rsidRDefault="004F4CC4" w:rsidP="004F4CC4">
            <w:pPr>
              <w:rPr>
                <w:rFonts w:cs="Arial"/>
                <w:color w:val="000000"/>
              </w:rPr>
            </w:pPr>
            <w:r w:rsidRPr="00DA00A9">
              <w:rPr>
                <w:rFonts w:cs="Arial"/>
                <w:color w:val="000000"/>
                <w:szCs w:val="22"/>
              </w:rPr>
              <w:t>NA</w:t>
            </w:r>
          </w:p>
        </w:tc>
        <w:tc>
          <w:tcPr>
            <w:tcW w:w="1616" w:type="dxa"/>
            <w:shd w:val="clear" w:color="auto" w:fill="FFFFFF"/>
            <w:vAlign w:val="bottom"/>
          </w:tcPr>
          <w:p w14:paraId="1ABE80ED" w14:textId="67D9B1BF" w:rsidR="004F4CC4" w:rsidRPr="00DA00A9" w:rsidRDefault="004F4CC4" w:rsidP="004F4CC4">
            <w:pPr>
              <w:autoSpaceDE w:val="0"/>
              <w:autoSpaceDN w:val="0"/>
              <w:adjustRightInd w:val="0"/>
              <w:spacing w:line="276" w:lineRule="auto"/>
              <w:rPr>
                <w:rFonts w:cs="Arial"/>
                <w:color w:val="000000"/>
              </w:rPr>
            </w:pPr>
            <w:r w:rsidRPr="00DA00A9">
              <w:rPr>
                <w:rFonts w:cs="Arial"/>
                <w:color w:val="000000"/>
                <w:szCs w:val="22"/>
              </w:rPr>
              <w:t>NA</w:t>
            </w:r>
          </w:p>
        </w:tc>
      </w:tr>
      <w:tr w:rsidR="004F4CC4" w:rsidRPr="00DA00A9" w14:paraId="5F75FEEC" w14:textId="77777777" w:rsidTr="00AB1958">
        <w:trPr>
          <w:trHeight w:val="296"/>
        </w:trPr>
        <w:tc>
          <w:tcPr>
            <w:tcW w:w="1835" w:type="dxa"/>
            <w:shd w:val="clear" w:color="auto" w:fill="FFFFFF"/>
            <w:vAlign w:val="center"/>
          </w:tcPr>
          <w:p w14:paraId="2BC9E208" w14:textId="4CC17CF9" w:rsidR="004F4CC4" w:rsidRPr="00DA00A9" w:rsidRDefault="004F4CC4" w:rsidP="004F4CC4">
            <w:pPr>
              <w:autoSpaceDE w:val="0"/>
              <w:autoSpaceDN w:val="0"/>
              <w:adjustRightInd w:val="0"/>
              <w:spacing w:line="276" w:lineRule="auto"/>
              <w:ind w:left="90"/>
              <w:rPr>
                <w:rFonts w:cs="Arial"/>
                <w:b/>
                <w:bCs/>
                <w:color w:val="000000"/>
                <w:szCs w:val="22"/>
              </w:rPr>
            </w:pPr>
            <w:r w:rsidRPr="00DA00A9">
              <w:rPr>
                <w:rFonts w:cs="Arial"/>
                <w:b/>
                <w:bCs/>
                <w:color w:val="000000"/>
                <w:szCs w:val="22"/>
              </w:rPr>
              <w:t>Guidelines</w:t>
            </w:r>
          </w:p>
        </w:tc>
        <w:tc>
          <w:tcPr>
            <w:tcW w:w="1866" w:type="dxa"/>
            <w:shd w:val="clear" w:color="auto" w:fill="FFFFFF"/>
            <w:vAlign w:val="bottom"/>
          </w:tcPr>
          <w:p w14:paraId="7AF10E2A" w14:textId="35E4431C" w:rsidR="004F4CC4" w:rsidRPr="00DA00A9" w:rsidRDefault="004F4CC4" w:rsidP="004F4CC4">
            <w:pPr>
              <w:spacing w:line="276" w:lineRule="auto"/>
              <w:rPr>
                <w:rFonts w:cs="Arial"/>
                <w:color w:val="000000"/>
                <w:szCs w:val="22"/>
              </w:rPr>
            </w:pPr>
            <w:r w:rsidRPr="00DA00A9">
              <w:rPr>
                <w:rFonts w:cs="Arial"/>
                <w:color w:val="000000"/>
                <w:szCs w:val="22"/>
              </w:rPr>
              <w:t>17,294,000</w:t>
            </w:r>
          </w:p>
        </w:tc>
        <w:tc>
          <w:tcPr>
            <w:tcW w:w="1550" w:type="dxa"/>
            <w:shd w:val="clear" w:color="auto" w:fill="FFFFFF"/>
            <w:vAlign w:val="bottom"/>
          </w:tcPr>
          <w:p w14:paraId="0CB9697B" w14:textId="10EF5D2B" w:rsidR="004F4CC4" w:rsidRPr="00DA00A9" w:rsidRDefault="004F4CC4" w:rsidP="004F4CC4">
            <w:pPr>
              <w:spacing w:line="276" w:lineRule="auto"/>
              <w:rPr>
                <w:rFonts w:cs="Arial"/>
                <w:color w:val="000000"/>
                <w:szCs w:val="22"/>
              </w:rPr>
            </w:pPr>
            <w:r w:rsidRPr="00DA00A9">
              <w:rPr>
                <w:rFonts w:cs="Arial"/>
                <w:color w:val="000000"/>
                <w:szCs w:val="22"/>
              </w:rPr>
              <w:t>766.94</w:t>
            </w:r>
          </w:p>
        </w:tc>
        <w:tc>
          <w:tcPr>
            <w:tcW w:w="1550" w:type="dxa"/>
            <w:shd w:val="clear" w:color="auto" w:fill="FFFFFF"/>
            <w:vAlign w:val="bottom"/>
          </w:tcPr>
          <w:p w14:paraId="40104FDA" w14:textId="49D605D9" w:rsidR="004F4CC4" w:rsidRPr="00DA00A9" w:rsidRDefault="004F4CC4" w:rsidP="004F4CC4">
            <w:pPr>
              <w:rPr>
                <w:rFonts w:cs="Arial"/>
                <w:color w:val="000000"/>
                <w:szCs w:val="22"/>
              </w:rPr>
            </w:pPr>
            <w:r w:rsidRPr="00DA00A9">
              <w:rPr>
                <w:rFonts w:cs="Arial"/>
                <w:color w:val="000000"/>
                <w:szCs w:val="22"/>
              </w:rPr>
              <w:t>971</w:t>
            </w:r>
            <w:r>
              <w:rPr>
                <w:rFonts w:cs="Arial"/>
                <w:color w:val="000000"/>
                <w:szCs w:val="22"/>
              </w:rPr>
              <w:t>,</w:t>
            </w:r>
            <w:r w:rsidRPr="00DA00A9">
              <w:rPr>
                <w:rFonts w:cs="Arial"/>
                <w:color w:val="000000"/>
                <w:szCs w:val="22"/>
              </w:rPr>
              <w:t>000</w:t>
            </w:r>
          </w:p>
        </w:tc>
        <w:tc>
          <w:tcPr>
            <w:tcW w:w="1690" w:type="dxa"/>
            <w:shd w:val="clear" w:color="auto" w:fill="FFFFFF"/>
            <w:vAlign w:val="bottom"/>
          </w:tcPr>
          <w:p w14:paraId="4CD43290" w14:textId="32AB3DC2" w:rsidR="004F4CC4" w:rsidRPr="00DA00A9" w:rsidRDefault="004F4CC4" w:rsidP="004F4CC4">
            <w:pPr>
              <w:rPr>
                <w:rFonts w:cs="Arial"/>
                <w:color w:val="000000"/>
                <w:szCs w:val="22"/>
              </w:rPr>
            </w:pPr>
            <w:r w:rsidRPr="00C97516">
              <w:rPr>
                <w:rFonts w:cs="Arial"/>
                <w:color w:val="000000"/>
                <w:szCs w:val="22"/>
              </w:rPr>
              <w:t>62.150</w:t>
            </w:r>
          </w:p>
        </w:tc>
        <w:tc>
          <w:tcPr>
            <w:tcW w:w="1616" w:type="dxa"/>
            <w:shd w:val="clear" w:color="auto" w:fill="FFFFFF"/>
            <w:vAlign w:val="bottom"/>
          </w:tcPr>
          <w:p w14:paraId="03A4AC63" w14:textId="6E6D12D7" w:rsidR="004F4CC4" w:rsidRPr="00DA00A9" w:rsidRDefault="004F4CC4" w:rsidP="004F4CC4">
            <w:pPr>
              <w:autoSpaceDE w:val="0"/>
              <w:autoSpaceDN w:val="0"/>
              <w:adjustRightInd w:val="0"/>
              <w:spacing w:line="276" w:lineRule="auto"/>
              <w:rPr>
                <w:rFonts w:cs="Arial"/>
                <w:color w:val="000000"/>
                <w:szCs w:val="22"/>
              </w:rPr>
            </w:pPr>
            <w:r w:rsidRPr="00DA00A9">
              <w:rPr>
                <w:rFonts w:cs="Arial"/>
                <w:color w:val="000000"/>
                <w:szCs w:val="22"/>
              </w:rPr>
              <w:t>15</w:t>
            </w:r>
            <w:r>
              <w:rPr>
                <w:rFonts w:cs="Arial"/>
                <w:color w:val="000000"/>
                <w:szCs w:val="22"/>
              </w:rPr>
              <w:t>,</w:t>
            </w:r>
            <w:r w:rsidRPr="00DA00A9">
              <w:rPr>
                <w:rFonts w:cs="Arial"/>
                <w:color w:val="000000"/>
                <w:szCs w:val="22"/>
              </w:rPr>
              <w:t>623</w:t>
            </w:r>
          </w:p>
        </w:tc>
      </w:tr>
      <w:tr w:rsidR="004F4CC4" w:rsidRPr="00DA00A9" w14:paraId="377B8AC4" w14:textId="77777777" w:rsidTr="00AB1958">
        <w:trPr>
          <w:trHeight w:val="296"/>
        </w:trPr>
        <w:tc>
          <w:tcPr>
            <w:tcW w:w="1835" w:type="dxa"/>
            <w:shd w:val="clear" w:color="auto" w:fill="FFFFFF"/>
            <w:vAlign w:val="center"/>
          </w:tcPr>
          <w:p w14:paraId="4F57E492" w14:textId="19874F5B" w:rsidR="004F4CC4" w:rsidRPr="00DA00A9" w:rsidRDefault="004F4CC4" w:rsidP="004F4CC4">
            <w:pPr>
              <w:autoSpaceDE w:val="0"/>
              <w:autoSpaceDN w:val="0"/>
              <w:adjustRightInd w:val="0"/>
              <w:spacing w:line="276" w:lineRule="auto"/>
              <w:ind w:left="90"/>
              <w:rPr>
                <w:rFonts w:cs="Arial"/>
                <w:b/>
                <w:bCs/>
                <w:color w:val="000000"/>
                <w:szCs w:val="22"/>
              </w:rPr>
            </w:pPr>
            <w:r w:rsidRPr="00DA00A9">
              <w:rPr>
                <w:rFonts w:cs="Arial"/>
                <w:color w:val="000000"/>
                <w:szCs w:val="22"/>
              </w:rPr>
              <w:t>95% Uncertainty</w:t>
            </w:r>
          </w:p>
        </w:tc>
        <w:tc>
          <w:tcPr>
            <w:tcW w:w="1866" w:type="dxa"/>
            <w:shd w:val="clear" w:color="auto" w:fill="FFFFFF"/>
            <w:vAlign w:val="bottom"/>
          </w:tcPr>
          <w:p w14:paraId="79E8850F" w14:textId="76FC1AD7" w:rsidR="004F4CC4" w:rsidRPr="00DA00A9" w:rsidRDefault="004F4CC4" w:rsidP="004F4CC4">
            <w:pPr>
              <w:spacing w:line="276" w:lineRule="auto"/>
              <w:rPr>
                <w:rFonts w:cs="Arial"/>
                <w:color w:val="000000"/>
                <w:szCs w:val="22"/>
              </w:rPr>
            </w:pPr>
            <w:r w:rsidRPr="00DA00A9">
              <w:rPr>
                <w:rFonts w:cs="Arial"/>
                <w:color w:val="000000"/>
                <w:szCs w:val="22"/>
              </w:rPr>
              <w:t>NA</w:t>
            </w:r>
          </w:p>
        </w:tc>
        <w:tc>
          <w:tcPr>
            <w:tcW w:w="1550" w:type="dxa"/>
            <w:shd w:val="clear" w:color="auto" w:fill="FFFFFF"/>
            <w:vAlign w:val="bottom"/>
          </w:tcPr>
          <w:p w14:paraId="6845905A" w14:textId="409EA091" w:rsidR="004F4CC4" w:rsidRPr="00DA00A9" w:rsidRDefault="004F4CC4" w:rsidP="004F4CC4">
            <w:pPr>
              <w:spacing w:line="276" w:lineRule="auto"/>
              <w:rPr>
                <w:rFonts w:cs="Arial"/>
                <w:color w:val="000000"/>
                <w:szCs w:val="22"/>
              </w:rPr>
            </w:pPr>
            <w:r w:rsidRPr="00DA00A9">
              <w:rPr>
                <w:rFonts w:cs="Arial"/>
                <w:color w:val="000000"/>
                <w:szCs w:val="22"/>
              </w:rPr>
              <w:t>NA</w:t>
            </w:r>
          </w:p>
        </w:tc>
        <w:tc>
          <w:tcPr>
            <w:tcW w:w="1550" w:type="dxa"/>
            <w:shd w:val="clear" w:color="auto" w:fill="FFFFFF"/>
            <w:vAlign w:val="bottom"/>
          </w:tcPr>
          <w:p w14:paraId="4FBFA8EE" w14:textId="2082BB43" w:rsidR="004F4CC4" w:rsidRPr="00DA00A9" w:rsidRDefault="004F4CC4" w:rsidP="004F4CC4">
            <w:pPr>
              <w:rPr>
                <w:rFonts w:cs="Arial"/>
                <w:color w:val="000000"/>
                <w:szCs w:val="22"/>
              </w:rPr>
            </w:pPr>
            <w:r w:rsidRPr="00DA00A9">
              <w:rPr>
                <w:rFonts w:cs="Arial"/>
                <w:color w:val="000000"/>
                <w:szCs w:val="22"/>
              </w:rPr>
              <w:t>180</w:t>
            </w:r>
            <w:r>
              <w:rPr>
                <w:rFonts w:cs="Arial"/>
                <w:color w:val="000000"/>
                <w:szCs w:val="22"/>
              </w:rPr>
              <w:t>,</w:t>
            </w:r>
            <w:r w:rsidRPr="00DA00A9">
              <w:rPr>
                <w:rFonts w:cs="Arial"/>
                <w:color w:val="000000"/>
                <w:szCs w:val="22"/>
              </w:rPr>
              <w:t>490; 1</w:t>
            </w:r>
            <w:r>
              <w:rPr>
                <w:rFonts w:cs="Arial"/>
                <w:color w:val="000000"/>
                <w:szCs w:val="22"/>
              </w:rPr>
              <w:t>,</w:t>
            </w:r>
            <w:r w:rsidRPr="00DA00A9">
              <w:rPr>
                <w:rFonts w:cs="Arial"/>
                <w:color w:val="000000"/>
                <w:szCs w:val="22"/>
              </w:rPr>
              <w:t>845</w:t>
            </w:r>
            <w:r>
              <w:rPr>
                <w:rFonts w:cs="Arial"/>
                <w:color w:val="000000"/>
                <w:szCs w:val="22"/>
              </w:rPr>
              <w:t>,</w:t>
            </w:r>
            <w:r w:rsidRPr="00DA00A9">
              <w:rPr>
                <w:rFonts w:cs="Arial"/>
                <w:color w:val="000000"/>
                <w:szCs w:val="22"/>
              </w:rPr>
              <w:t>800</w:t>
            </w:r>
          </w:p>
        </w:tc>
        <w:tc>
          <w:tcPr>
            <w:tcW w:w="1690" w:type="dxa"/>
            <w:shd w:val="clear" w:color="auto" w:fill="FFFFFF"/>
            <w:vAlign w:val="bottom"/>
          </w:tcPr>
          <w:p w14:paraId="06C0A34F" w14:textId="5256B1FC" w:rsidR="004F4CC4" w:rsidRPr="00C97516" w:rsidRDefault="004F4CC4" w:rsidP="004F4CC4">
            <w:pPr>
              <w:rPr>
                <w:rFonts w:cs="Arial"/>
                <w:color w:val="000000"/>
                <w:szCs w:val="22"/>
              </w:rPr>
            </w:pPr>
            <w:r w:rsidRPr="00DA00A9">
              <w:rPr>
                <w:rFonts w:cs="Arial"/>
                <w:color w:val="000000"/>
                <w:szCs w:val="22"/>
              </w:rPr>
              <w:t>18.357;</w:t>
            </w:r>
            <w:r w:rsidRPr="00DA00A9">
              <w:rPr>
                <w:rFonts w:cs="Arial"/>
                <w:szCs w:val="22"/>
              </w:rPr>
              <w:t xml:space="preserve"> </w:t>
            </w:r>
            <w:r w:rsidRPr="00DA00A9">
              <w:rPr>
                <w:rFonts w:cs="Arial"/>
                <w:color w:val="000000"/>
                <w:szCs w:val="22"/>
              </w:rPr>
              <w:t>135.92</w:t>
            </w:r>
          </w:p>
        </w:tc>
        <w:tc>
          <w:tcPr>
            <w:tcW w:w="1616" w:type="dxa"/>
            <w:shd w:val="clear" w:color="auto" w:fill="FFFFFF"/>
            <w:vAlign w:val="bottom"/>
          </w:tcPr>
          <w:p w14:paraId="2745AFF1" w14:textId="62F6F6AC" w:rsidR="004F4CC4" w:rsidRPr="00DA00A9" w:rsidRDefault="004F4CC4" w:rsidP="004F4CC4">
            <w:pPr>
              <w:autoSpaceDE w:val="0"/>
              <w:autoSpaceDN w:val="0"/>
              <w:adjustRightInd w:val="0"/>
              <w:spacing w:line="276" w:lineRule="auto"/>
              <w:rPr>
                <w:rFonts w:cs="Arial"/>
                <w:color w:val="000000"/>
                <w:szCs w:val="22"/>
              </w:rPr>
            </w:pPr>
            <w:r w:rsidRPr="00DA00A9">
              <w:rPr>
                <w:rFonts w:cs="Arial"/>
                <w:color w:val="000000"/>
                <w:szCs w:val="22"/>
              </w:rPr>
              <w:t>2</w:t>
            </w:r>
            <w:r>
              <w:rPr>
                <w:rFonts w:cs="Arial"/>
                <w:color w:val="000000"/>
                <w:szCs w:val="22"/>
              </w:rPr>
              <w:t>,</w:t>
            </w:r>
            <w:r w:rsidRPr="00DA00A9">
              <w:rPr>
                <w:rFonts w:cs="Arial"/>
                <w:color w:val="000000"/>
                <w:szCs w:val="22"/>
              </w:rPr>
              <w:t>047.6; 70</w:t>
            </w:r>
            <w:r>
              <w:rPr>
                <w:rFonts w:cs="Arial"/>
                <w:color w:val="000000"/>
                <w:szCs w:val="22"/>
              </w:rPr>
              <w:t>,</w:t>
            </w:r>
            <w:r w:rsidRPr="00DA00A9">
              <w:rPr>
                <w:rFonts w:cs="Arial"/>
                <w:color w:val="000000"/>
                <w:szCs w:val="22"/>
              </w:rPr>
              <w:t>317</w:t>
            </w:r>
          </w:p>
        </w:tc>
      </w:tr>
    </w:tbl>
    <w:p w14:paraId="15FC49B6" w14:textId="77777777" w:rsidR="00FA53FA" w:rsidRPr="00176852" w:rsidRDefault="00FA53FA" w:rsidP="00FA53FA">
      <w:pPr>
        <w:spacing w:line="276" w:lineRule="auto"/>
        <w:rPr>
          <w:rFonts w:cs="Arial"/>
          <w:b/>
          <w:bCs/>
          <w:szCs w:val="22"/>
        </w:rPr>
      </w:pPr>
    </w:p>
    <w:p w14:paraId="3D4FFE4A" w14:textId="77777777" w:rsidR="00FA53FA" w:rsidRPr="00176852" w:rsidRDefault="00FA53FA" w:rsidP="00FA53FA">
      <w:pPr>
        <w:spacing w:line="276" w:lineRule="auto"/>
        <w:rPr>
          <w:rFonts w:cs="Arial"/>
          <w:szCs w:val="22"/>
        </w:rPr>
        <w:sectPr w:rsidR="00FA53FA" w:rsidRPr="00176852" w:rsidSect="007D6931">
          <w:pgSz w:w="12240" w:h="15840"/>
          <w:pgMar w:top="1440" w:right="1440" w:bottom="1440" w:left="1440" w:header="720" w:footer="720" w:gutter="0"/>
          <w:cols w:space="720"/>
          <w:docGrid w:linePitch="360"/>
        </w:sectPr>
      </w:pPr>
    </w:p>
    <w:p w14:paraId="55D149DD" w14:textId="226571E3" w:rsidR="00D5043F" w:rsidRPr="002912DA" w:rsidRDefault="00E66728" w:rsidP="00D5043F">
      <w:pPr>
        <w:spacing w:line="276" w:lineRule="auto"/>
        <w:rPr>
          <w:b/>
          <w:bCs/>
        </w:rPr>
      </w:pPr>
      <w:r>
        <w:rPr>
          <w:b/>
          <w:bCs/>
          <w:noProof/>
        </w:rPr>
        <w:lastRenderedPageBreak/>
        <w:drawing>
          <wp:anchor distT="0" distB="0" distL="114300" distR="114300" simplePos="0" relativeHeight="251660288" behindDoc="0" locked="0" layoutInCell="1" allowOverlap="1" wp14:anchorId="39FB6A0E" wp14:editId="0E566E3C">
            <wp:simplePos x="0" y="0"/>
            <wp:positionH relativeFrom="column">
              <wp:posOffset>2191385</wp:posOffset>
            </wp:positionH>
            <wp:positionV relativeFrom="paragraph">
              <wp:posOffset>0</wp:posOffset>
            </wp:positionV>
            <wp:extent cx="3701143" cy="2643013"/>
            <wp:effectExtent l="0" t="0" r="0" b="0"/>
            <wp:wrapSquare wrapText="bothSides"/>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1143" cy="2643013"/>
                    </a:xfrm>
                    <a:prstGeom prst="rect">
                      <a:avLst/>
                    </a:prstGeom>
                  </pic:spPr>
                </pic:pic>
              </a:graphicData>
            </a:graphic>
            <wp14:sizeRelH relativeFrom="page">
              <wp14:pctWidth>0</wp14:pctWidth>
            </wp14:sizeRelH>
            <wp14:sizeRelV relativeFrom="page">
              <wp14:pctHeight>0</wp14:pctHeight>
            </wp14:sizeRelV>
          </wp:anchor>
        </w:drawing>
      </w:r>
      <w:r w:rsidR="00D5043F" w:rsidRPr="00B2094D">
        <w:rPr>
          <w:b/>
          <w:bCs/>
        </w:rPr>
        <w:t>Figure S2.</w:t>
      </w:r>
      <w:r w:rsidR="00D5043F">
        <w:t xml:space="preserve"> Cost-effectiveness acceptability curve</w:t>
      </w:r>
      <w:r>
        <w:t>s</w:t>
      </w:r>
      <w:r w:rsidR="00D5043F">
        <w:t xml:space="preserve"> for the three scenarios performed</w:t>
      </w:r>
      <w:r w:rsidR="00D5043F">
        <w:rPr>
          <w:szCs w:val="22"/>
        </w:rPr>
        <w:t xml:space="preserve">. Results using the </w:t>
      </w:r>
      <w:r w:rsidR="00D5043F" w:rsidRPr="00D5043F">
        <w:rPr>
          <w:b/>
          <w:bCs/>
          <w:szCs w:val="22"/>
        </w:rPr>
        <w:t>GBD utilities</w:t>
      </w:r>
      <w:r>
        <w:rPr>
          <w:b/>
          <w:bCs/>
          <w:szCs w:val="22"/>
        </w:rPr>
        <w:t>.</w:t>
      </w:r>
    </w:p>
    <w:p w14:paraId="340D1858" w14:textId="77777777" w:rsidR="00E66728" w:rsidRPr="00B16054" w:rsidRDefault="00E66728" w:rsidP="00D5043F">
      <w:pPr>
        <w:spacing w:line="276" w:lineRule="auto"/>
        <w:rPr>
          <w:szCs w:val="22"/>
        </w:rPr>
      </w:pPr>
    </w:p>
    <w:p w14:paraId="3C0DC055" w14:textId="77777777" w:rsidR="00E66728" w:rsidRDefault="00E66728" w:rsidP="00D5043F">
      <w:pPr>
        <w:spacing w:line="276" w:lineRule="auto"/>
      </w:pPr>
    </w:p>
    <w:p w14:paraId="590B7DDF" w14:textId="3D2DD62D" w:rsidR="00D5043F" w:rsidRPr="00B16054" w:rsidRDefault="00D5043F" w:rsidP="00D5043F">
      <w:pPr>
        <w:spacing w:line="276" w:lineRule="auto"/>
        <w:rPr>
          <w:szCs w:val="22"/>
        </w:rPr>
      </w:pPr>
    </w:p>
    <w:p w14:paraId="728AE554" w14:textId="77777777" w:rsidR="00D5043F" w:rsidRDefault="00D5043F" w:rsidP="00D5043F">
      <w:pPr>
        <w:rPr>
          <w:b/>
          <w:bCs/>
        </w:rPr>
      </w:pPr>
    </w:p>
    <w:p w14:paraId="210A3BDE" w14:textId="77777777" w:rsidR="00D5043F" w:rsidRDefault="00D5043F" w:rsidP="00D5043F">
      <w:pPr>
        <w:rPr>
          <w:b/>
          <w:bCs/>
        </w:rPr>
      </w:pPr>
    </w:p>
    <w:p w14:paraId="5117E934" w14:textId="77777777" w:rsidR="00D5043F" w:rsidRDefault="00D5043F" w:rsidP="00D5043F">
      <w:pPr>
        <w:rPr>
          <w:b/>
          <w:bCs/>
        </w:rPr>
      </w:pPr>
    </w:p>
    <w:p w14:paraId="2A4D0DCF" w14:textId="77777777" w:rsidR="00D5043F" w:rsidRDefault="00D5043F" w:rsidP="00D5043F">
      <w:pPr>
        <w:rPr>
          <w:b/>
          <w:bCs/>
        </w:rPr>
      </w:pPr>
    </w:p>
    <w:p w14:paraId="45061949" w14:textId="77777777" w:rsidR="00D5043F" w:rsidRDefault="00D5043F" w:rsidP="00D5043F">
      <w:pPr>
        <w:rPr>
          <w:b/>
          <w:bCs/>
        </w:rPr>
      </w:pPr>
    </w:p>
    <w:p w14:paraId="5310C891" w14:textId="77777777" w:rsidR="00D5043F" w:rsidRDefault="00D5043F" w:rsidP="00D5043F">
      <w:pPr>
        <w:rPr>
          <w:b/>
          <w:bCs/>
        </w:rPr>
      </w:pPr>
    </w:p>
    <w:p w14:paraId="707417F8" w14:textId="77777777" w:rsidR="00D5043F" w:rsidRDefault="00D5043F" w:rsidP="00D5043F">
      <w:pPr>
        <w:rPr>
          <w:b/>
          <w:bCs/>
        </w:rPr>
      </w:pPr>
    </w:p>
    <w:p w14:paraId="2FDB00F7" w14:textId="4E5957D4" w:rsidR="00D5043F" w:rsidRDefault="00D5043F" w:rsidP="00D5043F">
      <w:pPr>
        <w:rPr>
          <w:b/>
          <w:bCs/>
        </w:rPr>
      </w:pPr>
    </w:p>
    <w:p w14:paraId="21C800D4" w14:textId="548B4B63" w:rsidR="00D5043F" w:rsidRDefault="002912DA" w:rsidP="00D5043F">
      <w:pPr>
        <w:rPr>
          <w:b/>
          <w:bCs/>
        </w:rPr>
      </w:pPr>
      <w:r>
        <w:rPr>
          <w:noProof/>
        </w:rPr>
        <w:drawing>
          <wp:anchor distT="0" distB="0" distL="114300" distR="114300" simplePos="0" relativeHeight="251659264" behindDoc="0" locked="0" layoutInCell="1" allowOverlap="1" wp14:anchorId="6182F626" wp14:editId="4DA4D604">
            <wp:simplePos x="0" y="0"/>
            <wp:positionH relativeFrom="column">
              <wp:posOffset>2190115</wp:posOffset>
            </wp:positionH>
            <wp:positionV relativeFrom="paragraph">
              <wp:posOffset>48895</wp:posOffset>
            </wp:positionV>
            <wp:extent cx="3684270" cy="2630805"/>
            <wp:effectExtent l="0" t="0" r="0" b="0"/>
            <wp:wrapSquare wrapText="bothSides"/>
            <wp:docPr id="4" name="Picture 4"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 scatte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4270" cy="2630805"/>
                    </a:xfrm>
                    <a:prstGeom prst="rect">
                      <a:avLst/>
                    </a:prstGeom>
                  </pic:spPr>
                </pic:pic>
              </a:graphicData>
            </a:graphic>
            <wp14:sizeRelH relativeFrom="page">
              <wp14:pctWidth>0</wp14:pctWidth>
            </wp14:sizeRelH>
            <wp14:sizeRelV relativeFrom="page">
              <wp14:pctHeight>0</wp14:pctHeight>
            </wp14:sizeRelV>
          </wp:anchor>
        </w:drawing>
      </w:r>
    </w:p>
    <w:p w14:paraId="040BC1EB" w14:textId="13755E7E" w:rsidR="00D5043F" w:rsidRPr="00D5043F" w:rsidRDefault="00D5043F" w:rsidP="00D5043F">
      <w:pPr>
        <w:rPr>
          <w:b/>
          <w:bCs/>
        </w:rPr>
      </w:pPr>
      <w:r w:rsidRPr="00B2094D">
        <w:rPr>
          <w:b/>
          <w:bCs/>
        </w:rPr>
        <w:t>Figure S</w:t>
      </w:r>
      <w:r>
        <w:rPr>
          <w:b/>
          <w:bCs/>
        </w:rPr>
        <w:t>3</w:t>
      </w:r>
      <w:r w:rsidRPr="00B2094D">
        <w:rPr>
          <w:b/>
          <w:bCs/>
        </w:rPr>
        <w:t>.</w:t>
      </w:r>
      <w:r>
        <w:t xml:space="preserve"> Cost-effectiveness acceptability curve</w:t>
      </w:r>
      <w:r w:rsidR="00E66728">
        <w:t>s</w:t>
      </w:r>
      <w:r>
        <w:t xml:space="preserve"> for the three scenarios performed</w:t>
      </w:r>
      <w:r>
        <w:rPr>
          <w:szCs w:val="22"/>
        </w:rPr>
        <w:t xml:space="preserve">. Results using the </w:t>
      </w:r>
      <w:r w:rsidRPr="00E66728">
        <w:rPr>
          <w:b/>
          <w:bCs/>
          <w:szCs w:val="22"/>
        </w:rPr>
        <w:t>IOM utilities</w:t>
      </w:r>
      <w:r>
        <w:rPr>
          <w:szCs w:val="22"/>
        </w:rPr>
        <w:t xml:space="preserve">. </w:t>
      </w:r>
    </w:p>
    <w:p w14:paraId="521B1243" w14:textId="7BED71DE" w:rsidR="00D5043F" w:rsidRDefault="00D5043F" w:rsidP="00D5043F">
      <w:pPr>
        <w:spacing w:line="276" w:lineRule="auto"/>
      </w:pPr>
    </w:p>
    <w:p w14:paraId="5F365718" w14:textId="42B820E4" w:rsidR="00D5043F" w:rsidRDefault="00D5043F" w:rsidP="00D5043F">
      <w:pPr>
        <w:spacing w:line="276" w:lineRule="auto"/>
      </w:pPr>
    </w:p>
    <w:p w14:paraId="2CD29742" w14:textId="26017CF2" w:rsidR="00D5043F" w:rsidRDefault="00D5043F" w:rsidP="00D5043F">
      <w:pPr>
        <w:spacing w:line="276" w:lineRule="auto"/>
      </w:pPr>
    </w:p>
    <w:p w14:paraId="22230BB6" w14:textId="3584F6A5" w:rsidR="00D5043F" w:rsidRDefault="00D5043F" w:rsidP="00D5043F">
      <w:pPr>
        <w:spacing w:line="276" w:lineRule="auto"/>
      </w:pPr>
    </w:p>
    <w:p w14:paraId="48F6F441" w14:textId="4505330F" w:rsidR="00D5043F" w:rsidRDefault="00D5043F" w:rsidP="00D5043F">
      <w:pPr>
        <w:spacing w:line="276" w:lineRule="auto"/>
      </w:pPr>
    </w:p>
    <w:p w14:paraId="7384B14B" w14:textId="44928B33" w:rsidR="00D5043F" w:rsidRDefault="00D5043F" w:rsidP="00D5043F">
      <w:pPr>
        <w:spacing w:line="276" w:lineRule="auto"/>
      </w:pPr>
    </w:p>
    <w:p w14:paraId="44F2EE3B" w14:textId="46747308" w:rsidR="00D5043F" w:rsidRDefault="00D5043F" w:rsidP="00D5043F">
      <w:pPr>
        <w:spacing w:line="276" w:lineRule="auto"/>
      </w:pPr>
    </w:p>
    <w:p w14:paraId="7C6DDB29" w14:textId="52B27A46" w:rsidR="00E66728" w:rsidRDefault="00E66728" w:rsidP="00D5043F">
      <w:pPr>
        <w:spacing w:line="276" w:lineRule="auto"/>
      </w:pPr>
    </w:p>
    <w:p w14:paraId="2409BA0E" w14:textId="39409F5E" w:rsidR="00E66728" w:rsidRDefault="00E66728" w:rsidP="00D5043F">
      <w:pPr>
        <w:spacing w:line="276" w:lineRule="auto"/>
      </w:pPr>
    </w:p>
    <w:p w14:paraId="7F2EB5AE" w14:textId="60F2A8B3" w:rsidR="00E66728" w:rsidRDefault="00E66728" w:rsidP="00D5043F">
      <w:pPr>
        <w:spacing w:line="276" w:lineRule="auto"/>
      </w:pPr>
    </w:p>
    <w:p w14:paraId="1E7C09E8" w14:textId="583ED5FC" w:rsidR="00D5043F" w:rsidRDefault="002912DA" w:rsidP="00D5043F">
      <w:pPr>
        <w:spacing w:line="276" w:lineRule="auto"/>
      </w:pPr>
      <w:r>
        <w:rPr>
          <w:b/>
          <w:bCs/>
          <w:noProof/>
          <w:sz w:val="28"/>
          <w:szCs w:val="32"/>
        </w:rPr>
        <w:drawing>
          <wp:anchor distT="0" distB="0" distL="114300" distR="114300" simplePos="0" relativeHeight="251661312" behindDoc="0" locked="0" layoutInCell="1" allowOverlap="1" wp14:anchorId="188E3A1D" wp14:editId="650AE4E1">
            <wp:simplePos x="0" y="0"/>
            <wp:positionH relativeFrom="column">
              <wp:posOffset>2191385</wp:posOffset>
            </wp:positionH>
            <wp:positionV relativeFrom="paragraph">
              <wp:posOffset>10160</wp:posOffset>
            </wp:positionV>
            <wp:extent cx="3719830" cy="2655570"/>
            <wp:effectExtent l="0" t="0" r="1270" b="0"/>
            <wp:wrapSquare wrapText="bothSides"/>
            <wp:docPr id="5" name="Picture 5"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 scatte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9830" cy="2655570"/>
                    </a:xfrm>
                    <a:prstGeom prst="rect">
                      <a:avLst/>
                    </a:prstGeom>
                  </pic:spPr>
                </pic:pic>
              </a:graphicData>
            </a:graphic>
            <wp14:sizeRelH relativeFrom="page">
              <wp14:pctWidth>0</wp14:pctWidth>
            </wp14:sizeRelH>
            <wp14:sizeRelV relativeFrom="page">
              <wp14:pctHeight>0</wp14:pctHeight>
            </wp14:sizeRelV>
          </wp:anchor>
        </w:drawing>
      </w:r>
    </w:p>
    <w:p w14:paraId="692D07D2" w14:textId="741DB159" w:rsidR="00D5043F" w:rsidRDefault="00D5043F" w:rsidP="0066785E">
      <w:pPr>
        <w:spacing w:line="276" w:lineRule="auto"/>
        <w:rPr>
          <w:b/>
          <w:bCs/>
        </w:rPr>
      </w:pPr>
    </w:p>
    <w:p w14:paraId="352E049D" w14:textId="020B8131" w:rsidR="0066785E" w:rsidRDefault="0066785E" w:rsidP="0066785E">
      <w:pPr>
        <w:spacing w:line="276" w:lineRule="auto"/>
      </w:pPr>
      <w:r w:rsidRPr="00B2094D">
        <w:rPr>
          <w:b/>
          <w:bCs/>
        </w:rPr>
        <w:t>Figure S</w:t>
      </w:r>
      <w:r w:rsidR="00D5043F">
        <w:rPr>
          <w:b/>
          <w:bCs/>
        </w:rPr>
        <w:t>4</w:t>
      </w:r>
      <w:r w:rsidRPr="00B2094D">
        <w:rPr>
          <w:b/>
          <w:bCs/>
        </w:rPr>
        <w:t>.</w:t>
      </w:r>
      <w:r>
        <w:t xml:space="preserve"> Cost-effectiveness acceptability curve</w:t>
      </w:r>
      <w:r w:rsidR="00E66728">
        <w:t>s</w:t>
      </w:r>
      <w:r>
        <w:t xml:space="preserve"> for the three </w:t>
      </w:r>
      <w:r w:rsidR="00685D7A">
        <w:t>scenarios</w:t>
      </w:r>
      <w:r>
        <w:t xml:space="preserve"> performed</w:t>
      </w:r>
      <w:r>
        <w:rPr>
          <w:szCs w:val="22"/>
        </w:rPr>
        <w:t xml:space="preserve">. Results </w:t>
      </w:r>
      <w:r w:rsidR="00B714C2" w:rsidRPr="00E66728">
        <w:rPr>
          <w:b/>
          <w:bCs/>
          <w:szCs w:val="22"/>
        </w:rPr>
        <w:t>discounted to the year of incident infection</w:t>
      </w:r>
      <w:r w:rsidR="00B714C2">
        <w:rPr>
          <w:szCs w:val="22"/>
        </w:rPr>
        <w:t>.</w:t>
      </w:r>
      <w:r w:rsidR="00B714C2" w:rsidRPr="00B714C2">
        <w:t xml:space="preserve"> </w:t>
      </w:r>
    </w:p>
    <w:p w14:paraId="54DE2B53" w14:textId="77777777" w:rsidR="00E66728" w:rsidRDefault="00E66728" w:rsidP="00E66728">
      <w:pPr>
        <w:spacing w:line="276" w:lineRule="auto"/>
      </w:pPr>
    </w:p>
    <w:p w14:paraId="215D2666" w14:textId="77777777" w:rsidR="002912DA" w:rsidRDefault="002912DA" w:rsidP="00E66728">
      <w:pPr>
        <w:spacing w:line="276" w:lineRule="auto"/>
        <w:rPr>
          <w:b/>
          <w:bCs/>
        </w:rPr>
      </w:pPr>
    </w:p>
    <w:p w14:paraId="23918D9B" w14:textId="77777777" w:rsidR="002912DA" w:rsidRDefault="002912DA" w:rsidP="00E66728">
      <w:pPr>
        <w:spacing w:line="276" w:lineRule="auto"/>
        <w:rPr>
          <w:b/>
          <w:bCs/>
        </w:rPr>
      </w:pPr>
    </w:p>
    <w:p w14:paraId="627C321A" w14:textId="77777777" w:rsidR="002912DA" w:rsidRDefault="002912DA" w:rsidP="0066785E">
      <w:pPr>
        <w:spacing w:line="276" w:lineRule="auto"/>
        <w:rPr>
          <w:b/>
          <w:bCs/>
        </w:rPr>
      </w:pPr>
    </w:p>
    <w:p w14:paraId="2D6D01DD" w14:textId="77777777" w:rsidR="002912DA" w:rsidRDefault="002912DA" w:rsidP="0066785E">
      <w:pPr>
        <w:spacing w:line="276" w:lineRule="auto"/>
        <w:rPr>
          <w:b/>
          <w:bCs/>
        </w:rPr>
      </w:pPr>
    </w:p>
    <w:p w14:paraId="37BFE452" w14:textId="77777777" w:rsidR="002912DA" w:rsidRDefault="002912DA" w:rsidP="0066785E">
      <w:pPr>
        <w:spacing w:line="276" w:lineRule="auto"/>
        <w:rPr>
          <w:b/>
          <w:bCs/>
        </w:rPr>
      </w:pPr>
    </w:p>
    <w:p w14:paraId="5A3E84B6" w14:textId="77777777" w:rsidR="002912DA" w:rsidRDefault="002912DA" w:rsidP="0066785E">
      <w:pPr>
        <w:spacing w:line="276" w:lineRule="auto"/>
        <w:rPr>
          <w:b/>
          <w:bCs/>
        </w:rPr>
      </w:pPr>
    </w:p>
    <w:p w14:paraId="4173BF85" w14:textId="061D00B6" w:rsidR="0066785E" w:rsidRPr="002912DA" w:rsidRDefault="00D5043F" w:rsidP="0066785E">
      <w:pPr>
        <w:spacing w:line="276" w:lineRule="auto"/>
        <w:rPr>
          <w:b/>
          <w:bCs/>
          <w:sz w:val="20"/>
          <w:szCs w:val="21"/>
        </w:rPr>
      </w:pPr>
      <w:r w:rsidRPr="002912DA">
        <w:rPr>
          <w:b/>
          <w:bCs/>
          <w:sz w:val="20"/>
          <w:szCs w:val="21"/>
        </w:rPr>
        <w:t>Footnote:</w:t>
      </w:r>
      <w:r w:rsidRPr="002912DA">
        <w:rPr>
          <w:sz w:val="20"/>
          <w:szCs w:val="21"/>
        </w:rPr>
        <w:t xml:space="preserve"> </w:t>
      </w:r>
      <w:r w:rsidR="00E66728" w:rsidRPr="002912DA">
        <w:rPr>
          <w:sz w:val="20"/>
          <w:szCs w:val="21"/>
        </w:rPr>
        <w:t>Figure</w:t>
      </w:r>
      <w:r w:rsidR="002912DA">
        <w:rPr>
          <w:sz w:val="20"/>
          <w:szCs w:val="21"/>
        </w:rPr>
        <w:t>s</w:t>
      </w:r>
      <w:r w:rsidR="00E66728" w:rsidRPr="002912DA">
        <w:rPr>
          <w:sz w:val="20"/>
          <w:szCs w:val="21"/>
        </w:rPr>
        <w:t xml:space="preserve"> show the percentage of simulations in which the cost per QALY gained was less than the given threshold.</w:t>
      </w:r>
      <w:r w:rsidR="002912DA" w:rsidRPr="002912DA">
        <w:rPr>
          <w:b/>
          <w:bCs/>
          <w:sz w:val="20"/>
          <w:szCs w:val="21"/>
        </w:rPr>
        <w:t xml:space="preserve"> </w:t>
      </w:r>
      <w:r w:rsidRPr="002912DA">
        <w:rPr>
          <w:sz w:val="20"/>
          <w:szCs w:val="21"/>
        </w:rPr>
        <w:t xml:space="preserve">Lines </w:t>
      </w:r>
      <w:r w:rsidR="0066785E" w:rsidRPr="002912DA">
        <w:rPr>
          <w:sz w:val="20"/>
          <w:szCs w:val="21"/>
        </w:rPr>
        <w:t xml:space="preserve">present the three main </w:t>
      </w:r>
      <w:r w:rsidR="00685D7A" w:rsidRPr="002912DA">
        <w:rPr>
          <w:sz w:val="20"/>
          <w:szCs w:val="21"/>
        </w:rPr>
        <w:t>scenarios</w:t>
      </w:r>
      <w:r w:rsidR="0066785E" w:rsidRPr="002912DA">
        <w:rPr>
          <w:sz w:val="20"/>
          <w:szCs w:val="21"/>
        </w:rPr>
        <w:t xml:space="preserve">: CEAC for 2000-2015 </w:t>
      </w:r>
      <w:r w:rsidR="0066785E" w:rsidRPr="002912DA">
        <w:rPr>
          <w:sz w:val="20"/>
          <w:szCs w:val="21"/>
          <w:u w:val="single"/>
        </w:rPr>
        <w:t>current policy</w:t>
      </w:r>
      <w:r w:rsidR="0066785E" w:rsidRPr="002912DA">
        <w:rPr>
          <w:sz w:val="20"/>
          <w:szCs w:val="21"/>
        </w:rPr>
        <w:t xml:space="preserve"> compared to no screening &amp; no PN; CEAC for </w:t>
      </w:r>
      <w:r w:rsidR="0066785E" w:rsidRPr="002912DA">
        <w:rPr>
          <w:sz w:val="20"/>
          <w:szCs w:val="21"/>
          <w:u w:val="single"/>
        </w:rPr>
        <w:t>screening at guidelines level</w:t>
      </w:r>
      <w:r w:rsidR="0066785E" w:rsidRPr="002912DA">
        <w:rPr>
          <w:sz w:val="20"/>
          <w:szCs w:val="21"/>
        </w:rPr>
        <w:t xml:space="preserve"> compared to current policy</w:t>
      </w:r>
      <w:r w:rsidR="00E16258">
        <w:rPr>
          <w:sz w:val="20"/>
          <w:szCs w:val="21"/>
        </w:rPr>
        <w:t xml:space="preserve"> (2016-2019)</w:t>
      </w:r>
      <w:r w:rsidR="0066785E" w:rsidRPr="002912DA">
        <w:rPr>
          <w:sz w:val="20"/>
          <w:szCs w:val="21"/>
        </w:rPr>
        <w:t xml:space="preserve">; CEAC for screening at guidelines level compared to current policy with </w:t>
      </w:r>
      <w:r w:rsidR="0066785E" w:rsidRPr="002912DA">
        <w:rPr>
          <w:sz w:val="20"/>
          <w:szCs w:val="21"/>
          <w:u w:val="single"/>
        </w:rPr>
        <w:t>additional 5 years of follow-up</w:t>
      </w:r>
      <w:r w:rsidR="00E16258">
        <w:rPr>
          <w:sz w:val="20"/>
          <w:szCs w:val="21"/>
          <w:u w:val="single"/>
        </w:rPr>
        <w:t xml:space="preserve"> </w:t>
      </w:r>
      <w:r w:rsidR="00E16258">
        <w:rPr>
          <w:sz w:val="20"/>
          <w:szCs w:val="21"/>
        </w:rPr>
        <w:t>(2016-2019 + 5 years)</w:t>
      </w:r>
    </w:p>
    <w:p w14:paraId="73B1BA43" w14:textId="77777777" w:rsidR="000D1987" w:rsidRDefault="000D1987" w:rsidP="005F24F1">
      <w:pPr>
        <w:pStyle w:val="ListParagraph"/>
        <w:ind w:left="0"/>
        <w:rPr>
          <w:b/>
          <w:bCs/>
          <w:sz w:val="28"/>
          <w:szCs w:val="32"/>
        </w:rPr>
        <w:sectPr w:rsidR="000D1987" w:rsidSect="002912DA">
          <w:pgSz w:w="12240" w:h="15840"/>
          <w:pgMar w:top="666" w:right="1440" w:bottom="693" w:left="1440" w:header="720" w:footer="720" w:gutter="0"/>
          <w:cols w:space="720"/>
          <w:docGrid w:linePitch="360"/>
        </w:sectPr>
      </w:pPr>
    </w:p>
    <w:p w14:paraId="590DC42C" w14:textId="188078BE" w:rsidR="00DA2706" w:rsidRPr="00E16258" w:rsidRDefault="000D1987" w:rsidP="005F24F1">
      <w:pPr>
        <w:pStyle w:val="ListParagraph"/>
        <w:ind w:left="0"/>
        <w:rPr>
          <w:sz w:val="22"/>
        </w:rPr>
      </w:pPr>
      <w:r w:rsidRPr="00E16258">
        <w:rPr>
          <w:b/>
          <w:bCs/>
          <w:sz w:val="22"/>
        </w:rPr>
        <w:lastRenderedPageBreak/>
        <w:t>Table S7A</w:t>
      </w:r>
      <w:r w:rsidR="00DA2706" w:rsidRPr="00E16258">
        <w:rPr>
          <w:b/>
          <w:bCs/>
          <w:sz w:val="22"/>
        </w:rPr>
        <w:t xml:space="preserve">. </w:t>
      </w:r>
      <w:r w:rsidR="002C709A" w:rsidRPr="00E16258">
        <w:rPr>
          <w:b/>
          <w:bCs/>
          <w:sz w:val="22"/>
        </w:rPr>
        <w:t>Scenario: Current policy</w:t>
      </w:r>
      <w:r w:rsidR="00436E45" w:rsidRPr="00E16258">
        <w:rPr>
          <w:b/>
          <w:bCs/>
          <w:sz w:val="22"/>
        </w:rPr>
        <w:t xml:space="preserve"> 2000-2015</w:t>
      </w:r>
      <w:r w:rsidR="002C709A" w:rsidRPr="00E16258">
        <w:rPr>
          <w:b/>
          <w:bCs/>
          <w:sz w:val="22"/>
        </w:rPr>
        <w:t xml:space="preserve">. </w:t>
      </w:r>
      <w:r w:rsidR="00DA2706" w:rsidRPr="00E16258">
        <w:rPr>
          <w:sz w:val="22"/>
        </w:rPr>
        <w:t xml:space="preserve">Yearly </w:t>
      </w:r>
      <w:r w:rsidR="00DA2706" w:rsidRPr="00E16258">
        <w:rPr>
          <w:sz w:val="22"/>
          <w:u w:val="single"/>
        </w:rPr>
        <w:t xml:space="preserve">mean </w:t>
      </w:r>
      <w:r w:rsidR="00DA2706" w:rsidRPr="00E16258">
        <w:rPr>
          <w:sz w:val="22"/>
        </w:rPr>
        <w:t>number of</w:t>
      </w:r>
      <w:r w:rsidR="002912DA" w:rsidRPr="00E16258">
        <w:rPr>
          <w:sz w:val="22"/>
        </w:rPr>
        <w:t xml:space="preserve"> select</w:t>
      </w:r>
      <w:r w:rsidR="00DA2706" w:rsidRPr="00E16258">
        <w:rPr>
          <w:sz w:val="22"/>
        </w:rPr>
        <w:t xml:space="preserve"> outcomes</w:t>
      </w:r>
      <w:r w:rsidR="002912DA" w:rsidRPr="00E16258">
        <w:rPr>
          <w:sz w:val="22"/>
        </w:rPr>
        <w:t xml:space="preserve">. </w:t>
      </w:r>
      <w:r w:rsidR="00DA2706" w:rsidRPr="00E16258">
        <w:rPr>
          <w:sz w:val="22"/>
        </w:rPr>
        <w:t xml:space="preserve">QALYs lost and costs discounted. All </w:t>
      </w:r>
      <w:r w:rsidR="002C709A" w:rsidRPr="00E16258">
        <w:rPr>
          <w:sz w:val="22"/>
        </w:rPr>
        <w:t>outputs</w:t>
      </w:r>
      <w:r w:rsidR="00DA2706" w:rsidRPr="00E16258">
        <w:rPr>
          <w:sz w:val="22"/>
        </w:rPr>
        <w:t xml:space="preserve"> </w:t>
      </w:r>
      <w:r w:rsidR="004F4CC4">
        <w:rPr>
          <w:sz w:val="22"/>
        </w:rPr>
        <w:t>i</w:t>
      </w:r>
      <w:r w:rsidR="00DA2706" w:rsidRPr="00E16258">
        <w:rPr>
          <w:sz w:val="22"/>
        </w:rPr>
        <w:t xml:space="preserve">n </w:t>
      </w:r>
      <w:r w:rsidR="002C709A" w:rsidRPr="00E16258">
        <w:rPr>
          <w:sz w:val="22"/>
        </w:rPr>
        <w:t>‘</w:t>
      </w:r>
      <w:r w:rsidR="00DA2706" w:rsidRPr="00E16258">
        <w:rPr>
          <w:sz w:val="22"/>
        </w:rPr>
        <w:t>000s</w:t>
      </w:r>
      <w:r w:rsidR="002C709A" w:rsidRPr="00E16258">
        <w:rPr>
          <w:sz w:val="22"/>
        </w:rPr>
        <w:t>. Testing and PN costs include both screening and testing of symptomatic infections</w:t>
      </w:r>
      <w:r w:rsidR="00AC12DB" w:rsidRPr="00E16258">
        <w:rPr>
          <w:sz w:val="22"/>
        </w:rPr>
        <w:t xml:space="preserve"> (with a NAAT or non-NAAT)</w:t>
      </w:r>
      <w:r w:rsidR="002C709A" w:rsidRPr="00E16258">
        <w:rPr>
          <w:sz w:val="22"/>
        </w:rPr>
        <w:t xml:space="preserve">, and costs associated with </w:t>
      </w:r>
      <w:r w:rsidR="00AC12DB" w:rsidRPr="00E16258">
        <w:rPr>
          <w:sz w:val="22"/>
        </w:rPr>
        <w:t>PN services.</w:t>
      </w:r>
    </w:p>
    <w:p w14:paraId="7A3FAAF7" w14:textId="778EB0F3" w:rsidR="000D1987" w:rsidRDefault="000D1987" w:rsidP="005F24F1">
      <w:pPr>
        <w:pStyle w:val="ListParagraph"/>
        <w:ind w:left="0"/>
        <w:rPr>
          <w:b/>
          <w:bCs/>
          <w:sz w:val="28"/>
          <w:szCs w:val="32"/>
        </w:rPr>
      </w:pPr>
    </w:p>
    <w:tbl>
      <w:tblPr>
        <w:tblStyle w:val="PlainTable5"/>
        <w:tblW w:w="0" w:type="auto"/>
        <w:tblLook w:val="04A0" w:firstRow="1" w:lastRow="0" w:firstColumn="1" w:lastColumn="0" w:noHBand="0" w:noVBand="1"/>
      </w:tblPr>
      <w:tblGrid>
        <w:gridCol w:w="1267"/>
        <w:gridCol w:w="1291"/>
        <w:gridCol w:w="1141"/>
        <w:gridCol w:w="1066"/>
        <w:gridCol w:w="900"/>
        <w:gridCol w:w="900"/>
        <w:gridCol w:w="900"/>
        <w:gridCol w:w="990"/>
        <w:gridCol w:w="1486"/>
        <w:gridCol w:w="1754"/>
      </w:tblGrid>
      <w:tr w:rsidR="00DA2706" w14:paraId="2A8791D7" w14:textId="77777777" w:rsidTr="00DA27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14:paraId="2A375769" w14:textId="299F3A6E" w:rsidR="00DA2706" w:rsidRPr="00DA2706" w:rsidRDefault="00DA2706"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Year</w:t>
            </w:r>
          </w:p>
        </w:tc>
        <w:tc>
          <w:tcPr>
            <w:tcW w:w="1291" w:type="dxa"/>
          </w:tcPr>
          <w:p w14:paraId="282113B0" w14:textId="03382C0A"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Incident infection</w:t>
            </w:r>
          </w:p>
        </w:tc>
        <w:tc>
          <w:tcPr>
            <w:tcW w:w="1141" w:type="dxa"/>
          </w:tcPr>
          <w:p w14:paraId="17FD17CA" w14:textId="4EA47389"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PID</w:t>
            </w:r>
          </w:p>
        </w:tc>
        <w:tc>
          <w:tcPr>
            <w:tcW w:w="1066" w:type="dxa"/>
          </w:tcPr>
          <w:p w14:paraId="6386537B" w14:textId="15F13187"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CPP</w:t>
            </w:r>
          </w:p>
        </w:tc>
        <w:tc>
          <w:tcPr>
            <w:tcW w:w="900" w:type="dxa"/>
          </w:tcPr>
          <w:p w14:paraId="333D913E" w14:textId="6105CAF4"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TFI</w:t>
            </w:r>
          </w:p>
        </w:tc>
        <w:tc>
          <w:tcPr>
            <w:tcW w:w="900" w:type="dxa"/>
          </w:tcPr>
          <w:p w14:paraId="5BF9BF27" w14:textId="3647D459"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w:t>
            </w:r>
          </w:p>
        </w:tc>
        <w:tc>
          <w:tcPr>
            <w:tcW w:w="900" w:type="dxa"/>
          </w:tcPr>
          <w:p w14:paraId="17272DE3" w14:textId="7CAA2EC6"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EPID</w:t>
            </w:r>
          </w:p>
        </w:tc>
        <w:tc>
          <w:tcPr>
            <w:tcW w:w="990" w:type="dxa"/>
          </w:tcPr>
          <w:p w14:paraId="55181476" w14:textId="6D8259F3"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QALYs lost</w:t>
            </w:r>
          </w:p>
        </w:tc>
        <w:tc>
          <w:tcPr>
            <w:tcW w:w="1486" w:type="dxa"/>
          </w:tcPr>
          <w:p w14:paraId="17D5D926" w14:textId="266B3C4E" w:rsidR="00DA2706" w:rsidRPr="00DA2706" w:rsidRDefault="00DA2706"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All costs</w:t>
            </w:r>
            <w:r w:rsidR="00E16258">
              <w:rPr>
                <w:rFonts w:ascii="Lucida Grande" w:hAnsi="Lucida Grande" w:cs="Lucida Grande"/>
                <w:b/>
                <w:bCs/>
                <w:i w:val="0"/>
                <w:iCs w:val="0"/>
                <w:color w:val="000000"/>
                <w:sz w:val="22"/>
                <w:szCs w:val="22"/>
              </w:rPr>
              <w:t xml:space="preserve"> ($)</w:t>
            </w:r>
          </w:p>
        </w:tc>
        <w:tc>
          <w:tcPr>
            <w:tcW w:w="1754" w:type="dxa"/>
          </w:tcPr>
          <w:p w14:paraId="01F837F6" w14:textId="4FC6A5E2" w:rsidR="00DA2706"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Pr>
                <w:rFonts w:ascii="Lucida Grande" w:hAnsi="Lucida Grande" w:cs="Lucida Grande"/>
                <w:b/>
                <w:bCs/>
                <w:i w:val="0"/>
                <w:iCs w:val="0"/>
                <w:color w:val="000000"/>
                <w:sz w:val="22"/>
                <w:szCs w:val="22"/>
              </w:rPr>
              <w:t>T</w:t>
            </w:r>
            <w:r w:rsidR="002C709A">
              <w:rPr>
                <w:rFonts w:ascii="Lucida Grande" w:hAnsi="Lucida Grande" w:cs="Lucida Grande"/>
                <w:b/>
                <w:bCs/>
                <w:i w:val="0"/>
                <w:iCs w:val="0"/>
                <w:color w:val="000000"/>
                <w:sz w:val="22"/>
                <w:szCs w:val="22"/>
              </w:rPr>
              <w:t>esting</w:t>
            </w:r>
            <w:r w:rsidR="00DA2706" w:rsidRPr="00DA2706">
              <w:rPr>
                <w:rFonts w:ascii="Lucida Grande" w:hAnsi="Lucida Grande" w:cs="Lucida Grande"/>
                <w:b/>
                <w:bCs/>
                <w:i w:val="0"/>
                <w:iCs w:val="0"/>
                <w:color w:val="000000"/>
                <w:sz w:val="22"/>
                <w:szCs w:val="22"/>
              </w:rPr>
              <w:t xml:space="preserve"> and PN costs</w:t>
            </w:r>
            <w:r w:rsidR="00E16258">
              <w:rPr>
                <w:rFonts w:ascii="Lucida Grande" w:hAnsi="Lucida Grande" w:cs="Lucida Grande"/>
                <w:b/>
                <w:bCs/>
                <w:i w:val="0"/>
                <w:iCs w:val="0"/>
                <w:color w:val="000000"/>
                <w:sz w:val="22"/>
                <w:szCs w:val="22"/>
              </w:rPr>
              <w:t xml:space="preserve"> ($)</w:t>
            </w:r>
          </w:p>
        </w:tc>
      </w:tr>
      <w:tr w:rsidR="003E5E22" w14:paraId="03E2B137"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DF2A4CC" w14:textId="1D16DBD6"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2000</w:t>
            </w:r>
          </w:p>
        </w:tc>
        <w:tc>
          <w:tcPr>
            <w:tcW w:w="1291" w:type="dxa"/>
            <w:vAlign w:val="bottom"/>
          </w:tcPr>
          <w:p w14:paraId="50A8FFB9" w14:textId="34574C5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3,458</w:t>
            </w:r>
          </w:p>
        </w:tc>
        <w:tc>
          <w:tcPr>
            <w:tcW w:w="1141" w:type="dxa"/>
            <w:vAlign w:val="bottom"/>
          </w:tcPr>
          <w:p w14:paraId="7E673F55" w14:textId="71F3890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251</w:t>
            </w:r>
          </w:p>
        </w:tc>
        <w:tc>
          <w:tcPr>
            <w:tcW w:w="1066" w:type="dxa"/>
            <w:vAlign w:val="bottom"/>
          </w:tcPr>
          <w:p w14:paraId="59F5ABFE" w14:textId="2AB3970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82</w:t>
            </w:r>
          </w:p>
        </w:tc>
        <w:tc>
          <w:tcPr>
            <w:tcW w:w="900" w:type="dxa"/>
            <w:vAlign w:val="bottom"/>
          </w:tcPr>
          <w:p w14:paraId="40D422E3" w14:textId="55448BE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bottom"/>
          </w:tcPr>
          <w:p w14:paraId="254B42B9" w14:textId="76A89A20"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30</w:t>
            </w:r>
          </w:p>
        </w:tc>
        <w:tc>
          <w:tcPr>
            <w:tcW w:w="900" w:type="dxa"/>
            <w:vAlign w:val="bottom"/>
          </w:tcPr>
          <w:p w14:paraId="534B6808" w14:textId="1F1A5CD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47</w:t>
            </w:r>
          </w:p>
        </w:tc>
        <w:tc>
          <w:tcPr>
            <w:tcW w:w="990" w:type="dxa"/>
            <w:vAlign w:val="bottom"/>
          </w:tcPr>
          <w:p w14:paraId="0EE2D6EC" w14:textId="5283992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133</w:t>
            </w:r>
          </w:p>
        </w:tc>
        <w:tc>
          <w:tcPr>
            <w:tcW w:w="1486" w:type="dxa"/>
            <w:vAlign w:val="bottom"/>
          </w:tcPr>
          <w:p w14:paraId="2F5BD14F" w14:textId="00A613D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1,292,802</w:t>
            </w:r>
          </w:p>
        </w:tc>
        <w:tc>
          <w:tcPr>
            <w:tcW w:w="1754" w:type="dxa"/>
            <w:vAlign w:val="center"/>
          </w:tcPr>
          <w:p w14:paraId="707998AA" w14:textId="0ED7355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212,376</w:t>
            </w:r>
          </w:p>
        </w:tc>
      </w:tr>
      <w:tr w:rsidR="003E5E22" w14:paraId="7EEC19BC"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2AB53D69" w14:textId="37D9903C"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2001</w:t>
            </w:r>
          </w:p>
        </w:tc>
        <w:tc>
          <w:tcPr>
            <w:tcW w:w="1291" w:type="dxa"/>
            <w:vAlign w:val="bottom"/>
          </w:tcPr>
          <w:p w14:paraId="0601A1FD" w14:textId="5C7C9BAD"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3,412</w:t>
            </w:r>
          </w:p>
        </w:tc>
        <w:tc>
          <w:tcPr>
            <w:tcW w:w="1141" w:type="dxa"/>
            <w:vAlign w:val="bottom"/>
          </w:tcPr>
          <w:p w14:paraId="07B02D46" w14:textId="7B41CE7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241</w:t>
            </w:r>
          </w:p>
        </w:tc>
        <w:tc>
          <w:tcPr>
            <w:tcW w:w="1066" w:type="dxa"/>
            <w:vAlign w:val="bottom"/>
          </w:tcPr>
          <w:p w14:paraId="0CC5790D" w14:textId="19DA2E9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79</w:t>
            </w:r>
          </w:p>
        </w:tc>
        <w:tc>
          <w:tcPr>
            <w:tcW w:w="900" w:type="dxa"/>
            <w:vAlign w:val="bottom"/>
          </w:tcPr>
          <w:p w14:paraId="0EC1980E" w14:textId="7DF50FD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55</w:t>
            </w:r>
          </w:p>
        </w:tc>
        <w:tc>
          <w:tcPr>
            <w:tcW w:w="900" w:type="dxa"/>
            <w:vAlign w:val="bottom"/>
          </w:tcPr>
          <w:p w14:paraId="33F30AA2" w14:textId="2C2AB9E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w:t>
            </w:r>
          </w:p>
        </w:tc>
        <w:tc>
          <w:tcPr>
            <w:tcW w:w="900" w:type="dxa"/>
            <w:vAlign w:val="bottom"/>
          </w:tcPr>
          <w:p w14:paraId="0DEBAF83" w14:textId="44ED8EC3"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45</w:t>
            </w:r>
          </w:p>
        </w:tc>
        <w:tc>
          <w:tcPr>
            <w:tcW w:w="990" w:type="dxa"/>
            <w:vAlign w:val="bottom"/>
          </w:tcPr>
          <w:p w14:paraId="25B8F315" w14:textId="2B33A45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124</w:t>
            </w:r>
          </w:p>
        </w:tc>
        <w:tc>
          <w:tcPr>
            <w:tcW w:w="1486" w:type="dxa"/>
            <w:vAlign w:val="bottom"/>
          </w:tcPr>
          <w:p w14:paraId="435232D6" w14:textId="3DC12462"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1,320,345</w:t>
            </w:r>
          </w:p>
        </w:tc>
        <w:tc>
          <w:tcPr>
            <w:tcW w:w="1754" w:type="dxa"/>
            <w:vAlign w:val="center"/>
          </w:tcPr>
          <w:p w14:paraId="43751D26" w14:textId="7840E5A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305,429</w:t>
            </w:r>
          </w:p>
        </w:tc>
      </w:tr>
      <w:tr w:rsidR="003E5E22" w14:paraId="2DC4C818"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42A446D2" w14:textId="0108D495"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2002</w:t>
            </w:r>
          </w:p>
        </w:tc>
        <w:tc>
          <w:tcPr>
            <w:tcW w:w="1291" w:type="dxa"/>
            <w:vAlign w:val="bottom"/>
          </w:tcPr>
          <w:p w14:paraId="333DB424" w14:textId="4D00EB1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3,342</w:t>
            </w:r>
          </w:p>
        </w:tc>
        <w:tc>
          <w:tcPr>
            <w:tcW w:w="1141" w:type="dxa"/>
            <w:vAlign w:val="bottom"/>
          </w:tcPr>
          <w:p w14:paraId="6134985A" w14:textId="4BB4889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229</w:t>
            </w:r>
          </w:p>
        </w:tc>
        <w:tc>
          <w:tcPr>
            <w:tcW w:w="1066" w:type="dxa"/>
            <w:vAlign w:val="bottom"/>
          </w:tcPr>
          <w:p w14:paraId="39C59547" w14:textId="69A736D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75</w:t>
            </w:r>
          </w:p>
        </w:tc>
        <w:tc>
          <w:tcPr>
            <w:tcW w:w="900" w:type="dxa"/>
            <w:vAlign w:val="bottom"/>
          </w:tcPr>
          <w:p w14:paraId="6BFCA3CD" w14:textId="7530C939"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52</w:t>
            </w:r>
          </w:p>
        </w:tc>
        <w:tc>
          <w:tcPr>
            <w:tcW w:w="900" w:type="dxa"/>
            <w:vAlign w:val="bottom"/>
          </w:tcPr>
          <w:p w14:paraId="5624D599" w14:textId="1F26DDF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w:t>
            </w:r>
          </w:p>
        </w:tc>
        <w:tc>
          <w:tcPr>
            <w:tcW w:w="900" w:type="dxa"/>
            <w:vAlign w:val="bottom"/>
          </w:tcPr>
          <w:p w14:paraId="5E233E99" w14:textId="54D593E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43</w:t>
            </w:r>
          </w:p>
        </w:tc>
        <w:tc>
          <w:tcPr>
            <w:tcW w:w="990" w:type="dxa"/>
            <w:vAlign w:val="bottom"/>
          </w:tcPr>
          <w:p w14:paraId="092562A1" w14:textId="11E15CF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114</w:t>
            </w:r>
          </w:p>
        </w:tc>
        <w:tc>
          <w:tcPr>
            <w:tcW w:w="1486" w:type="dxa"/>
            <w:vAlign w:val="bottom"/>
          </w:tcPr>
          <w:p w14:paraId="7A45754E" w14:textId="71C8B94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1,334,822</w:t>
            </w:r>
          </w:p>
        </w:tc>
        <w:tc>
          <w:tcPr>
            <w:tcW w:w="1754" w:type="dxa"/>
            <w:vAlign w:val="center"/>
          </w:tcPr>
          <w:p w14:paraId="55B221BA" w14:textId="6802F91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392,326</w:t>
            </w:r>
          </w:p>
        </w:tc>
      </w:tr>
      <w:tr w:rsidR="003E5E22" w14:paraId="4AAD4833"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713D0D4B" w14:textId="27833988"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2003</w:t>
            </w:r>
          </w:p>
        </w:tc>
        <w:tc>
          <w:tcPr>
            <w:tcW w:w="1291" w:type="dxa"/>
            <w:vAlign w:val="bottom"/>
          </w:tcPr>
          <w:p w14:paraId="4E33E883" w14:textId="03B6903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3,271</w:t>
            </w:r>
          </w:p>
        </w:tc>
        <w:tc>
          <w:tcPr>
            <w:tcW w:w="1141" w:type="dxa"/>
            <w:vAlign w:val="bottom"/>
          </w:tcPr>
          <w:p w14:paraId="386BC394" w14:textId="05A700A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219</w:t>
            </w:r>
          </w:p>
        </w:tc>
        <w:tc>
          <w:tcPr>
            <w:tcW w:w="1066" w:type="dxa"/>
            <w:vAlign w:val="bottom"/>
          </w:tcPr>
          <w:p w14:paraId="193AE460" w14:textId="72561B6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71</w:t>
            </w:r>
          </w:p>
        </w:tc>
        <w:tc>
          <w:tcPr>
            <w:tcW w:w="900" w:type="dxa"/>
            <w:vAlign w:val="bottom"/>
          </w:tcPr>
          <w:p w14:paraId="03580807" w14:textId="357B2164"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50</w:t>
            </w:r>
          </w:p>
        </w:tc>
        <w:tc>
          <w:tcPr>
            <w:tcW w:w="900" w:type="dxa"/>
            <w:vAlign w:val="bottom"/>
          </w:tcPr>
          <w:p w14:paraId="63389D27" w14:textId="16CD8F0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27</w:t>
            </w:r>
          </w:p>
        </w:tc>
        <w:tc>
          <w:tcPr>
            <w:tcW w:w="900" w:type="dxa"/>
            <w:vAlign w:val="bottom"/>
          </w:tcPr>
          <w:p w14:paraId="0DF1CC3E" w14:textId="519EF9D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42</w:t>
            </w:r>
          </w:p>
        </w:tc>
        <w:tc>
          <w:tcPr>
            <w:tcW w:w="990" w:type="dxa"/>
            <w:vAlign w:val="bottom"/>
          </w:tcPr>
          <w:p w14:paraId="10352FA8" w14:textId="7B06CE6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106</w:t>
            </w:r>
          </w:p>
        </w:tc>
        <w:tc>
          <w:tcPr>
            <w:tcW w:w="1486" w:type="dxa"/>
            <w:vAlign w:val="bottom"/>
          </w:tcPr>
          <w:p w14:paraId="6371FE4B" w14:textId="5CB3EED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1,349,120</w:t>
            </w:r>
          </w:p>
        </w:tc>
        <w:tc>
          <w:tcPr>
            <w:tcW w:w="1754" w:type="dxa"/>
            <w:vAlign w:val="center"/>
          </w:tcPr>
          <w:p w14:paraId="27358147" w14:textId="673B8B8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473,000</w:t>
            </w:r>
          </w:p>
        </w:tc>
      </w:tr>
      <w:tr w:rsidR="003E5E22" w14:paraId="3EB01484"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74B7AA56" w14:textId="30E42610"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2004</w:t>
            </w:r>
          </w:p>
        </w:tc>
        <w:tc>
          <w:tcPr>
            <w:tcW w:w="1291" w:type="dxa"/>
            <w:vAlign w:val="bottom"/>
          </w:tcPr>
          <w:p w14:paraId="450E8EF7" w14:textId="32FB5AB4"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3,208</w:t>
            </w:r>
          </w:p>
        </w:tc>
        <w:tc>
          <w:tcPr>
            <w:tcW w:w="1141" w:type="dxa"/>
            <w:vAlign w:val="bottom"/>
          </w:tcPr>
          <w:p w14:paraId="5A8F7EF5" w14:textId="1D861E5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210</w:t>
            </w:r>
          </w:p>
        </w:tc>
        <w:tc>
          <w:tcPr>
            <w:tcW w:w="1066" w:type="dxa"/>
            <w:vAlign w:val="bottom"/>
          </w:tcPr>
          <w:p w14:paraId="4E06660E" w14:textId="3D93F4B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68</w:t>
            </w:r>
          </w:p>
        </w:tc>
        <w:tc>
          <w:tcPr>
            <w:tcW w:w="900" w:type="dxa"/>
            <w:vAlign w:val="bottom"/>
          </w:tcPr>
          <w:p w14:paraId="6685F3E3" w14:textId="19DF133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48</w:t>
            </w:r>
          </w:p>
        </w:tc>
        <w:tc>
          <w:tcPr>
            <w:tcW w:w="900" w:type="dxa"/>
            <w:vAlign w:val="bottom"/>
          </w:tcPr>
          <w:p w14:paraId="3BEA2C46" w14:textId="548EB39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25</w:t>
            </w:r>
          </w:p>
        </w:tc>
        <w:tc>
          <w:tcPr>
            <w:tcW w:w="900" w:type="dxa"/>
            <w:vAlign w:val="bottom"/>
          </w:tcPr>
          <w:p w14:paraId="21B146FC" w14:textId="06021F3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90" w:type="dxa"/>
            <w:vAlign w:val="bottom"/>
          </w:tcPr>
          <w:p w14:paraId="28FCE4F3" w14:textId="7E03797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99</w:t>
            </w:r>
          </w:p>
        </w:tc>
        <w:tc>
          <w:tcPr>
            <w:tcW w:w="1486" w:type="dxa"/>
            <w:vAlign w:val="bottom"/>
          </w:tcPr>
          <w:p w14:paraId="08E808FC" w14:textId="71032D3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1,356,890</w:t>
            </w:r>
          </w:p>
        </w:tc>
        <w:tc>
          <w:tcPr>
            <w:tcW w:w="1754" w:type="dxa"/>
            <w:vAlign w:val="center"/>
          </w:tcPr>
          <w:p w14:paraId="48AD62B2" w14:textId="3273F0A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537,135</w:t>
            </w:r>
          </w:p>
        </w:tc>
      </w:tr>
      <w:tr w:rsidR="003E5E22" w14:paraId="5803395E"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040FDB3B" w14:textId="6A332C16"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2005</w:t>
            </w:r>
          </w:p>
        </w:tc>
        <w:tc>
          <w:tcPr>
            <w:tcW w:w="1291" w:type="dxa"/>
            <w:vAlign w:val="bottom"/>
          </w:tcPr>
          <w:p w14:paraId="6F5A20A6" w14:textId="3B1ABBD5"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3,157</w:t>
            </w:r>
          </w:p>
        </w:tc>
        <w:tc>
          <w:tcPr>
            <w:tcW w:w="1141" w:type="dxa"/>
            <w:vAlign w:val="bottom"/>
          </w:tcPr>
          <w:p w14:paraId="6FA385AD" w14:textId="490175B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203</w:t>
            </w:r>
          </w:p>
        </w:tc>
        <w:tc>
          <w:tcPr>
            <w:tcW w:w="1066" w:type="dxa"/>
            <w:vAlign w:val="bottom"/>
          </w:tcPr>
          <w:p w14:paraId="6F4C23F9" w14:textId="542ED762"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66</w:t>
            </w:r>
          </w:p>
        </w:tc>
        <w:tc>
          <w:tcPr>
            <w:tcW w:w="900" w:type="dxa"/>
            <w:vAlign w:val="bottom"/>
          </w:tcPr>
          <w:p w14:paraId="570CF779" w14:textId="246E8CC3"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46</w:t>
            </w:r>
          </w:p>
        </w:tc>
        <w:tc>
          <w:tcPr>
            <w:tcW w:w="900" w:type="dxa"/>
            <w:vAlign w:val="bottom"/>
          </w:tcPr>
          <w:p w14:paraId="277ECC14" w14:textId="6315887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25</w:t>
            </w:r>
          </w:p>
        </w:tc>
        <w:tc>
          <w:tcPr>
            <w:tcW w:w="900" w:type="dxa"/>
            <w:vAlign w:val="bottom"/>
          </w:tcPr>
          <w:p w14:paraId="4667DD0D" w14:textId="2848EFB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90" w:type="dxa"/>
            <w:vAlign w:val="bottom"/>
          </w:tcPr>
          <w:p w14:paraId="199827FF" w14:textId="33E542E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93</w:t>
            </w:r>
          </w:p>
        </w:tc>
        <w:tc>
          <w:tcPr>
            <w:tcW w:w="1486" w:type="dxa"/>
            <w:vAlign w:val="bottom"/>
          </w:tcPr>
          <w:p w14:paraId="7D43272B" w14:textId="575F86C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1,346,943</w:t>
            </w:r>
          </w:p>
        </w:tc>
        <w:tc>
          <w:tcPr>
            <w:tcW w:w="1754" w:type="dxa"/>
            <w:vAlign w:val="center"/>
          </w:tcPr>
          <w:p w14:paraId="14428C0B" w14:textId="45D2319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573,920</w:t>
            </w:r>
          </w:p>
        </w:tc>
      </w:tr>
      <w:tr w:rsidR="003E5E22" w14:paraId="0B0BEC3C"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EBCADE8" w14:textId="3205C7BB"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2006</w:t>
            </w:r>
          </w:p>
        </w:tc>
        <w:tc>
          <w:tcPr>
            <w:tcW w:w="1291" w:type="dxa"/>
            <w:vAlign w:val="bottom"/>
          </w:tcPr>
          <w:p w14:paraId="77686030" w14:textId="4993126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3,116</w:t>
            </w:r>
          </w:p>
        </w:tc>
        <w:tc>
          <w:tcPr>
            <w:tcW w:w="1141" w:type="dxa"/>
            <w:vAlign w:val="bottom"/>
          </w:tcPr>
          <w:p w14:paraId="7A3F1981" w14:textId="59E2C3E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197</w:t>
            </w:r>
          </w:p>
        </w:tc>
        <w:tc>
          <w:tcPr>
            <w:tcW w:w="1066" w:type="dxa"/>
            <w:vAlign w:val="bottom"/>
          </w:tcPr>
          <w:p w14:paraId="61C264AB" w14:textId="64ABC15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bottom"/>
          </w:tcPr>
          <w:p w14:paraId="799CE93B" w14:textId="26F5B464"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45</w:t>
            </w:r>
          </w:p>
        </w:tc>
        <w:tc>
          <w:tcPr>
            <w:tcW w:w="900" w:type="dxa"/>
            <w:vAlign w:val="bottom"/>
          </w:tcPr>
          <w:p w14:paraId="13AC78F8" w14:textId="5E101D4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24</w:t>
            </w:r>
          </w:p>
        </w:tc>
        <w:tc>
          <w:tcPr>
            <w:tcW w:w="900" w:type="dxa"/>
            <w:vAlign w:val="bottom"/>
          </w:tcPr>
          <w:p w14:paraId="5AA9715F" w14:textId="040389D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90" w:type="dxa"/>
            <w:vAlign w:val="bottom"/>
          </w:tcPr>
          <w:p w14:paraId="316F3AF4" w14:textId="4F1D2E9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87</w:t>
            </w:r>
          </w:p>
        </w:tc>
        <w:tc>
          <w:tcPr>
            <w:tcW w:w="1486" w:type="dxa"/>
            <w:vAlign w:val="bottom"/>
          </w:tcPr>
          <w:p w14:paraId="13357CA2" w14:textId="596A56B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1,344,710</w:t>
            </w:r>
          </w:p>
        </w:tc>
        <w:tc>
          <w:tcPr>
            <w:tcW w:w="1754" w:type="dxa"/>
            <w:vAlign w:val="center"/>
          </w:tcPr>
          <w:p w14:paraId="05FB0C1A" w14:textId="3E5FBE3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614,754</w:t>
            </w:r>
          </w:p>
        </w:tc>
      </w:tr>
      <w:tr w:rsidR="003E5E22" w14:paraId="178E3938"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64BBEA4D" w14:textId="1C405335"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2007</w:t>
            </w:r>
          </w:p>
        </w:tc>
        <w:tc>
          <w:tcPr>
            <w:tcW w:w="1291" w:type="dxa"/>
            <w:vAlign w:val="bottom"/>
          </w:tcPr>
          <w:p w14:paraId="18188A4E" w14:textId="629C8AE5"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3,082</w:t>
            </w:r>
          </w:p>
        </w:tc>
        <w:tc>
          <w:tcPr>
            <w:tcW w:w="1141" w:type="dxa"/>
            <w:vAlign w:val="bottom"/>
          </w:tcPr>
          <w:p w14:paraId="007E8F42" w14:textId="70E6F75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191</w:t>
            </w:r>
          </w:p>
        </w:tc>
        <w:tc>
          <w:tcPr>
            <w:tcW w:w="1066" w:type="dxa"/>
            <w:vAlign w:val="bottom"/>
          </w:tcPr>
          <w:p w14:paraId="124A7DF1" w14:textId="6AF1069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62</w:t>
            </w:r>
          </w:p>
        </w:tc>
        <w:tc>
          <w:tcPr>
            <w:tcW w:w="900" w:type="dxa"/>
            <w:vAlign w:val="bottom"/>
          </w:tcPr>
          <w:p w14:paraId="4ECE4B69" w14:textId="77ED1AC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43</w:t>
            </w:r>
          </w:p>
        </w:tc>
        <w:tc>
          <w:tcPr>
            <w:tcW w:w="900" w:type="dxa"/>
            <w:vAlign w:val="bottom"/>
          </w:tcPr>
          <w:p w14:paraId="5B2FDDB6" w14:textId="1B8A3AE4"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23</w:t>
            </w:r>
          </w:p>
        </w:tc>
        <w:tc>
          <w:tcPr>
            <w:tcW w:w="900" w:type="dxa"/>
            <w:vAlign w:val="bottom"/>
          </w:tcPr>
          <w:p w14:paraId="56597A1D" w14:textId="67159C5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38</w:t>
            </w:r>
          </w:p>
        </w:tc>
        <w:tc>
          <w:tcPr>
            <w:tcW w:w="990" w:type="dxa"/>
            <w:vAlign w:val="bottom"/>
          </w:tcPr>
          <w:p w14:paraId="41AE930F" w14:textId="0FF3E14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82</w:t>
            </w:r>
          </w:p>
        </w:tc>
        <w:tc>
          <w:tcPr>
            <w:tcW w:w="1486" w:type="dxa"/>
            <w:vAlign w:val="bottom"/>
          </w:tcPr>
          <w:p w14:paraId="614C8F32" w14:textId="596B2B63"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1,367,443</w:t>
            </w:r>
          </w:p>
        </w:tc>
        <w:tc>
          <w:tcPr>
            <w:tcW w:w="1754" w:type="dxa"/>
            <w:vAlign w:val="center"/>
          </w:tcPr>
          <w:p w14:paraId="511E6ED1" w14:textId="7BAA48E4"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677,269</w:t>
            </w:r>
          </w:p>
        </w:tc>
      </w:tr>
      <w:tr w:rsidR="003E5E22" w14:paraId="2E9C8CDB"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4635E565" w14:textId="77CFE523"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2008</w:t>
            </w:r>
          </w:p>
        </w:tc>
        <w:tc>
          <w:tcPr>
            <w:tcW w:w="1291" w:type="dxa"/>
            <w:vAlign w:val="bottom"/>
          </w:tcPr>
          <w:p w14:paraId="1CAE3B8B" w14:textId="7FEC5400"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3,055</w:t>
            </w:r>
          </w:p>
        </w:tc>
        <w:tc>
          <w:tcPr>
            <w:tcW w:w="1141" w:type="dxa"/>
            <w:vAlign w:val="bottom"/>
          </w:tcPr>
          <w:p w14:paraId="632F13E4" w14:textId="7190C58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186</w:t>
            </w:r>
          </w:p>
        </w:tc>
        <w:tc>
          <w:tcPr>
            <w:tcW w:w="1066" w:type="dxa"/>
            <w:vAlign w:val="bottom"/>
          </w:tcPr>
          <w:p w14:paraId="201B0E36" w14:textId="6FBDD3E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61</w:t>
            </w:r>
          </w:p>
        </w:tc>
        <w:tc>
          <w:tcPr>
            <w:tcW w:w="900" w:type="dxa"/>
            <w:vAlign w:val="bottom"/>
          </w:tcPr>
          <w:p w14:paraId="48FCF52C" w14:textId="53B5F7E0"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42</w:t>
            </w:r>
          </w:p>
        </w:tc>
        <w:tc>
          <w:tcPr>
            <w:tcW w:w="900" w:type="dxa"/>
            <w:vAlign w:val="bottom"/>
          </w:tcPr>
          <w:p w14:paraId="2B5684BC" w14:textId="3CAE53E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23</w:t>
            </w:r>
          </w:p>
        </w:tc>
        <w:tc>
          <w:tcPr>
            <w:tcW w:w="900" w:type="dxa"/>
            <w:vAlign w:val="bottom"/>
          </w:tcPr>
          <w:p w14:paraId="312EDB6B" w14:textId="2B66242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37</w:t>
            </w:r>
          </w:p>
        </w:tc>
        <w:tc>
          <w:tcPr>
            <w:tcW w:w="990" w:type="dxa"/>
            <w:vAlign w:val="bottom"/>
          </w:tcPr>
          <w:p w14:paraId="6DA45768" w14:textId="25EF24B4"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78</w:t>
            </w:r>
          </w:p>
        </w:tc>
        <w:tc>
          <w:tcPr>
            <w:tcW w:w="1486" w:type="dxa"/>
            <w:vAlign w:val="bottom"/>
          </w:tcPr>
          <w:p w14:paraId="54BA322E" w14:textId="13F4771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1,370,110</w:t>
            </w:r>
          </w:p>
        </w:tc>
        <w:tc>
          <w:tcPr>
            <w:tcW w:w="1754" w:type="dxa"/>
            <w:vAlign w:val="center"/>
          </w:tcPr>
          <w:p w14:paraId="0624033A" w14:textId="3C78A31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715,133</w:t>
            </w:r>
          </w:p>
        </w:tc>
      </w:tr>
      <w:tr w:rsidR="003E5E22" w14:paraId="5537B5C8"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46D47DA8" w14:textId="6EFAB90B"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2009</w:t>
            </w:r>
          </w:p>
        </w:tc>
        <w:tc>
          <w:tcPr>
            <w:tcW w:w="1291" w:type="dxa"/>
            <w:vAlign w:val="bottom"/>
          </w:tcPr>
          <w:p w14:paraId="60E5768A" w14:textId="01DE57C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3,035</w:t>
            </w:r>
          </w:p>
        </w:tc>
        <w:tc>
          <w:tcPr>
            <w:tcW w:w="1141" w:type="dxa"/>
            <w:vAlign w:val="bottom"/>
          </w:tcPr>
          <w:p w14:paraId="5E01642C" w14:textId="5643B0E3"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182</w:t>
            </w:r>
          </w:p>
        </w:tc>
        <w:tc>
          <w:tcPr>
            <w:tcW w:w="1066" w:type="dxa"/>
            <w:vAlign w:val="bottom"/>
          </w:tcPr>
          <w:p w14:paraId="766CD63B" w14:textId="7505AE0C"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59</w:t>
            </w:r>
          </w:p>
        </w:tc>
        <w:tc>
          <w:tcPr>
            <w:tcW w:w="900" w:type="dxa"/>
            <w:vAlign w:val="bottom"/>
          </w:tcPr>
          <w:p w14:paraId="48638500" w14:textId="051832B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41</w:t>
            </w:r>
          </w:p>
        </w:tc>
        <w:tc>
          <w:tcPr>
            <w:tcW w:w="900" w:type="dxa"/>
            <w:vAlign w:val="bottom"/>
          </w:tcPr>
          <w:p w14:paraId="2CF23CAC" w14:textId="6DF8F4F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22</w:t>
            </w:r>
          </w:p>
        </w:tc>
        <w:tc>
          <w:tcPr>
            <w:tcW w:w="900" w:type="dxa"/>
            <w:vAlign w:val="bottom"/>
          </w:tcPr>
          <w:p w14:paraId="640E6CFF" w14:textId="237E997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37</w:t>
            </w:r>
          </w:p>
        </w:tc>
        <w:tc>
          <w:tcPr>
            <w:tcW w:w="990" w:type="dxa"/>
            <w:vAlign w:val="bottom"/>
          </w:tcPr>
          <w:p w14:paraId="18785CAA" w14:textId="559A123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74</w:t>
            </w:r>
          </w:p>
        </w:tc>
        <w:tc>
          <w:tcPr>
            <w:tcW w:w="1486" w:type="dxa"/>
            <w:vAlign w:val="bottom"/>
          </w:tcPr>
          <w:p w14:paraId="5C879A0E" w14:textId="2457770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1,370,988</w:t>
            </w:r>
          </w:p>
        </w:tc>
        <w:tc>
          <w:tcPr>
            <w:tcW w:w="1754" w:type="dxa"/>
            <w:vAlign w:val="center"/>
          </w:tcPr>
          <w:p w14:paraId="592E030B" w14:textId="0926506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746,535</w:t>
            </w:r>
          </w:p>
        </w:tc>
      </w:tr>
      <w:tr w:rsidR="003E5E22" w14:paraId="6D87924F"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5458C00" w14:textId="6295FCC1"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2010</w:t>
            </w:r>
          </w:p>
        </w:tc>
        <w:tc>
          <w:tcPr>
            <w:tcW w:w="1291" w:type="dxa"/>
            <w:vAlign w:val="bottom"/>
          </w:tcPr>
          <w:p w14:paraId="6818CDBD" w14:textId="435FD48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3,020</w:t>
            </w:r>
          </w:p>
        </w:tc>
        <w:tc>
          <w:tcPr>
            <w:tcW w:w="1141" w:type="dxa"/>
            <w:vAlign w:val="bottom"/>
          </w:tcPr>
          <w:p w14:paraId="1A99C186" w14:textId="170D91BE"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179</w:t>
            </w:r>
          </w:p>
        </w:tc>
        <w:tc>
          <w:tcPr>
            <w:tcW w:w="1066" w:type="dxa"/>
            <w:vAlign w:val="bottom"/>
          </w:tcPr>
          <w:p w14:paraId="17A200CF" w14:textId="651F74D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58</w:t>
            </w:r>
          </w:p>
        </w:tc>
        <w:tc>
          <w:tcPr>
            <w:tcW w:w="900" w:type="dxa"/>
            <w:vAlign w:val="bottom"/>
          </w:tcPr>
          <w:p w14:paraId="3D05B17B" w14:textId="562FCDC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41</w:t>
            </w:r>
          </w:p>
        </w:tc>
        <w:tc>
          <w:tcPr>
            <w:tcW w:w="900" w:type="dxa"/>
            <w:vAlign w:val="bottom"/>
          </w:tcPr>
          <w:p w14:paraId="1E76A2F0" w14:textId="4D28BE1E"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22</w:t>
            </w:r>
          </w:p>
        </w:tc>
        <w:tc>
          <w:tcPr>
            <w:tcW w:w="900" w:type="dxa"/>
            <w:vAlign w:val="bottom"/>
          </w:tcPr>
          <w:p w14:paraId="48559034" w14:textId="6FAC771E"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37</w:t>
            </w:r>
          </w:p>
        </w:tc>
        <w:tc>
          <w:tcPr>
            <w:tcW w:w="990" w:type="dxa"/>
            <w:vAlign w:val="bottom"/>
          </w:tcPr>
          <w:p w14:paraId="1589EB84" w14:textId="505179D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71</w:t>
            </w:r>
          </w:p>
        </w:tc>
        <w:tc>
          <w:tcPr>
            <w:tcW w:w="1486" w:type="dxa"/>
            <w:vAlign w:val="bottom"/>
          </w:tcPr>
          <w:p w14:paraId="671CEB83" w14:textId="091DCBC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1,353,719</w:t>
            </w:r>
          </w:p>
        </w:tc>
        <w:tc>
          <w:tcPr>
            <w:tcW w:w="1754" w:type="dxa"/>
            <w:vAlign w:val="center"/>
          </w:tcPr>
          <w:p w14:paraId="5B83E225" w14:textId="4F87E99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755,750</w:t>
            </w:r>
          </w:p>
        </w:tc>
      </w:tr>
      <w:tr w:rsidR="003E5E22" w14:paraId="770A0E8A"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359E27FF" w14:textId="543F00D1"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2011</w:t>
            </w:r>
          </w:p>
        </w:tc>
        <w:tc>
          <w:tcPr>
            <w:tcW w:w="1291" w:type="dxa"/>
            <w:vAlign w:val="bottom"/>
          </w:tcPr>
          <w:p w14:paraId="0F712CDE" w14:textId="0A863C9C"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3,008</w:t>
            </w:r>
          </w:p>
        </w:tc>
        <w:tc>
          <w:tcPr>
            <w:tcW w:w="1141" w:type="dxa"/>
            <w:vAlign w:val="bottom"/>
          </w:tcPr>
          <w:p w14:paraId="03D30237" w14:textId="74F9366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177</w:t>
            </w:r>
          </w:p>
        </w:tc>
        <w:tc>
          <w:tcPr>
            <w:tcW w:w="1066" w:type="dxa"/>
            <w:vAlign w:val="bottom"/>
          </w:tcPr>
          <w:p w14:paraId="5108A8FC" w14:textId="57C7F0F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58</w:t>
            </w:r>
          </w:p>
        </w:tc>
        <w:tc>
          <w:tcPr>
            <w:tcW w:w="900" w:type="dxa"/>
            <w:vAlign w:val="bottom"/>
          </w:tcPr>
          <w:p w14:paraId="54479D71" w14:textId="05239985"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00" w:type="dxa"/>
            <w:vAlign w:val="bottom"/>
          </w:tcPr>
          <w:p w14:paraId="5A6FE658" w14:textId="469A327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bottom"/>
          </w:tcPr>
          <w:p w14:paraId="11E4A632" w14:textId="42B8838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bottom"/>
          </w:tcPr>
          <w:p w14:paraId="0BC8990B" w14:textId="61B6CB7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68</w:t>
            </w:r>
          </w:p>
        </w:tc>
        <w:tc>
          <w:tcPr>
            <w:tcW w:w="1486" w:type="dxa"/>
            <w:vAlign w:val="bottom"/>
          </w:tcPr>
          <w:p w14:paraId="29A3FC69" w14:textId="3EBFECC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1,325,912</w:t>
            </w:r>
          </w:p>
        </w:tc>
        <w:tc>
          <w:tcPr>
            <w:tcW w:w="1754" w:type="dxa"/>
            <w:vAlign w:val="center"/>
          </w:tcPr>
          <w:p w14:paraId="13171194" w14:textId="3429BA9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751,348</w:t>
            </w:r>
          </w:p>
        </w:tc>
      </w:tr>
      <w:tr w:rsidR="003E5E22" w14:paraId="2BD5F2D4"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7DCB1AD" w14:textId="41FE9F6C"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2012</w:t>
            </w:r>
          </w:p>
        </w:tc>
        <w:tc>
          <w:tcPr>
            <w:tcW w:w="1291" w:type="dxa"/>
            <w:vAlign w:val="bottom"/>
          </w:tcPr>
          <w:p w14:paraId="48992944" w14:textId="537E4A9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2,996</w:t>
            </w:r>
          </w:p>
        </w:tc>
        <w:tc>
          <w:tcPr>
            <w:tcW w:w="1141" w:type="dxa"/>
            <w:vAlign w:val="bottom"/>
          </w:tcPr>
          <w:p w14:paraId="36D0F35D" w14:textId="30744EA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175</w:t>
            </w:r>
          </w:p>
        </w:tc>
        <w:tc>
          <w:tcPr>
            <w:tcW w:w="1066" w:type="dxa"/>
            <w:vAlign w:val="bottom"/>
          </w:tcPr>
          <w:p w14:paraId="09151293" w14:textId="1A5B9BA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bottom"/>
          </w:tcPr>
          <w:p w14:paraId="08765870" w14:textId="071E006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00" w:type="dxa"/>
            <w:vAlign w:val="bottom"/>
          </w:tcPr>
          <w:p w14:paraId="3F2B7BA8" w14:textId="3C3B01E0"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bottom"/>
          </w:tcPr>
          <w:p w14:paraId="0233B400" w14:textId="788B702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bottom"/>
          </w:tcPr>
          <w:p w14:paraId="148D20EB" w14:textId="5D0A488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65</w:t>
            </w:r>
          </w:p>
        </w:tc>
        <w:tc>
          <w:tcPr>
            <w:tcW w:w="1486" w:type="dxa"/>
            <w:vAlign w:val="bottom"/>
          </w:tcPr>
          <w:p w14:paraId="0534A4B4" w14:textId="21784664"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1,308,021</w:t>
            </w:r>
          </w:p>
        </w:tc>
        <w:tc>
          <w:tcPr>
            <w:tcW w:w="1754" w:type="dxa"/>
            <w:vAlign w:val="center"/>
          </w:tcPr>
          <w:p w14:paraId="4F9F42E4" w14:textId="5D7977B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754,797</w:t>
            </w:r>
          </w:p>
        </w:tc>
      </w:tr>
      <w:tr w:rsidR="003E5E22" w14:paraId="45781A95"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49D18C3A" w14:textId="52ACFCFC"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2013</w:t>
            </w:r>
          </w:p>
        </w:tc>
        <w:tc>
          <w:tcPr>
            <w:tcW w:w="1291" w:type="dxa"/>
            <w:vAlign w:val="bottom"/>
          </w:tcPr>
          <w:p w14:paraId="06FD656A" w14:textId="3362237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2,982</w:t>
            </w:r>
          </w:p>
        </w:tc>
        <w:tc>
          <w:tcPr>
            <w:tcW w:w="1141" w:type="dxa"/>
            <w:vAlign w:val="bottom"/>
          </w:tcPr>
          <w:p w14:paraId="42284CE7" w14:textId="68537D6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174</w:t>
            </w:r>
          </w:p>
        </w:tc>
        <w:tc>
          <w:tcPr>
            <w:tcW w:w="1066" w:type="dxa"/>
            <w:vAlign w:val="bottom"/>
          </w:tcPr>
          <w:p w14:paraId="1F1B1901" w14:textId="7C05A63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bottom"/>
          </w:tcPr>
          <w:p w14:paraId="6D9B0218" w14:textId="0C2B60F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bottom"/>
          </w:tcPr>
          <w:p w14:paraId="6EAC3E8A" w14:textId="3F90C854"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bottom"/>
          </w:tcPr>
          <w:p w14:paraId="60E81CA8" w14:textId="3CF43C4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bottom"/>
          </w:tcPr>
          <w:p w14:paraId="43A041DB" w14:textId="365A350C"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63</w:t>
            </w:r>
          </w:p>
        </w:tc>
        <w:tc>
          <w:tcPr>
            <w:tcW w:w="1486" w:type="dxa"/>
            <w:vAlign w:val="bottom"/>
          </w:tcPr>
          <w:p w14:paraId="760B4CD1" w14:textId="6AFA03F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1,275,846</w:t>
            </w:r>
          </w:p>
        </w:tc>
        <w:tc>
          <w:tcPr>
            <w:tcW w:w="1754" w:type="dxa"/>
            <w:vAlign w:val="center"/>
          </w:tcPr>
          <w:p w14:paraId="2A8EDB19" w14:textId="10BC7C8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742,837</w:t>
            </w:r>
          </w:p>
        </w:tc>
      </w:tr>
      <w:tr w:rsidR="003E5E22" w14:paraId="2A5951FD"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BA0B16E" w14:textId="685D12DE"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2014</w:t>
            </w:r>
          </w:p>
        </w:tc>
        <w:tc>
          <w:tcPr>
            <w:tcW w:w="1291" w:type="dxa"/>
            <w:vAlign w:val="bottom"/>
          </w:tcPr>
          <w:p w14:paraId="4EC380A2" w14:textId="2348F34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2,962</w:t>
            </w:r>
          </w:p>
        </w:tc>
        <w:tc>
          <w:tcPr>
            <w:tcW w:w="1141" w:type="dxa"/>
            <w:vAlign w:val="bottom"/>
          </w:tcPr>
          <w:p w14:paraId="3D2A9F1E" w14:textId="6A03D1C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172</w:t>
            </w:r>
          </w:p>
        </w:tc>
        <w:tc>
          <w:tcPr>
            <w:tcW w:w="1066" w:type="dxa"/>
            <w:vAlign w:val="bottom"/>
          </w:tcPr>
          <w:p w14:paraId="27271AB1" w14:textId="6ED6926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56</w:t>
            </w:r>
          </w:p>
        </w:tc>
        <w:tc>
          <w:tcPr>
            <w:tcW w:w="900" w:type="dxa"/>
            <w:vAlign w:val="bottom"/>
          </w:tcPr>
          <w:p w14:paraId="2237B525" w14:textId="65FCA72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bottom"/>
          </w:tcPr>
          <w:p w14:paraId="4E2D12CC" w14:textId="65B5438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bottom"/>
          </w:tcPr>
          <w:p w14:paraId="32370B74" w14:textId="1519EE5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35</w:t>
            </w:r>
          </w:p>
        </w:tc>
        <w:tc>
          <w:tcPr>
            <w:tcW w:w="990" w:type="dxa"/>
            <w:vAlign w:val="bottom"/>
          </w:tcPr>
          <w:p w14:paraId="04BF37D6" w14:textId="265FE03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60</w:t>
            </w:r>
          </w:p>
        </w:tc>
        <w:tc>
          <w:tcPr>
            <w:tcW w:w="1486" w:type="dxa"/>
            <w:vAlign w:val="bottom"/>
          </w:tcPr>
          <w:p w14:paraId="36CDC64A" w14:textId="3607A38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1,240,026</w:t>
            </w:r>
          </w:p>
        </w:tc>
        <w:tc>
          <w:tcPr>
            <w:tcW w:w="1754" w:type="dxa"/>
            <w:vAlign w:val="center"/>
          </w:tcPr>
          <w:p w14:paraId="0F3CCB8B" w14:textId="0ED3C87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726,864</w:t>
            </w:r>
          </w:p>
        </w:tc>
      </w:tr>
      <w:tr w:rsidR="003E5E22" w14:paraId="3D14A896" w14:textId="77777777" w:rsidTr="004504BF">
        <w:tc>
          <w:tcPr>
            <w:cnfStyle w:val="001000000000" w:firstRow="0" w:lastRow="0" w:firstColumn="1" w:lastColumn="0" w:oddVBand="0" w:evenVBand="0" w:oddHBand="0" w:evenHBand="0" w:firstRowFirstColumn="0" w:firstRowLastColumn="0" w:lastRowFirstColumn="0" w:lastRowLastColumn="0"/>
            <w:tcW w:w="1267" w:type="dxa"/>
          </w:tcPr>
          <w:p w14:paraId="16111982" w14:textId="394C2528"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2015</w:t>
            </w:r>
          </w:p>
        </w:tc>
        <w:tc>
          <w:tcPr>
            <w:tcW w:w="1291" w:type="dxa"/>
            <w:vAlign w:val="bottom"/>
          </w:tcPr>
          <w:p w14:paraId="290C44D4" w14:textId="6377030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2,935</w:t>
            </w:r>
          </w:p>
        </w:tc>
        <w:tc>
          <w:tcPr>
            <w:tcW w:w="1141" w:type="dxa"/>
            <w:vAlign w:val="bottom"/>
          </w:tcPr>
          <w:p w14:paraId="56B94B9F" w14:textId="3A5A898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171</w:t>
            </w:r>
          </w:p>
        </w:tc>
        <w:tc>
          <w:tcPr>
            <w:tcW w:w="1066" w:type="dxa"/>
            <w:vAlign w:val="bottom"/>
          </w:tcPr>
          <w:p w14:paraId="1D9709B6" w14:textId="4D8E162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56</w:t>
            </w:r>
          </w:p>
        </w:tc>
        <w:tc>
          <w:tcPr>
            <w:tcW w:w="900" w:type="dxa"/>
            <w:vAlign w:val="bottom"/>
          </w:tcPr>
          <w:p w14:paraId="465C5F56" w14:textId="19E0FEC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bottom"/>
          </w:tcPr>
          <w:p w14:paraId="60C24660" w14:textId="145A76E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bottom"/>
          </w:tcPr>
          <w:p w14:paraId="1812AC71" w14:textId="784AB122"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bottom"/>
          </w:tcPr>
          <w:p w14:paraId="1F6E1D2E" w14:textId="432CF1A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58</w:t>
            </w:r>
          </w:p>
        </w:tc>
        <w:tc>
          <w:tcPr>
            <w:tcW w:w="1486" w:type="dxa"/>
            <w:vAlign w:val="bottom"/>
          </w:tcPr>
          <w:p w14:paraId="5E62350B" w14:textId="4B99539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1,198,872</w:t>
            </w:r>
          </w:p>
        </w:tc>
        <w:tc>
          <w:tcPr>
            <w:tcW w:w="1754" w:type="dxa"/>
            <w:vAlign w:val="center"/>
          </w:tcPr>
          <w:p w14:paraId="7899BDD6" w14:textId="66F5A54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706,475</w:t>
            </w:r>
          </w:p>
        </w:tc>
      </w:tr>
      <w:tr w:rsidR="003E5E22" w14:paraId="68494D9B" w14:textId="77777777" w:rsidTr="00450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C94676B" w14:textId="5A636321"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Total</w:t>
            </w:r>
          </w:p>
        </w:tc>
        <w:tc>
          <w:tcPr>
            <w:tcW w:w="1291" w:type="dxa"/>
            <w:vAlign w:val="bottom"/>
          </w:tcPr>
          <w:p w14:paraId="44506769" w14:textId="3AC8BB96"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50,036</w:t>
            </w:r>
          </w:p>
        </w:tc>
        <w:tc>
          <w:tcPr>
            <w:tcW w:w="1141" w:type="dxa"/>
            <w:vAlign w:val="bottom"/>
          </w:tcPr>
          <w:p w14:paraId="5B9C046E" w14:textId="13253029"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3,158</w:t>
            </w:r>
          </w:p>
        </w:tc>
        <w:tc>
          <w:tcPr>
            <w:tcW w:w="1066" w:type="dxa"/>
            <w:vAlign w:val="bottom"/>
          </w:tcPr>
          <w:p w14:paraId="0B62CF46" w14:textId="087B43A3"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1,030</w:t>
            </w:r>
          </w:p>
        </w:tc>
        <w:tc>
          <w:tcPr>
            <w:tcW w:w="900" w:type="dxa"/>
            <w:vAlign w:val="bottom"/>
          </w:tcPr>
          <w:p w14:paraId="68B665B4" w14:textId="218E485F"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715</w:t>
            </w:r>
          </w:p>
        </w:tc>
        <w:tc>
          <w:tcPr>
            <w:tcW w:w="900" w:type="dxa"/>
            <w:vAlign w:val="bottom"/>
          </w:tcPr>
          <w:p w14:paraId="386889DA" w14:textId="105C8AB0"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383</w:t>
            </w:r>
          </w:p>
        </w:tc>
        <w:tc>
          <w:tcPr>
            <w:tcW w:w="900" w:type="dxa"/>
            <w:vAlign w:val="bottom"/>
          </w:tcPr>
          <w:p w14:paraId="1D7D3369" w14:textId="66462E32"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624</w:t>
            </w:r>
          </w:p>
        </w:tc>
        <w:tc>
          <w:tcPr>
            <w:tcW w:w="990" w:type="dxa"/>
            <w:vAlign w:val="bottom"/>
          </w:tcPr>
          <w:p w14:paraId="6729F3FF" w14:textId="66A5019E"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1,374</w:t>
            </w:r>
          </w:p>
        </w:tc>
        <w:tc>
          <w:tcPr>
            <w:tcW w:w="1486" w:type="dxa"/>
            <w:vAlign w:val="bottom"/>
          </w:tcPr>
          <w:p w14:paraId="4F8267F6" w14:textId="0F925D17"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ascii="Lucida Grande" w:hAnsi="Lucida Grande" w:cs="Lucida Grande"/>
                <w:b/>
                <w:bCs/>
                <w:color w:val="000000"/>
                <w:sz w:val="22"/>
                <w:szCs w:val="22"/>
              </w:rPr>
              <w:t>21,156,569</w:t>
            </w:r>
          </w:p>
        </w:tc>
        <w:tc>
          <w:tcPr>
            <w:tcW w:w="1754" w:type="dxa"/>
            <w:vAlign w:val="bottom"/>
          </w:tcPr>
          <w:p w14:paraId="58DB188A" w14:textId="0013BEF4" w:rsidR="003E5E22" w:rsidRP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3E5E22">
              <w:rPr>
                <w:rFonts w:cs="Calibri"/>
                <w:b/>
                <w:bCs/>
                <w:color w:val="000000"/>
              </w:rPr>
              <w:t>9,685,950</w:t>
            </w:r>
          </w:p>
        </w:tc>
      </w:tr>
    </w:tbl>
    <w:p w14:paraId="382757C8" w14:textId="375764B8" w:rsidR="000D1987" w:rsidRPr="000D1987" w:rsidRDefault="000D1987" w:rsidP="005F24F1">
      <w:pPr>
        <w:pStyle w:val="ListParagraph"/>
        <w:ind w:left="0"/>
        <w:rPr>
          <w:b/>
          <w:bCs/>
          <w:sz w:val="20"/>
          <w:szCs w:val="20"/>
        </w:rPr>
      </w:pPr>
    </w:p>
    <w:p w14:paraId="1C5DA4A4" w14:textId="77777777" w:rsidR="002C709A" w:rsidRDefault="002C709A" w:rsidP="005F24F1">
      <w:pPr>
        <w:pStyle w:val="ListParagraph"/>
        <w:ind w:left="0"/>
        <w:rPr>
          <w:sz w:val="28"/>
          <w:szCs w:val="32"/>
        </w:rPr>
        <w:sectPr w:rsidR="002C709A" w:rsidSect="00610D09">
          <w:pgSz w:w="15840" w:h="12240" w:orient="landscape"/>
          <w:pgMar w:top="1440" w:right="1440" w:bottom="1440" w:left="1440" w:header="720" w:footer="720" w:gutter="0"/>
          <w:cols w:space="720"/>
          <w:docGrid w:linePitch="360"/>
        </w:sectPr>
      </w:pPr>
    </w:p>
    <w:p w14:paraId="2EBFAEED" w14:textId="77777777" w:rsidR="000D1987" w:rsidRPr="000D1987" w:rsidRDefault="000D1987" w:rsidP="005F24F1">
      <w:pPr>
        <w:pStyle w:val="ListParagraph"/>
        <w:ind w:left="0"/>
        <w:rPr>
          <w:sz w:val="28"/>
          <w:szCs w:val="32"/>
        </w:rPr>
      </w:pPr>
    </w:p>
    <w:p w14:paraId="490369AE" w14:textId="7BB90AF4" w:rsidR="00436E45" w:rsidRPr="00E16258" w:rsidRDefault="002C709A" w:rsidP="00436E45">
      <w:pPr>
        <w:pStyle w:val="ListParagraph"/>
        <w:ind w:left="0"/>
        <w:rPr>
          <w:sz w:val="22"/>
        </w:rPr>
      </w:pPr>
      <w:r w:rsidRPr="00E16258">
        <w:rPr>
          <w:b/>
          <w:bCs/>
          <w:sz w:val="22"/>
        </w:rPr>
        <w:t>Table S7B. Scenario: No screening and no PN</w:t>
      </w:r>
      <w:r w:rsidR="00436E45" w:rsidRPr="00E16258">
        <w:rPr>
          <w:b/>
          <w:bCs/>
          <w:sz w:val="22"/>
        </w:rPr>
        <w:t xml:space="preserve"> 2000-2015</w:t>
      </w:r>
      <w:r w:rsidRPr="00E16258">
        <w:rPr>
          <w:b/>
          <w:bCs/>
          <w:sz w:val="22"/>
        </w:rPr>
        <w:t xml:space="preserve">. </w:t>
      </w:r>
      <w:r w:rsidR="002912DA" w:rsidRPr="00E16258">
        <w:rPr>
          <w:sz w:val="22"/>
        </w:rPr>
        <w:t xml:space="preserve">Yearly </w:t>
      </w:r>
      <w:r w:rsidR="002912DA" w:rsidRPr="00E16258">
        <w:rPr>
          <w:sz w:val="22"/>
          <w:u w:val="single"/>
        </w:rPr>
        <w:t xml:space="preserve">mean </w:t>
      </w:r>
      <w:r w:rsidR="002912DA" w:rsidRPr="00E16258">
        <w:rPr>
          <w:sz w:val="22"/>
        </w:rPr>
        <w:t xml:space="preserve">number of select outcomes. </w:t>
      </w:r>
      <w:r w:rsidRPr="00E16258">
        <w:rPr>
          <w:sz w:val="22"/>
        </w:rPr>
        <w:t xml:space="preserve">QALYs lost and costs discounted. All outputs </w:t>
      </w:r>
      <w:r w:rsidR="004F4CC4">
        <w:rPr>
          <w:sz w:val="22"/>
        </w:rPr>
        <w:t>i</w:t>
      </w:r>
      <w:r w:rsidRPr="00E16258">
        <w:rPr>
          <w:sz w:val="22"/>
        </w:rPr>
        <w:t>n ‘000s.</w:t>
      </w:r>
      <w:r w:rsidR="00436E45" w:rsidRPr="00E16258">
        <w:rPr>
          <w:sz w:val="22"/>
        </w:rPr>
        <w:t xml:space="preserve"> Testing and PN costs include both screening and testing of symptomatic infections (with a NAAT or non-NAAT), and costs associated with PN services.</w:t>
      </w:r>
    </w:p>
    <w:p w14:paraId="062F8B1D" w14:textId="77777777" w:rsidR="002C709A" w:rsidRDefault="002C709A" w:rsidP="005F24F1">
      <w:pPr>
        <w:pStyle w:val="ListParagraph"/>
        <w:ind w:left="0"/>
        <w:rPr>
          <w:b/>
          <w:bCs/>
          <w:sz w:val="28"/>
          <w:szCs w:val="32"/>
        </w:rPr>
      </w:pPr>
    </w:p>
    <w:tbl>
      <w:tblPr>
        <w:tblStyle w:val="PlainTable5"/>
        <w:tblW w:w="0" w:type="auto"/>
        <w:tblLook w:val="04A0" w:firstRow="1" w:lastRow="0" w:firstColumn="1" w:lastColumn="0" w:noHBand="0" w:noVBand="1"/>
      </w:tblPr>
      <w:tblGrid>
        <w:gridCol w:w="1267"/>
        <w:gridCol w:w="1291"/>
        <w:gridCol w:w="1141"/>
        <w:gridCol w:w="1066"/>
        <w:gridCol w:w="900"/>
        <w:gridCol w:w="900"/>
        <w:gridCol w:w="900"/>
        <w:gridCol w:w="990"/>
        <w:gridCol w:w="1486"/>
        <w:gridCol w:w="1754"/>
      </w:tblGrid>
      <w:tr w:rsidR="003E5E22" w14:paraId="36B2CA4C" w14:textId="77777777" w:rsidTr="00AB64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14:paraId="5C761EDC"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Year</w:t>
            </w:r>
          </w:p>
        </w:tc>
        <w:tc>
          <w:tcPr>
            <w:tcW w:w="1291" w:type="dxa"/>
          </w:tcPr>
          <w:p w14:paraId="3A8ABC55"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Incident infection</w:t>
            </w:r>
          </w:p>
        </w:tc>
        <w:tc>
          <w:tcPr>
            <w:tcW w:w="1141" w:type="dxa"/>
          </w:tcPr>
          <w:p w14:paraId="7767DD9F"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PID</w:t>
            </w:r>
          </w:p>
        </w:tc>
        <w:tc>
          <w:tcPr>
            <w:tcW w:w="1066" w:type="dxa"/>
          </w:tcPr>
          <w:p w14:paraId="66AE074F"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CPP</w:t>
            </w:r>
          </w:p>
        </w:tc>
        <w:tc>
          <w:tcPr>
            <w:tcW w:w="900" w:type="dxa"/>
          </w:tcPr>
          <w:p w14:paraId="3D5B46EE"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TFI</w:t>
            </w:r>
          </w:p>
        </w:tc>
        <w:tc>
          <w:tcPr>
            <w:tcW w:w="900" w:type="dxa"/>
          </w:tcPr>
          <w:p w14:paraId="71BCDB25"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w:t>
            </w:r>
          </w:p>
        </w:tc>
        <w:tc>
          <w:tcPr>
            <w:tcW w:w="900" w:type="dxa"/>
          </w:tcPr>
          <w:p w14:paraId="75300D9A"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EPID</w:t>
            </w:r>
          </w:p>
        </w:tc>
        <w:tc>
          <w:tcPr>
            <w:tcW w:w="990" w:type="dxa"/>
          </w:tcPr>
          <w:p w14:paraId="4F86D431"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QALYs lost</w:t>
            </w:r>
          </w:p>
        </w:tc>
        <w:tc>
          <w:tcPr>
            <w:tcW w:w="1486" w:type="dxa"/>
          </w:tcPr>
          <w:p w14:paraId="02873066" w14:textId="4B205970"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All costs</w:t>
            </w:r>
            <w:r w:rsidR="00E16258">
              <w:rPr>
                <w:rFonts w:ascii="Lucida Grande" w:hAnsi="Lucida Grande" w:cs="Lucida Grande"/>
                <w:b/>
                <w:bCs/>
                <w:i w:val="0"/>
                <w:iCs w:val="0"/>
                <w:color w:val="000000"/>
                <w:sz w:val="22"/>
                <w:szCs w:val="22"/>
              </w:rPr>
              <w:t xml:space="preserve"> ($)</w:t>
            </w:r>
          </w:p>
        </w:tc>
        <w:tc>
          <w:tcPr>
            <w:tcW w:w="1754" w:type="dxa"/>
          </w:tcPr>
          <w:p w14:paraId="17586F4E" w14:textId="2775FD9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Pr>
                <w:rFonts w:ascii="Lucida Grande" w:hAnsi="Lucida Grande" w:cs="Lucida Grande"/>
                <w:b/>
                <w:bCs/>
                <w:i w:val="0"/>
                <w:iCs w:val="0"/>
                <w:color w:val="000000"/>
                <w:sz w:val="22"/>
                <w:szCs w:val="22"/>
              </w:rPr>
              <w:t>Testing</w:t>
            </w:r>
            <w:r w:rsidRPr="00DA2706">
              <w:rPr>
                <w:rFonts w:ascii="Lucida Grande" w:hAnsi="Lucida Grande" w:cs="Lucida Grande"/>
                <w:b/>
                <w:bCs/>
                <w:i w:val="0"/>
                <w:iCs w:val="0"/>
                <w:color w:val="000000"/>
                <w:sz w:val="22"/>
                <w:szCs w:val="22"/>
              </w:rPr>
              <w:t xml:space="preserve"> and PN costs</w:t>
            </w:r>
            <w:r w:rsidR="00E16258">
              <w:rPr>
                <w:rFonts w:ascii="Lucida Grande" w:hAnsi="Lucida Grande" w:cs="Lucida Grande"/>
                <w:b/>
                <w:bCs/>
                <w:i w:val="0"/>
                <w:iCs w:val="0"/>
                <w:color w:val="000000"/>
                <w:sz w:val="22"/>
                <w:szCs w:val="22"/>
              </w:rPr>
              <w:t xml:space="preserve"> ($)</w:t>
            </w:r>
          </w:p>
        </w:tc>
      </w:tr>
      <w:tr w:rsidR="003E5E22" w14:paraId="4FAF02CA"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407909E"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2000</w:t>
            </w:r>
          </w:p>
        </w:tc>
        <w:tc>
          <w:tcPr>
            <w:tcW w:w="1291" w:type="dxa"/>
            <w:vAlign w:val="center"/>
          </w:tcPr>
          <w:p w14:paraId="3143AA0F" w14:textId="59A44B7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3,523</w:t>
            </w:r>
          </w:p>
        </w:tc>
        <w:tc>
          <w:tcPr>
            <w:tcW w:w="1141" w:type="dxa"/>
            <w:vAlign w:val="center"/>
          </w:tcPr>
          <w:p w14:paraId="0BDFBED2" w14:textId="54655EA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260</w:t>
            </w:r>
          </w:p>
        </w:tc>
        <w:tc>
          <w:tcPr>
            <w:tcW w:w="1066" w:type="dxa"/>
            <w:vAlign w:val="center"/>
          </w:tcPr>
          <w:p w14:paraId="21A828B3" w14:textId="635BFFE4"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85</w:t>
            </w:r>
          </w:p>
        </w:tc>
        <w:tc>
          <w:tcPr>
            <w:tcW w:w="900" w:type="dxa"/>
            <w:vAlign w:val="center"/>
          </w:tcPr>
          <w:p w14:paraId="4B2E2D86" w14:textId="2916F15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59</w:t>
            </w:r>
          </w:p>
        </w:tc>
        <w:tc>
          <w:tcPr>
            <w:tcW w:w="900" w:type="dxa"/>
            <w:vAlign w:val="center"/>
          </w:tcPr>
          <w:p w14:paraId="459546FF" w14:textId="4C8C5E1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31</w:t>
            </w:r>
          </w:p>
        </w:tc>
        <w:tc>
          <w:tcPr>
            <w:tcW w:w="900" w:type="dxa"/>
            <w:vAlign w:val="center"/>
          </w:tcPr>
          <w:p w14:paraId="0AD16BE6" w14:textId="1AEE92E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51</w:t>
            </w:r>
          </w:p>
        </w:tc>
        <w:tc>
          <w:tcPr>
            <w:tcW w:w="990" w:type="dxa"/>
            <w:vAlign w:val="center"/>
          </w:tcPr>
          <w:p w14:paraId="1F250011" w14:textId="1752A999"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137</w:t>
            </w:r>
          </w:p>
        </w:tc>
        <w:tc>
          <w:tcPr>
            <w:tcW w:w="1486" w:type="dxa"/>
            <w:vAlign w:val="center"/>
          </w:tcPr>
          <w:p w14:paraId="698057C7" w14:textId="31B71AE9"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1,135,811</w:t>
            </w:r>
          </w:p>
        </w:tc>
        <w:tc>
          <w:tcPr>
            <w:tcW w:w="1754" w:type="dxa"/>
            <w:vAlign w:val="center"/>
          </w:tcPr>
          <w:p w14:paraId="7BB451B2" w14:textId="2F02CAA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33,790</w:t>
            </w:r>
          </w:p>
        </w:tc>
      </w:tr>
      <w:tr w:rsidR="003E5E22" w14:paraId="6E13ADDF"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080AD33B"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2001</w:t>
            </w:r>
          </w:p>
        </w:tc>
        <w:tc>
          <w:tcPr>
            <w:tcW w:w="1291" w:type="dxa"/>
            <w:vAlign w:val="center"/>
          </w:tcPr>
          <w:p w14:paraId="22563BBA" w14:textId="5C0CC2B2"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3,587</w:t>
            </w:r>
          </w:p>
        </w:tc>
        <w:tc>
          <w:tcPr>
            <w:tcW w:w="1141" w:type="dxa"/>
            <w:vAlign w:val="center"/>
          </w:tcPr>
          <w:p w14:paraId="613E185F" w14:textId="44C9701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268</w:t>
            </w:r>
          </w:p>
        </w:tc>
        <w:tc>
          <w:tcPr>
            <w:tcW w:w="1066" w:type="dxa"/>
            <w:vAlign w:val="center"/>
          </w:tcPr>
          <w:p w14:paraId="2639F17E" w14:textId="3BC3D71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87</w:t>
            </w:r>
          </w:p>
        </w:tc>
        <w:tc>
          <w:tcPr>
            <w:tcW w:w="900" w:type="dxa"/>
            <w:vAlign w:val="center"/>
          </w:tcPr>
          <w:p w14:paraId="17F247B7" w14:textId="6BBD911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61</w:t>
            </w:r>
          </w:p>
        </w:tc>
        <w:tc>
          <w:tcPr>
            <w:tcW w:w="900" w:type="dxa"/>
            <w:vAlign w:val="center"/>
          </w:tcPr>
          <w:p w14:paraId="44B60242" w14:textId="1DF6AB2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33</w:t>
            </w:r>
          </w:p>
        </w:tc>
        <w:tc>
          <w:tcPr>
            <w:tcW w:w="900" w:type="dxa"/>
            <w:vAlign w:val="center"/>
          </w:tcPr>
          <w:p w14:paraId="15818275" w14:textId="787E002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52</w:t>
            </w:r>
          </w:p>
        </w:tc>
        <w:tc>
          <w:tcPr>
            <w:tcW w:w="990" w:type="dxa"/>
            <w:vAlign w:val="center"/>
          </w:tcPr>
          <w:p w14:paraId="24768C3C" w14:textId="0B9098E3"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138</w:t>
            </w:r>
          </w:p>
        </w:tc>
        <w:tc>
          <w:tcPr>
            <w:tcW w:w="1486" w:type="dxa"/>
            <w:vAlign w:val="center"/>
          </w:tcPr>
          <w:p w14:paraId="72EEA971" w14:textId="267A6914"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1,140,741</w:t>
            </w:r>
          </w:p>
        </w:tc>
        <w:tc>
          <w:tcPr>
            <w:tcW w:w="1754" w:type="dxa"/>
            <w:vAlign w:val="center"/>
          </w:tcPr>
          <w:p w14:paraId="48E7577A" w14:textId="34D5989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36,921</w:t>
            </w:r>
          </w:p>
        </w:tc>
      </w:tr>
      <w:tr w:rsidR="003E5E22" w14:paraId="47367181"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40239F4"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2002</w:t>
            </w:r>
          </w:p>
        </w:tc>
        <w:tc>
          <w:tcPr>
            <w:tcW w:w="1291" w:type="dxa"/>
            <w:vAlign w:val="center"/>
          </w:tcPr>
          <w:p w14:paraId="6475F585" w14:textId="24F23914"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3,624</w:t>
            </w:r>
          </w:p>
        </w:tc>
        <w:tc>
          <w:tcPr>
            <w:tcW w:w="1141" w:type="dxa"/>
            <w:vAlign w:val="center"/>
          </w:tcPr>
          <w:p w14:paraId="1C58CBC8" w14:textId="24F979C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274</w:t>
            </w:r>
          </w:p>
        </w:tc>
        <w:tc>
          <w:tcPr>
            <w:tcW w:w="1066" w:type="dxa"/>
            <w:vAlign w:val="center"/>
          </w:tcPr>
          <w:p w14:paraId="158E70AE" w14:textId="27920E2E"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89</w:t>
            </w:r>
          </w:p>
        </w:tc>
        <w:tc>
          <w:tcPr>
            <w:tcW w:w="900" w:type="dxa"/>
            <w:vAlign w:val="center"/>
          </w:tcPr>
          <w:p w14:paraId="14857F75" w14:textId="347CD9D0"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62</w:t>
            </w:r>
          </w:p>
        </w:tc>
        <w:tc>
          <w:tcPr>
            <w:tcW w:w="900" w:type="dxa"/>
            <w:vAlign w:val="center"/>
          </w:tcPr>
          <w:p w14:paraId="6077607A" w14:textId="4C07F39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33</w:t>
            </w:r>
          </w:p>
        </w:tc>
        <w:tc>
          <w:tcPr>
            <w:tcW w:w="900" w:type="dxa"/>
            <w:vAlign w:val="center"/>
          </w:tcPr>
          <w:p w14:paraId="5EBD1244" w14:textId="3231B6C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1672B4C4" w14:textId="57FEBEB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137</w:t>
            </w:r>
          </w:p>
        </w:tc>
        <w:tc>
          <w:tcPr>
            <w:tcW w:w="1486" w:type="dxa"/>
            <w:vAlign w:val="center"/>
          </w:tcPr>
          <w:p w14:paraId="498D728F" w14:textId="7B152D29"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1,133,000</w:t>
            </w:r>
          </w:p>
        </w:tc>
        <w:tc>
          <w:tcPr>
            <w:tcW w:w="1754" w:type="dxa"/>
            <w:vAlign w:val="center"/>
          </w:tcPr>
          <w:p w14:paraId="5270A9FF" w14:textId="1F3FEF2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40,319</w:t>
            </w:r>
          </w:p>
        </w:tc>
      </w:tr>
      <w:tr w:rsidR="003E5E22" w14:paraId="7EAF262A"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0EAD41DA"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2003</w:t>
            </w:r>
          </w:p>
        </w:tc>
        <w:tc>
          <w:tcPr>
            <w:tcW w:w="1291" w:type="dxa"/>
            <w:vAlign w:val="center"/>
          </w:tcPr>
          <w:p w14:paraId="27C3EF76" w14:textId="35C69DB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3,646</w:t>
            </w:r>
          </w:p>
        </w:tc>
        <w:tc>
          <w:tcPr>
            <w:tcW w:w="1141" w:type="dxa"/>
            <w:vAlign w:val="center"/>
          </w:tcPr>
          <w:p w14:paraId="22C63C3D" w14:textId="06CCD30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277</w:t>
            </w:r>
          </w:p>
        </w:tc>
        <w:tc>
          <w:tcPr>
            <w:tcW w:w="1066" w:type="dxa"/>
            <w:vAlign w:val="center"/>
          </w:tcPr>
          <w:p w14:paraId="2A01B6BF" w14:textId="1E4EE262"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90</w:t>
            </w:r>
          </w:p>
        </w:tc>
        <w:tc>
          <w:tcPr>
            <w:tcW w:w="900" w:type="dxa"/>
            <w:vAlign w:val="center"/>
          </w:tcPr>
          <w:p w14:paraId="1ECC74E9" w14:textId="2C86AE0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63</w:t>
            </w:r>
          </w:p>
        </w:tc>
        <w:tc>
          <w:tcPr>
            <w:tcW w:w="900" w:type="dxa"/>
            <w:vAlign w:val="center"/>
          </w:tcPr>
          <w:p w14:paraId="24ADD8FA" w14:textId="475B1FA5"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3C69A97D" w14:textId="7A257BE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3C9802DE" w14:textId="6EB0C10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134</w:t>
            </w:r>
          </w:p>
        </w:tc>
        <w:tc>
          <w:tcPr>
            <w:tcW w:w="1486" w:type="dxa"/>
            <w:vAlign w:val="center"/>
          </w:tcPr>
          <w:p w14:paraId="2EB2CC0D" w14:textId="02522D13"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1,117,763</w:t>
            </w:r>
          </w:p>
        </w:tc>
        <w:tc>
          <w:tcPr>
            <w:tcW w:w="1754" w:type="dxa"/>
            <w:vAlign w:val="center"/>
          </w:tcPr>
          <w:p w14:paraId="1C4ADA8D" w14:textId="4E9833CD"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43,886</w:t>
            </w:r>
          </w:p>
        </w:tc>
      </w:tr>
      <w:tr w:rsidR="003E5E22" w14:paraId="19BD8FF1"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0581C62"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2004</w:t>
            </w:r>
          </w:p>
        </w:tc>
        <w:tc>
          <w:tcPr>
            <w:tcW w:w="1291" w:type="dxa"/>
            <w:vAlign w:val="center"/>
          </w:tcPr>
          <w:p w14:paraId="6F45B0A5" w14:textId="128EDA6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3,659</w:t>
            </w:r>
          </w:p>
        </w:tc>
        <w:tc>
          <w:tcPr>
            <w:tcW w:w="1141" w:type="dxa"/>
            <w:vAlign w:val="center"/>
          </w:tcPr>
          <w:p w14:paraId="5F9689FF" w14:textId="7482C8C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279</w:t>
            </w:r>
          </w:p>
        </w:tc>
        <w:tc>
          <w:tcPr>
            <w:tcW w:w="1066" w:type="dxa"/>
            <w:vAlign w:val="center"/>
          </w:tcPr>
          <w:p w14:paraId="2D38F6BF" w14:textId="7894F56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91</w:t>
            </w:r>
          </w:p>
        </w:tc>
        <w:tc>
          <w:tcPr>
            <w:tcW w:w="900" w:type="dxa"/>
            <w:vAlign w:val="center"/>
          </w:tcPr>
          <w:p w14:paraId="7D5EC191" w14:textId="1D18FD7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63</w:t>
            </w:r>
          </w:p>
        </w:tc>
        <w:tc>
          <w:tcPr>
            <w:tcW w:w="900" w:type="dxa"/>
            <w:vAlign w:val="center"/>
          </w:tcPr>
          <w:p w14:paraId="3734E31E" w14:textId="1C895E1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02F9D117" w14:textId="7939B9A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44D71501" w14:textId="650AC799"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131</w:t>
            </w:r>
          </w:p>
        </w:tc>
        <w:tc>
          <w:tcPr>
            <w:tcW w:w="1486" w:type="dxa"/>
            <w:vAlign w:val="center"/>
          </w:tcPr>
          <w:p w14:paraId="0A4DA34E" w14:textId="0AEAA0B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1,097,172</w:t>
            </w:r>
          </w:p>
        </w:tc>
        <w:tc>
          <w:tcPr>
            <w:tcW w:w="1754" w:type="dxa"/>
            <w:vAlign w:val="center"/>
          </w:tcPr>
          <w:p w14:paraId="5F7EACF1" w14:textId="781AB7B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46,560</w:t>
            </w:r>
          </w:p>
        </w:tc>
      </w:tr>
      <w:tr w:rsidR="003E5E22" w14:paraId="3CCC42E3"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1847C3BB"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2005</w:t>
            </w:r>
          </w:p>
        </w:tc>
        <w:tc>
          <w:tcPr>
            <w:tcW w:w="1291" w:type="dxa"/>
            <w:vAlign w:val="center"/>
          </w:tcPr>
          <w:p w14:paraId="142C92BC" w14:textId="15A2F8C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3,668</w:t>
            </w:r>
          </w:p>
        </w:tc>
        <w:tc>
          <w:tcPr>
            <w:tcW w:w="1141" w:type="dxa"/>
            <w:vAlign w:val="center"/>
          </w:tcPr>
          <w:p w14:paraId="0D05F9D0" w14:textId="797C34F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281</w:t>
            </w:r>
          </w:p>
        </w:tc>
        <w:tc>
          <w:tcPr>
            <w:tcW w:w="1066" w:type="dxa"/>
            <w:vAlign w:val="center"/>
          </w:tcPr>
          <w:p w14:paraId="394D46ED" w14:textId="4E093BB4"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92</w:t>
            </w:r>
          </w:p>
        </w:tc>
        <w:tc>
          <w:tcPr>
            <w:tcW w:w="900" w:type="dxa"/>
            <w:vAlign w:val="center"/>
          </w:tcPr>
          <w:p w14:paraId="64A6CBEF" w14:textId="004E195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6DEA87DB" w14:textId="4E2AD03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596ADC4F" w14:textId="6E78EB93"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7392B75C" w14:textId="7D7D265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128</w:t>
            </w:r>
          </w:p>
        </w:tc>
        <w:tc>
          <w:tcPr>
            <w:tcW w:w="1486" w:type="dxa"/>
            <w:vAlign w:val="center"/>
          </w:tcPr>
          <w:p w14:paraId="5E913D81" w14:textId="1093DF3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1,071,647</w:t>
            </w:r>
          </w:p>
        </w:tc>
        <w:tc>
          <w:tcPr>
            <w:tcW w:w="1754" w:type="dxa"/>
            <w:vAlign w:val="center"/>
          </w:tcPr>
          <w:p w14:paraId="04F16C16" w14:textId="3801F56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46,672</w:t>
            </w:r>
          </w:p>
        </w:tc>
      </w:tr>
      <w:tr w:rsidR="003E5E22" w14:paraId="3FB225A7"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32ECF77"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2006</w:t>
            </w:r>
          </w:p>
        </w:tc>
        <w:tc>
          <w:tcPr>
            <w:tcW w:w="1291" w:type="dxa"/>
            <w:vAlign w:val="center"/>
          </w:tcPr>
          <w:p w14:paraId="35D9C945" w14:textId="323D6B3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3,673</w:t>
            </w:r>
          </w:p>
        </w:tc>
        <w:tc>
          <w:tcPr>
            <w:tcW w:w="1141" w:type="dxa"/>
            <w:vAlign w:val="center"/>
          </w:tcPr>
          <w:p w14:paraId="7F0B2904" w14:textId="4EF9FF9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282</w:t>
            </w:r>
          </w:p>
        </w:tc>
        <w:tc>
          <w:tcPr>
            <w:tcW w:w="1066" w:type="dxa"/>
            <w:vAlign w:val="center"/>
          </w:tcPr>
          <w:p w14:paraId="6A318433" w14:textId="225C706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92</w:t>
            </w:r>
          </w:p>
        </w:tc>
        <w:tc>
          <w:tcPr>
            <w:tcW w:w="900" w:type="dxa"/>
            <w:vAlign w:val="center"/>
          </w:tcPr>
          <w:p w14:paraId="08A97B36" w14:textId="67929113"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68E8828F" w14:textId="7ACB894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3AE58DC7" w14:textId="72DC314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137CDF5E" w14:textId="414A4C8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125</w:t>
            </w:r>
          </w:p>
        </w:tc>
        <w:tc>
          <w:tcPr>
            <w:tcW w:w="1486" w:type="dxa"/>
            <w:vAlign w:val="center"/>
          </w:tcPr>
          <w:p w14:paraId="3891C4FB" w14:textId="5E3032D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1,044,659</w:t>
            </w:r>
          </w:p>
        </w:tc>
        <w:tc>
          <w:tcPr>
            <w:tcW w:w="1754" w:type="dxa"/>
            <w:vAlign w:val="center"/>
          </w:tcPr>
          <w:p w14:paraId="4B3EB4FD" w14:textId="01A0E70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46,415</w:t>
            </w:r>
          </w:p>
        </w:tc>
      </w:tr>
      <w:tr w:rsidR="003E5E22" w14:paraId="4508DCEC"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305B460B"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2007</w:t>
            </w:r>
          </w:p>
        </w:tc>
        <w:tc>
          <w:tcPr>
            <w:tcW w:w="1291" w:type="dxa"/>
            <w:vAlign w:val="center"/>
          </w:tcPr>
          <w:p w14:paraId="389AEDB0" w14:textId="0159635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3,677</w:t>
            </w:r>
          </w:p>
        </w:tc>
        <w:tc>
          <w:tcPr>
            <w:tcW w:w="1141" w:type="dxa"/>
            <w:vAlign w:val="center"/>
          </w:tcPr>
          <w:p w14:paraId="2A9D3CAD" w14:textId="3E82C12D"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282</w:t>
            </w:r>
          </w:p>
        </w:tc>
        <w:tc>
          <w:tcPr>
            <w:tcW w:w="1066" w:type="dxa"/>
            <w:vAlign w:val="center"/>
          </w:tcPr>
          <w:p w14:paraId="6D2D741D" w14:textId="72E386E5"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92</w:t>
            </w:r>
          </w:p>
        </w:tc>
        <w:tc>
          <w:tcPr>
            <w:tcW w:w="900" w:type="dxa"/>
            <w:vAlign w:val="center"/>
          </w:tcPr>
          <w:p w14:paraId="03CC7061" w14:textId="293AFEF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54FFE5D2" w14:textId="7C03A49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7820860C" w14:textId="431D260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12C3759F" w14:textId="11FA713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122</w:t>
            </w:r>
          </w:p>
        </w:tc>
        <w:tc>
          <w:tcPr>
            <w:tcW w:w="1486" w:type="dxa"/>
            <w:vAlign w:val="center"/>
          </w:tcPr>
          <w:p w14:paraId="6F840098" w14:textId="787FE0F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1,019,449</w:t>
            </w:r>
          </w:p>
        </w:tc>
        <w:tc>
          <w:tcPr>
            <w:tcW w:w="1754" w:type="dxa"/>
            <w:vAlign w:val="center"/>
          </w:tcPr>
          <w:p w14:paraId="3617AB06" w14:textId="67A96E6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48,264</w:t>
            </w:r>
          </w:p>
        </w:tc>
      </w:tr>
      <w:tr w:rsidR="003E5E22" w14:paraId="2CC1E463"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0010181D"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2008</w:t>
            </w:r>
          </w:p>
        </w:tc>
        <w:tc>
          <w:tcPr>
            <w:tcW w:w="1291" w:type="dxa"/>
            <w:vAlign w:val="center"/>
          </w:tcPr>
          <w:p w14:paraId="0479C3DD" w14:textId="119BBE4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3,679</w:t>
            </w:r>
          </w:p>
        </w:tc>
        <w:tc>
          <w:tcPr>
            <w:tcW w:w="1141" w:type="dxa"/>
            <w:vAlign w:val="center"/>
          </w:tcPr>
          <w:p w14:paraId="4E5BB905" w14:textId="2BC514F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283</w:t>
            </w:r>
          </w:p>
        </w:tc>
        <w:tc>
          <w:tcPr>
            <w:tcW w:w="1066" w:type="dxa"/>
            <w:vAlign w:val="center"/>
          </w:tcPr>
          <w:p w14:paraId="2FD5E41B" w14:textId="1C8E880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92</w:t>
            </w:r>
          </w:p>
        </w:tc>
        <w:tc>
          <w:tcPr>
            <w:tcW w:w="900" w:type="dxa"/>
            <w:vAlign w:val="center"/>
          </w:tcPr>
          <w:p w14:paraId="3B9CA7AA" w14:textId="75BD828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03D90605" w14:textId="1DBDD3A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37C89874" w14:textId="718457BE"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258D5B2E" w14:textId="5CD2E2C0"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118</w:t>
            </w:r>
          </w:p>
        </w:tc>
        <w:tc>
          <w:tcPr>
            <w:tcW w:w="1486" w:type="dxa"/>
            <w:vAlign w:val="center"/>
          </w:tcPr>
          <w:p w14:paraId="3AEFC0AA" w14:textId="59718EB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992,747</w:t>
            </w:r>
          </w:p>
        </w:tc>
        <w:tc>
          <w:tcPr>
            <w:tcW w:w="1754" w:type="dxa"/>
            <w:vAlign w:val="center"/>
          </w:tcPr>
          <w:p w14:paraId="1ABF0224" w14:textId="5A74FA7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48,501</w:t>
            </w:r>
          </w:p>
        </w:tc>
      </w:tr>
      <w:tr w:rsidR="003E5E22" w14:paraId="23CE5F3B"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2563847B"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2009</w:t>
            </w:r>
          </w:p>
        </w:tc>
        <w:tc>
          <w:tcPr>
            <w:tcW w:w="1291" w:type="dxa"/>
            <w:vAlign w:val="center"/>
          </w:tcPr>
          <w:p w14:paraId="75DE2657" w14:textId="02A3D7D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3,680</w:t>
            </w:r>
          </w:p>
        </w:tc>
        <w:tc>
          <w:tcPr>
            <w:tcW w:w="1141" w:type="dxa"/>
            <w:vAlign w:val="center"/>
          </w:tcPr>
          <w:p w14:paraId="6671D8A1" w14:textId="142BB10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283</w:t>
            </w:r>
          </w:p>
        </w:tc>
        <w:tc>
          <w:tcPr>
            <w:tcW w:w="1066" w:type="dxa"/>
            <w:vAlign w:val="center"/>
          </w:tcPr>
          <w:p w14:paraId="38909099" w14:textId="2B406EFC"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92</w:t>
            </w:r>
          </w:p>
        </w:tc>
        <w:tc>
          <w:tcPr>
            <w:tcW w:w="900" w:type="dxa"/>
            <w:vAlign w:val="center"/>
          </w:tcPr>
          <w:p w14:paraId="1D081DF1" w14:textId="1529763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5B7170A7" w14:textId="505C967D"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29FBA929" w14:textId="018AE20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3695525A" w14:textId="5C59BF7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115</w:t>
            </w:r>
          </w:p>
        </w:tc>
        <w:tc>
          <w:tcPr>
            <w:tcW w:w="1486" w:type="dxa"/>
            <w:vAlign w:val="center"/>
          </w:tcPr>
          <w:p w14:paraId="198512FA" w14:textId="4769FC9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966,337</w:t>
            </w:r>
          </w:p>
        </w:tc>
        <w:tc>
          <w:tcPr>
            <w:tcW w:w="1754" w:type="dxa"/>
            <w:vAlign w:val="center"/>
          </w:tcPr>
          <w:p w14:paraId="2135B0DA" w14:textId="6D6CBF5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48,651</w:t>
            </w:r>
          </w:p>
        </w:tc>
      </w:tr>
      <w:tr w:rsidR="003E5E22" w14:paraId="0162F989"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3F283193"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2010</w:t>
            </w:r>
          </w:p>
        </w:tc>
        <w:tc>
          <w:tcPr>
            <w:tcW w:w="1291" w:type="dxa"/>
            <w:vAlign w:val="center"/>
          </w:tcPr>
          <w:p w14:paraId="0402B7C3" w14:textId="5B7A355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3,681</w:t>
            </w:r>
          </w:p>
        </w:tc>
        <w:tc>
          <w:tcPr>
            <w:tcW w:w="1141" w:type="dxa"/>
            <w:vAlign w:val="center"/>
          </w:tcPr>
          <w:p w14:paraId="775061C5" w14:textId="55F7C91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283</w:t>
            </w:r>
          </w:p>
        </w:tc>
        <w:tc>
          <w:tcPr>
            <w:tcW w:w="1066" w:type="dxa"/>
            <w:vAlign w:val="center"/>
          </w:tcPr>
          <w:p w14:paraId="61C3A9AA" w14:textId="3B1E033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92</w:t>
            </w:r>
          </w:p>
        </w:tc>
        <w:tc>
          <w:tcPr>
            <w:tcW w:w="900" w:type="dxa"/>
            <w:vAlign w:val="center"/>
          </w:tcPr>
          <w:p w14:paraId="2A50DC90" w14:textId="3D3B734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7B2A592D" w14:textId="2B97AB31"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22ABFD86" w14:textId="36E7CE5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3B29BFFE" w14:textId="3B51277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112</w:t>
            </w:r>
          </w:p>
        </w:tc>
        <w:tc>
          <w:tcPr>
            <w:tcW w:w="1486" w:type="dxa"/>
            <w:vAlign w:val="center"/>
          </w:tcPr>
          <w:p w14:paraId="4BB74399" w14:textId="1B4118B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939,295</w:t>
            </w:r>
          </w:p>
        </w:tc>
        <w:tc>
          <w:tcPr>
            <w:tcW w:w="1754" w:type="dxa"/>
            <w:vAlign w:val="center"/>
          </w:tcPr>
          <w:p w14:paraId="50A913A1" w14:textId="5E4BFC2E"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47,642</w:t>
            </w:r>
          </w:p>
        </w:tc>
      </w:tr>
      <w:tr w:rsidR="003E5E22" w14:paraId="433B7FEE"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4D0B9B6A"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2011</w:t>
            </w:r>
          </w:p>
        </w:tc>
        <w:tc>
          <w:tcPr>
            <w:tcW w:w="1291" w:type="dxa"/>
            <w:vAlign w:val="center"/>
          </w:tcPr>
          <w:p w14:paraId="51561683" w14:textId="0A41A65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3,682</w:t>
            </w:r>
          </w:p>
        </w:tc>
        <w:tc>
          <w:tcPr>
            <w:tcW w:w="1141" w:type="dxa"/>
            <w:vAlign w:val="center"/>
          </w:tcPr>
          <w:p w14:paraId="6EAA7F32" w14:textId="2662A15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284</w:t>
            </w:r>
          </w:p>
        </w:tc>
        <w:tc>
          <w:tcPr>
            <w:tcW w:w="1066" w:type="dxa"/>
            <w:vAlign w:val="center"/>
          </w:tcPr>
          <w:p w14:paraId="1DDE98AD" w14:textId="6D629BD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93</w:t>
            </w:r>
          </w:p>
        </w:tc>
        <w:tc>
          <w:tcPr>
            <w:tcW w:w="900" w:type="dxa"/>
            <w:vAlign w:val="center"/>
          </w:tcPr>
          <w:p w14:paraId="7F93F3E5" w14:textId="1A50FA5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6A008A3B" w14:textId="6774486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31C3E4F5" w14:textId="1F1EC285"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43335795" w14:textId="33C1649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108</w:t>
            </w:r>
          </w:p>
        </w:tc>
        <w:tc>
          <w:tcPr>
            <w:tcW w:w="1486" w:type="dxa"/>
            <w:vAlign w:val="center"/>
          </w:tcPr>
          <w:p w14:paraId="23B3BB09" w14:textId="3A889CC2"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912,359</w:t>
            </w:r>
          </w:p>
        </w:tc>
        <w:tc>
          <w:tcPr>
            <w:tcW w:w="1754" w:type="dxa"/>
            <w:vAlign w:val="center"/>
          </w:tcPr>
          <w:p w14:paraId="411AFBD2" w14:textId="679EE38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46,133</w:t>
            </w:r>
          </w:p>
        </w:tc>
      </w:tr>
      <w:tr w:rsidR="003E5E22" w14:paraId="1151A26B"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5CA7A2BA"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2012</w:t>
            </w:r>
          </w:p>
        </w:tc>
        <w:tc>
          <w:tcPr>
            <w:tcW w:w="1291" w:type="dxa"/>
            <w:vAlign w:val="center"/>
          </w:tcPr>
          <w:p w14:paraId="261AAE89" w14:textId="65BBAC2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3,683</w:t>
            </w:r>
          </w:p>
        </w:tc>
        <w:tc>
          <w:tcPr>
            <w:tcW w:w="1141" w:type="dxa"/>
            <w:vAlign w:val="center"/>
          </w:tcPr>
          <w:p w14:paraId="68A68600" w14:textId="2C6BCB12"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284</w:t>
            </w:r>
          </w:p>
        </w:tc>
        <w:tc>
          <w:tcPr>
            <w:tcW w:w="1066" w:type="dxa"/>
            <w:vAlign w:val="center"/>
          </w:tcPr>
          <w:p w14:paraId="576F8BBC" w14:textId="27DFA75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93</w:t>
            </w:r>
          </w:p>
        </w:tc>
        <w:tc>
          <w:tcPr>
            <w:tcW w:w="900" w:type="dxa"/>
            <w:vAlign w:val="center"/>
          </w:tcPr>
          <w:p w14:paraId="6D508E0D" w14:textId="6EC6E76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466671FF" w14:textId="59B1CB9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6330256B" w14:textId="7E03753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49185549" w14:textId="113780F8"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105</w:t>
            </w:r>
          </w:p>
        </w:tc>
        <w:tc>
          <w:tcPr>
            <w:tcW w:w="1486" w:type="dxa"/>
            <w:vAlign w:val="center"/>
          </w:tcPr>
          <w:p w14:paraId="458C9C13" w14:textId="61ED9287"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886,924</w:t>
            </w:r>
          </w:p>
        </w:tc>
        <w:tc>
          <w:tcPr>
            <w:tcW w:w="1754" w:type="dxa"/>
            <w:vAlign w:val="center"/>
          </w:tcPr>
          <w:p w14:paraId="3E4C547A" w14:textId="17905DDA"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45,479</w:t>
            </w:r>
          </w:p>
        </w:tc>
      </w:tr>
      <w:tr w:rsidR="003E5E22" w14:paraId="34DBB427"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03D08B09"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2013</w:t>
            </w:r>
          </w:p>
        </w:tc>
        <w:tc>
          <w:tcPr>
            <w:tcW w:w="1291" w:type="dxa"/>
            <w:vAlign w:val="center"/>
          </w:tcPr>
          <w:p w14:paraId="72729988" w14:textId="2F443B6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3,683</w:t>
            </w:r>
          </w:p>
        </w:tc>
        <w:tc>
          <w:tcPr>
            <w:tcW w:w="1141" w:type="dxa"/>
            <w:vAlign w:val="center"/>
          </w:tcPr>
          <w:p w14:paraId="3178D844" w14:textId="1FF42E21"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284</w:t>
            </w:r>
          </w:p>
        </w:tc>
        <w:tc>
          <w:tcPr>
            <w:tcW w:w="1066" w:type="dxa"/>
            <w:vAlign w:val="center"/>
          </w:tcPr>
          <w:p w14:paraId="040D64E0" w14:textId="3E6BADA0"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93</w:t>
            </w:r>
          </w:p>
        </w:tc>
        <w:tc>
          <w:tcPr>
            <w:tcW w:w="900" w:type="dxa"/>
            <w:vAlign w:val="center"/>
          </w:tcPr>
          <w:p w14:paraId="10E39362" w14:textId="03D4C9A6"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0599DE50" w14:textId="1A79609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7AF25004" w14:textId="410B280F"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3CF4A90E" w14:textId="543B1E0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102</w:t>
            </w:r>
          </w:p>
        </w:tc>
        <w:tc>
          <w:tcPr>
            <w:tcW w:w="1486" w:type="dxa"/>
            <w:vAlign w:val="center"/>
          </w:tcPr>
          <w:p w14:paraId="110664D1" w14:textId="4FB65DCE"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861,484</w:t>
            </w:r>
          </w:p>
        </w:tc>
        <w:tc>
          <w:tcPr>
            <w:tcW w:w="1754" w:type="dxa"/>
            <w:vAlign w:val="center"/>
          </w:tcPr>
          <w:p w14:paraId="3D565A87" w14:textId="14FC86D5"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44,160</w:t>
            </w:r>
          </w:p>
        </w:tc>
      </w:tr>
      <w:tr w:rsidR="003E5E22" w14:paraId="73B4347E"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B9AFE1A"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2014</w:t>
            </w:r>
          </w:p>
        </w:tc>
        <w:tc>
          <w:tcPr>
            <w:tcW w:w="1291" w:type="dxa"/>
            <w:vAlign w:val="center"/>
          </w:tcPr>
          <w:p w14:paraId="341325A8" w14:textId="7BE50C6B"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3,683</w:t>
            </w:r>
          </w:p>
        </w:tc>
        <w:tc>
          <w:tcPr>
            <w:tcW w:w="1141" w:type="dxa"/>
            <w:vAlign w:val="center"/>
          </w:tcPr>
          <w:p w14:paraId="5D985B65" w14:textId="1853DF4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284</w:t>
            </w:r>
          </w:p>
        </w:tc>
        <w:tc>
          <w:tcPr>
            <w:tcW w:w="1066" w:type="dxa"/>
            <w:vAlign w:val="center"/>
          </w:tcPr>
          <w:p w14:paraId="38F728D4" w14:textId="4B3EB12F"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93</w:t>
            </w:r>
          </w:p>
        </w:tc>
        <w:tc>
          <w:tcPr>
            <w:tcW w:w="900" w:type="dxa"/>
            <w:vAlign w:val="center"/>
          </w:tcPr>
          <w:p w14:paraId="7CE61F82" w14:textId="52610195"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2353BDE8" w14:textId="3C292B46"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5EA93489" w14:textId="1D6B5F50"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1C516202" w14:textId="5EF46C6C"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99</w:t>
            </w:r>
          </w:p>
        </w:tc>
        <w:tc>
          <w:tcPr>
            <w:tcW w:w="1486" w:type="dxa"/>
            <w:vAlign w:val="center"/>
          </w:tcPr>
          <w:p w14:paraId="7929B253" w14:textId="5A03F6A9"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836,744</w:t>
            </w:r>
          </w:p>
        </w:tc>
        <w:tc>
          <w:tcPr>
            <w:tcW w:w="1754" w:type="dxa"/>
            <w:vAlign w:val="center"/>
          </w:tcPr>
          <w:p w14:paraId="4FAB24EB" w14:textId="45D254AD" w:rsidR="003E5E22"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42,878</w:t>
            </w:r>
          </w:p>
        </w:tc>
      </w:tr>
      <w:tr w:rsidR="003E5E22" w14:paraId="07681334" w14:textId="77777777" w:rsidTr="000F47E5">
        <w:tc>
          <w:tcPr>
            <w:cnfStyle w:val="001000000000" w:firstRow="0" w:lastRow="0" w:firstColumn="1" w:lastColumn="0" w:oddVBand="0" w:evenVBand="0" w:oddHBand="0" w:evenHBand="0" w:firstRowFirstColumn="0" w:firstRowLastColumn="0" w:lastRowFirstColumn="0" w:lastRowLastColumn="0"/>
            <w:tcW w:w="1267" w:type="dxa"/>
          </w:tcPr>
          <w:p w14:paraId="634EBFE8"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2015</w:t>
            </w:r>
          </w:p>
        </w:tc>
        <w:tc>
          <w:tcPr>
            <w:tcW w:w="1291" w:type="dxa"/>
            <w:vAlign w:val="center"/>
          </w:tcPr>
          <w:p w14:paraId="5F25041E" w14:textId="009DCA0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3,684</w:t>
            </w:r>
          </w:p>
        </w:tc>
        <w:tc>
          <w:tcPr>
            <w:tcW w:w="1141" w:type="dxa"/>
            <w:vAlign w:val="center"/>
          </w:tcPr>
          <w:p w14:paraId="2A1BCEC3" w14:textId="40CA600B"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284</w:t>
            </w:r>
          </w:p>
        </w:tc>
        <w:tc>
          <w:tcPr>
            <w:tcW w:w="1066" w:type="dxa"/>
            <w:vAlign w:val="center"/>
          </w:tcPr>
          <w:p w14:paraId="07D7DCD8" w14:textId="7EDC7D3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93</w:t>
            </w:r>
          </w:p>
        </w:tc>
        <w:tc>
          <w:tcPr>
            <w:tcW w:w="900" w:type="dxa"/>
            <w:vAlign w:val="center"/>
          </w:tcPr>
          <w:p w14:paraId="7F400150" w14:textId="52B9892D"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64</w:t>
            </w:r>
          </w:p>
        </w:tc>
        <w:tc>
          <w:tcPr>
            <w:tcW w:w="900" w:type="dxa"/>
            <w:vAlign w:val="center"/>
          </w:tcPr>
          <w:p w14:paraId="557F58C4" w14:textId="7F40445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117D370A" w14:textId="717F59C7"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90" w:type="dxa"/>
            <w:vAlign w:val="center"/>
          </w:tcPr>
          <w:p w14:paraId="0BB53A53" w14:textId="598F92B8"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97</w:t>
            </w:r>
          </w:p>
        </w:tc>
        <w:tc>
          <w:tcPr>
            <w:tcW w:w="1486" w:type="dxa"/>
            <w:vAlign w:val="center"/>
          </w:tcPr>
          <w:p w14:paraId="428B44C4" w14:textId="38170119"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812,634</w:t>
            </w:r>
          </w:p>
        </w:tc>
        <w:tc>
          <w:tcPr>
            <w:tcW w:w="1754" w:type="dxa"/>
            <w:vAlign w:val="center"/>
          </w:tcPr>
          <w:p w14:paraId="73D9D909" w14:textId="2CDBE1AA" w:rsidR="003E5E22" w:rsidRDefault="003E5E22"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41,633</w:t>
            </w:r>
          </w:p>
        </w:tc>
      </w:tr>
      <w:tr w:rsidR="003E5E22" w14:paraId="6C628F3A" w14:textId="77777777" w:rsidTr="000F4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3EB558C7"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Total</w:t>
            </w:r>
          </w:p>
        </w:tc>
        <w:tc>
          <w:tcPr>
            <w:tcW w:w="1291" w:type="dxa"/>
            <w:vAlign w:val="center"/>
          </w:tcPr>
          <w:p w14:paraId="4E1BAE8C" w14:textId="13A72054"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58,512</w:t>
            </w:r>
          </w:p>
        </w:tc>
        <w:tc>
          <w:tcPr>
            <w:tcW w:w="1141" w:type="dxa"/>
            <w:vAlign w:val="center"/>
          </w:tcPr>
          <w:p w14:paraId="17040C0D" w14:textId="6607BBD2"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4,472</w:t>
            </w:r>
          </w:p>
        </w:tc>
        <w:tc>
          <w:tcPr>
            <w:tcW w:w="1066" w:type="dxa"/>
            <w:vAlign w:val="center"/>
          </w:tcPr>
          <w:p w14:paraId="114F0460" w14:textId="68C82EFF"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1,459</w:t>
            </w:r>
          </w:p>
        </w:tc>
        <w:tc>
          <w:tcPr>
            <w:tcW w:w="900" w:type="dxa"/>
            <w:vAlign w:val="center"/>
          </w:tcPr>
          <w:p w14:paraId="1F678C73" w14:textId="766C971B"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1,013</w:t>
            </w:r>
          </w:p>
        </w:tc>
        <w:tc>
          <w:tcPr>
            <w:tcW w:w="900" w:type="dxa"/>
            <w:vAlign w:val="center"/>
          </w:tcPr>
          <w:p w14:paraId="6283ECBF" w14:textId="4437D8B4"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542</w:t>
            </w:r>
          </w:p>
        </w:tc>
        <w:tc>
          <w:tcPr>
            <w:tcW w:w="900" w:type="dxa"/>
            <w:vAlign w:val="center"/>
          </w:tcPr>
          <w:p w14:paraId="7A1E3479" w14:textId="54D98079"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850</w:t>
            </w:r>
          </w:p>
        </w:tc>
        <w:tc>
          <w:tcPr>
            <w:tcW w:w="990" w:type="dxa"/>
            <w:vAlign w:val="center"/>
          </w:tcPr>
          <w:p w14:paraId="73D00508" w14:textId="44B147B7"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1,909</w:t>
            </w:r>
          </w:p>
        </w:tc>
        <w:tc>
          <w:tcPr>
            <w:tcW w:w="1486" w:type="dxa"/>
            <w:vAlign w:val="center"/>
          </w:tcPr>
          <w:p w14:paraId="0E5E0682" w14:textId="3DF95A1B"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15,968,762</w:t>
            </w:r>
          </w:p>
        </w:tc>
        <w:tc>
          <w:tcPr>
            <w:tcW w:w="1754" w:type="dxa"/>
            <w:vAlign w:val="center"/>
          </w:tcPr>
          <w:p w14:paraId="482C73C8" w14:textId="58DF68B5" w:rsidR="003E5E22" w:rsidRPr="00DA2706" w:rsidRDefault="003E5E22"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707,903</w:t>
            </w:r>
          </w:p>
        </w:tc>
      </w:tr>
    </w:tbl>
    <w:p w14:paraId="43B6D641" w14:textId="77777777" w:rsidR="003E5E22" w:rsidRDefault="003E5E22" w:rsidP="005F24F1">
      <w:pPr>
        <w:pStyle w:val="ListParagraph"/>
        <w:ind w:left="0"/>
        <w:rPr>
          <w:b/>
          <w:bCs/>
          <w:sz w:val="28"/>
          <w:szCs w:val="32"/>
        </w:rPr>
        <w:sectPr w:rsidR="003E5E22" w:rsidSect="00610D09">
          <w:pgSz w:w="15840" w:h="12240" w:orient="landscape"/>
          <w:pgMar w:top="1440" w:right="1440" w:bottom="1440" w:left="1440" w:header="720" w:footer="720" w:gutter="0"/>
          <w:cols w:space="720"/>
          <w:docGrid w:linePitch="360"/>
        </w:sectPr>
      </w:pPr>
    </w:p>
    <w:p w14:paraId="18FC78F3" w14:textId="1079225C" w:rsidR="003E5E22" w:rsidRPr="00E16258" w:rsidRDefault="003E5E22" w:rsidP="003E5E22">
      <w:pPr>
        <w:pStyle w:val="ListParagraph"/>
        <w:ind w:left="0"/>
        <w:rPr>
          <w:sz w:val="22"/>
          <w:szCs w:val="22"/>
        </w:rPr>
      </w:pPr>
      <w:r w:rsidRPr="00E16258">
        <w:rPr>
          <w:b/>
          <w:bCs/>
          <w:sz w:val="22"/>
          <w:szCs w:val="22"/>
        </w:rPr>
        <w:lastRenderedPageBreak/>
        <w:t xml:space="preserve">Table S7C. Scenario: Current policy 2016-2024. </w:t>
      </w:r>
      <w:r w:rsidR="002912DA" w:rsidRPr="00E16258">
        <w:rPr>
          <w:sz w:val="22"/>
          <w:szCs w:val="22"/>
        </w:rPr>
        <w:t xml:space="preserve">Yearly </w:t>
      </w:r>
      <w:r w:rsidR="002912DA" w:rsidRPr="00E16258">
        <w:rPr>
          <w:sz w:val="22"/>
          <w:szCs w:val="22"/>
          <w:u w:val="single"/>
        </w:rPr>
        <w:t xml:space="preserve">mean </w:t>
      </w:r>
      <w:r w:rsidR="002912DA" w:rsidRPr="00E16258">
        <w:rPr>
          <w:sz w:val="22"/>
          <w:szCs w:val="22"/>
        </w:rPr>
        <w:t xml:space="preserve">number of select outcomes. </w:t>
      </w:r>
      <w:r w:rsidRPr="00E16258">
        <w:rPr>
          <w:sz w:val="22"/>
          <w:szCs w:val="22"/>
        </w:rPr>
        <w:t xml:space="preserve">QALYs lost and costs discounted. All outputs </w:t>
      </w:r>
      <w:r w:rsidR="004F4CC4">
        <w:rPr>
          <w:sz w:val="22"/>
          <w:szCs w:val="22"/>
        </w:rPr>
        <w:t>i</w:t>
      </w:r>
      <w:r w:rsidRPr="00E16258">
        <w:rPr>
          <w:sz w:val="22"/>
          <w:szCs w:val="22"/>
        </w:rPr>
        <w:t>n ‘000s.</w:t>
      </w:r>
      <w:r w:rsidR="00436E45" w:rsidRPr="00E16258">
        <w:rPr>
          <w:sz w:val="22"/>
          <w:szCs w:val="22"/>
        </w:rPr>
        <w:t xml:space="preserve"> Testing and PN costs include both screening and testing of symptomatic infections (with a NAAT or non-NAAT), and costs associated with PN services.</w:t>
      </w:r>
      <w:r w:rsidR="00E16258" w:rsidRPr="00E16258">
        <w:rPr>
          <w:sz w:val="22"/>
          <w:szCs w:val="22"/>
        </w:rPr>
        <w:t xml:space="preserve"> Years 2020-2024 included only in the analysis where 5 additional years of follow-up were included.</w:t>
      </w:r>
    </w:p>
    <w:tbl>
      <w:tblPr>
        <w:tblStyle w:val="PlainTable5"/>
        <w:tblW w:w="0" w:type="auto"/>
        <w:tblLook w:val="04A0" w:firstRow="1" w:lastRow="0" w:firstColumn="1" w:lastColumn="0" w:noHBand="0" w:noVBand="1"/>
      </w:tblPr>
      <w:tblGrid>
        <w:gridCol w:w="1267"/>
        <w:gridCol w:w="1291"/>
        <w:gridCol w:w="1141"/>
        <w:gridCol w:w="1066"/>
        <w:gridCol w:w="900"/>
        <w:gridCol w:w="900"/>
        <w:gridCol w:w="900"/>
        <w:gridCol w:w="990"/>
        <w:gridCol w:w="1486"/>
        <w:gridCol w:w="1754"/>
      </w:tblGrid>
      <w:tr w:rsidR="003E5E22" w14:paraId="0D00E2EF" w14:textId="77777777" w:rsidTr="00AB64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14:paraId="28B8C125" w14:textId="77777777" w:rsidR="003E5E22" w:rsidRPr="00DA2706" w:rsidRDefault="003E5E22"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Year</w:t>
            </w:r>
          </w:p>
        </w:tc>
        <w:tc>
          <w:tcPr>
            <w:tcW w:w="1291" w:type="dxa"/>
          </w:tcPr>
          <w:p w14:paraId="52D66B20"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Incident infection</w:t>
            </w:r>
          </w:p>
        </w:tc>
        <w:tc>
          <w:tcPr>
            <w:tcW w:w="1141" w:type="dxa"/>
          </w:tcPr>
          <w:p w14:paraId="06D89DCB"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PID</w:t>
            </w:r>
          </w:p>
        </w:tc>
        <w:tc>
          <w:tcPr>
            <w:tcW w:w="1066" w:type="dxa"/>
          </w:tcPr>
          <w:p w14:paraId="3F2A2F31"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CPP</w:t>
            </w:r>
          </w:p>
        </w:tc>
        <w:tc>
          <w:tcPr>
            <w:tcW w:w="900" w:type="dxa"/>
          </w:tcPr>
          <w:p w14:paraId="5061385A"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TFI</w:t>
            </w:r>
          </w:p>
        </w:tc>
        <w:tc>
          <w:tcPr>
            <w:tcW w:w="900" w:type="dxa"/>
          </w:tcPr>
          <w:p w14:paraId="3CBBAE76"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w:t>
            </w:r>
          </w:p>
        </w:tc>
        <w:tc>
          <w:tcPr>
            <w:tcW w:w="900" w:type="dxa"/>
          </w:tcPr>
          <w:p w14:paraId="0720AF93" w14:textId="777777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EPID</w:t>
            </w:r>
          </w:p>
        </w:tc>
        <w:tc>
          <w:tcPr>
            <w:tcW w:w="990" w:type="dxa"/>
          </w:tcPr>
          <w:p w14:paraId="0BFC518E" w14:textId="324E7C77"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QALYs lost</w:t>
            </w:r>
          </w:p>
        </w:tc>
        <w:tc>
          <w:tcPr>
            <w:tcW w:w="1486" w:type="dxa"/>
          </w:tcPr>
          <w:p w14:paraId="69D15C12" w14:textId="0DDE2C4B"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All costs</w:t>
            </w:r>
            <w:r w:rsidR="00E16258">
              <w:rPr>
                <w:rFonts w:ascii="Lucida Grande" w:hAnsi="Lucida Grande" w:cs="Lucida Grande"/>
                <w:b/>
                <w:bCs/>
                <w:i w:val="0"/>
                <w:iCs w:val="0"/>
                <w:color w:val="000000"/>
                <w:sz w:val="22"/>
                <w:szCs w:val="22"/>
              </w:rPr>
              <w:t xml:space="preserve"> ($)</w:t>
            </w:r>
          </w:p>
        </w:tc>
        <w:tc>
          <w:tcPr>
            <w:tcW w:w="1754" w:type="dxa"/>
          </w:tcPr>
          <w:p w14:paraId="1FC6142E" w14:textId="2164E348" w:rsidR="003E5E22" w:rsidRPr="00DA2706" w:rsidRDefault="003E5E22"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Pr>
                <w:rFonts w:ascii="Lucida Grande" w:hAnsi="Lucida Grande" w:cs="Lucida Grande"/>
                <w:b/>
                <w:bCs/>
                <w:i w:val="0"/>
                <w:iCs w:val="0"/>
                <w:color w:val="000000"/>
                <w:sz w:val="22"/>
                <w:szCs w:val="22"/>
              </w:rPr>
              <w:t>Testing</w:t>
            </w:r>
            <w:r w:rsidRPr="00DA2706">
              <w:rPr>
                <w:rFonts w:ascii="Lucida Grande" w:hAnsi="Lucida Grande" w:cs="Lucida Grande"/>
                <w:b/>
                <w:bCs/>
                <w:i w:val="0"/>
                <w:iCs w:val="0"/>
                <w:color w:val="000000"/>
                <w:sz w:val="22"/>
                <w:szCs w:val="22"/>
              </w:rPr>
              <w:t xml:space="preserve"> and PN costs</w:t>
            </w:r>
            <w:r w:rsidR="00E16258">
              <w:rPr>
                <w:rFonts w:ascii="Lucida Grande" w:hAnsi="Lucida Grande" w:cs="Lucida Grande"/>
                <w:b/>
                <w:bCs/>
                <w:i w:val="0"/>
                <w:iCs w:val="0"/>
                <w:color w:val="000000"/>
                <w:sz w:val="22"/>
                <w:szCs w:val="22"/>
              </w:rPr>
              <w:t xml:space="preserve"> ($)</w:t>
            </w:r>
          </w:p>
        </w:tc>
      </w:tr>
      <w:tr w:rsidR="0028454B" w14:paraId="5AD132A4" w14:textId="77777777" w:rsidTr="00FC1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760EA378" w14:textId="3176F263"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2016</w:t>
            </w:r>
          </w:p>
        </w:tc>
        <w:tc>
          <w:tcPr>
            <w:tcW w:w="1291" w:type="dxa"/>
            <w:vAlign w:val="center"/>
          </w:tcPr>
          <w:p w14:paraId="2AA218B9" w14:textId="42820531"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2,939</w:t>
            </w:r>
          </w:p>
        </w:tc>
        <w:tc>
          <w:tcPr>
            <w:tcW w:w="1141" w:type="dxa"/>
            <w:vAlign w:val="center"/>
          </w:tcPr>
          <w:p w14:paraId="279B3ADD" w14:textId="634B6AF2"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170</w:t>
            </w:r>
          </w:p>
        </w:tc>
        <w:tc>
          <w:tcPr>
            <w:tcW w:w="1066" w:type="dxa"/>
            <w:vAlign w:val="center"/>
          </w:tcPr>
          <w:p w14:paraId="092DF8F8" w14:textId="007C98A4"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56</w:t>
            </w:r>
          </w:p>
        </w:tc>
        <w:tc>
          <w:tcPr>
            <w:tcW w:w="900" w:type="dxa"/>
            <w:vAlign w:val="center"/>
          </w:tcPr>
          <w:p w14:paraId="43B4FCEA" w14:textId="4773DF25"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center"/>
          </w:tcPr>
          <w:p w14:paraId="1157670A" w14:textId="333BDA00"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6118AFCA" w14:textId="65FB546A"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0B1CCB54" w14:textId="07913C8E"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90</w:t>
            </w:r>
          </w:p>
        </w:tc>
        <w:tc>
          <w:tcPr>
            <w:tcW w:w="1486" w:type="dxa"/>
            <w:vAlign w:val="center"/>
          </w:tcPr>
          <w:p w14:paraId="6AB0FB0D" w14:textId="6F680935"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1,797,823</w:t>
            </w:r>
          </w:p>
        </w:tc>
        <w:tc>
          <w:tcPr>
            <w:tcW w:w="1754" w:type="dxa"/>
            <w:vAlign w:val="center"/>
          </w:tcPr>
          <w:p w14:paraId="229C2201" w14:textId="09615473"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1,030,864</w:t>
            </w:r>
          </w:p>
        </w:tc>
      </w:tr>
      <w:tr w:rsidR="0028454B" w14:paraId="7AF7C16C" w14:textId="77777777" w:rsidTr="00FC16A4">
        <w:tc>
          <w:tcPr>
            <w:cnfStyle w:val="001000000000" w:firstRow="0" w:lastRow="0" w:firstColumn="1" w:lastColumn="0" w:oddVBand="0" w:evenVBand="0" w:oddHBand="0" w:evenHBand="0" w:firstRowFirstColumn="0" w:firstRowLastColumn="0" w:lastRowFirstColumn="0" w:lastRowLastColumn="0"/>
            <w:tcW w:w="1267" w:type="dxa"/>
            <w:vAlign w:val="bottom"/>
          </w:tcPr>
          <w:p w14:paraId="269092D9" w14:textId="4880D193"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2017</w:t>
            </w:r>
          </w:p>
        </w:tc>
        <w:tc>
          <w:tcPr>
            <w:tcW w:w="1291" w:type="dxa"/>
            <w:vAlign w:val="center"/>
          </w:tcPr>
          <w:p w14:paraId="135E5D6F" w14:textId="189F08F6"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2,961</w:t>
            </w:r>
          </w:p>
        </w:tc>
        <w:tc>
          <w:tcPr>
            <w:tcW w:w="1141" w:type="dxa"/>
            <w:vAlign w:val="center"/>
          </w:tcPr>
          <w:p w14:paraId="2633338F" w14:textId="0CB88F21"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172</w:t>
            </w:r>
          </w:p>
        </w:tc>
        <w:tc>
          <w:tcPr>
            <w:tcW w:w="1066" w:type="dxa"/>
            <w:vAlign w:val="center"/>
          </w:tcPr>
          <w:p w14:paraId="154DAC53" w14:textId="7D4A6CDE"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56</w:t>
            </w:r>
          </w:p>
        </w:tc>
        <w:tc>
          <w:tcPr>
            <w:tcW w:w="900" w:type="dxa"/>
            <w:vAlign w:val="center"/>
          </w:tcPr>
          <w:p w14:paraId="5FD8A88B" w14:textId="3BE3581A"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center"/>
          </w:tcPr>
          <w:p w14:paraId="15C6C5C6" w14:textId="706FAF2A"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059DF847" w14:textId="1AB04BFE"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184A69E0" w14:textId="1AAEBF60"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89</w:t>
            </w:r>
          </w:p>
        </w:tc>
        <w:tc>
          <w:tcPr>
            <w:tcW w:w="1486" w:type="dxa"/>
            <w:vAlign w:val="center"/>
          </w:tcPr>
          <w:p w14:paraId="79CC850C" w14:textId="72D367B0"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1,753,223</w:t>
            </w:r>
          </w:p>
        </w:tc>
        <w:tc>
          <w:tcPr>
            <w:tcW w:w="1754" w:type="dxa"/>
            <w:vAlign w:val="center"/>
          </w:tcPr>
          <w:p w14:paraId="361912EC" w14:textId="64A6F5D3"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1,001,658</w:t>
            </w:r>
          </w:p>
        </w:tc>
      </w:tr>
      <w:tr w:rsidR="0028454B" w14:paraId="23AA3B55" w14:textId="77777777" w:rsidTr="00FC1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0DC43656" w14:textId="2A08BD32"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2018</w:t>
            </w:r>
          </w:p>
        </w:tc>
        <w:tc>
          <w:tcPr>
            <w:tcW w:w="1291" w:type="dxa"/>
            <w:vAlign w:val="center"/>
          </w:tcPr>
          <w:p w14:paraId="3B653C83" w14:textId="6BDB2C92"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2,973</w:t>
            </w:r>
          </w:p>
        </w:tc>
        <w:tc>
          <w:tcPr>
            <w:tcW w:w="1141" w:type="dxa"/>
            <w:vAlign w:val="center"/>
          </w:tcPr>
          <w:p w14:paraId="35CF3B11" w14:textId="741303CA"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173</w:t>
            </w:r>
          </w:p>
        </w:tc>
        <w:tc>
          <w:tcPr>
            <w:tcW w:w="1066" w:type="dxa"/>
            <w:vAlign w:val="center"/>
          </w:tcPr>
          <w:p w14:paraId="6A19CDF8" w14:textId="4C7D7800"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center"/>
          </w:tcPr>
          <w:p w14:paraId="7AFF9847" w14:textId="0D434CA3"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center"/>
          </w:tcPr>
          <w:p w14:paraId="3A81DF4B" w14:textId="48287A88"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236011B2" w14:textId="759C11DB"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37939E26" w14:textId="0686B50B"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87</w:t>
            </w:r>
          </w:p>
        </w:tc>
        <w:tc>
          <w:tcPr>
            <w:tcW w:w="1486" w:type="dxa"/>
            <w:vAlign w:val="center"/>
          </w:tcPr>
          <w:p w14:paraId="3526F265" w14:textId="2D80762F"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1,706,654</w:t>
            </w:r>
          </w:p>
        </w:tc>
        <w:tc>
          <w:tcPr>
            <w:tcW w:w="1754" w:type="dxa"/>
            <w:vAlign w:val="center"/>
          </w:tcPr>
          <w:p w14:paraId="322DD752" w14:textId="7EC0EDBF"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972,276</w:t>
            </w:r>
          </w:p>
        </w:tc>
      </w:tr>
      <w:tr w:rsidR="0028454B" w14:paraId="652141F5" w14:textId="77777777" w:rsidTr="00FC16A4">
        <w:tc>
          <w:tcPr>
            <w:cnfStyle w:val="001000000000" w:firstRow="0" w:lastRow="0" w:firstColumn="1" w:lastColumn="0" w:oddVBand="0" w:evenVBand="0" w:oddHBand="0" w:evenHBand="0" w:firstRowFirstColumn="0" w:firstRowLastColumn="0" w:lastRowFirstColumn="0" w:lastRowLastColumn="0"/>
            <w:tcW w:w="1267" w:type="dxa"/>
            <w:vAlign w:val="bottom"/>
          </w:tcPr>
          <w:p w14:paraId="54B2FDD9" w14:textId="6F467F7A"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2019</w:t>
            </w:r>
          </w:p>
        </w:tc>
        <w:tc>
          <w:tcPr>
            <w:tcW w:w="1291" w:type="dxa"/>
            <w:vAlign w:val="center"/>
          </w:tcPr>
          <w:p w14:paraId="71C16318" w14:textId="44E629E1"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2,979</w:t>
            </w:r>
          </w:p>
        </w:tc>
        <w:tc>
          <w:tcPr>
            <w:tcW w:w="1141" w:type="dxa"/>
            <w:vAlign w:val="center"/>
          </w:tcPr>
          <w:p w14:paraId="230373D3" w14:textId="7F1EEDFD"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174</w:t>
            </w:r>
          </w:p>
        </w:tc>
        <w:tc>
          <w:tcPr>
            <w:tcW w:w="1066" w:type="dxa"/>
            <w:vAlign w:val="center"/>
          </w:tcPr>
          <w:p w14:paraId="567F32E7" w14:textId="010C129E"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center"/>
          </w:tcPr>
          <w:p w14:paraId="68D0AC2B" w14:textId="04E861E4"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center"/>
          </w:tcPr>
          <w:p w14:paraId="2869EF2D" w14:textId="3A88C0F9"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03094700" w14:textId="17C38D45"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15F58094" w14:textId="1A0EEC9E"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84</w:t>
            </w:r>
          </w:p>
        </w:tc>
        <w:tc>
          <w:tcPr>
            <w:tcW w:w="1486" w:type="dxa"/>
            <w:vAlign w:val="center"/>
          </w:tcPr>
          <w:p w14:paraId="06525C61" w14:textId="6CF73F44"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1,661,374</w:t>
            </w:r>
          </w:p>
        </w:tc>
        <w:tc>
          <w:tcPr>
            <w:tcW w:w="1754" w:type="dxa"/>
            <w:vAlign w:val="center"/>
          </w:tcPr>
          <w:p w14:paraId="20AE989B" w14:textId="7BB304C9"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945,652</w:t>
            </w:r>
          </w:p>
        </w:tc>
      </w:tr>
      <w:tr w:rsidR="0028454B" w14:paraId="41E613B2" w14:textId="77777777" w:rsidTr="00FC1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47EC3111" w14:textId="23A57D02"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2020</w:t>
            </w:r>
          </w:p>
        </w:tc>
        <w:tc>
          <w:tcPr>
            <w:tcW w:w="1291" w:type="dxa"/>
            <w:vAlign w:val="center"/>
          </w:tcPr>
          <w:p w14:paraId="4B232394" w14:textId="4CF9BF8D"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2,983</w:t>
            </w:r>
          </w:p>
        </w:tc>
        <w:tc>
          <w:tcPr>
            <w:tcW w:w="1141" w:type="dxa"/>
            <w:vAlign w:val="center"/>
          </w:tcPr>
          <w:p w14:paraId="1E18CCC5" w14:textId="533F4EF1"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175</w:t>
            </w:r>
          </w:p>
        </w:tc>
        <w:tc>
          <w:tcPr>
            <w:tcW w:w="1066" w:type="dxa"/>
            <w:vAlign w:val="center"/>
          </w:tcPr>
          <w:p w14:paraId="3874598A" w14:textId="0EAB468B"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center"/>
          </w:tcPr>
          <w:p w14:paraId="629BD0E8" w14:textId="21B78173"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00" w:type="dxa"/>
            <w:vAlign w:val="center"/>
          </w:tcPr>
          <w:p w14:paraId="0EAA42F4" w14:textId="1C28A41A"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34D748FB" w14:textId="624AEE4E"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4217A3D1" w14:textId="2CB8F9D5"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82</w:t>
            </w:r>
          </w:p>
        </w:tc>
        <w:tc>
          <w:tcPr>
            <w:tcW w:w="1486" w:type="dxa"/>
            <w:vAlign w:val="center"/>
          </w:tcPr>
          <w:p w14:paraId="1FF47294" w14:textId="138A8950"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1,614,302</w:t>
            </w:r>
          </w:p>
        </w:tc>
        <w:tc>
          <w:tcPr>
            <w:tcW w:w="1754" w:type="dxa"/>
            <w:vAlign w:val="center"/>
          </w:tcPr>
          <w:p w14:paraId="7FDC4F95" w14:textId="737FFCAA"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917,856</w:t>
            </w:r>
          </w:p>
        </w:tc>
      </w:tr>
      <w:tr w:rsidR="0028454B" w14:paraId="09B89674" w14:textId="77777777" w:rsidTr="00FC16A4">
        <w:tc>
          <w:tcPr>
            <w:cnfStyle w:val="001000000000" w:firstRow="0" w:lastRow="0" w:firstColumn="1" w:lastColumn="0" w:oddVBand="0" w:evenVBand="0" w:oddHBand="0" w:evenHBand="0" w:firstRowFirstColumn="0" w:firstRowLastColumn="0" w:lastRowFirstColumn="0" w:lastRowLastColumn="0"/>
            <w:tcW w:w="1267" w:type="dxa"/>
            <w:vAlign w:val="bottom"/>
          </w:tcPr>
          <w:p w14:paraId="328E6437" w14:textId="5C155DDC"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2021</w:t>
            </w:r>
          </w:p>
        </w:tc>
        <w:tc>
          <w:tcPr>
            <w:tcW w:w="1291" w:type="dxa"/>
            <w:vAlign w:val="center"/>
          </w:tcPr>
          <w:p w14:paraId="1BA74F93" w14:textId="3C8EE4A9"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2,985</w:t>
            </w:r>
          </w:p>
        </w:tc>
        <w:tc>
          <w:tcPr>
            <w:tcW w:w="1141" w:type="dxa"/>
            <w:vAlign w:val="center"/>
          </w:tcPr>
          <w:p w14:paraId="7CA479B7" w14:textId="47BFDCA2"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175</w:t>
            </w:r>
          </w:p>
        </w:tc>
        <w:tc>
          <w:tcPr>
            <w:tcW w:w="1066" w:type="dxa"/>
            <w:vAlign w:val="center"/>
          </w:tcPr>
          <w:p w14:paraId="4CDE4DFA" w14:textId="1BD7F86E"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center"/>
          </w:tcPr>
          <w:p w14:paraId="07624A43" w14:textId="20F97E40"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00" w:type="dxa"/>
            <w:vAlign w:val="center"/>
          </w:tcPr>
          <w:p w14:paraId="60C7A908" w14:textId="599D5BF0"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66AC76B0" w14:textId="2BE6B78C"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01523587" w14:textId="5169C05D"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80</w:t>
            </w:r>
          </w:p>
        </w:tc>
        <w:tc>
          <w:tcPr>
            <w:tcW w:w="1486" w:type="dxa"/>
            <w:vAlign w:val="center"/>
          </w:tcPr>
          <w:p w14:paraId="49DC2B9F" w14:textId="2D8EA483"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1,568,125</w:t>
            </w:r>
          </w:p>
        </w:tc>
        <w:tc>
          <w:tcPr>
            <w:tcW w:w="1754" w:type="dxa"/>
            <w:vAlign w:val="center"/>
          </w:tcPr>
          <w:p w14:paraId="1E8259B7" w14:textId="36FFAEFD"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891,060</w:t>
            </w:r>
          </w:p>
        </w:tc>
      </w:tr>
      <w:tr w:rsidR="0028454B" w14:paraId="76C750B9" w14:textId="77777777" w:rsidTr="00FC1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097092DF" w14:textId="4940B23E"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2022</w:t>
            </w:r>
          </w:p>
        </w:tc>
        <w:tc>
          <w:tcPr>
            <w:tcW w:w="1291" w:type="dxa"/>
            <w:vAlign w:val="center"/>
          </w:tcPr>
          <w:p w14:paraId="3EBF275D" w14:textId="4FAE033A"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2,986</w:t>
            </w:r>
          </w:p>
        </w:tc>
        <w:tc>
          <w:tcPr>
            <w:tcW w:w="1141" w:type="dxa"/>
            <w:vAlign w:val="center"/>
          </w:tcPr>
          <w:p w14:paraId="4655F706" w14:textId="67FA68F6"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175</w:t>
            </w:r>
          </w:p>
        </w:tc>
        <w:tc>
          <w:tcPr>
            <w:tcW w:w="1066" w:type="dxa"/>
            <w:vAlign w:val="center"/>
          </w:tcPr>
          <w:p w14:paraId="6AF26BA8" w14:textId="7D5D849D"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center"/>
          </w:tcPr>
          <w:p w14:paraId="7118FAFF" w14:textId="56C7562E"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00" w:type="dxa"/>
            <w:vAlign w:val="center"/>
          </w:tcPr>
          <w:p w14:paraId="66620949" w14:textId="5A2E749B"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5A0B3113" w14:textId="7776C4A8"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7A6693E5" w14:textId="575FC618"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78</w:t>
            </w:r>
          </w:p>
        </w:tc>
        <w:tc>
          <w:tcPr>
            <w:tcW w:w="1486" w:type="dxa"/>
            <w:vAlign w:val="center"/>
          </w:tcPr>
          <w:p w14:paraId="4C44AAE8" w14:textId="6D5C1D9B"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1,522,746</w:t>
            </w:r>
          </w:p>
        </w:tc>
        <w:tc>
          <w:tcPr>
            <w:tcW w:w="1754" w:type="dxa"/>
            <w:vAlign w:val="center"/>
          </w:tcPr>
          <w:p w14:paraId="015D63B9" w14:textId="581D3BB8"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864,878</w:t>
            </w:r>
          </w:p>
        </w:tc>
      </w:tr>
      <w:tr w:rsidR="0028454B" w14:paraId="7941790F" w14:textId="77777777" w:rsidTr="00FC16A4">
        <w:tc>
          <w:tcPr>
            <w:cnfStyle w:val="001000000000" w:firstRow="0" w:lastRow="0" w:firstColumn="1" w:lastColumn="0" w:oddVBand="0" w:evenVBand="0" w:oddHBand="0" w:evenHBand="0" w:firstRowFirstColumn="0" w:firstRowLastColumn="0" w:lastRowFirstColumn="0" w:lastRowLastColumn="0"/>
            <w:tcW w:w="1267" w:type="dxa"/>
            <w:vAlign w:val="bottom"/>
          </w:tcPr>
          <w:p w14:paraId="5770C2F7" w14:textId="443230CA"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2023</w:t>
            </w:r>
          </w:p>
        </w:tc>
        <w:tc>
          <w:tcPr>
            <w:tcW w:w="1291" w:type="dxa"/>
            <w:vAlign w:val="center"/>
          </w:tcPr>
          <w:p w14:paraId="1BF4698E" w14:textId="47FADD59"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2,987</w:t>
            </w:r>
          </w:p>
        </w:tc>
        <w:tc>
          <w:tcPr>
            <w:tcW w:w="1141" w:type="dxa"/>
            <w:vAlign w:val="center"/>
          </w:tcPr>
          <w:p w14:paraId="0A822EAD" w14:textId="707BB9D0"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175</w:t>
            </w:r>
          </w:p>
        </w:tc>
        <w:tc>
          <w:tcPr>
            <w:tcW w:w="1066" w:type="dxa"/>
            <w:vAlign w:val="center"/>
          </w:tcPr>
          <w:p w14:paraId="3F455E44" w14:textId="35B62EF4"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center"/>
          </w:tcPr>
          <w:p w14:paraId="633E321D" w14:textId="5055FA47"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00" w:type="dxa"/>
            <w:vAlign w:val="center"/>
          </w:tcPr>
          <w:p w14:paraId="64157373" w14:textId="01F5AF89"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25FAF8B7" w14:textId="63D8A37B"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28245A93" w14:textId="0D10042F"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75</w:t>
            </w:r>
          </w:p>
        </w:tc>
        <w:tc>
          <w:tcPr>
            <w:tcW w:w="1486" w:type="dxa"/>
            <w:vAlign w:val="center"/>
          </w:tcPr>
          <w:p w14:paraId="15B387EE" w14:textId="6E42F153"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1,480,230</w:t>
            </w:r>
          </w:p>
        </w:tc>
        <w:tc>
          <w:tcPr>
            <w:tcW w:w="1754" w:type="dxa"/>
            <w:vAlign w:val="center"/>
          </w:tcPr>
          <w:p w14:paraId="237276BA" w14:textId="073AE065" w:rsid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841,219</w:t>
            </w:r>
          </w:p>
        </w:tc>
      </w:tr>
      <w:tr w:rsidR="0028454B" w14:paraId="6B267AF9" w14:textId="77777777" w:rsidTr="00FC1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5FCE3D31" w14:textId="5C626C36" w:rsidR="0028454B" w:rsidRPr="00436E45" w:rsidRDefault="0028454B" w:rsidP="00436E45">
            <w:pPr>
              <w:pStyle w:val="ListParagraph"/>
              <w:ind w:left="0"/>
              <w:jc w:val="center"/>
              <w:rPr>
                <w:b/>
                <w:bCs/>
                <w:i w:val="0"/>
                <w:iCs w:val="0"/>
                <w:sz w:val="20"/>
                <w:szCs w:val="20"/>
              </w:rPr>
            </w:pPr>
            <w:r w:rsidRPr="00436E45">
              <w:rPr>
                <w:rFonts w:cs="Calibri"/>
                <w:b/>
                <w:bCs/>
                <w:i w:val="0"/>
                <w:iCs w:val="0"/>
                <w:color w:val="000000"/>
              </w:rPr>
              <w:t>2024</w:t>
            </w:r>
          </w:p>
        </w:tc>
        <w:tc>
          <w:tcPr>
            <w:tcW w:w="1291" w:type="dxa"/>
            <w:vAlign w:val="center"/>
          </w:tcPr>
          <w:p w14:paraId="060E6DAD" w14:textId="5745D35C"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2,987</w:t>
            </w:r>
          </w:p>
        </w:tc>
        <w:tc>
          <w:tcPr>
            <w:tcW w:w="1141" w:type="dxa"/>
            <w:vAlign w:val="center"/>
          </w:tcPr>
          <w:p w14:paraId="72923666" w14:textId="6ACB98C3"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175</w:t>
            </w:r>
          </w:p>
        </w:tc>
        <w:tc>
          <w:tcPr>
            <w:tcW w:w="1066" w:type="dxa"/>
            <w:vAlign w:val="center"/>
          </w:tcPr>
          <w:p w14:paraId="6E3DDBDE" w14:textId="4F384161"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57</w:t>
            </w:r>
          </w:p>
        </w:tc>
        <w:tc>
          <w:tcPr>
            <w:tcW w:w="900" w:type="dxa"/>
            <w:vAlign w:val="center"/>
          </w:tcPr>
          <w:p w14:paraId="5628B461" w14:textId="410797FA"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40</w:t>
            </w:r>
          </w:p>
        </w:tc>
        <w:tc>
          <w:tcPr>
            <w:tcW w:w="900" w:type="dxa"/>
            <w:vAlign w:val="center"/>
          </w:tcPr>
          <w:p w14:paraId="729CDA42" w14:textId="48365320"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066DFAD5" w14:textId="49782877"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443C83BD" w14:textId="3DCCB935"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73</w:t>
            </w:r>
          </w:p>
        </w:tc>
        <w:tc>
          <w:tcPr>
            <w:tcW w:w="1486" w:type="dxa"/>
            <w:vAlign w:val="center"/>
          </w:tcPr>
          <w:p w14:paraId="6096B2A3" w14:textId="36A86632"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1,436,374</w:t>
            </w:r>
          </w:p>
        </w:tc>
        <w:tc>
          <w:tcPr>
            <w:tcW w:w="1754" w:type="dxa"/>
            <w:vAlign w:val="center"/>
          </w:tcPr>
          <w:p w14:paraId="10501446" w14:textId="4E858058" w:rsidR="0028454B" w:rsidRDefault="0028454B"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815,792</w:t>
            </w:r>
          </w:p>
        </w:tc>
      </w:tr>
      <w:tr w:rsidR="0028454B" w14:paraId="067C5299" w14:textId="77777777" w:rsidTr="00FC16A4">
        <w:tc>
          <w:tcPr>
            <w:cnfStyle w:val="001000000000" w:firstRow="0" w:lastRow="0" w:firstColumn="1" w:lastColumn="0" w:oddVBand="0" w:evenVBand="0" w:oddHBand="0" w:evenHBand="0" w:firstRowFirstColumn="0" w:firstRowLastColumn="0" w:lastRowFirstColumn="0" w:lastRowLastColumn="0"/>
            <w:tcW w:w="1267" w:type="dxa"/>
            <w:vAlign w:val="bottom"/>
          </w:tcPr>
          <w:p w14:paraId="3E488F7A" w14:textId="08CF8A49" w:rsidR="0028454B" w:rsidRPr="0028454B" w:rsidRDefault="0028454B" w:rsidP="00436E45">
            <w:pPr>
              <w:pStyle w:val="ListParagraph"/>
              <w:ind w:left="0"/>
              <w:jc w:val="center"/>
              <w:rPr>
                <w:b/>
                <w:bCs/>
                <w:i w:val="0"/>
                <w:iCs w:val="0"/>
                <w:sz w:val="20"/>
                <w:szCs w:val="20"/>
              </w:rPr>
            </w:pPr>
            <w:r w:rsidRPr="0028454B">
              <w:rPr>
                <w:rFonts w:ascii="Lucida Grande" w:hAnsi="Lucida Grande" w:cs="Lucida Grande"/>
                <w:b/>
                <w:bCs/>
                <w:i w:val="0"/>
                <w:iCs w:val="0"/>
                <w:color w:val="000000"/>
                <w:sz w:val="22"/>
                <w:szCs w:val="22"/>
              </w:rPr>
              <w:t>Total</w:t>
            </w:r>
          </w:p>
        </w:tc>
        <w:tc>
          <w:tcPr>
            <w:tcW w:w="1291" w:type="dxa"/>
            <w:vAlign w:val="center"/>
          </w:tcPr>
          <w:p w14:paraId="00B52041" w14:textId="1103FFF7"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26,779</w:t>
            </w:r>
          </w:p>
        </w:tc>
        <w:tc>
          <w:tcPr>
            <w:tcW w:w="1141" w:type="dxa"/>
            <w:vAlign w:val="center"/>
          </w:tcPr>
          <w:p w14:paraId="3FA3046D" w14:textId="6D52B952"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1,565</w:t>
            </w:r>
          </w:p>
        </w:tc>
        <w:tc>
          <w:tcPr>
            <w:tcW w:w="1066" w:type="dxa"/>
            <w:vAlign w:val="center"/>
          </w:tcPr>
          <w:p w14:paraId="6BEDA6E2" w14:textId="21AFBFD1"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510</w:t>
            </w:r>
          </w:p>
        </w:tc>
        <w:tc>
          <w:tcPr>
            <w:tcW w:w="900" w:type="dxa"/>
            <w:vAlign w:val="center"/>
          </w:tcPr>
          <w:p w14:paraId="172816E1" w14:textId="3C38EB25"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354</w:t>
            </w:r>
          </w:p>
        </w:tc>
        <w:tc>
          <w:tcPr>
            <w:tcW w:w="900" w:type="dxa"/>
            <w:vAlign w:val="center"/>
          </w:tcPr>
          <w:p w14:paraId="78026311" w14:textId="4C47AE9B"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190</w:t>
            </w:r>
          </w:p>
        </w:tc>
        <w:tc>
          <w:tcPr>
            <w:tcW w:w="900" w:type="dxa"/>
            <w:vAlign w:val="center"/>
          </w:tcPr>
          <w:p w14:paraId="0E9F7F43" w14:textId="7713C0BF"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323</w:t>
            </w:r>
          </w:p>
        </w:tc>
        <w:tc>
          <w:tcPr>
            <w:tcW w:w="990" w:type="dxa"/>
            <w:vAlign w:val="center"/>
          </w:tcPr>
          <w:p w14:paraId="17E1D907" w14:textId="772717BE"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738</w:t>
            </w:r>
          </w:p>
        </w:tc>
        <w:tc>
          <w:tcPr>
            <w:tcW w:w="1486" w:type="dxa"/>
            <w:vAlign w:val="center"/>
          </w:tcPr>
          <w:p w14:paraId="4E4F910C" w14:textId="3113C610"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ascii="Lucida Grande" w:hAnsi="Lucida Grande" w:cs="Lucida Grande"/>
                <w:b/>
                <w:bCs/>
                <w:color w:val="000000"/>
                <w:sz w:val="22"/>
                <w:szCs w:val="22"/>
              </w:rPr>
              <w:t>14,540,851</w:t>
            </w:r>
          </w:p>
        </w:tc>
        <w:tc>
          <w:tcPr>
            <w:tcW w:w="1754" w:type="dxa"/>
            <w:vAlign w:val="center"/>
          </w:tcPr>
          <w:p w14:paraId="5D7C5957" w14:textId="0A6003A7" w:rsidR="0028454B" w:rsidRPr="0028454B" w:rsidRDefault="0028454B"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28454B">
              <w:rPr>
                <w:rFonts w:cs="Calibri"/>
                <w:b/>
                <w:bCs/>
                <w:color w:val="000000"/>
              </w:rPr>
              <w:t>8,281,256</w:t>
            </w:r>
          </w:p>
        </w:tc>
      </w:tr>
    </w:tbl>
    <w:p w14:paraId="29644C6C" w14:textId="4881C887" w:rsidR="002C709A" w:rsidRDefault="002C709A" w:rsidP="005F24F1">
      <w:pPr>
        <w:pStyle w:val="ListParagraph"/>
        <w:ind w:left="0"/>
        <w:rPr>
          <w:b/>
          <w:bCs/>
          <w:sz w:val="28"/>
          <w:szCs w:val="32"/>
        </w:rPr>
      </w:pPr>
    </w:p>
    <w:p w14:paraId="49C93930" w14:textId="2130B8AF" w:rsidR="002912DA" w:rsidRPr="00E16258" w:rsidRDefault="0028454B" w:rsidP="0028454B">
      <w:pPr>
        <w:pStyle w:val="ListParagraph"/>
        <w:ind w:left="0"/>
        <w:rPr>
          <w:sz w:val="22"/>
          <w:szCs w:val="22"/>
        </w:rPr>
      </w:pPr>
      <w:r w:rsidRPr="00E16258">
        <w:rPr>
          <w:b/>
          <w:bCs/>
          <w:sz w:val="22"/>
        </w:rPr>
        <w:t>Table S7</w:t>
      </w:r>
      <w:r w:rsidR="00436E45" w:rsidRPr="00E16258">
        <w:rPr>
          <w:b/>
          <w:bCs/>
          <w:sz w:val="22"/>
        </w:rPr>
        <w:t>D</w:t>
      </w:r>
      <w:r w:rsidRPr="00E16258">
        <w:rPr>
          <w:b/>
          <w:bCs/>
          <w:sz w:val="22"/>
        </w:rPr>
        <w:t xml:space="preserve">. Scenario: Guidelines 2016-2024. </w:t>
      </w:r>
      <w:r w:rsidR="002912DA" w:rsidRPr="00E16258">
        <w:rPr>
          <w:sz w:val="22"/>
        </w:rPr>
        <w:t xml:space="preserve">Yearly </w:t>
      </w:r>
      <w:r w:rsidR="002912DA" w:rsidRPr="00E16258">
        <w:rPr>
          <w:sz w:val="22"/>
          <w:u w:val="single"/>
        </w:rPr>
        <w:t xml:space="preserve">mean </w:t>
      </w:r>
      <w:r w:rsidR="002912DA" w:rsidRPr="00E16258">
        <w:rPr>
          <w:sz w:val="22"/>
        </w:rPr>
        <w:t xml:space="preserve">number of select outcomes. </w:t>
      </w:r>
      <w:r w:rsidRPr="00E16258">
        <w:rPr>
          <w:sz w:val="22"/>
        </w:rPr>
        <w:t xml:space="preserve">QALYs lost and costs discounted. All outputs </w:t>
      </w:r>
      <w:r w:rsidR="004F4CC4">
        <w:rPr>
          <w:sz w:val="22"/>
        </w:rPr>
        <w:t>i</w:t>
      </w:r>
      <w:r w:rsidRPr="00E16258">
        <w:rPr>
          <w:sz w:val="22"/>
        </w:rPr>
        <w:t>n ‘000s.</w:t>
      </w:r>
      <w:r w:rsidR="00436E45" w:rsidRPr="00E16258">
        <w:rPr>
          <w:sz w:val="22"/>
        </w:rPr>
        <w:t xml:space="preserve"> Testing and PN costs include both screening and testing of symptomatic infections (with a NAAT or non-NAAT), and costs associated with PN services.</w:t>
      </w:r>
      <w:r w:rsidR="00E16258">
        <w:rPr>
          <w:sz w:val="22"/>
        </w:rPr>
        <w:t xml:space="preserve"> </w:t>
      </w:r>
      <w:r w:rsidR="00E16258" w:rsidRPr="00E16258">
        <w:rPr>
          <w:sz w:val="22"/>
          <w:szCs w:val="22"/>
        </w:rPr>
        <w:t>Years 2020-2024 included only in the analysis where 5 additional years of follow-up were included.</w:t>
      </w:r>
    </w:p>
    <w:tbl>
      <w:tblPr>
        <w:tblStyle w:val="PlainTable5"/>
        <w:tblW w:w="0" w:type="auto"/>
        <w:tblLook w:val="04A0" w:firstRow="1" w:lastRow="0" w:firstColumn="1" w:lastColumn="0" w:noHBand="0" w:noVBand="1"/>
      </w:tblPr>
      <w:tblGrid>
        <w:gridCol w:w="1267"/>
        <w:gridCol w:w="1291"/>
        <w:gridCol w:w="1141"/>
        <w:gridCol w:w="1066"/>
        <w:gridCol w:w="900"/>
        <w:gridCol w:w="900"/>
        <w:gridCol w:w="900"/>
        <w:gridCol w:w="990"/>
        <w:gridCol w:w="1486"/>
        <w:gridCol w:w="1754"/>
      </w:tblGrid>
      <w:tr w:rsidR="0028454B" w14:paraId="4B6883D3" w14:textId="77777777" w:rsidTr="00AB64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14:paraId="35381BE1" w14:textId="77777777" w:rsidR="0028454B" w:rsidRPr="00DA2706" w:rsidRDefault="0028454B" w:rsidP="00436E45">
            <w:pPr>
              <w:pStyle w:val="ListParagraph"/>
              <w:ind w:left="0"/>
              <w:jc w:val="center"/>
              <w:rPr>
                <w:b/>
                <w:bCs/>
                <w:i w:val="0"/>
                <w:iCs w:val="0"/>
                <w:sz w:val="20"/>
                <w:szCs w:val="20"/>
              </w:rPr>
            </w:pPr>
            <w:r w:rsidRPr="00DA2706">
              <w:rPr>
                <w:rFonts w:ascii="Lucida Grande" w:hAnsi="Lucida Grande" w:cs="Lucida Grande"/>
                <w:b/>
                <w:bCs/>
                <w:i w:val="0"/>
                <w:iCs w:val="0"/>
                <w:color w:val="000000"/>
                <w:sz w:val="22"/>
                <w:szCs w:val="22"/>
              </w:rPr>
              <w:t>Year</w:t>
            </w:r>
          </w:p>
        </w:tc>
        <w:tc>
          <w:tcPr>
            <w:tcW w:w="1291" w:type="dxa"/>
          </w:tcPr>
          <w:p w14:paraId="449253D7" w14:textId="77777777"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Incident infection</w:t>
            </w:r>
          </w:p>
        </w:tc>
        <w:tc>
          <w:tcPr>
            <w:tcW w:w="1141" w:type="dxa"/>
          </w:tcPr>
          <w:p w14:paraId="3CA7356C" w14:textId="77777777"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PID</w:t>
            </w:r>
          </w:p>
        </w:tc>
        <w:tc>
          <w:tcPr>
            <w:tcW w:w="1066" w:type="dxa"/>
          </w:tcPr>
          <w:p w14:paraId="75B953A9" w14:textId="77777777"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CPP</w:t>
            </w:r>
          </w:p>
        </w:tc>
        <w:tc>
          <w:tcPr>
            <w:tcW w:w="900" w:type="dxa"/>
          </w:tcPr>
          <w:p w14:paraId="61CB7C05" w14:textId="77777777"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TFI</w:t>
            </w:r>
          </w:p>
        </w:tc>
        <w:tc>
          <w:tcPr>
            <w:tcW w:w="900" w:type="dxa"/>
          </w:tcPr>
          <w:p w14:paraId="5661AEF2" w14:textId="77777777"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w:t>
            </w:r>
          </w:p>
        </w:tc>
        <w:tc>
          <w:tcPr>
            <w:tcW w:w="900" w:type="dxa"/>
          </w:tcPr>
          <w:p w14:paraId="7C815FAA" w14:textId="77777777"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EPID</w:t>
            </w:r>
          </w:p>
        </w:tc>
        <w:tc>
          <w:tcPr>
            <w:tcW w:w="990" w:type="dxa"/>
          </w:tcPr>
          <w:p w14:paraId="0A3FF03A" w14:textId="77777777"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QALYs lost</w:t>
            </w:r>
          </w:p>
        </w:tc>
        <w:tc>
          <w:tcPr>
            <w:tcW w:w="1486" w:type="dxa"/>
          </w:tcPr>
          <w:p w14:paraId="51EF9119" w14:textId="38E04A94"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sidRPr="00DA2706">
              <w:rPr>
                <w:rFonts w:ascii="Lucida Grande" w:hAnsi="Lucida Grande" w:cs="Lucida Grande"/>
                <w:b/>
                <w:bCs/>
                <w:i w:val="0"/>
                <w:iCs w:val="0"/>
                <w:color w:val="000000"/>
                <w:sz w:val="22"/>
                <w:szCs w:val="22"/>
              </w:rPr>
              <w:t>All costs</w:t>
            </w:r>
            <w:r w:rsidR="00E16258">
              <w:rPr>
                <w:rFonts w:ascii="Lucida Grande" w:hAnsi="Lucida Grande" w:cs="Lucida Grande"/>
                <w:b/>
                <w:bCs/>
                <w:i w:val="0"/>
                <w:iCs w:val="0"/>
                <w:color w:val="000000"/>
                <w:sz w:val="22"/>
                <w:szCs w:val="22"/>
              </w:rPr>
              <w:t xml:space="preserve"> ($)</w:t>
            </w:r>
          </w:p>
        </w:tc>
        <w:tc>
          <w:tcPr>
            <w:tcW w:w="1754" w:type="dxa"/>
          </w:tcPr>
          <w:p w14:paraId="6E9E567A" w14:textId="38A292ED" w:rsidR="0028454B" w:rsidRPr="00DA2706" w:rsidRDefault="0028454B" w:rsidP="00436E45">
            <w:pPr>
              <w:pStyle w:val="ListParagraph"/>
              <w:ind w:left="0"/>
              <w:jc w:val="center"/>
              <w:cnfStyle w:val="100000000000" w:firstRow="1" w:lastRow="0" w:firstColumn="0" w:lastColumn="0" w:oddVBand="0" w:evenVBand="0" w:oddHBand="0" w:evenHBand="0" w:firstRowFirstColumn="0" w:firstRowLastColumn="0" w:lastRowFirstColumn="0" w:lastRowLastColumn="0"/>
              <w:rPr>
                <w:b/>
                <w:bCs/>
                <w:i w:val="0"/>
                <w:iCs w:val="0"/>
                <w:sz w:val="20"/>
                <w:szCs w:val="20"/>
              </w:rPr>
            </w:pPr>
            <w:r>
              <w:rPr>
                <w:rFonts w:ascii="Lucida Grande" w:hAnsi="Lucida Grande" w:cs="Lucida Grande"/>
                <w:b/>
                <w:bCs/>
                <w:i w:val="0"/>
                <w:iCs w:val="0"/>
                <w:color w:val="000000"/>
                <w:sz w:val="22"/>
                <w:szCs w:val="22"/>
              </w:rPr>
              <w:t>Testing</w:t>
            </w:r>
            <w:r w:rsidRPr="00DA2706">
              <w:rPr>
                <w:rFonts w:ascii="Lucida Grande" w:hAnsi="Lucida Grande" w:cs="Lucida Grande"/>
                <w:b/>
                <w:bCs/>
                <w:i w:val="0"/>
                <w:iCs w:val="0"/>
                <w:color w:val="000000"/>
                <w:sz w:val="22"/>
                <w:szCs w:val="22"/>
              </w:rPr>
              <w:t xml:space="preserve"> and PN costs</w:t>
            </w:r>
            <w:r w:rsidR="00E16258">
              <w:rPr>
                <w:rFonts w:ascii="Lucida Grande" w:hAnsi="Lucida Grande" w:cs="Lucida Grande"/>
                <w:b/>
                <w:bCs/>
                <w:i w:val="0"/>
                <w:iCs w:val="0"/>
                <w:color w:val="000000"/>
                <w:sz w:val="22"/>
                <w:szCs w:val="22"/>
              </w:rPr>
              <w:t xml:space="preserve"> ($)</w:t>
            </w:r>
          </w:p>
        </w:tc>
      </w:tr>
      <w:tr w:rsidR="00436E45" w14:paraId="5B0D6D19" w14:textId="77777777" w:rsidTr="00AB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03961916" w14:textId="2D48528C"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2016</w:t>
            </w:r>
          </w:p>
        </w:tc>
        <w:tc>
          <w:tcPr>
            <w:tcW w:w="1291" w:type="dxa"/>
            <w:vAlign w:val="center"/>
          </w:tcPr>
          <w:p w14:paraId="304D15E5" w14:textId="177661AA"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2,879</w:t>
            </w:r>
          </w:p>
        </w:tc>
        <w:tc>
          <w:tcPr>
            <w:tcW w:w="1141" w:type="dxa"/>
            <w:vAlign w:val="center"/>
          </w:tcPr>
          <w:p w14:paraId="184DAED0" w14:textId="56E306E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161</w:t>
            </w:r>
          </w:p>
        </w:tc>
        <w:tc>
          <w:tcPr>
            <w:tcW w:w="1066" w:type="dxa"/>
            <w:vAlign w:val="center"/>
          </w:tcPr>
          <w:p w14:paraId="77381303" w14:textId="6F76417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53</w:t>
            </w:r>
          </w:p>
        </w:tc>
        <w:tc>
          <w:tcPr>
            <w:tcW w:w="900" w:type="dxa"/>
            <w:vAlign w:val="center"/>
          </w:tcPr>
          <w:p w14:paraId="3D3E55CC" w14:textId="6D7F5AC5"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00" w:type="dxa"/>
            <w:vAlign w:val="center"/>
          </w:tcPr>
          <w:p w14:paraId="1B6E48C1" w14:textId="6977A42D"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20</w:t>
            </w:r>
          </w:p>
        </w:tc>
        <w:tc>
          <w:tcPr>
            <w:tcW w:w="900" w:type="dxa"/>
            <w:vAlign w:val="center"/>
          </w:tcPr>
          <w:p w14:paraId="70E9DF30" w14:textId="5CD9702A"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33</w:t>
            </w:r>
          </w:p>
        </w:tc>
        <w:tc>
          <w:tcPr>
            <w:tcW w:w="990" w:type="dxa"/>
            <w:vAlign w:val="center"/>
          </w:tcPr>
          <w:p w14:paraId="572434CA" w14:textId="46E35224"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85</w:t>
            </w:r>
          </w:p>
        </w:tc>
        <w:tc>
          <w:tcPr>
            <w:tcW w:w="1486" w:type="dxa"/>
            <w:vAlign w:val="center"/>
          </w:tcPr>
          <w:p w14:paraId="230A0911" w14:textId="51D2FC7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2,139,736</w:t>
            </w:r>
          </w:p>
        </w:tc>
        <w:tc>
          <w:tcPr>
            <w:tcW w:w="1754" w:type="dxa"/>
            <w:vAlign w:val="center"/>
          </w:tcPr>
          <w:p w14:paraId="530AA94A" w14:textId="205AD06F"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1,404,718</w:t>
            </w:r>
          </w:p>
        </w:tc>
      </w:tr>
      <w:tr w:rsidR="00436E45" w14:paraId="55B55472" w14:textId="77777777" w:rsidTr="00AB6457">
        <w:tc>
          <w:tcPr>
            <w:cnfStyle w:val="001000000000" w:firstRow="0" w:lastRow="0" w:firstColumn="1" w:lastColumn="0" w:oddVBand="0" w:evenVBand="0" w:oddHBand="0" w:evenHBand="0" w:firstRowFirstColumn="0" w:firstRowLastColumn="0" w:lastRowFirstColumn="0" w:lastRowLastColumn="0"/>
            <w:tcW w:w="1267" w:type="dxa"/>
            <w:vAlign w:val="bottom"/>
          </w:tcPr>
          <w:p w14:paraId="2D1F4388" w14:textId="728558AF"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2017</w:t>
            </w:r>
          </w:p>
        </w:tc>
        <w:tc>
          <w:tcPr>
            <w:tcW w:w="1291" w:type="dxa"/>
            <w:vAlign w:val="center"/>
          </w:tcPr>
          <w:p w14:paraId="236E7E04" w14:textId="4F3CD475"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2,816</w:t>
            </w:r>
          </w:p>
        </w:tc>
        <w:tc>
          <w:tcPr>
            <w:tcW w:w="1141" w:type="dxa"/>
            <w:vAlign w:val="center"/>
          </w:tcPr>
          <w:p w14:paraId="60E52F7A" w14:textId="4252427A"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154</w:t>
            </w:r>
          </w:p>
        </w:tc>
        <w:tc>
          <w:tcPr>
            <w:tcW w:w="1066" w:type="dxa"/>
            <w:vAlign w:val="center"/>
          </w:tcPr>
          <w:p w14:paraId="535B34DC" w14:textId="1F3428C7"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50</w:t>
            </w:r>
          </w:p>
        </w:tc>
        <w:tc>
          <w:tcPr>
            <w:tcW w:w="900" w:type="dxa"/>
            <w:vAlign w:val="center"/>
          </w:tcPr>
          <w:p w14:paraId="6D07B815" w14:textId="23AAC6AC"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35</w:t>
            </w:r>
          </w:p>
        </w:tc>
        <w:tc>
          <w:tcPr>
            <w:tcW w:w="900" w:type="dxa"/>
            <w:vAlign w:val="center"/>
          </w:tcPr>
          <w:p w14:paraId="5C2DE780" w14:textId="7D9E9773"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19</w:t>
            </w:r>
          </w:p>
        </w:tc>
        <w:tc>
          <w:tcPr>
            <w:tcW w:w="900" w:type="dxa"/>
            <w:vAlign w:val="center"/>
          </w:tcPr>
          <w:p w14:paraId="68170CAA" w14:textId="5103B789"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32</w:t>
            </w:r>
          </w:p>
        </w:tc>
        <w:tc>
          <w:tcPr>
            <w:tcW w:w="990" w:type="dxa"/>
            <w:vAlign w:val="center"/>
          </w:tcPr>
          <w:p w14:paraId="574DB690" w14:textId="4D907FC4"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79</w:t>
            </w:r>
          </w:p>
        </w:tc>
        <w:tc>
          <w:tcPr>
            <w:tcW w:w="1486" w:type="dxa"/>
            <w:vAlign w:val="center"/>
          </w:tcPr>
          <w:p w14:paraId="5B61A63A" w14:textId="140BF86B"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2,044,489</w:t>
            </w:r>
          </w:p>
        </w:tc>
        <w:tc>
          <w:tcPr>
            <w:tcW w:w="1754" w:type="dxa"/>
            <w:vAlign w:val="center"/>
          </w:tcPr>
          <w:p w14:paraId="4C32D8D6" w14:textId="57A1E174"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1,359,480</w:t>
            </w:r>
          </w:p>
        </w:tc>
      </w:tr>
      <w:tr w:rsidR="00436E45" w14:paraId="57A24CCC" w14:textId="77777777" w:rsidTr="00AB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287576ED" w14:textId="25DDFC0D"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2018</w:t>
            </w:r>
          </w:p>
        </w:tc>
        <w:tc>
          <w:tcPr>
            <w:tcW w:w="1291" w:type="dxa"/>
            <w:vAlign w:val="center"/>
          </w:tcPr>
          <w:p w14:paraId="3D602FF3" w14:textId="40DFC37D"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2,781</w:t>
            </w:r>
          </w:p>
        </w:tc>
        <w:tc>
          <w:tcPr>
            <w:tcW w:w="1141" w:type="dxa"/>
            <w:vAlign w:val="center"/>
          </w:tcPr>
          <w:p w14:paraId="2E1C4C8E" w14:textId="46239B9C"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151</w:t>
            </w:r>
          </w:p>
        </w:tc>
        <w:tc>
          <w:tcPr>
            <w:tcW w:w="1066" w:type="dxa"/>
            <w:vAlign w:val="center"/>
          </w:tcPr>
          <w:p w14:paraId="0EB19DCF" w14:textId="59BEE773"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49</w:t>
            </w:r>
          </w:p>
        </w:tc>
        <w:tc>
          <w:tcPr>
            <w:tcW w:w="900" w:type="dxa"/>
            <w:vAlign w:val="center"/>
          </w:tcPr>
          <w:p w14:paraId="4EFFC6D8" w14:textId="2CC0FD85"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457C3299" w14:textId="3340711F"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18</w:t>
            </w:r>
          </w:p>
        </w:tc>
        <w:tc>
          <w:tcPr>
            <w:tcW w:w="900" w:type="dxa"/>
            <w:vAlign w:val="center"/>
          </w:tcPr>
          <w:p w14:paraId="48ADE129" w14:textId="2699C929"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32</w:t>
            </w:r>
          </w:p>
        </w:tc>
        <w:tc>
          <w:tcPr>
            <w:tcW w:w="990" w:type="dxa"/>
            <w:vAlign w:val="center"/>
          </w:tcPr>
          <w:p w14:paraId="51A3C9F8" w14:textId="0F3813E2"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75</w:t>
            </w:r>
          </w:p>
        </w:tc>
        <w:tc>
          <w:tcPr>
            <w:tcW w:w="1486" w:type="dxa"/>
            <w:vAlign w:val="center"/>
          </w:tcPr>
          <w:p w14:paraId="13881466" w14:textId="68B32DAE"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1,968,748</w:t>
            </w:r>
          </w:p>
        </w:tc>
        <w:tc>
          <w:tcPr>
            <w:tcW w:w="1754" w:type="dxa"/>
            <w:vAlign w:val="center"/>
          </w:tcPr>
          <w:p w14:paraId="668356B5" w14:textId="51FA135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1,316,568</w:t>
            </w:r>
          </w:p>
        </w:tc>
      </w:tr>
      <w:tr w:rsidR="00436E45" w14:paraId="7133491B" w14:textId="77777777" w:rsidTr="00AB6457">
        <w:tc>
          <w:tcPr>
            <w:cnfStyle w:val="001000000000" w:firstRow="0" w:lastRow="0" w:firstColumn="1" w:lastColumn="0" w:oddVBand="0" w:evenVBand="0" w:oddHBand="0" w:evenHBand="0" w:firstRowFirstColumn="0" w:firstRowLastColumn="0" w:lastRowFirstColumn="0" w:lastRowLastColumn="0"/>
            <w:tcW w:w="1267" w:type="dxa"/>
            <w:vAlign w:val="bottom"/>
          </w:tcPr>
          <w:p w14:paraId="08690F4C" w14:textId="0DC6F285"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2019</w:t>
            </w:r>
          </w:p>
        </w:tc>
        <w:tc>
          <w:tcPr>
            <w:tcW w:w="1291" w:type="dxa"/>
            <w:vAlign w:val="center"/>
          </w:tcPr>
          <w:p w14:paraId="417C7A47" w14:textId="113F2B97"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2,760</w:t>
            </w:r>
          </w:p>
        </w:tc>
        <w:tc>
          <w:tcPr>
            <w:tcW w:w="1141" w:type="dxa"/>
            <w:vAlign w:val="center"/>
          </w:tcPr>
          <w:p w14:paraId="5F6BBAF3" w14:textId="7B930973"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149</w:t>
            </w:r>
          </w:p>
        </w:tc>
        <w:tc>
          <w:tcPr>
            <w:tcW w:w="1066" w:type="dxa"/>
            <w:vAlign w:val="center"/>
          </w:tcPr>
          <w:p w14:paraId="42EFEF38" w14:textId="3955398E"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49</w:t>
            </w:r>
          </w:p>
        </w:tc>
        <w:tc>
          <w:tcPr>
            <w:tcW w:w="900" w:type="dxa"/>
            <w:vAlign w:val="center"/>
          </w:tcPr>
          <w:p w14:paraId="09B90340" w14:textId="7BA49992"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34</w:t>
            </w:r>
          </w:p>
        </w:tc>
        <w:tc>
          <w:tcPr>
            <w:tcW w:w="900" w:type="dxa"/>
            <w:vAlign w:val="center"/>
          </w:tcPr>
          <w:p w14:paraId="19BE61CE" w14:textId="638163E5"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18</w:t>
            </w:r>
          </w:p>
        </w:tc>
        <w:tc>
          <w:tcPr>
            <w:tcW w:w="900" w:type="dxa"/>
            <w:vAlign w:val="center"/>
          </w:tcPr>
          <w:p w14:paraId="37BACE1D" w14:textId="7F855B79"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32</w:t>
            </w:r>
          </w:p>
        </w:tc>
        <w:tc>
          <w:tcPr>
            <w:tcW w:w="990" w:type="dxa"/>
            <w:vAlign w:val="center"/>
          </w:tcPr>
          <w:p w14:paraId="148203CE" w14:textId="09F36A71"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72</w:t>
            </w:r>
          </w:p>
        </w:tc>
        <w:tc>
          <w:tcPr>
            <w:tcW w:w="1486" w:type="dxa"/>
            <w:vAlign w:val="center"/>
          </w:tcPr>
          <w:p w14:paraId="5AD8C46F" w14:textId="7898A675"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1,889,880</w:t>
            </w:r>
          </w:p>
        </w:tc>
        <w:tc>
          <w:tcPr>
            <w:tcW w:w="1754" w:type="dxa"/>
            <w:vAlign w:val="center"/>
          </w:tcPr>
          <w:p w14:paraId="48F4C4EB" w14:textId="3AE30366"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1,272,269</w:t>
            </w:r>
          </w:p>
        </w:tc>
      </w:tr>
      <w:tr w:rsidR="00436E45" w14:paraId="44913402" w14:textId="77777777" w:rsidTr="00AB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57887390" w14:textId="33E4F7FE"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2020</w:t>
            </w:r>
          </w:p>
        </w:tc>
        <w:tc>
          <w:tcPr>
            <w:tcW w:w="1291" w:type="dxa"/>
            <w:vAlign w:val="center"/>
          </w:tcPr>
          <w:p w14:paraId="28C644BD" w14:textId="1DF9F4DF"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2,807</w:t>
            </w:r>
          </w:p>
        </w:tc>
        <w:tc>
          <w:tcPr>
            <w:tcW w:w="1141" w:type="dxa"/>
            <w:vAlign w:val="center"/>
          </w:tcPr>
          <w:p w14:paraId="5947CFF0" w14:textId="75E656F8"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156</w:t>
            </w:r>
          </w:p>
        </w:tc>
        <w:tc>
          <w:tcPr>
            <w:tcW w:w="1066" w:type="dxa"/>
            <w:vAlign w:val="center"/>
          </w:tcPr>
          <w:p w14:paraId="33011CC1" w14:textId="380D3B8C"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51</w:t>
            </w:r>
          </w:p>
        </w:tc>
        <w:tc>
          <w:tcPr>
            <w:tcW w:w="900" w:type="dxa"/>
            <w:vAlign w:val="center"/>
          </w:tcPr>
          <w:p w14:paraId="4CB8E789" w14:textId="45F071D0"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35</w:t>
            </w:r>
          </w:p>
        </w:tc>
        <w:tc>
          <w:tcPr>
            <w:tcW w:w="900" w:type="dxa"/>
            <w:vAlign w:val="center"/>
          </w:tcPr>
          <w:p w14:paraId="6C976149" w14:textId="411EB34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19</w:t>
            </w:r>
          </w:p>
        </w:tc>
        <w:tc>
          <w:tcPr>
            <w:tcW w:w="900" w:type="dxa"/>
            <w:vAlign w:val="center"/>
          </w:tcPr>
          <w:p w14:paraId="067C2AA7" w14:textId="5FC3B4E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33</w:t>
            </w:r>
          </w:p>
        </w:tc>
        <w:tc>
          <w:tcPr>
            <w:tcW w:w="990" w:type="dxa"/>
            <w:vAlign w:val="center"/>
          </w:tcPr>
          <w:p w14:paraId="647D0954" w14:textId="1AE1B926"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73</w:t>
            </w:r>
          </w:p>
        </w:tc>
        <w:tc>
          <w:tcPr>
            <w:tcW w:w="1486" w:type="dxa"/>
            <w:vAlign w:val="center"/>
          </w:tcPr>
          <w:p w14:paraId="2BDBD25A" w14:textId="74908272"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1,536,345</w:t>
            </w:r>
          </w:p>
        </w:tc>
        <w:tc>
          <w:tcPr>
            <w:tcW w:w="1754" w:type="dxa"/>
            <w:vAlign w:val="center"/>
          </w:tcPr>
          <w:p w14:paraId="2B21A3AF" w14:textId="1CF410ED"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908,412</w:t>
            </w:r>
          </w:p>
        </w:tc>
      </w:tr>
      <w:tr w:rsidR="00436E45" w14:paraId="2C86C78C" w14:textId="77777777" w:rsidTr="00AB6457">
        <w:tc>
          <w:tcPr>
            <w:cnfStyle w:val="001000000000" w:firstRow="0" w:lastRow="0" w:firstColumn="1" w:lastColumn="0" w:oddVBand="0" w:evenVBand="0" w:oddHBand="0" w:evenHBand="0" w:firstRowFirstColumn="0" w:firstRowLastColumn="0" w:lastRowFirstColumn="0" w:lastRowLastColumn="0"/>
            <w:tcW w:w="1267" w:type="dxa"/>
            <w:vAlign w:val="bottom"/>
          </w:tcPr>
          <w:p w14:paraId="11851CDA" w14:textId="037D1353"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2021</w:t>
            </w:r>
          </w:p>
        </w:tc>
        <w:tc>
          <w:tcPr>
            <w:tcW w:w="1291" w:type="dxa"/>
            <w:vAlign w:val="center"/>
          </w:tcPr>
          <w:p w14:paraId="3AB08ECB" w14:textId="6CC555E9"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2,885</w:t>
            </w:r>
          </w:p>
        </w:tc>
        <w:tc>
          <w:tcPr>
            <w:tcW w:w="1141" w:type="dxa"/>
            <w:vAlign w:val="center"/>
          </w:tcPr>
          <w:p w14:paraId="2262D30C" w14:textId="1A2A53C5"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164</w:t>
            </w:r>
          </w:p>
        </w:tc>
        <w:tc>
          <w:tcPr>
            <w:tcW w:w="1066" w:type="dxa"/>
            <w:vAlign w:val="center"/>
          </w:tcPr>
          <w:p w14:paraId="444729E8" w14:textId="79318B91"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54</w:t>
            </w:r>
          </w:p>
        </w:tc>
        <w:tc>
          <w:tcPr>
            <w:tcW w:w="900" w:type="dxa"/>
            <w:vAlign w:val="center"/>
          </w:tcPr>
          <w:p w14:paraId="791F8C1C" w14:textId="0B3B891D"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37</w:t>
            </w:r>
          </w:p>
        </w:tc>
        <w:tc>
          <w:tcPr>
            <w:tcW w:w="900" w:type="dxa"/>
            <w:vAlign w:val="center"/>
          </w:tcPr>
          <w:p w14:paraId="4A4EFE6A" w14:textId="7329C5EF"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20</w:t>
            </w:r>
          </w:p>
        </w:tc>
        <w:tc>
          <w:tcPr>
            <w:tcW w:w="900" w:type="dxa"/>
            <w:vAlign w:val="center"/>
          </w:tcPr>
          <w:p w14:paraId="5383063E" w14:textId="7696C919"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35</w:t>
            </w:r>
          </w:p>
        </w:tc>
        <w:tc>
          <w:tcPr>
            <w:tcW w:w="990" w:type="dxa"/>
            <w:vAlign w:val="center"/>
          </w:tcPr>
          <w:p w14:paraId="64935B47" w14:textId="53164D44"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75</w:t>
            </w:r>
          </w:p>
        </w:tc>
        <w:tc>
          <w:tcPr>
            <w:tcW w:w="1486" w:type="dxa"/>
            <w:vAlign w:val="center"/>
          </w:tcPr>
          <w:p w14:paraId="04219C12" w14:textId="07A7B705"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1,524,224</w:t>
            </w:r>
          </w:p>
        </w:tc>
        <w:tc>
          <w:tcPr>
            <w:tcW w:w="1754" w:type="dxa"/>
            <w:vAlign w:val="center"/>
          </w:tcPr>
          <w:p w14:paraId="186D19E3" w14:textId="4D8E5121"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885,398</w:t>
            </w:r>
          </w:p>
        </w:tc>
      </w:tr>
      <w:tr w:rsidR="00436E45" w14:paraId="6A9E6656" w14:textId="77777777" w:rsidTr="00AB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49A21489" w14:textId="7D7D6A16"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2022</w:t>
            </w:r>
          </w:p>
        </w:tc>
        <w:tc>
          <w:tcPr>
            <w:tcW w:w="1291" w:type="dxa"/>
            <w:vAlign w:val="center"/>
          </w:tcPr>
          <w:p w14:paraId="69FA9AF7" w14:textId="0DA3A121"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2,929</w:t>
            </w:r>
          </w:p>
        </w:tc>
        <w:tc>
          <w:tcPr>
            <w:tcW w:w="1141" w:type="dxa"/>
            <w:vAlign w:val="center"/>
          </w:tcPr>
          <w:p w14:paraId="4E17F5B5" w14:textId="2F5F37C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169</w:t>
            </w:r>
          </w:p>
        </w:tc>
        <w:tc>
          <w:tcPr>
            <w:tcW w:w="1066" w:type="dxa"/>
            <w:vAlign w:val="center"/>
          </w:tcPr>
          <w:p w14:paraId="083A03E3" w14:textId="6C796C08"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55</w:t>
            </w:r>
          </w:p>
        </w:tc>
        <w:tc>
          <w:tcPr>
            <w:tcW w:w="900" w:type="dxa"/>
            <w:vAlign w:val="center"/>
          </w:tcPr>
          <w:p w14:paraId="34B3DADB" w14:textId="6E30DEAD"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38</w:t>
            </w:r>
          </w:p>
        </w:tc>
        <w:tc>
          <w:tcPr>
            <w:tcW w:w="900" w:type="dxa"/>
            <w:vAlign w:val="center"/>
          </w:tcPr>
          <w:p w14:paraId="72DFD0A8" w14:textId="776EE505"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20</w:t>
            </w:r>
          </w:p>
        </w:tc>
        <w:tc>
          <w:tcPr>
            <w:tcW w:w="900" w:type="dxa"/>
            <w:vAlign w:val="center"/>
          </w:tcPr>
          <w:p w14:paraId="0F54B9B7" w14:textId="76E35ED6"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35</w:t>
            </w:r>
          </w:p>
        </w:tc>
        <w:tc>
          <w:tcPr>
            <w:tcW w:w="990" w:type="dxa"/>
            <w:vAlign w:val="center"/>
          </w:tcPr>
          <w:p w14:paraId="40655E8C" w14:textId="029689F1"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75</w:t>
            </w:r>
          </w:p>
        </w:tc>
        <w:tc>
          <w:tcPr>
            <w:tcW w:w="1486" w:type="dxa"/>
            <w:vAlign w:val="center"/>
          </w:tcPr>
          <w:p w14:paraId="0BE8FC20" w14:textId="1AC217C4"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1,497,312</w:t>
            </w:r>
          </w:p>
        </w:tc>
        <w:tc>
          <w:tcPr>
            <w:tcW w:w="1754" w:type="dxa"/>
            <w:vAlign w:val="center"/>
          </w:tcPr>
          <w:p w14:paraId="041D143F" w14:textId="312C5ED9"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861,542</w:t>
            </w:r>
          </w:p>
        </w:tc>
      </w:tr>
      <w:tr w:rsidR="00436E45" w14:paraId="16E4AC61" w14:textId="77777777" w:rsidTr="00AB6457">
        <w:tc>
          <w:tcPr>
            <w:cnfStyle w:val="001000000000" w:firstRow="0" w:lastRow="0" w:firstColumn="1" w:lastColumn="0" w:oddVBand="0" w:evenVBand="0" w:oddHBand="0" w:evenHBand="0" w:firstRowFirstColumn="0" w:firstRowLastColumn="0" w:lastRowFirstColumn="0" w:lastRowLastColumn="0"/>
            <w:tcW w:w="1267" w:type="dxa"/>
            <w:vAlign w:val="bottom"/>
          </w:tcPr>
          <w:p w14:paraId="59C8ECF3" w14:textId="314280AA"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2023</w:t>
            </w:r>
          </w:p>
        </w:tc>
        <w:tc>
          <w:tcPr>
            <w:tcW w:w="1291" w:type="dxa"/>
            <w:vAlign w:val="center"/>
          </w:tcPr>
          <w:p w14:paraId="0C36FBD9" w14:textId="6BCE00A2"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2,954</w:t>
            </w:r>
          </w:p>
        </w:tc>
        <w:tc>
          <w:tcPr>
            <w:tcW w:w="1141" w:type="dxa"/>
            <w:vAlign w:val="center"/>
          </w:tcPr>
          <w:p w14:paraId="346877F1" w14:textId="3A51FC4D"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171</w:t>
            </w:r>
          </w:p>
        </w:tc>
        <w:tc>
          <w:tcPr>
            <w:tcW w:w="1066" w:type="dxa"/>
            <w:vAlign w:val="center"/>
          </w:tcPr>
          <w:p w14:paraId="26CE36AA" w14:textId="64814EA0"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56</w:t>
            </w:r>
          </w:p>
        </w:tc>
        <w:tc>
          <w:tcPr>
            <w:tcW w:w="900" w:type="dxa"/>
            <w:vAlign w:val="center"/>
          </w:tcPr>
          <w:p w14:paraId="5013D0A1" w14:textId="0259AAE3"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center"/>
          </w:tcPr>
          <w:p w14:paraId="23378529" w14:textId="4BCB9DC2"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23FC331D" w14:textId="2C6207BE"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1D41A260" w14:textId="0CDE14B1"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74</w:t>
            </w:r>
          </w:p>
        </w:tc>
        <w:tc>
          <w:tcPr>
            <w:tcW w:w="1486" w:type="dxa"/>
            <w:vAlign w:val="center"/>
          </w:tcPr>
          <w:p w14:paraId="79FEF13F" w14:textId="488E8F9C"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ascii="Lucida Grande" w:hAnsi="Lucida Grande" w:cs="Lucida Grande"/>
                <w:color w:val="000000"/>
                <w:sz w:val="22"/>
                <w:szCs w:val="22"/>
              </w:rPr>
              <w:t>1,465,475</w:t>
            </w:r>
          </w:p>
        </w:tc>
        <w:tc>
          <w:tcPr>
            <w:tcW w:w="1754" w:type="dxa"/>
            <w:vAlign w:val="center"/>
          </w:tcPr>
          <w:p w14:paraId="4479FCD1" w14:textId="3E1F4684" w:rsid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Pr>
                <w:rFonts w:cs="Calibri"/>
                <w:color w:val="000000"/>
              </w:rPr>
              <w:t>839,263</w:t>
            </w:r>
          </w:p>
        </w:tc>
      </w:tr>
      <w:tr w:rsidR="00436E45" w14:paraId="37702632" w14:textId="77777777" w:rsidTr="00AB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vAlign w:val="bottom"/>
          </w:tcPr>
          <w:p w14:paraId="5DB5BF88" w14:textId="63F9DDFF"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2024</w:t>
            </w:r>
          </w:p>
        </w:tc>
        <w:tc>
          <w:tcPr>
            <w:tcW w:w="1291" w:type="dxa"/>
            <w:vAlign w:val="center"/>
          </w:tcPr>
          <w:p w14:paraId="2081AA63" w14:textId="6CED3D46"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2,968</w:t>
            </w:r>
          </w:p>
        </w:tc>
        <w:tc>
          <w:tcPr>
            <w:tcW w:w="1141" w:type="dxa"/>
            <w:vAlign w:val="center"/>
          </w:tcPr>
          <w:p w14:paraId="2972539C" w14:textId="1A5936EA"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173</w:t>
            </w:r>
          </w:p>
        </w:tc>
        <w:tc>
          <w:tcPr>
            <w:tcW w:w="1066" w:type="dxa"/>
            <w:vAlign w:val="center"/>
          </w:tcPr>
          <w:p w14:paraId="21FE51A1" w14:textId="6BE504E9"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56</w:t>
            </w:r>
          </w:p>
        </w:tc>
        <w:tc>
          <w:tcPr>
            <w:tcW w:w="900" w:type="dxa"/>
            <w:vAlign w:val="center"/>
          </w:tcPr>
          <w:p w14:paraId="348E4BAE" w14:textId="5E7A4390"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39</w:t>
            </w:r>
          </w:p>
        </w:tc>
        <w:tc>
          <w:tcPr>
            <w:tcW w:w="900" w:type="dxa"/>
            <w:vAlign w:val="center"/>
          </w:tcPr>
          <w:p w14:paraId="51FA22E8" w14:textId="01331CC9"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21</w:t>
            </w:r>
          </w:p>
        </w:tc>
        <w:tc>
          <w:tcPr>
            <w:tcW w:w="900" w:type="dxa"/>
            <w:vAlign w:val="center"/>
          </w:tcPr>
          <w:p w14:paraId="041A102D" w14:textId="6359DA52"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36</w:t>
            </w:r>
          </w:p>
        </w:tc>
        <w:tc>
          <w:tcPr>
            <w:tcW w:w="990" w:type="dxa"/>
            <w:vAlign w:val="center"/>
          </w:tcPr>
          <w:p w14:paraId="76EB456B" w14:textId="2DBE6EA0"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72</w:t>
            </w:r>
          </w:p>
        </w:tc>
        <w:tc>
          <w:tcPr>
            <w:tcW w:w="1486" w:type="dxa"/>
            <w:vAlign w:val="center"/>
          </w:tcPr>
          <w:p w14:paraId="3AD3071E" w14:textId="01E122F1"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ascii="Lucida Grande" w:hAnsi="Lucida Grande" w:cs="Lucida Grande"/>
                <w:color w:val="000000"/>
                <w:sz w:val="22"/>
                <w:szCs w:val="22"/>
              </w:rPr>
              <w:t>1,427,808</w:t>
            </w:r>
          </w:p>
        </w:tc>
        <w:tc>
          <w:tcPr>
            <w:tcW w:w="1754" w:type="dxa"/>
            <w:vAlign w:val="center"/>
          </w:tcPr>
          <w:p w14:paraId="4CC4DD71" w14:textId="4920780B" w:rsidR="00436E45" w:rsidRDefault="00436E45" w:rsidP="00436E45">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0"/>
                <w:szCs w:val="20"/>
              </w:rPr>
            </w:pPr>
            <w:r>
              <w:rPr>
                <w:rFonts w:cs="Calibri"/>
                <w:color w:val="000000"/>
              </w:rPr>
              <w:t>814,649</w:t>
            </w:r>
          </w:p>
        </w:tc>
      </w:tr>
      <w:tr w:rsidR="00436E45" w14:paraId="69FACA27" w14:textId="77777777" w:rsidTr="00AB6457">
        <w:tc>
          <w:tcPr>
            <w:cnfStyle w:val="001000000000" w:firstRow="0" w:lastRow="0" w:firstColumn="1" w:lastColumn="0" w:oddVBand="0" w:evenVBand="0" w:oddHBand="0" w:evenHBand="0" w:firstRowFirstColumn="0" w:firstRowLastColumn="0" w:lastRowFirstColumn="0" w:lastRowLastColumn="0"/>
            <w:tcW w:w="1267" w:type="dxa"/>
            <w:vAlign w:val="bottom"/>
          </w:tcPr>
          <w:p w14:paraId="64762673" w14:textId="030D8B26" w:rsidR="00436E45" w:rsidRPr="00436E45" w:rsidRDefault="00436E45" w:rsidP="00436E45">
            <w:pPr>
              <w:pStyle w:val="ListParagraph"/>
              <w:ind w:left="0"/>
              <w:jc w:val="center"/>
              <w:rPr>
                <w:b/>
                <w:bCs/>
                <w:i w:val="0"/>
                <w:iCs w:val="0"/>
                <w:sz w:val="20"/>
                <w:szCs w:val="20"/>
              </w:rPr>
            </w:pPr>
            <w:r w:rsidRPr="00436E45">
              <w:rPr>
                <w:rFonts w:ascii="Lucida Grande" w:hAnsi="Lucida Grande" w:cs="Lucida Grande"/>
                <w:b/>
                <w:bCs/>
                <w:i w:val="0"/>
                <w:iCs w:val="0"/>
                <w:color w:val="000000"/>
                <w:sz w:val="22"/>
                <w:szCs w:val="22"/>
              </w:rPr>
              <w:t>Total</w:t>
            </w:r>
          </w:p>
        </w:tc>
        <w:tc>
          <w:tcPr>
            <w:tcW w:w="1291" w:type="dxa"/>
            <w:vAlign w:val="center"/>
          </w:tcPr>
          <w:p w14:paraId="23AE0543" w14:textId="45EE70DD"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25,778</w:t>
            </w:r>
          </w:p>
        </w:tc>
        <w:tc>
          <w:tcPr>
            <w:tcW w:w="1141" w:type="dxa"/>
            <w:vAlign w:val="center"/>
          </w:tcPr>
          <w:p w14:paraId="660C9C00" w14:textId="510CE7AE"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1,448</w:t>
            </w:r>
          </w:p>
        </w:tc>
        <w:tc>
          <w:tcPr>
            <w:tcW w:w="1066" w:type="dxa"/>
            <w:vAlign w:val="center"/>
          </w:tcPr>
          <w:p w14:paraId="0CC9A2D7" w14:textId="444942A9"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472</w:t>
            </w:r>
          </w:p>
        </w:tc>
        <w:tc>
          <w:tcPr>
            <w:tcW w:w="900" w:type="dxa"/>
            <w:vAlign w:val="center"/>
          </w:tcPr>
          <w:p w14:paraId="2E78C8BB" w14:textId="11A7D414"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328</w:t>
            </w:r>
          </w:p>
        </w:tc>
        <w:tc>
          <w:tcPr>
            <w:tcW w:w="900" w:type="dxa"/>
            <w:vAlign w:val="center"/>
          </w:tcPr>
          <w:p w14:paraId="6AB9715E" w14:textId="360DD7A0"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176</w:t>
            </w:r>
          </w:p>
        </w:tc>
        <w:tc>
          <w:tcPr>
            <w:tcW w:w="900" w:type="dxa"/>
            <w:vAlign w:val="center"/>
          </w:tcPr>
          <w:p w14:paraId="673F0F45" w14:textId="7F6957D0"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304</w:t>
            </w:r>
          </w:p>
        </w:tc>
        <w:tc>
          <w:tcPr>
            <w:tcW w:w="990" w:type="dxa"/>
            <w:vAlign w:val="center"/>
          </w:tcPr>
          <w:p w14:paraId="7939A806" w14:textId="4242CB09"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681</w:t>
            </w:r>
          </w:p>
        </w:tc>
        <w:tc>
          <w:tcPr>
            <w:tcW w:w="1486" w:type="dxa"/>
            <w:vAlign w:val="center"/>
          </w:tcPr>
          <w:p w14:paraId="33EFE5D7" w14:textId="53F6E68B"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ascii="Lucida Grande" w:hAnsi="Lucida Grande" w:cs="Lucida Grande"/>
                <w:b/>
                <w:bCs/>
                <w:color w:val="000000"/>
                <w:sz w:val="22"/>
                <w:szCs w:val="22"/>
              </w:rPr>
              <w:t>15,494,017</w:t>
            </w:r>
          </w:p>
        </w:tc>
        <w:tc>
          <w:tcPr>
            <w:tcW w:w="1754" w:type="dxa"/>
            <w:vAlign w:val="center"/>
          </w:tcPr>
          <w:p w14:paraId="15514618" w14:textId="47BAFF6B" w:rsidR="00436E45" w:rsidRPr="00436E45" w:rsidRDefault="00436E45" w:rsidP="00436E45">
            <w:pPr>
              <w:pStyle w:val="ListParagraph"/>
              <w:ind w:left="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36E45">
              <w:rPr>
                <w:rFonts w:cs="Calibri"/>
                <w:b/>
                <w:bCs/>
                <w:color w:val="000000"/>
              </w:rPr>
              <w:t>9,662,299</w:t>
            </w:r>
          </w:p>
        </w:tc>
      </w:tr>
    </w:tbl>
    <w:p w14:paraId="7FA04BAE" w14:textId="77777777" w:rsidR="003E5E22" w:rsidRDefault="003E5E22" w:rsidP="005F24F1">
      <w:pPr>
        <w:pStyle w:val="ListParagraph"/>
        <w:ind w:left="0"/>
        <w:rPr>
          <w:b/>
          <w:bCs/>
          <w:sz w:val="28"/>
          <w:szCs w:val="32"/>
        </w:rPr>
      </w:pPr>
    </w:p>
    <w:p w14:paraId="7C540C0A" w14:textId="07D48934" w:rsidR="003E5E22" w:rsidRDefault="003E5E22" w:rsidP="005F24F1">
      <w:pPr>
        <w:pStyle w:val="ListParagraph"/>
        <w:ind w:left="0"/>
        <w:rPr>
          <w:b/>
          <w:bCs/>
          <w:sz w:val="28"/>
          <w:szCs w:val="32"/>
        </w:rPr>
        <w:sectPr w:rsidR="003E5E22" w:rsidSect="00436E45">
          <w:pgSz w:w="15840" w:h="12240" w:orient="landscape"/>
          <w:pgMar w:top="1440" w:right="1440" w:bottom="927" w:left="1440" w:header="720" w:footer="720" w:gutter="0"/>
          <w:cols w:space="720"/>
          <w:docGrid w:linePitch="360"/>
        </w:sectPr>
      </w:pPr>
    </w:p>
    <w:p w14:paraId="7046DA5F" w14:textId="77777777" w:rsidR="000D1987" w:rsidRDefault="000D1987" w:rsidP="005F24F1">
      <w:pPr>
        <w:pStyle w:val="ListParagraph"/>
        <w:ind w:left="0"/>
        <w:rPr>
          <w:b/>
          <w:bCs/>
          <w:sz w:val="28"/>
          <w:szCs w:val="32"/>
        </w:rPr>
      </w:pPr>
    </w:p>
    <w:p w14:paraId="36AE40B3" w14:textId="77777777" w:rsidR="005F24F1" w:rsidRDefault="005F24F1" w:rsidP="005F24F1">
      <w:pPr>
        <w:pStyle w:val="ListParagraph"/>
        <w:ind w:left="0"/>
        <w:rPr>
          <w:b/>
          <w:bCs/>
          <w:sz w:val="28"/>
          <w:szCs w:val="32"/>
        </w:rPr>
      </w:pPr>
      <w:r>
        <w:rPr>
          <w:b/>
          <w:bCs/>
          <w:sz w:val="28"/>
          <w:szCs w:val="32"/>
        </w:rPr>
        <w:t>References</w:t>
      </w:r>
    </w:p>
    <w:p w14:paraId="55F4D0EB" w14:textId="77777777" w:rsidR="00EE4F06" w:rsidRDefault="00EE4F06">
      <w:pPr>
        <w:rPr>
          <w:b/>
          <w:bCs/>
        </w:rPr>
      </w:pPr>
    </w:p>
    <w:p w14:paraId="4930E8E8" w14:textId="20CB6FB9" w:rsidR="004F4CC4" w:rsidRPr="004F4CC4" w:rsidRDefault="00584B7C" w:rsidP="004F4CC4">
      <w:pPr>
        <w:widowControl w:val="0"/>
        <w:autoSpaceDE w:val="0"/>
        <w:autoSpaceDN w:val="0"/>
        <w:adjustRightInd w:val="0"/>
        <w:ind w:left="640" w:hanging="640"/>
        <w:rPr>
          <w:rFonts w:cs="Arial"/>
          <w:noProof/>
        </w:rPr>
      </w:pPr>
      <w:r>
        <w:rPr>
          <w:b/>
          <w:bCs/>
        </w:rPr>
        <w:fldChar w:fldCharType="begin" w:fldLock="1"/>
      </w:r>
      <w:r w:rsidRPr="00B06834">
        <w:rPr>
          <w:b/>
          <w:bCs/>
          <w:lang w:val="fi-FI"/>
        </w:rPr>
        <w:instrText xml:space="preserve">ADDIN Mendeley Bibliography CSL_BIBLIOGRAPHY </w:instrText>
      </w:r>
      <w:r>
        <w:rPr>
          <w:b/>
          <w:bCs/>
        </w:rPr>
        <w:fldChar w:fldCharType="separate"/>
      </w:r>
      <w:r w:rsidR="004F4CC4" w:rsidRPr="00414952">
        <w:rPr>
          <w:rFonts w:cs="Arial"/>
          <w:noProof/>
          <w:lang w:val="fi-FI"/>
        </w:rPr>
        <w:t xml:space="preserve">1 </w:t>
      </w:r>
      <w:r w:rsidR="004F4CC4" w:rsidRPr="00414952">
        <w:rPr>
          <w:rFonts w:cs="Arial"/>
          <w:noProof/>
          <w:lang w:val="fi-FI"/>
        </w:rPr>
        <w:tab/>
        <w:t xml:space="preserve">Rönn MM, Tuite AR, Menzies NA, </w:t>
      </w:r>
      <w:r w:rsidR="004F4CC4" w:rsidRPr="00414952">
        <w:rPr>
          <w:rFonts w:cs="Arial"/>
          <w:i/>
          <w:iCs/>
          <w:noProof/>
          <w:lang w:val="fi-FI"/>
        </w:rPr>
        <w:t>et al.</w:t>
      </w:r>
      <w:r w:rsidR="004F4CC4" w:rsidRPr="00414952">
        <w:rPr>
          <w:rFonts w:cs="Arial"/>
          <w:noProof/>
          <w:lang w:val="fi-FI"/>
        </w:rPr>
        <w:t xml:space="preserve"> </w:t>
      </w:r>
      <w:r w:rsidR="004F4CC4" w:rsidRPr="004F4CC4">
        <w:rPr>
          <w:rFonts w:cs="Arial"/>
          <w:noProof/>
        </w:rPr>
        <w:t xml:space="preserve">The Impact of Screening and Partner Notification on Chlamydia Prevalence and Numbers of Infections Averted in the United States, 2000–2015: Evaluation of Epidemiologic Trends Using a Pair-Formation Transmission Model. </w:t>
      </w:r>
      <w:r w:rsidR="004F4CC4" w:rsidRPr="004F4CC4">
        <w:rPr>
          <w:rFonts w:cs="Arial"/>
          <w:i/>
          <w:iCs/>
          <w:noProof/>
        </w:rPr>
        <w:t>Am J Epidemiol</w:t>
      </w:r>
      <w:r w:rsidR="004F4CC4" w:rsidRPr="004F4CC4">
        <w:rPr>
          <w:rFonts w:cs="Arial"/>
          <w:noProof/>
        </w:rPr>
        <w:t xml:space="preserve"> 2019:188(3):545–54.</w:t>
      </w:r>
    </w:p>
    <w:p w14:paraId="7463F913" w14:textId="77777777" w:rsidR="004F4CC4" w:rsidRPr="004F4CC4" w:rsidRDefault="004F4CC4" w:rsidP="004F4CC4">
      <w:pPr>
        <w:widowControl w:val="0"/>
        <w:autoSpaceDE w:val="0"/>
        <w:autoSpaceDN w:val="0"/>
        <w:adjustRightInd w:val="0"/>
        <w:ind w:left="640" w:hanging="640"/>
        <w:rPr>
          <w:rFonts w:cs="Arial"/>
          <w:noProof/>
        </w:rPr>
      </w:pPr>
      <w:r w:rsidRPr="004F4CC4">
        <w:rPr>
          <w:rFonts w:cs="Arial"/>
          <w:noProof/>
        </w:rPr>
        <w:t xml:space="preserve">2 </w:t>
      </w:r>
      <w:r w:rsidRPr="004F4CC4">
        <w:rPr>
          <w:rFonts w:cs="Arial"/>
          <w:noProof/>
        </w:rPr>
        <w:tab/>
        <w:t xml:space="preserve">Sullivan PW, Ghushchyan V. Preference-based EQ-5D index scores for chronic conditions in the United States. </w:t>
      </w:r>
      <w:r w:rsidRPr="004F4CC4">
        <w:rPr>
          <w:rFonts w:cs="Arial"/>
          <w:i/>
          <w:iCs/>
          <w:noProof/>
        </w:rPr>
        <w:t>Med Decis Mak</w:t>
      </w:r>
      <w:r w:rsidRPr="004F4CC4">
        <w:rPr>
          <w:rFonts w:cs="Arial"/>
          <w:noProof/>
        </w:rPr>
        <w:t xml:space="preserve"> 2006:26(4):410–20.</w:t>
      </w:r>
    </w:p>
    <w:p w14:paraId="3A574437" w14:textId="77777777" w:rsidR="004F4CC4" w:rsidRPr="004F4CC4" w:rsidRDefault="004F4CC4" w:rsidP="004F4CC4">
      <w:pPr>
        <w:widowControl w:val="0"/>
        <w:autoSpaceDE w:val="0"/>
        <w:autoSpaceDN w:val="0"/>
        <w:adjustRightInd w:val="0"/>
        <w:ind w:left="640" w:hanging="640"/>
        <w:rPr>
          <w:rFonts w:cs="Arial"/>
          <w:noProof/>
        </w:rPr>
      </w:pPr>
      <w:r w:rsidRPr="004F4CC4">
        <w:rPr>
          <w:rFonts w:cs="Arial"/>
          <w:noProof/>
        </w:rPr>
        <w:t xml:space="preserve">3 </w:t>
      </w:r>
      <w:r w:rsidRPr="004F4CC4">
        <w:rPr>
          <w:rFonts w:cs="Arial"/>
          <w:noProof/>
        </w:rPr>
        <w:tab/>
        <w:t>Global Burden of Disease Collaborative Network. Global Burden of Disease Study 2019 (GBD 2019) Disability Weights. 2019.Available from:http://ghdx.healthdata.org/record/ihme-data/gbd-2019-disability-weights Accessed October 8,2021.</w:t>
      </w:r>
    </w:p>
    <w:p w14:paraId="40E0C4A0" w14:textId="77777777" w:rsidR="004F4CC4" w:rsidRPr="004F4CC4" w:rsidRDefault="004F4CC4" w:rsidP="004F4CC4">
      <w:pPr>
        <w:widowControl w:val="0"/>
        <w:autoSpaceDE w:val="0"/>
        <w:autoSpaceDN w:val="0"/>
        <w:adjustRightInd w:val="0"/>
        <w:ind w:left="640" w:hanging="640"/>
        <w:rPr>
          <w:rFonts w:cs="Arial"/>
          <w:noProof/>
        </w:rPr>
      </w:pPr>
      <w:r w:rsidRPr="00414952">
        <w:rPr>
          <w:rFonts w:cs="Arial"/>
          <w:noProof/>
          <w:lang w:val="fi-FI"/>
        </w:rPr>
        <w:t xml:space="preserve">4 </w:t>
      </w:r>
      <w:r w:rsidRPr="00414952">
        <w:rPr>
          <w:rFonts w:cs="Arial"/>
          <w:noProof/>
          <w:lang w:val="fi-FI"/>
        </w:rPr>
        <w:tab/>
        <w:t xml:space="preserve">Rein DB, Kassler WJ, Irwin KL, </w:t>
      </w:r>
      <w:r w:rsidRPr="00414952">
        <w:rPr>
          <w:rFonts w:cs="Arial"/>
          <w:i/>
          <w:iCs/>
          <w:noProof/>
          <w:lang w:val="fi-FI"/>
        </w:rPr>
        <w:t>et al.</w:t>
      </w:r>
      <w:r w:rsidRPr="00414952">
        <w:rPr>
          <w:rFonts w:cs="Arial"/>
          <w:noProof/>
          <w:lang w:val="fi-FI"/>
        </w:rPr>
        <w:t xml:space="preserve"> </w:t>
      </w:r>
      <w:r w:rsidRPr="004F4CC4">
        <w:rPr>
          <w:rFonts w:cs="Arial"/>
          <w:noProof/>
        </w:rPr>
        <w:t xml:space="preserve">Direct medical cost of pelvic inflammatory disease and its sequelae: decreasing, but still substantial. </w:t>
      </w:r>
      <w:r w:rsidRPr="004F4CC4">
        <w:rPr>
          <w:rFonts w:cs="Arial"/>
          <w:i/>
          <w:iCs/>
          <w:noProof/>
        </w:rPr>
        <w:t>Obstet Gynecol</w:t>
      </w:r>
      <w:r w:rsidRPr="004F4CC4">
        <w:rPr>
          <w:rFonts w:cs="Arial"/>
          <w:noProof/>
        </w:rPr>
        <w:t xml:space="preserve"> 2000:95(3):397–402.</w:t>
      </w:r>
    </w:p>
    <w:p w14:paraId="09E41561" w14:textId="77777777" w:rsidR="004F4CC4" w:rsidRPr="004F4CC4" w:rsidRDefault="004F4CC4" w:rsidP="004F4CC4">
      <w:pPr>
        <w:widowControl w:val="0"/>
        <w:autoSpaceDE w:val="0"/>
        <w:autoSpaceDN w:val="0"/>
        <w:adjustRightInd w:val="0"/>
        <w:ind w:left="640" w:hanging="640"/>
        <w:rPr>
          <w:rFonts w:cs="Arial"/>
          <w:noProof/>
        </w:rPr>
      </w:pPr>
      <w:r w:rsidRPr="004F4CC4">
        <w:rPr>
          <w:rFonts w:cs="Arial"/>
          <w:noProof/>
        </w:rPr>
        <w:t xml:space="preserve">5 </w:t>
      </w:r>
      <w:r w:rsidRPr="004F4CC4">
        <w:rPr>
          <w:rFonts w:cs="Arial"/>
          <w:noProof/>
        </w:rPr>
        <w:tab/>
        <w:t xml:space="preserve">Price MJ, Ades AE, Soldan K, </w:t>
      </w:r>
      <w:r w:rsidRPr="004F4CC4">
        <w:rPr>
          <w:rFonts w:cs="Arial"/>
          <w:i/>
          <w:iCs/>
          <w:noProof/>
        </w:rPr>
        <w:t>et al.</w:t>
      </w:r>
      <w:r w:rsidRPr="004F4CC4">
        <w:rPr>
          <w:rFonts w:cs="Arial"/>
          <w:noProof/>
        </w:rPr>
        <w:t xml:space="preserve"> The natural history of Chlamydia trachomatis infection in women: a multi-parameter evidence synthesis. </w:t>
      </w:r>
      <w:r w:rsidRPr="004F4CC4">
        <w:rPr>
          <w:rFonts w:cs="Arial"/>
          <w:i/>
          <w:iCs/>
          <w:noProof/>
        </w:rPr>
        <w:t>Health Technol Assess</w:t>
      </w:r>
      <w:r w:rsidRPr="004F4CC4">
        <w:rPr>
          <w:rFonts w:cs="Arial"/>
          <w:noProof/>
        </w:rPr>
        <w:t xml:space="preserve"> 2016:20(22):1–250.</w:t>
      </w:r>
    </w:p>
    <w:p w14:paraId="0E14E942" w14:textId="77777777" w:rsidR="004F4CC4" w:rsidRPr="004F4CC4" w:rsidRDefault="004F4CC4" w:rsidP="004F4CC4">
      <w:pPr>
        <w:widowControl w:val="0"/>
        <w:autoSpaceDE w:val="0"/>
        <w:autoSpaceDN w:val="0"/>
        <w:adjustRightInd w:val="0"/>
        <w:ind w:left="640" w:hanging="640"/>
        <w:rPr>
          <w:rFonts w:cs="Arial"/>
          <w:noProof/>
        </w:rPr>
      </w:pPr>
      <w:r w:rsidRPr="004F4CC4">
        <w:rPr>
          <w:rFonts w:cs="Arial"/>
          <w:noProof/>
        </w:rPr>
        <w:t xml:space="preserve">6 </w:t>
      </w:r>
      <w:r w:rsidRPr="004F4CC4">
        <w:rPr>
          <w:rFonts w:cs="Arial"/>
          <w:noProof/>
        </w:rPr>
        <w:tab/>
        <w:t xml:space="preserve">Stratton K, Durch J, Lawrence R. </w:t>
      </w:r>
      <w:r w:rsidRPr="004F4CC4">
        <w:rPr>
          <w:rFonts w:cs="Arial"/>
          <w:i/>
          <w:iCs/>
          <w:noProof/>
        </w:rPr>
        <w:t>Vaccines for the 21st Century</w:t>
      </w:r>
      <w:r w:rsidRPr="004F4CC4">
        <w:rPr>
          <w:rFonts w:cs="Arial"/>
          <w:noProof/>
        </w:rPr>
        <w:t xml:space="preserve">. National Academies Press 2000. </w:t>
      </w:r>
    </w:p>
    <w:p w14:paraId="334C9050" w14:textId="5345333C" w:rsidR="00AA4CBD" w:rsidRPr="007A6BD4" w:rsidRDefault="00584B7C" w:rsidP="004F4CC4">
      <w:pPr>
        <w:widowControl w:val="0"/>
        <w:autoSpaceDE w:val="0"/>
        <w:autoSpaceDN w:val="0"/>
        <w:adjustRightInd w:val="0"/>
        <w:ind w:left="640" w:hanging="640"/>
        <w:rPr>
          <w:b/>
          <w:bCs/>
        </w:rPr>
      </w:pPr>
      <w:r>
        <w:rPr>
          <w:b/>
          <w:bCs/>
        </w:rPr>
        <w:fldChar w:fldCharType="end"/>
      </w:r>
    </w:p>
    <w:sectPr w:rsidR="00AA4CBD" w:rsidRPr="007A6BD4" w:rsidSect="007D6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3458" w14:textId="77777777" w:rsidR="000E2309" w:rsidRDefault="000E2309" w:rsidP="007A6BD4">
      <w:r>
        <w:separator/>
      </w:r>
    </w:p>
  </w:endnote>
  <w:endnote w:type="continuationSeparator" w:id="0">
    <w:p w14:paraId="6E5D533F" w14:textId="77777777" w:rsidR="000E2309" w:rsidRDefault="000E2309" w:rsidP="007A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D3A0" w14:textId="5260DA59" w:rsidR="007A6BD4" w:rsidRDefault="007A6BD4" w:rsidP="002C47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4B7C">
      <w:rPr>
        <w:rStyle w:val="PageNumber"/>
        <w:noProof/>
      </w:rPr>
      <w:t>12</w:t>
    </w:r>
    <w:r>
      <w:rPr>
        <w:rStyle w:val="PageNumber"/>
      </w:rPr>
      <w:fldChar w:fldCharType="end"/>
    </w:r>
  </w:p>
  <w:p w14:paraId="669F99E8" w14:textId="77777777" w:rsidR="007A6BD4" w:rsidRDefault="007A6BD4" w:rsidP="007A6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48A7" w14:textId="77777777" w:rsidR="007A6BD4" w:rsidRDefault="007A6BD4" w:rsidP="002C47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0DFE2B" w14:textId="77777777" w:rsidR="007A6BD4" w:rsidRDefault="007A6BD4" w:rsidP="007A6B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343B" w14:textId="77777777" w:rsidR="009D4E57" w:rsidRDefault="009D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DB6A" w14:textId="77777777" w:rsidR="000E2309" w:rsidRDefault="000E2309" w:rsidP="007A6BD4">
      <w:r>
        <w:separator/>
      </w:r>
    </w:p>
  </w:footnote>
  <w:footnote w:type="continuationSeparator" w:id="0">
    <w:p w14:paraId="6AF997BE" w14:textId="77777777" w:rsidR="000E2309" w:rsidRDefault="000E2309" w:rsidP="007A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555" w14:textId="77777777" w:rsidR="009D4E57" w:rsidRDefault="009D4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807" w14:textId="77777777" w:rsidR="009D4E57" w:rsidRDefault="009D4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996" w14:textId="77777777" w:rsidR="009D4E57" w:rsidRDefault="009D4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AE0"/>
    <w:multiLevelType w:val="hybridMultilevel"/>
    <w:tmpl w:val="41B2DC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BB7DBF"/>
    <w:multiLevelType w:val="hybridMultilevel"/>
    <w:tmpl w:val="41B2DC90"/>
    <w:lvl w:ilvl="0" w:tplc="20E43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12879"/>
    <w:multiLevelType w:val="hybridMultilevel"/>
    <w:tmpl w:val="BC0CD3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014F72"/>
    <w:multiLevelType w:val="hybridMultilevel"/>
    <w:tmpl w:val="34C4A4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E87E67"/>
    <w:multiLevelType w:val="hybridMultilevel"/>
    <w:tmpl w:val="5D5C1A86"/>
    <w:lvl w:ilvl="0" w:tplc="FFFFFFFF">
      <w:start w:val="1"/>
      <w:numFmt w:val="low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 w15:restartNumberingAfterBreak="0">
    <w:nsid w:val="6E1B5296"/>
    <w:multiLevelType w:val="hybridMultilevel"/>
    <w:tmpl w:val="4A3C62AC"/>
    <w:lvl w:ilvl="0" w:tplc="AEB6F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324EB"/>
    <w:multiLevelType w:val="hybridMultilevel"/>
    <w:tmpl w:val="BF5814CE"/>
    <w:lvl w:ilvl="0" w:tplc="287C92C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6175676">
    <w:abstractNumId w:val="1"/>
  </w:num>
  <w:num w:numId="2" w16cid:durableId="884680619">
    <w:abstractNumId w:val="2"/>
  </w:num>
  <w:num w:numId="3" w16cid:durableId="1145318089">
    <w:abstractNumId w:val="3"/>
  </w:num>
  <w:num w:numId="4" w16cid:durableId="1152066465">
    <w:abstractNumId w:val="6"/>
  </w:num>
  <w:num w:numId="5" w16cid:durableId="757793665">
    <w:abstractNumId w:val="4"/>
  </w:num>
  <w:num w:numId="6" w16cid:durableId="291061685">
    <w:abstractNumId w:val="0"/>
  </w:num>
  <w:num w:numId="7" w16cid:durableId="801729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6F"/>
    <w:rsid w:val="00021553"/>
    <w:rsid w:val="00024E5D"/>
    <w:rsid w:val="00051972"/>
    <w:rsid w:val="00080551"/>
    <w:rsid w:val="000A342B"/>
    <w:rsid w:val="000C467F"/>
    <w:rsid w:val="000C7112"/>
    <w:rsid w:val="000D1987"/>
    <w:rsid w:val="000D28FF"/>
    <w:rsid w:val="000D667F"/>
    <w:rsid w:val="000E2309"/>
    <w:rsid w:val="0010388F"/>
    <w:rsid w:val="00142D85"/>
    <w:rsid w:val="00147182"/>
    <w:rsid w:val="00167E7B"/>
    <w:rsid w:val="00187880"/>
    <w:rsid w:val="001A31BF"/>
    <w:rsid w:val="001B2D48"/>
    <w:rsid w:val="001E4071"/>
    <w:rsid w:val="001E686E"/>
    <w:rsid w:val="001F4421"/>
    <w:rsid w:val="002114C2"/>
    <w:rsid w:val="00212BC7"/>
    <w:rsid w:val="0023372A"/>
    <w:rsid w:val="00244385"/>
    <w:rsid w:val="0028454B"/>
    <w:rsid w:val="002912DA"/>
    <w:rsid w:val="002C47E0"/>
    <w:rsid w:val="002C709A"/>
    <w:rsid w:val="003004CB"/>
    <w:rsid w:val="003043C2"/>
    <w:rsid w:val="00312BCB"/>
    <w:rsid w:val="00312C96"/>
    <w:rsid w:val="0032717A"/>
    <w:rsid w:val="00337492"/>
    <w:rsid w:val="00360B71"/>
    <w:rsid w:val="00372C73"/>
    <w:rsid w:val="00377296"/>
    <w:rsid w:val="003806A2"/>
    <w:rsid w:val="003A2AC4"/>
    <w:rsid w:val="003B2CA4"/>
    <w:rsid w:val="003E5E22"/>
    <w:rsid w:val="00414952"/>
    <w:rsid w:val="00423361"/>
    <w:rsid w:val="00436E45"/>
    <w:rsid w:val="00462159"/>
    <w:rsid w:val="004641DB"/>
    <w:rsid w:val="00494B32"/>
    <w:rsid w:val="00496748"/>
    <w:rsid w:val="004C22FB"/>
    <w:rsid w:val="004C6D82"/>
    <w:rsid w:val="004F4CC4"/>
    <w:rsid w:val="00530548"/>
    <w:rsid w:val="00532114"/>
    <w:rsid w:val="0054552E"/>
    <w:rsid w:val="005573C6"/>
    <w:rsid w:val="005655AE"/>
    <w:rsid w:val="00584B7C"/>
    <w:rsid w:val="00590DF1"/>
    <w:rsid w:val="005A1DE8"/>
    <w:rsid w:val="005B0845"/>
    <w:rsid w:val="005C5919"/>
    <w:rsid w:val="005D3CDC"/>
    <w:rsid w:val="005E7961"/>
    <w:rsid w:val="005F24F1"/>
    <w:rsid w:val="005F7B53"/>
    <w:rsid w:val="00600FC6"/>
    <w:rsid w:val="00610D09"/>
    <w:rsid w:val="00653262"/>
    <w:rsid w:val="00656804"/>
    <w:rsid w:val="006676A2"/>
    <w:rsid w:val="0066785E"/>
    <w:rsid w:val="00685D7A"/>
    <w:rsid w:val="006867CE"/>
    <w:rsid w:val="006922C5"/>
    <w:rsid w:val="006A0A4D"/>
    <w:rsid w:val="006A5274"/>
    <w:rsid w:val="006A7069"/>
    <w:rsid w:val="006C038E"/>
    <w:rsid w:val="006E024D"/>
    <w:rsid w:val="00715B3D"/>
    <w:rsid w:val="007276F7"/>
    <w:rsid w:val="00757022"/>
    <w:rsid w:val="00766589"/>
    <w:rsid w:val="007A6BD4"/>
    <w:rsid w:val="007D16CF"/>
    <w:rsid w:val="007D6931"/>
    <w:rsid w:val="007E56D8"/>
    <w:rsid w:val="007F7D0C"/>
    <w:rsid w:val="00856988"/>
    <w:rsid w:val="00861824"/>
    <w:rsid w:val="00870E6F"/>
    <w:rsid w:val="008A72B1"/>
    <w:rsid w:val="008B061E"/>
    <w:rsid w:val="008B4A6A"/>
    <w:rsid w:val="008B6EAB"/>
    <w:rsid w:val="008E0969"/>
    <w:rsid w:val="008E3749"/>
    <w:rsid w:val="008E5068"/>
    <w:rsid w:val="008F3BED"/>
    <w:rsid w:val="00926F84"/>
    <w:rsid w:val="00947A44"/>
    <w:rsid w:val="00972A43"/>
    <w:rsid w:val="00995D02"/>
    <w:rsid w:val="009A698A"/>
    <w:rsid w:val="009B1A48"/>
    <w:rsid w:val="009D4E57"/>
    <w:rsid w:val="009D76C2"/>
    <w:rsid w:val="009E267E"/>
    <w:rsid w:val="009E284C"/>
    <w:rsid w:val="009E74F4"/>
    <w:rsid w:val="009F2823"/>
    <w:rsid w:val="00A04967"/>
    <w:rsid w:val="00A3159B"/>
    <w:rsid w:val="00A556F4"/>
    <w:rsid w:val="00A671A5"/>
    <w:rsid w:val="00A7310A"/>
    <w:rsid w:val="00A75557"/>
    <w:rsid w:val="00A84B8D"/>
    <w:rsid w:val="00AA4CBD"/>
    <w:rsid w:val="00AB1958"/>
    <w:rsid w:val="00AC12DB"/>
    <w:rsid w:val="00AE6475"/>
    <w:rsid w:val="00AF386A"/>
    <w:rsid w:val="00B02ED3"/>
    <w:rsid w:val="00B03CD1"/>
    <w:rsid w:val="00B06834"/>
    <w:rsid w:val="00B16054"/>
    <w:rsid w:val="00B2094D"/>
    <w:rsid w:val="00B21AD8"/>
    <w:rsid w:val="00B41594"/>
    <w:rsid w:val="00B714C2"/>
    <w:rsid w:val="00B9547A"/>
    <w:rsid w:val="00BA63E7"/>
    <w:rsid w:val="00BB532E"/>
    <w:rsid w:val="00BE2200"/>
    <w:rsid w:val="00BE47F8"/>
    <w:rsid w:val="00BE58EE"/>
    <w:rsid w:val="00BE6AF9"/>
    <w:rsid w:val="00C0658E"/>
    <w:rsid w:val="00C31F5C"/>
    <w:rsid w:val="00C33ACD"/>
    <w:rsid w:val="00C40940"/>
    <w:rsid w:val="00C55CF2"/>
    <w:rsid w:val="00C721FD"/>
    <w:rsid w:val="00C97516"/>
    <w:rsid w:val="00CC467A"/>
    <w:rsid w:val="00CD0250"/>
    <w:rsid w:val="00CD5DEE"/>
    <w:rsid w:val="00CE6586"/>
    <w:rsid w:val="00D075C1"/>
    <w:rsid w:val="00D139FB"/>
    <w:rsid w:val="00D312FC"/>
    <w:rsid w:val="00D4497F"/>
    <w:rsid w:val="00D5043F"/>
    <w:rsid w:val="00D50691"/>
    <w:rsid w:val="00D554CB"/>
    <w:rsid w:val="00D823A1"/>
    <w:rsid w:val="00D85CB6"/>
    <w:rsid w:val="00D863C6"/>
    <w:rsid w:val="00D9032B"/>
    <w:rsid w:val="00DA00A9"/>
    <w:rsid w:val="00DA2706"/>
    <w:rsid w:val="00DB53C9"/>
    <w:rsid w:val="00DC5EDD"/>
    <w:rsid w:val="00DC5F98"/>
    <w:rsid w:val="00DE1178"/>
    <w:rsid w:val="00DE598E"/>
    <w:rsid w:val="00E16258"/>
    <w:rsid w:val="00E6310B"/>
    <w:rsid w:val="00E66728"/>
    <w:rsid w:val="00E77F5D"/>
    <w:rsid w:val="00E85B63"/>
    <w:rsid w:val="00E94311"/>
    <w:rsid w:val="00EA0C95"/>
    <w:rsid w:val="00EA771D"/>
    <w:rsid w:val="00EB419E"/>
    <w:rsid w:val="00EB5CE0"/>
    <w:rsid w:val="00EB6737"/>
    <w:rsid w:val="00EE4F06"/>
    <w:rsid w:val="00F02F1A"/>
    <w:rsid w:val="00F4796A"/>
    <w:rsid w:val="00FA2147"/>
    <w:rsid w:val="00FA53FA"/>
    <w:rsid w:val="00FD5F68"/>
    <w:rsid w:val="00FD6DB6"/>
    <w:rsid w:val="00FF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175E9"/>
  <w15:chartTrackingRefBased/>
  <w15:docId w15:val="{F4B46859-1043-F641-BACF-B26657E8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6F"/>
    <w:rPr>
      <w:rFonts w:ascii="Arial" w:hAnsi="Arial"/>
      <w:sz w:val="22"/>
      <w:szCs w:val="24"/>
    </w:rPr>
  </w:style>
  <w:style w:type="paragraph" w:styleId="Heading1">
    <w:name w:val="heading 1"/>
    <w:basedOn w:val="Normal"/>
    <w:next w:val="Normal"/>
    <w:link w:val="Heading1Char"/>
    <w:uiPriority w:val="9"/>
    <w:qFormat/>
    <w:rsid w:val="00EA0C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E6F"/>
    <w:pPr>
      <w:keepNext/>
      <w:keepLines/>
      <w:spacing w:before="40"/>
      <w:outlineLvl w:val="1"/>
    </w:pPr>
    <w:rPr>
      <w:rFonts w:eastAsia="Times New Roma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70E6F"/>
    <w:rPr>
      <w:rFonts w:ascii="Arial" w:eastAsia="Times New Roman" w:hAnsi="Arial" w:cs="Times New Roman"/>
      <w:b/>
      <w:color w:val="000000"/>
      <w:sz w:val="26"/>
      <w:szCs w:val="26"/>
    </w:rPr>
  </w:style>
  <w:style w:type="table" w:styleId="TableGrid">
    <w:name w:val="Table Grid"/>
    <w:basedOn w:val="TableNormal"/>
    <w:uiPriority w:val="39"/>
    <w:rsid w:val="0087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70E6F"/>
    <w:rPr>
      <w:sz w:val="16"/>
      <w:szCs w:val="16"/>
    </w:rPr>
  </w:style>
  <w:style w:type="paragraph" w:styleId="CommentText">
    <w:name w:val="annotation text"/>
    <w:basedOn w:val="Normal"/>
    <w:link w:val="CommentTextChar"/>
    <w:uiPriority w:val="99"/>
    <w:unhideWhenUsed/>
    <w:rsid w:val="00870E6F"/>
    <w:rPr>
      <w:rFonts w:ascii="Calibri" w:hAnsi="Calibri"/>
      <w:sz w:val="20"/>
      <w:szCs w:val="20"/>
    </w:rPr>
  </w:style>
  <w:style w:type="character" w:customStyle="1" w:styleId="CommentTextChar">
    <w:name w:val="Comment Text Char"/>
    <w:link w:val="CommentText"/>
    <w:uiPriority w:val="99"/>
    <w:rsid w:val="00870E6F"/>
    <w:rPr>
      <w:sz w:val="20"/>
      <w:szCs w:val="20"/>
    </w:rPr>
  </w:style>
  <w:style w:type="paragraph" w:styleId="NormalWeb">
    <w:name w:val="Normal (Web)"/>
    <w:basedOn w:val="Normal"/>
    <w:uiPriority w:val="99"/>
    <w:unhideWhenUsed/>
    <w:rsid w:val="00870E6F"/>
    <w:pPr>
      <w:spacing w:before="100" w:beforeAutospacing="1" w:after="100" w:afterAutospacing="1"/>
    </w:pPr>
    <w:rPr>
      <w:rFonts w:ascii="Times" w:eastAsia="Times New Roman" w:hAnsi="Times"/>
      <w:szCs w:val="20"/>
    </w:rPr>
  </w:style>
  <w:style w:type="paragraph" w:styleId="ListParagraph">
    <w:name w:val="List Paragraph"/>
    <w:basedOn w:val="Normal"/>
    <w:uiPriority w:val="34"/>
    <w:qFormat/>
    <w:rsid w:val="00870E6F"/>
    <w:pPr>
      <w:ind w:left="720"/>
      <w:contextualSpacing/>
    </w:pPr>
    <w:rPr>
      <w:rFonts w:ascii="Calibri" w:hAnsi="Calibri"/>
      <w:sz w:val="24"/>
    </w:rPr>
  </w:style>
  <w:style w:type="paragraph" w:styleId="Footer">
    <w:name w:val="footer"/>
    <w:basedOn w:val="Normal"/>
    <w:link w:val="FooterChar"/>
    <w:uiPriority w:val="99"/>
    <w:unhideWhenUsed/>
    <w:rsid w:val="007A6BD4"/>
    <w:pPr>
      <w:tabs>
        <w:tab w:val="center" w:pos="4680"/>
        <w:tab w:val="right" w:pos="9360"/>
      </w:tabs>
    </w:pPr>
  </w:style>
  <w:style w:type="character" w:customStyle="1" w:styleId="FooterChar">
    <w:name w:val="Footer Char"/>
    <w:link w:val="Footer"/>
    <w:uiPriority w:val="99"/>
    <w:rsid w:val="007A6BD4"/>
    <w:rPr>
      <w:rFonts w:ascii="Arial" w:hAnsi="Arial"/>
      <w:sz w:val="22"/>
    </w:rPr>
  </w:style>
  <w:style w:type="character" w:styleId="PageNumber">
    <w:name w:val="page number"/>
    <w:basedOn w:val="DefaultParagraphFont"/>
    <w:uiPriority w:val="99"/>
    <w:semiHidden/>
    <w:unhideWhenUsed/>
    <w:rsid w:val="007A6BD4"/>
  </w:style>
  <w:style w:type="paragraph" w:styleId="FootnoteText">
    <w:name w:val="footnote text"/>
    <w:basedOn w:val="Normal"/>
    <w:link w:val="FootnoteTextChar"/>
    <w:uiPriority w:val="99"/>
    <w:semiHidden/>
    <w:unhideWhenUsed/>
    <w:rsid w:val="006A7069"/>
    <w:rPr>
      <w:sz w:val="20"/>
      <w:szCs w:val="20"/>
    </w:rPr>
  </w:style>
  <w:style w:type="character" w:customStyle="1" w:styleId="FootnoteTextChar">
    <w:name w:val="Footnote Text Char"/>
    <w:link w:val="FootnoteText"/>
    <w:uiPriority w:val="99"/>
    <w:semiHidden/>
    <w:rsid w:val="006A7069"/>
    <w:rPr>
      <w:rFonts w:ascii="Arial" w:hAnsi="Arial"/>
    </w:rPr>
  </w:style>
  <w:style w:type="character" w:styleId="FootnoteReference">
    <w:name w:val="footnote reference"/>
    <w:uiPriority w:val="99"/>
    <w:semiHidden/>
    <w:unhideWhenUsed/>
    <w:rsid w:val="006A7069"/>
    <w:rPr>
      <w:vertAlign w:val="superscript"/>
    </w:rPr>
  </w:style>
  <w:style w:type="character" w:customStyle="1" w:styleId="Heading1Char">
    <w:name w:val="Heading 1 Char"/>
    <w:basedOn w:val="DefaultParagraphFont"/>
    <w:link w:val="Heading1"/>
    <w:uiPriority w:val="9"/>
    <w:rsid w:val="00EA0C95"/>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E77F5D"/>
    <w:pPr>
      <w:tabs>
        <w:tab w:val="center" w:pos="4680"/>
        <w:tab w:val="right" w:pos="9360"/>
      </w:tabs>
    </w:pPr>
  </w:style>
  <w:style w:type="character" w:customStyle="1" w:styleId="HeaderChar">
    <w:name w:val="Header Char"/>
    <w:basedOn w:val="DefaultParagraphFont"/>
    <w:link w:val="Header"/>
    <w:uiPriority w:val="99"/>
    <w:rsid w:val="00E77F5D"/>
    <w:rPr>
      <w:rFonts w:ascii="Arial" w:hAnsi="Arial"/>
      <w:sz w:val="22"/>
      <w:szCs w:val="24"/>
    </w:rPr>
  </w:style>
  <w:style w:type="paragraph" w:styleId="CommentSubject">
    <w:name w:val="annotation subject"/>
    <w:basedOn w:val="CommentText"/>
    <w:next w:val="CommentText"/>
    <w:link w:val="CommentSubjectChar"/>
    <w:uiPriority w:val="99"/>
    <w:semiHidden/>
    <w:unhideWhenUsed/>
    <w:rsid w:val="005F7B53"/>
    <w:rPr>
      <w:rFonts w:ascii="Arial" w:hAnsi="Arial"/>
      <w:b/>
      <w:bCs/>
    </w:rPr>
  </w:style>
  <w:style w:type="character" w:customStyle="1" w:styleId="CommentSubjectChar">
    <w:name w:val="Comment Subject Char"/>
    <w:basedOn w:val="CommentTextChar"/>
    <w:link w:val="CommentSubject"/>
    <w:uiPriority w:val="99"/>
    <w:semiHidden/>
    <w:rsid w:val="005F7B53"/>
    <w:rPr>
      <w:rFonts w:ascii="Arial" w:hAnsi="Arial"/>
      <w:b/>
      <w:bCs/>
      <w:sz w:val="20"/>
      <w:szCs w:val="20"/>
    </w:rPr>
  </w:style>
  <w:style w:type="paragraph" w:styleId="Revision">
    <w:name w:val="Revision"/>
    <w:hidden/>
    <w:uiPriority w:val="99"/>
    <w:semiHidden/>
    <w:rsid w:val="00E94311"/>
    <w:rPr>
      <w:rFonts w:ascii="Arial" w:hAnsi="Arial"/>
      <w:sz w:val="22"/>
      <w:szCs w:val="24"/>
    </w:rPr>
  </w:style>
  <w:style w:type="table" w:styleId="PlainTable3">
    <w:name w:val="Plain Table 3"/>
    <w:basedOn w:val="TableNormal"/>
    <w:uiPriority w:val="43"/>
    <w:rsid w:val="000D19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198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FD6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012">
      <w:marLeft w:val="0"/>
      <w:marRight w:val="0"/>
      <w:marTop w:val="0"/>
      <w:marBottom w:val="0"/>
      <w:divBdr>
        <w:top w:val="none" w:sz="0" w:space="0" w:color="auto"/>
        <w:left w:val="none" w:sz="0" w:space="0" w:color="auto"/>
        <w:bottom w:val="none" w:sz="0" w:space="0" w:color="auto"/>
        <w:right w:val="none" w:sz="0" w:space="0" w:color="auto"/>
      </w:divBdr>
    </w:div>
    <w:div w:id="14431705">
      <w:marLeft w:val="0"/>
      <w:marRight w:val="0"/>
      <w:marTop w:val="0"/>
      <w:marBottom w:val="0"/>
      <w:divBdr>
        <w:top w:val="none" w:sz="0" w:space="0" w:color="auto"/>
        <w:left w:val="none" w:sz="0" w:space="0" w:color="auto"/>
        <w:bottom w:val="none" w:sz="0" w:space="0" w:color="auto"/>
        <w:right w:val="none" w:sz="0" w:space="0" w:color="auto"/>
      </w:divBdr>
    </w:div>
    <w:div w:id="14888893">
      <w:bodyDiv w:val="1"/>
      <w:marLeft w:val="0"/>
      <w:marRight w:val="0"/>
      <w:marTop w:val="0"/>
      <w:marBottom w:val="0"/>
      <w:divBdr>
        <w:top w:val="none" w:sz="0" w:space="0" w:color="auto"/>
        <w:left w:val="none" w:sz="0" w:space="0" w:color="auto"/>
        <w:bottom w:val="none" w:sz="0" w:space="0" w:color="auto"/>
        <w:right w:val="none" w:sz="0" w:space="0" w:color="auto"/>
      </w:divBdr>
    </w:div>
    <w:div w:id="17704275">
      <w:marLeft w:val="0"/>
      <w:marRight w:val="0"/>
      <w:marTop w:val="0"/>
      <w:marBottom w:val="0"/>
      <w:divBdr>
        <w:top w:val="none" w:sz="0" w:space="0" w:color="auto"/>
        <w:left w:val="none" w:sz="0" w:space="0" w:color="auto"/>
        <w:bottom w:val="none" w:sz="0" w:space="0" w:color="auto"/>
        <w:right w:val="none" w:sz="0" w:space="0" w:color="auto"/>
      </w:divBdr>
    </w:div>
    <w:div w:id="19935866">
      <w:marLeft w:val="0"/>
      <w:marRight w:val="0"/>
      <w:marTop w:val="0"/>
      <w:marBottom w:val="0"/>
      <w:divBdr>
        <w:top w:val="none" w:sz="0" w:space="0" w:color="auto"/>
        <w:left w:val="none" w:sz="0" w:space="0" w:color="auto"/>
        <w:bottom w:val="none" w:sz="0" w:space="0" w:color="auto"/>
        <w:right w:val="none" w:sz="0" w:space="0" w:color="auto"/>
      </w:divBdr>
    </w:div>
    <w:div w:id="20211431">
      <w:marLeft w:val="0"/>
      <w:marRight w:val="0"/>
      <w:marTop w:val="0"/>
      <w:marBottom w:val="0"/>
      <w:divBdr>
        <w:top w:val="none" w:sz="0" w:space="0" w:color="auto"/>
        <w:left w:val="none" w:sz="0" w:space="0" w:color="auto"/>
        <w:bottom w:val="none" w:sz="0" w:space="0" w:color="auto"/>
        <w:right w:val="none" w:sz="0" w:space="0" w:color="auto"/>
      </w:divBdr>
    </w:div>
    <w:div w:id="20397990">
      <w:marLeft w:val="0"/>
      <w:marRight w:val="0"/>
      <w:marTop w:val="0"/>
      <w:marBottom w:val="0"/>
      <w:divBdr>
        <w:top w:val="none" w:sz="0" w:space="0" w:color="auto"/>
        <w:left w:val="none" w:sz="0" w:space="0" w:color="auto"/>
        <w:bottom w:val="none" w:sz="0" w:space="0" w:color="auto"/>
        <w:right w:val="none" w:sz="0" w:space="0" w:color="auto"/>
      </w:divBdr>
    </w:div>
    <w:div w:id="26178103">
      <w:marLeft w:val="0"/>
      <w:marRight w:val="0"/>
      <w:marTop w:val="0"/>
      <w:marBottom w:val="0"/>
      <w:divBdr>
        <w:top w:val="none" w:sz="0" w:space="0" w:color="auto"/>
        <w:left w:val="none" w:sz="0" w:space="0" w:color="auto"/>
        <w:bottom w:val="none" w:sz="0" w:space="0" w:color="auto"/>
        <w:right w:val="none" w:sz="0" w:space="0" w:color="auto"/>
      </w:divBdr>
    </w:div>
    <w:div w:id="31807957">
      <w:marLeft w:val="0"/>
      <w:marRight w:val="0"/>
      <w:marTop w:val="0"/>
      <w:marBottom w:val="0"/>
      <w:divBdr>
        <w:top w:val="none" w:sz="0" w:space="0" w:color="auto"/>
        <w:left w:val="none" w:sz="0" w:space="0" w:color="auto"/>
        <w:bottom w:val="none" w:sz="0" w:space="0" w:color="auto"/>
        <w:right w:val="none" w:sz="0" w:space="0" w:color="auto"/>
      </w:divBdr>
    </w:div>
    <w:div w:id="45154475">
      <w:marLeft w:val="0"/>
      <w:marRight w:val="0"/>
      <w:marTop w:val="0"/>
      <w:marBottom w:val="0"/>
      <w:divBdr>
        <w:top w:val="none" w:sz="0" w:space="0" w:color="auto"/>
        <w:left w:val="none" w:sz="0" w:space="0" w:color="auto"/>
        <w:bottom w:val="none" w:sz="0" w:space="0" w:color="auto"/>
        <w:right w:val="none" w:sz="0" w:space="0" w:color="auto"/>
      </w:divBdr>
    </w:div>
    <w:div w:id="48648834">
      <w:marLeft w:val="0"/>
      <w:marRight w:val="0"/>
      <w:marTop w:val="0"/>
      <w:marBottom w:val="0"/>
      <w:divBdr>
        <w:top w:val="none" w:sz="0" w:space="0" w:color="auto"/>
        <w:left w:val="none" w:sz="0" w:space="0" w:color="auto"/>
        <w:bottom w:val="none" w:sz="0" w:space="0" w:color="auto"/>
        <w:right w:val="none" w:sz="0" w:space="0" w:color="auto"/>
      </w:divBdr>
    </w:div>
    <w:div w:id="49429254">
      <w:marLeft w:val="0"/>
      <w:marRight w:val="0"/>
      <w:marTop w:val="0"/>
      <w:marBottom w:val="0"/>
      <w:divBdr>
        <w:top w:val="none" w:sz="0" w:space="0" w:color="auto"/>
        <w:left w:val="none" w:sz="0" w:space="0" w:color="auto"/>
        <w:bottom w:val="none" w:sz="0" w:space="0" w:color="auto"/>
        <w:right w:val="none" w:sz="0" w:space="0" w:color="auto"/>
      </w:divBdr>
    </w:div>
    <w:div w:id="52118085">
      <w:marLeft w:val="0"/>
      <w:marRight w:val="0"/>
      <w:marTop w:val="0"/>
      <w:marBottom w:val="0"/>
      <w:divBdr>
        <w:top w:val="none" w:sz="0" w:space="0" w:color="auto"/>
        <w:left w:val="none" w:sz="0" w:space="0" w:color="auto"/>
        <w:bottom w:val="none" w:sz="0" w:space="0" w:color="auto"/>
        <w:right w:val="none" w:sz="0" w:space="0" w:color="auto"/>
      </w:divBdr>
    </w:div>
    <w:div w:id="66613835">
      <w:marLeft w:val="0"/>
      <w:marRight w:val="0"/>
      <w:marTop w:val="0"/>
      <w:marBottom w:val="0"/>
      <w:divBdr>
        <w:top w:val="none" w:sz="0" w:space="0" w:color="auto"/>
        <w:left w:val="none" w:sz="0" w:space="0" w:color="auto"/>
        <w:bottom w:val="none" w:sz="0" w:space="0" w:color="auto"/>
        <w:right w:val="none" w:sz="0" w:space="0" w:color="auto"/>
      </w:divBdr>
    </w:div>
    <w:div w:id="71464422">
      <w:marLeft w:val="0"/>
      <w:marRight w:val="0"/>
      <w:marTop w:val="0"/>
      <w:marBottom w:val="0"/>
      <w:divBdr>
        <w:top w:val="none" w:sz="0" w:space="0" w:color="auto"/>
        <w:left w:val="none" w:sz="0" w:space="0" w:color="auto"/>
        <w:bottom w:val="none" w:sz="0" w:space="0" w:color="auto"/>
        <w:right w:val="none" w:sz="0" w:space="0" w:color="auto"/>
      </w:divBdr>
    </w:div>
    <w:div w:id="90711593">
      <w:marLeft w:val="0"/>
      <w:marRight w:val="0"/>
      <w:marTop w:val="0"/>
      <w:marBottom w:val="0"/>
      <w:divBdr>
        <w:top w:val="none" w:sz="0" w:space="0" w:color="auto"/>
        <w:left w:val="none" w:sz="0" w:space="0" w:color="auto"/>
        <w:bottom w:val="none" w:sz="0" w:space="0" w:color="auto"/>
        <w:right w:val="none" w:sz="0" w:space="0" w:color="auto"/>
      </w:divBdr>
    </w:div>
    <w:div w:id="127551863">
      <w:marLeft w:val="0"/>
      <w:marRight w:val="0"/>
      <w:marTop w:val="0"/>
      <w:marBottom w:val="0"/>
      <w:divBdr>
        <w:top w:val="none" w:sz="0" w:space="0" w:color="auto"/>
        <w:left w:val="none" w:sz="0" w:space="0" w:color="auto"/>
        <w:bottom w:val="none" w:sz="0" w:space="0" w:color="auto"/>
        <w:right w:val="none" w:sz="0" w:space="0" w:color="auto"/>
      </w:divBdr>
    </w:div>
    <w:div w:id="128786583">
      <w:marLeft w:val="0"/>
      <w:marRight w:val="0"/>
      <w:marTop w:val="0"/>
      <w:marBottom w:val="0"/>
      <w:divBdr>
        <w:top w:val="none" w:sz="0" w:space="0" w:color="auto"/>
        <w:left w:val="none" w:sz="0" w:space="0" w:color="auto"/>
        <w:bottom w:val="none" w:sz="0" w:space="0" w:color="auto"/>
        <w:right w:val="none" w:sz="0" w:space="0" w:color="auto"/>
      </w:divBdr>
    </w:div>
    <w:div w:id="129786480">
      <w:marLeft w:val="0"/>
      <w:marRight w:val="0"/>
      <w:marTop w:val="0"/>
      <w:marBottom w:val="0"/>
      <w:divBdr>
        <w:top w:val="none" w:sz="0" w:space="0" w:color="auto"/>
        <w:left w:val="none" w:sz="0" w:space="0" w:color="auto"/>
        <w:bottom w:val="none" w:sz="0" w:space="0" w:color="auto"/>
        <w:right w:val="none" w:sz="0" w:space="0" w:color="auto"/>
      </w:divBdr>
    </w:div>
    <w:div w:id="139201139">
      <w:marLeft w:val="0"/>
      <w:marRight w:val="0"/>
      <w:marTop w:val="0"/>
      <w:marBottom w:val="0"/>
      <w:divBdr>
        <w:top w:val="none" w:sz="0" w:space="0" w:color="auto"/>
        <w:left w:val="none" w:sz="0" w:space="0" w:color="auto"/>
        <w:bottom w:val="none" w:sz="0" w:space="0" w:color="auto"/>
        <w:right w:val="none" w:sz="0" w:space="0" w:color="auto"/>
      </w:divBdr>
    </w:div>
    <w:div w:id="145903554">
      <w:marLeft w:val="0"/>
      <w:marRight w:val="0"/>
      <w:marTop w:val="0"/>
      <w:marBottom w:val="0"/>
      <w:divBdr>
        <w:top w:val="none" w:sz="0" w:space="0" w:color="auto"/>
        <w:left w:val="none" w:sz="0" w:space="0" w:color="auto"/>
        <w:bottom w:val="none" w:sz="0" w:space="0" w:color="auto"/>
        <w:right w:val="none" w:sz="0" w:space="0" w:color="auto"/>
      </w:divBdr>
    </w:div>
    <w:div w:id="146283037">
      <w:marLeft w:val="0"/>
      <w:marRight w:val="0"/>
      <w:marTop w:val="0"/>
      <w:marBottom w:val="0"/>
      <w:divBdr>
        <w:top w:val="none" w:sz="0" w:space="0" w:color="auto"/>
        <w:left w:val="none" w:sz="0" w:space="0" w:color="auto"/>
        <w:bottom w:val="none" w:sz="0" w:space="0" w:color="auto"/>
        <w:right w:val="none" w:sz="0" w:space="0" w:color="auto"/>
      </w:divBdr>
    </w:div>
    <w:div w:id="147332044">
      <w:marLeft w:val="0"/>
      <w:marRight w:val="0"/>
      <w:marTop w:val="0"/>
      <w:marBottom w:val="0"/>
      <w:divBdr>
        <w:top w:val="none" w:sz="0" w:space="0" w:color="auto"/>
        <w:left w:val="none" w:sz="0" w:space="0" w:color="auto"/>
        <w:bottom w:val="none" w:sz="0" w:space="0" w:color="auto"/>
        <w:right w:val="none" w:sz="0" w:space="0" w:color="auto"/>
      </w:divBdr>
    </w:div>
    <w:div w:id="147946586">
      <w:marLeft w:val="0"/>
      <w:marRight w:val="0"/>
      <w:marTop w:val="0"/>
      <w:marBottom w:val="0"/>
      <w:divBdr>
        <w:top w:val="none" w:sz="0" w:space="0" w:color="auto"/>
        <w:left w:val="none" w:sz="0" w:space="0" w:color="auto"/>
        <w:bottom w:val="none" w:sz="0" w:space="0" w:color="auto"/>
        <w:right w:val="none" w:sz="0" w:space="0" w:color="auto"/>
      </w:divBdr>
    </w:div>
    <w:div w:id="150365958">
      <w:marLeft w:val="0"/>
      <w:marRight w:val="0"/>
      <w:marTop w:val="0"/>
      <w:marBottom w:val="0"/>
      <w:divBdr>
        <w:top w:val="none" w:sz="0" w:space="0" w:color="auto"/>
        <w:left w:val="none" w:sz="0" w:space="0" w:color="auto"/>
        <w:bottom w:val="none" w:sz="0" w:space="0" w:color="auto"/>
        <w:right w:val="none" w:sz="0" w:space="0" w:color="auto"/>
      </w:divBdr>
    </w:div>
    <w:div w:id="150829354">
      <w:marLeft w:val="0"/>
      <w:marRight w:val="0"/>
      <w:marTop w:val="0"/>
      <w:marBottom w:val="0"/>
      <w:divBdr>
        <w:top w:val="none" w:sz="0" w:space="0" w:color="auto"/>
        <w:left w:val="none" w:sz="0" w:space="0" w:color="auto"/>
        <w:bottom w:val="none" w:sz="0" w:space="0" w:color="auto"/>
        <w:right w:val="none" w:sz="0" w:space="0" w:color="auto"/>
      </w:divBdr>
    </w:div>
    <w:div w:id="156458383">
      <w:marLeft w:val="0"/>
      <w:marRight w:val="0"/>
      <w:marTop w:val="0"/>
      <w:marBottom w:val="0"/>
      <w:divBdr>
        <w:top w:val="none" w:sz="0" w:space="0" w:color="auto"/>
        <w:left w:val="none" w:sz="0" w:space="0" w:color="auto"/>
        <w:bottom w:val="none" w:sz="0" w:space="0" w:color="auto"/>
        <w:right w:val="none" w:sz="0" w:space="0" w:color="auto"/>
      </w:divBdr>
    </w:div>
    <w:div w:id="163135553">
      <w:marLeft w:val="0"/>
      <w:marRight w:val="0"/>
      <w:marTop w:val="0"/>
      <w:marBottom w:val="0"/>
      <w:divBdr>
        <w:top w:val="none" w:sz="0" w:space="0" w:color="auto"/>
        <w:left w:val="none" w:sz="0" w:space="0" w:color="auto"/>
        <w:bottom w:val="none" w:sz="0" w:space="0" w:color="auto"/>
        <w:right w:val="none" w:sz="0" w:space="0" w:color="auto"/>
      </w:divBdr>
    </w:div>
    <w:div w:id="168446520">
      <w:marLeft w:val="0"/>
      <w:marRight w:val="0"/>
      <w:marTop w:val="0"/>
      <w:marBottom w:val="0"/>
      <w:divBdr>
        <w:top w:val="none" w:sz="0" w:space="0" w:color="auto"/>
        <w:left w:val="none" w:sz="0" w:space="0" w:color="auto"/>
        <w:bottom w:val="none" w:sz="0" w:space="0" w:color="auto"/>
        <w:right w:val="none" w:sz="0" w:space="0" w:color="auto"/>
      </w:divBdr>
    </w:div>
    <w:div w:id="170803181">
      <w:marLeft w:val="0"/>
      <w:marRight w:val="0"/>
      <w:marTop w:val="0"/>
      <w:marBottom w:val="0"/>
      <w:divBdr>
        <w:top w:val="none" w:sz="0" w:space="0" w:color="auto"/>
        <w:left w:val="none" w:sz="0" w:space="0" w:color="auto"/>
        <w:bottom w:val="none" w:sz="0" w:space="0" w:color="auto"/>
        <w:right w:val="none" w:sz="0" w:space="0" w:color="auto"/>
      </w:divBdr>
    </w:div>
    <w:div w:id="173227231">
      <w:marLeft w:val="0"/>
      <w:marRight w:val="0"/>
      <w:marTop w:val="0"/>
      <w:marBottom w:val="0"/>
      <w:divBdr>
        <w:top w:val="none" w:sz="0" w:space="0" w:color="auto"/>
        <w:left w:val="none" w:sz="0" w:space="0" w:color="auto"/>
        <w:bottom w:val="none" w:sz="0" w:space="0" w:color="auto"/>
        <w:right w:val="none" w:sz="0" w:space="0" w:color="auto"/>
      </w:divBdr>
    </w:div>
    <w:div w:id="176777642">
      <w:marLeft w:val="0"/>
      <w:marRight w:val="0"/>
      <w:marTop w:val="0"/>
      <w:marBottom w:val="0"/>
      <w:divBdr>
        <w:top w:val="none" w:sz="0" w:space="0" w:color="auto"/>
        <w:left w:val="none" w:sz="0" w:space="0" w:color="auto"/>
        <w:bottom w:val="none" w:sz="0" w:space="0" w:color="auto"/>
        <w:right w:val="none" w:sz="0" w:space="0" w:color="auto"/>
      </w:divBdr>
    </w:div>
    <w:div w:id="183524268">
      <w:marLeft w:val="0"/>
      <w:marRight w:val="0"/>
      <w:marTop w:val="0"/>
      <w:marBottom w:val="0"/>
      <w:divBdr>
        <w:top w:val="none" w:sz="0" w:space="0" w:color="auto"/>
        <w:left w:val="none" w:sz="0" w:space="0" w:color="auto"/>
        <w:bottom w:val="none" w:sz="0" w:space="0" w:color="auto"/>
        <w:right w:val="none" w:sz="0" w:space="0" w:color="auto"/>
      </w:divBdr>
    </w:div>
    <w:div w:id="185020851">
      <w:marLeft w:val="0"/>
      <w:marRight w:val="0"/>
      <w:marTop w:val="0"/>
      <w:marBottom w:val="0"/>
      <w:divBdr>
        <w:top w:val="none" w:sz="0" w:space="0" w:color="auto"/>
        <w:left w:val="none" w:sz="0" w:space="0" w:color="auto"/>
        <w:bottom w:val="none" w:sz="0" w:space="0" w:color="auto"/>
        <w:right w:val="none" w:sz="0" w:space="0" w:color="auto"/>
      </w:divBdr>
    </w:div>
    <w:div w:id="192310635">
      <w:marLeft w:val="0"/>
      <w:marRight w:val="0"/>
      <w:marTop w:val="0"/>
      <w:marBottom w:val="0"/>
      <w:divBdr>
        <w:top w:val="none" w:sz="0" w:space="0" w:color="auto"/>
        <w:left w:val="none" w:sz="0" w:space="0" w:color="auto"/>
        <w:bottom w:val="none" w:sz="0" w:space="0" w:color="auto"/>
        <w:right w:val="none" w:sz="0" w:space="0" w:color="auto"/>
      </w:divBdr>
    </w:div>
    <w:div w:id="192693397">
      <w:marLeft w:val="0"/>
      <w:marRight w:val="0"/>
      <w:marTop w:val="0"/>
      <w:marBottom w:val="0"/>
      <w:divBdr>
        <w:top w:val="none" w:sz="0" w:space="0" w:color="auto"/>
        <w:left w:val="none" w:sz="0" w:space="0" w:color="auto"/>
        <w:bottom w:val="none" w:sz="0" w:space="0" w:color="auto"/>
        <w:right w:val="none" w:sz="0" w:space="0" w:color="auto"/>
      </w:divBdr>
    </w:div>
    <w:div w:id="200828241">
      <w:marLeft w:val="0"/>
      <w:marRight w:val="0"/>
      <w:marTop w:val="0"/>
      <w:marBottom w:val="0"/>
      <w:divBdr>
        <w:top w:val="none" w:sz="0" w:space="0" w:color="auto"/>
        <w:left w:val="none" w:sz="0" w:space="0" w:color="auto"/>
        <w:bottom w:val="none" w:sz="0" w:space="0" w:color="auto"/>
        <w:right w:val="none" w:sz="0" w:space="0" w:color="auto"/>
      </w:divBdr>
    </w:div>
    <w:div w:id="201207923">
      <w:marLeft w:val="0"/>
      <w:marRight w:val="0"/>
      <w:marTop w:val="0"/>
      <w:marBottom w:val="0"/>
      <w:divBdr>
        <w:top w:val="none" w:sz="0" w:space="0" w:color="auto"/>
        <w:left w:val="none" w:sz="0" w:space="0" w:color="auto"/>
        <w:bottom w:val="none" w:sz="0" w:space="0" w:color="auto"/>
        <w:right w:val="none" w:sz="0" w:space="0" w:color="auto"/>
      </w:divBdr>
    </w:div>
    <w:div w:id="202376851">
      <w:marLeft w:val="0"/>
      <w:marRight w:val="150"/>
      <w:marTop w:val="0"/>
      <w:marBottom w:val="0"/>
      <w:divBdr>
        <w:top w:val="none" w:sz="0" w:space="0" w:color="auto"/>
        <w:left w:val="none" w:sz="0" w:space="0" w:color="auto"/>
        <w:bottom w:val="none" w:sz="0" w:space="0" w:color="auto"/>
        <w:right w:val="none" w:sz="0" w:space="0" w:color="auto"/>
      </w:divBdr>
      <w:divsChild>
        <w:div w:id="719667795">
          <w:marLeft w:val="0"/>
          <w:marRight w:val="150"/>
          <w:marTop w:val="0"/>
          <w:marBottom w:val="0"/>
          <w:divBdr>
            <w:top w:val="none" w:sz="0" w:space="0" w:color="auto"/>
            <w:left w:val="none" w:sz="0" w:space="0" w:color="auto"/>
            <w:bottom w:val="none" w:sz="0" w:space="0" w:color="auto"/>
            <w:right w:val="none" w:sz="0" w:space="0" w:color="auto"/>
          </w:divBdr>
        </w:div>
      </w:divsChild>
    </w:div>
    <w:div w:id="203298650">
      <w:marLeft w:val="0"/>
      <w:marRight w:val="0"/>
      <w:marTop w:val="0"/>
      <w:marBottom w:val="0"/>
      <w:divBdr>
        <w:top w:val="none" w:sz="0" w:space="0" w:color="auto"/>
        <w:left w:val="none" w:sz="0" w:space="0" w:color="auto"/>
        <w:bottom w:val="none" w:sz="0" w:space="0" w:color="auto"/>
        <w:right w:val="none" w:sz="0" w:space="0" w:color="auto"/>
      </w:divBdr>
    </w:div>
    <w:div w:id="207573005">
      <w:marLeft w:val="0"/>
      <w:marRight w:val="0"/>
      <w:marTop w:val="0"/>
      <w:marBottom w:val="0"/>
      <w:divBdr>
        <w:top w:val="none" w:sz="0" w:space="0" w:color="auto"/>
        <w:left w:val="none" w:sz="0" w:space="0" w:color="auto"/>
        <w:bottom w:val="none" w:sz="0" w:space="0" w:color="auto"/>
        <w:right w:val="none" w:sz="0" w:space="0" w:color="auto"/>
      </w:divBdr>
    </w:div>
    <w:div w:id="219564202">
      <w:marLeft w:val="0"/>
      <w:marRight w:val="0"/>
      <w:marTop w:val="0"/>
      <w:marBottom w:val="0"/>
      <w:divBdr>
        <w:top w:val="none" w:sz="0" w:space="0" w:color="auto"/>
        <w:left w:val="none" w:sz="0" w:space="0" w:color="auto"/>
        <w:bottom w:val="none" w:sz="0" w:space="0" w:color="auto"/>
        <w:right w:val="none" w:sz="0" w:space="0" w:color="auto"/>
      </w:divBdr>
    </w:div>
    <w:div w:id="230430430">
      <w:marLeft w:val="0"/>
      <w:marRight w:val="0"/>
      <w:marTop w:val="0"/>
      <w:marBottom w:val="0"/>
      <w:divBdr>
        <w:top w:val="none" w:sz="0" w:space="0" w:color="auto"/>
        <w:left w:val="none" w:sz="0" w:space="0" w:color="auto"/>
        <w:bottom w:val="none" w:sz="0" w:space="0" w:color="auto"/>
        <w:right w:val="none" w:sz="0" w:space="0" w:color="auto"/>
      </w:divBdr>
    </w:div>
    <w:div w:id="231278845">
      <w:marLeft w:val="0"/>
      <w:marRight w:val="0"/>
      <w:marTop w:val="0"/>
      <w:marBottom w:val="0"/>
      <w:divBdr>
        <w:top w:val="none" w:sz="0" w:space="0" w:color="auto"/>
        <w:left w:val="none" w:sz="0" w:space="0" w:color="auto"/>
        <w:bottom w:val="none" w:sz="0" w:space="0" w:color="auto"/>
        <w:right w:val="none" w:sz="0" w:space="0" w:color="auto"/>
      </w:divBdr>
    </w:div>
    <w:div w:id="240988677">
      <w:marLeft w:val="0"/>
      <w:marRight w:val="0"/>
      <w:marTop w:val="0"/>
      <w:marBottom w:val="0"/>
      <w:divBdr>
        <w:top w:val="none" w:sz="0" w:space="0" w:color="auto"/>
        <w:left w:val="none" w:sz="0" w:space="0" w:color="auto"/>
        <w:bottom w:val="none" w:sz="0" w:space="0" w:color="auto"/>
        <w:right w:val="none" w:sz="0" w:space="0" w:color="auto"/>
      </w:divBdr>
    </w:div>
    <w:div w:id="247422990">
      <w:marLeft w:val="0"/>
      <w:marRight w:val="0"/>
      <w:marTop w:val="0"/>
      <w:marBottom w:val="0"/>
      <w:divBdr>
        <w:top w:val="none" w:sz="0" w:space="0" w:color="auto"/>
        <w:left w:val="none" w:sz="0" w:space="0" w:color="auto"/>
        <w:bottom w:val="none" w:sz="0" w:space="0" w:color="auto"/>
        <w:right w:val="none" w:sz="0" w:space="0" w:color="auto"/>
      </w:divBdr>
    </w:div>
    <w:div w:id="248973944">
      <w:marLeft w:val="0"/>
      <w:marRight w:val="150"/>
      <w:marTop w:val="0"/>
      <w:marBottom w:val="0"/>
      <w:divBdr>
        <w:top w:val="none" w:sz="0" w:space="0" w:color="auto"/>
        <w:left w:val="none" w:sz="0" w:space="0" w:color="auto"/>
        <w:bottom w:val="none" w:sz="0" w:space="0" w:color="auto"/>
        <w:right w:val="none" w:sz="0" w:space="0" w:color="auto"/>
      </w:divBdr>
      <w:divsChild>
        <w:div w:id="1468668370">
          <w:marLeft w:val="0"/>
          <w:marRight w:val="150"/>
          <w:marTop w:val="0"/>
          <w:marBottom w:val="0"/>
          <w:divBdr>
            <w:top w:val="none" w:sz="0" w:space="0" w:color="auto"/>
            <w:left w:val="none" w:sz="0" w:space="0" w:color="auto"/>
            <w:bottom w:val="none" w:sz="0" w:space="0" w:color="auto"/>
            <w:right w:val="none" w:sz="0" w:space="0" w:color="auto"/>
          </w:divBdr>
        </w:div>
      </w:divsChild>
    </w:div>
    <w:div w:id="250747224">
      <w:marLeft w:val="0"/>
      <w:marRight w:val="0"/>
      <w:marTop w:val="0"/>
      <w:marBottom w:val="0"/>
      <w:divBdr>
        <w:top w:val="none" w:sz="0" w:space="0" w:color="auto"/>
        <w:left w:val="none" w:sz="0" w:space="0" w:color="auto"/>
        <w:bottom w:val="none" w:sz="0" w:space="0" w:color="auto"/>
        <w:right w:val="none" w:sz="0" w:space="0" w:color="auto"/>
      </w:divBdr>
    </w:div>
    <w:div w:id="252589376">
      <w:marLeft w:val="0"/>
      <w:marRight w:val="0"/>
      <w:marTop w:val="0"/>
      <w:marBottom w:val="0"/>
      <w:divBdr>
        <w:top w:val="none" w:sz="0" w:space="0" w:color="auto"/>
        <w:left w:val="none" w:sz="0" w:space="0" w:color="auto"/>
        <w:bottom w:val="none" w:sz="0" w:space="0" w:color="auto"/>
        <w:right w:val="none" w:sz="0" w:space="0" w:color="auto"/>
      </w:divBdr>
    </w:div>
    <w:div w:id="253324586">
      <w:marLeft w:val="0"/>
      <w:marRight w:val="0"/>
      <w:marTop w:val="0"/>
      <w:marBottom w:val="0"/>
      <w:divBdr>
        <w:top w:val="none" w:sz="0" w:space="0" w:color="auto"/>
        <w:left w:val="none" w:sz="0" w:space="0" w:color="auto"/>
        <w:bottom w:val="none" w:sz="0" w:space="0" w:color="auto"/>
        <w:right w:val="none" w:sz="0" w:space="0" w:color="auto"/>
      </w:divBdr>
    </w:div>
    <w:div w:id="266236508">
      <w:marLeft w:val="0"/>
      <w:marRight w:val="0"/>
      <w:marTop w:val="0"/>
      <w:marBottom w:val="0"/>
      <w:divBdr>
        <w:top w:val="none" w:sz="0" w:space="0" w:color="auto"/>
        <w:left w:val="none" w:sz="0" w:space="0" w:color="auto"/>
        <w:bottom w:val="none" w:sz="0" w:space="0" w:color="auto"/>
        <w:right w:val="none" w:sz="0" w:space="0" w:color="auto"/>
      </w:divBdr>
    </w:div>
    <w:div w:id="268585384">
      <w:marLeft w:val="0"/>
      <w:marRight w:val="0"/>
      <w:marTop w:val="0"/>
      <w:marBottom w:val="0"/>
      <w:divBdr>
        <w:top w:val="none" w:sz="0" w:space="0" w:color="auto"/>
        <w:left w:val="none" w:sz="0" w:space="0" w:color="auto"/>
        <w:bottom w:val="none" w:sz="0" w:space="0" w:color="auto"/>
        <w:right w:val="none" w:sz="0" w:space="0" w:color="auto"/>
      </w:divBdr>
    </w:div>
    <w:div w:id="268663873">
      <w:marLeft w:val="0"/>
      <w:marRight w:val="0"/>
      <w:marTop w:val="0"/>
      <w:marBottom w:val="0"/>
      <w:divBdr>
        <w:top w:val="none" w:sz="0" w:space="0" w:color="auto"/>
        <w:left w:val="none" w:sz="0" w:space="0" w:color="auto"/>
        <w:bottom w:val="none" w:sz="0" w:space="0" w:color="auto"/>
        <w:right w:val="none" w:sz="0" w:space="0" w:color="auto"/>
      </w:divBdr>
    </w:div>
    <w:div w:id="277950881">
      <w:marLeft w:val="0"/>
      <w:marRight w:val="0"/>
      <w:marTop w:val="0"/>
      <w:marBottom w:val="0"/>
      <w:divBdr>
        <w:top w:val="none" w:sz="0" w:space="0" w:color="auto"/>
        <w:left w:val="none" w:sz="0" w:space="0" w:color="auto"/>
        <w:bottom w:val="none" w:sz="0" w:space="0" w:color="auto"/>
        <w:right w:val="none" w:sz="0" w:space="0" w:color="auto"/>
      </w:divBdr>
    </w:div>
    <w:div w:id="285356144">
      <w:marLeft w:val="0"/>
      <w:marRight w:val="0"/>
      <w:marTop w:val="0"/>
      <w:marBottom w:val="0"/>
      <w:divBdr>
        <w:top w:val="none" w:sz="0" w:space="0" w:color="auto"/>
        <w:left w:val="none" w:sz="0" w:space="0" w:color="auto"/>
        <w:bottom w:val="none" w:sz="0" w:space="0" w:color="auto"/>
        <w:right w:val="none" w:sz="0" w:space="0" w:color="auto"/>
      </w:divBdr>
    </w:div>
    <w:div w:id="291787712">
      <w:marLeft w:val="0"/>
      <w:marRight w:val="0"/>
      <w:marTop w:val="0"/>
      <w:marBottom w:val="0"/>
      <w:divBdr>
        <w:top w:val="none" w:sz="0" w:space="0" w:color="auto"/>
        <w:left w:val="none" w:sz="0" w:space="0" w:color="auto"/>
        <w:bottom w:val="none" w:sz="0" w:space="0" w:color="auto"/>
        <w:right w:val="none" w:sz="0" w:space="0" w:color="auto"/>
      </w:divBdr>
    </w:div>
    <w:div w:id="297151992">
      <w:marLeft w:val="0"/>
      <w:marRight w:val="0"/>
      <w:marTop w:val="0"/>
      <w:marBottom w:val="0"/>
      <w:divBdr>
        <w:top w:val="none" w:sz="0" w:space="0" w:color="auto"/>
        <w:left w:val="none" w:sz="0" w:space="0" w:color="auto"/>
        <w:bottom w:val="none" w:sz="0" w:space="0" w:color="auto"/>
        <w:right w:val="none" w:sz="0" w:space="0" w:color="auto"/>
      </w:divBdr>
    </w:div>
    <w:div w:id="310212009">
      <w:marLeft w:val="0"/>
      <w:marRight w:val="0"/>
      <w:marTop w:val="0"/>
      <w:marBottom w:val="0"/>
      <w:divBdr>
        <w:top w:val="none" w:sz="0" w:space="0" w:color="auto"/>
        <w:left w:val="none" w:sz="0" w:space="0" w:color="auto"/>
        <w:bottom w:val="none" w:sz="0" w:space="0" w:color="auto"/>
        <w:right w:val="none" w:sz="0" w:space="0" w:color="auto"/>
      </w:divBdr>
    </w:div>
    <w:div w:id="319237290">
      <w:marLeft w:val="0"/>
      <w:marRight w:val="0"/>
      <w:marTop w:val="0"/>
      <w:marBottom w:val="0"/>
      <w:divBdr>
        <w:top w:val="none" w:sz="0" w:space="0" w:color="auto"/>
        <w:left w:val="none" w:sz="0" w:space="0" w:color="auto"/>
        <w:bottom w:val="none" w:sz="0" w:space="0" w:color="auto"/>
        <w:right w:val="none" w:sz="0" w:space="0" w:color="auto"/>
      </w:divBdr>
    </w:div>
    <w:div w:id="324867902">
      <w:marLeft w:val="0"/>
      <w:marRight w:val="0"/>
      <w:marTop w:val="0"/>
      <w:marBottom w:val="0"/>
      <w:divBdr>
        <w:top w:val="none" w:sz="0" w:space="0" w:color="auto"/>
        <w:left w:val="none" w:sz="0" w:space="0" w:color="auto"/>
        <w:bottom w:val="none" w:sz="0" w:space="0" w:color="auto"/>
        <w:right w:val="none" w:sz="0" w:space="0" w:color="auto"/>
      </w:divBdr>
    </w:div>
    <w:div w:id="339891699">
      <w:marLeft w:val="0"/>
      <w:marRight w:val="150"/>
      <w:marTop w:val="0"/>
      <w:marBottom w:val="0"/>
      <w:divBdr>
        <w:top w:val="none" w:sz="0" w:space="0" w:color="auto"/>
        <w:left w:val="none" w:sz="0" w:space="0" w:color="auto"/>
        <w:bottom w:val="none" w:sz="0" w:space="0" w:color="auto"/>
        <w:right w:val="none" w:sz="0" w:space="0" w:color="auto"/>
      </w:divBdr>
      <w:divsChild>
        <w:div w:id="812915447">
          <w:marLeft w:val="0"/>
          <w:marRight w:val="150"/>
          <w:marTop w:val="0"/>
          <w:marBottom w:val="0"/>
          <w:divBdr>
            <w:top w:val="none" w:sz="0" w:space="0" w:color="auto"/>
            <w:left w:val="none" w:sz="0" w:space="0" w:color="auto"/>
            <w:bottom w:val="none" w:sz="0" w:space="0" w:color="auto"/>
            <w:right w:val="none" w:sz="0" w:space="0" w:color="auto"/>
          </w:divBdr>
        </w:div>
      </w:divsChild>
    </w:div>
    <w:div w:id="344676515">
      <w:marLeft w:val="0"/>
      <w:marRight w:val="0"/>
      <w:marTop w:val="0"/>
      <w:marBottom w:val="0"/>
      <w:divBdr>
        <w:top w:val="none" w:sz="0" w:space="0" w:color="auto"/>
        <w:left w:val="none" w:sz="0" w:space="0" w:color="auto"/>
        <w:bottom w:val="none" w:sz="0" w:space="0" w:color="auto"/>
        <w:right w:val="none" w:sz="0" w:space="0" w:color="auto"/>
      </w:divBdr>
    </w:div>
    <w:div w:id="351029520">
      <w:marLeft w:val="0"/>
      <w:marRight w:val="0"/>
      <w:marTop w:val="0"/>
      <w:marBottom w:val="0"/>
      <w:divBdr>
        <w:top w:val="none" w:sz="0" w:space="0" w:color="auto"/>
        <w:left w:val="none" w:sz="0" w:space="0" w:color="auto"/>
        <w:bottom w:val="none" w:sz="0" w:space="0" w:color="auto"/>
        <w:right w:val="none" w:sz="0" w:space="0" w:color="auto"/>
      </w:divBdr>
    </w:div>
    <w:div w:id="353533602">
      <w:marLeft w:val="0"/>
      <w:marRight w:val="0"/>
      <w:marTop w:val="0"/>
      <w:marBottom w:val="0"/>
      <w:divBdr>
        <w:top w:val="none" w:sz="0" w:space="0" w:color="auto"/>
        <w:left w:val="none" w:sz="0" w:space="0" w:color="auto"/>
        <w:bottom w:val="none" w:sz="0" w:space="0" w:color="auto"/>
        <w:right w:val="none" w:sz="0" w:space="0" w:color="auto"/>
      </w:divBdr>
    </w:div>
    <w:div w:id="355348565">
      <w:marLeft w:val="0"/>
      <w:marRight w:val="0"/>
      <w:marTop w:val="0"/>
      <w:marBottom w:val="0"/>
      <w:divBdr>
        <w:top w:val="none" w:sz="0" w:space="0" w:color="auto"/>
        <w:left w:val="none" w:sz="0" w:space="0" w:color="auto"/>
        <w:bottom w:val="none" w:sz="0" w:space="0" w:color="auto"/>
        <w:right w:val="none" w:sz="0" w:space="0" w:color="auto"/>
      </w:divBdr>
    </w:div>
    <w:div w:id="360282945">
      <w:marLeft w:val="0"/>
      <w:marRight w:val="0"/>
      <w:marTop w:val="0"/>
      <w:marBottom w:val="0"/>
      <w:divBdr>
        <w:top w:val="none" w:sz="0" w:space="0" w:color="auto"/>
        <w:left w:val="none" w:sz="0" w:space="0" w:color="auto"/>
        <w:bottom w:val="none" w:sz="0" w:space="0" w:color="auto"/>
        <w:right w:val="none" w:sz="0" w:space="0" w:color="auto"/>
      </w:divBdr>
    </w:div>
    <w:div w:id="361709781">
      <w:marLeft w:val="0"/>
      <w:marRight w:val="0"/>
      <w:marTop w:val="0"/>
      <w:marBottom w:val="0"/>
      <w:divBdr>
        <w:top w:val="none" w:sz="0" w:space="0" w:color="auto"/>
        <w:left w:val="none" w:sz="0" w:space="0" w:color="auto"/>
        <w:bottom w:val="none" w:sz="0" w:space="0" w:color="auto"/>
        <w:right w:val="none" w:sz="0" w:space="0" w:color="auto"/>
      </w:divBdr>
    </w:div>
    <w:div w:id="366491886">
      <w:marLeft w:val="0"/>
      <w:marRight w:val="0"/>
      <w:marTop w:val="0"/>
      <w:marBottom w:val="0"/>
      <w:divBdr>
        <w:top w:val="none" w:sz="0" w:space="0" w:color="auto"/>
        <w:left w:val="none" w:sz="0" w:space="0" w:color="auto"/>
        <w:bottom w:val="none" w:sz="0" w:space="0" w:color="auto"/>
        <w:right w:val="none" w:sz="0" w:space="0" w:color="auto"/>
      </w:divBdr>
    </w:div>
    <w:div w:id="369841618">
      <w:marLeft w:val="0"/>
      <w:marRight w:val="0"/>
      <w:marTop w:val="0"/>
      <w:marBottom w:val="0"/>
      <w:divBdr>
        <w:top w:val="none" w:sz="0" w:space="0" w:color="auto"/>
        <w:left w:val="none" w:sz="0" w:space="0" w:color="auto"/>
        <w:bottom w:val="none" w:sz="0" w:space="0" w:color="auto"/>
        <w:right w:val="none" w:sz="0" w:space="0" w:color="auto"/>
      </w:divBdr>
    </w:div>
    <w:div w:id="377124640">
      <w:marLeft w:val="0"/>
      <w:marRight w:val="0"/>
      <w:marTop w:val="0"/>
      <w:marBottom w:val="0"/>
      <w:divBdr>
        <w:top w:val="none" w:sz="0" w:space="0" w:color="auto"/>
        <w:left w:val="none" w:sz="0" w:space="0" w:color="auto"/>
        <w:bottom w:val="none" w:sz="0" w:space="0" w:color="auto"/>
        <w:right w:val="none" w:sz="0" w:space="0" w:color="auto"/>
      </w:divBdr>
    </w:div>
    <w:div w:id="377630815">
      <w:marLeft w:val="0"/>
      <w:marRight w:val="0"/>
      <w:marTop w:val="0"/>
      <w:marBottom w:val="0"/>
      <w:divBdr>
        <w:top w:val="none" w:sz="0" w:space="0" w:color="auto"/>
        <w:left w:val="none" w:sz="0" w:space="0" w:color="auto"/>
        <w:bottom w:val="none" w:sz="0" w:space="0" w:color="auto"/>
        <w:right w:val="none" w:sz="0" w:space="0" w:color="auto"/>
      </w:divBdr>
    </w:div>
    <w:div w:id="378477614">
      <w:marLeft w:val="0"/>
      <w:marRight w:val="0"/>
      <w:marTop w:val="0"/>
      <w:marBottom w:val="0"/>
      <w:divBdr>
        <w:top w:val="none" w:sz="0" w:space="0" w:color="auto"/>
        <w:left w:val="none" w:sz="0" w:space="0" w:color="auto"/>
        <w:bottom w:val="none" w:sz="0" w:space="0" w:color="auto"/>
        <w:right w:val="none" w:sz="0" w:space="0" w:color="auto"/>
      </w:divBdr>
    </w:div>
    <w:div w:id="385376978">
      <w:marLeft w:val="0"/>
      <w:marRight w:val="0"/>
      <w:marTop w:val="0"/>
      <w:marBottom w:val="0"/>
      <w:divBdr>
        <w:top w:val="none" w:sz="0" w:space="0" w:color="auto"/>
        <w:left w:val="none" w:sz="0" w:space="0" w:color="auto"/>
        <w:bottom w:val="none" w:sz="0" w:space="0" w:color="auto"/>
        <w:right w:val="none" w:sz="0" w:space="0" w:color="auto"/>
      </w:divBdr>
    </w:div>
    <w:div w:id="392629794">
      <w:marLeft w:val="0"/>
      <w:marRight w:val="0"/>
      <w:marTop w:val="0"/>
      <w:marBottom w:val="0"/>
      <w:divBdr>
        <w:top w:val="none" w:sz="0" w:space="0" w:color="auto"/>
        <w:left w:val="none" w:sz="0" w:space="0" w:color="auto"/>
        <w:bottom w:val="none" w:sz="0" w:space="0" w:color="auto"/>
        <w:right w:val="none" w:sz="0" w:space="0" w:color="auto"/>
      </w:divBdr>
    </w:div>
    <w:div w:id="402066904">
      <w:marLeft w:val="0"/>
      <w:marRight w:val="0"/>
      <w:marTop w:val="0"/>
      <w:marBottom w:val="0"/>
      <w:divBdr>
        <w:top w:val="none" w:sz="0" w:space="0" w:color="auto"/>
        <w:left w:val="none" w:sz="0" w:space="0" w:color="auto"/>
        <w:bottom w:val="none" w:sz="0" w:space="0" w:color="auto"/>
        <w:right w:val="none" w:sz="0" w:space="0" w:color="auto"/>
      </w:divBdr>
    </w:div>
    <w:div w:id="406389942">
      <w:marLeft w:val="0"/>
      <w:marRight w:val="0"/>
      <w:marTop w:val="0"/>
      <w:marBottom w:val="0"/>
      <w:divBdr>
        <w:top w:val="none" w:sz="0" w:space="0" w:color="auto"/>
        <w:left w:val="none" w:sz="0" w:space="0" w:color="auto"/>
        <w:bottom w:val="none" w:sz="0" w:space="0" w:color="auto"/>
        <w:right w:val="none" w:sz="0" w:space="0" w:color="auto"/>
      </w:divBdr>
    </w:div>
    <w:div w:id="421754946">
      <w:marLeft w:val="0"/>
      <w:marRight w:val="0"/>
      <w:marTop w:val="0"/>
      <w:marBottom w:val="0"/>
      <w:divBdr>
        <w:top w:val="none" w:sz="0" w:space="0" w:color="auto"/>
        <w:left w:val="none" w:sz="0" w:space="0" w:color="auto"/>
        <w:bottom w:val="none" w:sz="0" w:space="0" w:color="auto"/>
        <w:right w:val="none" w:sz="0" w:space="0" w:color="auto"/>
      </w:divBdr>
    </w:div>
    <w:div w:id="423500405">
      <w:marLeft w:val="0"/>
      <w:marRight w:val="0"/>
      <w:marTop w:val="0"/>
      <w:marBottom w:val="0"/>
      <w:divBdr>
        <w:top w:val="none" w:sz="0" w:space="0" w:color="auto"/>
        <w:left w:val="none" w:sz="0" w:space="0" w:color="auto"/>
        <w:bottom w:val="none" w:sz="0" w:space="0" w:color="auto"/>
        <w:right w:val="none" w:sz="0" w:space="0" w:color="auto"/>
      </w:divBdr>
    </w:div>
    <w:div w:id="438335059">
      <w:marLeft w:val="0"/>
      <w:marRight w:val="0"/>
      <w:marTop w:val="0"/>
      <w:marBottom w:val="0"/>
      <w:divBdr>
        <w:top w:val="none" w:sz="0" w:space="0" w:color="auto"/>
        <w:left w:val="none" w:sz="0" w:space="0" w:color="auto"/>
        <w:bottom w:val="none" w:sz="0" w:space="0" w:color="auto"/>
        <w:right w:val="none" w:sz="0" w:space="0" w:color="auto"/>
      </w:divBdr>
    </w:div>
    <w:div w:id="439109073">
      <w:marLeft w:val="0"/>
      <w:marRight w:val="0"/>
      <w:marTop w:val="0"/>
      <w:marBottom w:val="0"/>
      <w:divBdr>
        <w:top w:val="none" w:sz="0" w:space="0" w:color="auto"/>
        <w:left w:val="none" w:sz="0" w:space="0" w:color="auto"/>
        <w:bottom w:val="none" w:sz="0" w:space="0" w:color="auto"/>
        <w:right w:val="none" w:sz="0" w:space="0" w:color="auto"/>
      </w:divBdr>
    </w:div>
    <w:div w:id="451903113">
      <w:marLeft w:val="0"/>
      <w:marRight w:val="0"/>
      <w:marTop w:val="0"/>
      <w:marBottom w:val="0"/>
      <w:divBdr>
        <w:top w:val="none" w:sz="0" w:space="0" w:color="auto"/>
        <w:left w:val="none" w:sz="0" w:space="0" w:color="auto"/>
        <w:bottom w:val="none" w:sz="0" w:space="0" w:color="auto"/>
        <w:right w:val="none" w:sz="0" w:space="0" w:color="auto"/>
      </w:divBdr>
    </w:div>
    <w:div w:id="464809087">
      <w:marLeft w:val="0"/>
      <w:marRight w:val="0"/>
      <w:marTop w:val="0"/>
      <w:marBottom w:val="0"/>
      <w:divBdr>
        <w:top w:val="none" w:sz="0" w:space="0" w:color="auto"/>
        <w:left w:val="none" w:sz="0" w:space="0" w:color="auto"/>
        <w:bottom w:val="none" w:sz="0" w:space="0" w:color="auto"/>
        <w:right w:val="none" w:sz="0" w:space="0" w:color="auto"/>
      </w:divBdr>
    </w:div>
    <w:div w:id="477386625">
      <w:marLeft w:val="0"/>
      <w:marRight w:val="0"/>
      <w:marTop w:val="0"/>
      <w:marBottom w:val="0"/>
      <w:divBdr>
        <w:top w:val="none" w:sz="0" w:space="0" w:color="auto"/>
        <w:left w:val="none" w:sz="0" w:space="0" w:color="auto"/>
        <w:bottom w:val="none" w:sz="0" w:space="0" w:color="auto"/>
        <w:right w:val="none" w:sz="0" w:space="0" w:color="auto"/>
      </w:divBdr>
    </w:div>
    <w:div w:id="485324658">
      <w:marLeft w:val="0"/>
      <w:marRight w:val="0"/>
      <w:marTop w:val="0"/>
      <w:marBottom w:val="0"/>
      <w:divBdr>
        <w:top w:val="none" w:sz="0" w:space="0" w:color="auto"/>
        <w:left w:val="none" w:sz="0" w:space="0" w:color="auto"/>
        <w:bottom w:val="none" w:sz="0" w:space="0" w:color="auto"/>
        <w:right w:val="none" w:sz="0" w:space="0" w:color="auto"/>
      </w:divBdr>
    </w:div>
    <w:div w:id="506363426">
      <w:marLeft w:val="0"/>
      <w:marRight w:val="0"/>
      <w:marTop w:val="0"/>
      <w:marBottom w:val="0"/>
      <w:divBdr>
        <w:top w:val="none" w:sz="0" w:space="0" w:color="auto"/>
        <w:left w:val="none" w:sz="0" w:space="0" w:color="auto"/>
        <w:bottom w:val="none" w:sz="0" w:space="0" w:color="auto"/>
        <w:right w:val="none" w:sz="0" w:space="0" w:color="auto"/>
      </w:divBdr>
    </w:div>
    <w:div w:id="509108164">
      <w:marLeft w:val="0"/>
      <w:marRight w:val="0"/>
      <w:marTop w:val="0"/>
      <w:marBottom w:val="0"/>
      <w:divBdr>
        <w:top w:val="none" w:sz="0" w:space="0" w:color="auto"/>
        <w:left w:val="none" w:sz="0" w:space="0" w:color="auto"/>
        <w:bottom w:val="none" w:sz="0" w:space="0" w:color="auto"/>
        <w:right w:val="none" w:sz="0" w:space="0" w:color="auto"/>
      </w:divBdr>
    </w:div>
    <w:div w:id="513808432">
      <w:marLeft w:val="0"/>
      <w:marRight w:val="0"/>
      <w:marTop w:val="0"/>
      <w:marBottom w:val="0"/>
      <w:divBdr>
        <w:top w:val="none" w:sz="0" w:space="0" w:color="auto"/>
        <w:left w:val="none" w:sz="0" w:space="0" w:color="auto"/>
        <w:bottom w:val="none" w:sz="0" w:space="0" w:color="auto"/>
        <w:right w:val="none" w:sz="0" w:space="0" w:color="auto"/>
      </w:divBdr>
    </w:div>
    <w:div w:id="519901452">
      <w:marLeft w:val="0"/>
      <w:marRight w:val="0"/>
      <w:marTop w:val="0"/>
      <w:marBottom w:val="0"/>
      <w:divBdr>
        <w:top w:val="none" w:sz="0" w:space="0" w:color="auto"/>
        <w:left w:val="none" w:sz="0" w:space="0" w:color="auto"/>
        <w:bottom w:val="none" w:sz="0" w:space="0" w:color="auto"/>
        <w:right w:val="none" w:sz="0" w:space="0" w:color="auto"/>
      </w:divBdr>
    </w:div>
    <w:div w:id="540166358">
      <w:marLeft w:val="0"/>
      <w:marRight w:val="0"/>
      <w:marTop w:val="0"/>
      <w:marBottom w:val="0"/>
      <w:divBdr>
        <w:top w:val="none" w:sz="0" w:space="0" w:color="auto"/>
        <w:left w:val="none" w:sz="0" w:space="0" w:color="auto"/>
        <w:bottom w:val="none" w:sz="0" w:space="0" w:color="auto"/>
        <w:right w:val="none" w:sz="0" w:space="0" w:color="auto"/>
      </w:divBdr>
    </w:div>
    <w:div w:id="540288354">
      <w:marLeft w:val="0"/>
      <w:marRight w:val="0"/>
      <w:marTop w:val="0"/>
      <w:marBottom w:val="0"/>
      <w:divBdr>
        <w:top w:val="none" w:sz="0" w:space="0" w:color="auto"/>
        <w:left w:val="none" w:sz="0" w:space="0" w:color="auto"/>
        <w:bottom w:val="none" w:sz="0" w:space="0" w:color="auto"/>
        <w:right w:val="none" w:sz="0" w:space="0" w:color="auto"/>
      </w:divBdr>
    </w:div>
    <w:div w:id="542521217">
      <w:marLeft w:val="0"/>
      <w:marRight w:val="0"/>
      <w:marTop w:val="0"/>
      <w:marBottom w:val="0"/>
      <w:divBdr>
        <w:top w:val="none" w:sz="0" w:space="0" w:color="auto"/>
        <w:left w:val="none" w:sz="0" w:space="0" w:color="auto"/>
        <w:bottom w:val="none" w:sz="0" w:space="0" w:color="auto"/>
        <w:right w:val="none" w:sz="0" w:space="0" w:color="auto"/>
      </w:divBdr>
    </w:div>
    <w:div w:id="543256445">
      <w:marLeft w:val="0"/>
      <w:marRight w:val="0"/>
      <w:marTop w:val="0"/>
      <w:marBottom w:val="0"/>
      <w:divBdr>
        <w:top w:val="none" w:sz="0" w:space="0" w:color="auto"/>
        <w:left w:val="none" w:sz="0" w:space="0" w:color="auto"/>
        <w:bottom w:val="none" w:sz="0" w:space="0" w:color="auto"/>
        <w:right w:val="none" w:sz="0" w:space="0" w:color="auto"/>
      </w:divBdr>
    </w:div>
    <w:div w:id="561715810">
      <w:marLeft w:val="0"/>
      <w:marRight w:val="0"/>
      <w:marTop w:val="0"/>
      <w:marBottom w:val="0"/>
      <w:divBdr>
        <w:top w:val="none" w:sz="0" w:space="0" w:color="auto"/>
        <w:left w:val="none" w:sz="0" w:space="0" w:color="auto"/>
        <w:bottom w:val="none" w:sz="0" w:space="0" w:color="auto"/>
        <w:right w:val="none" w:sz="0" w:space="0" w:color="auto"/>
      </w:divBdr>
    </w:div>
    <w:div w:id="564605752">
      <w:marLeft w:val="0"/>
      <w:marRight w:val="0"/>
      <w:marTop w:val="0"/>
      <w:marBottom w:val="0"/>
      <w:divBdr>
        <w:top w:val="none" w:sz="0" w:space="0" w:color="auto"/>
        <w:left w:val="none" w:sz="0" w:space="0" w:color="auto"/>
        <w:bottom w:val="none" w:sz="0" w:space="0" w:color="auto"/>
        <w:right w:val="none" w:sz="0" w:space="0" w:color="auto"/>
      </w:divBdr>
    </w:div>
    <w:div w:id="571694426">
      <w:marLeft w:val="0"/>
      <w:marRight w:val="0"/>
      <w:marTop w:val="0"/>
      <w:marBottom w:val="0"/>
      <w:divBdr>
        <w:top w:val="none" w:sz="0" w:space="0" w:color="auto"/>
        <w:left w:val="none" w:sz="0" w:space="0" w:color="auto"/>
        <w:bottom w:val="none" w:sz="0" w:space="0" w:color="auto"/>
        <w:right w:val="none" w:sz="0" w:space="0" w:color="auto"/>
      </w:divBdr>
    </w:div>
    <w:div w:id="576324878">
      <w:marLeft w:val="0"/>
      <w:marRight w:val="0"/>
      <w:marTop w:val="0"/>
      <w:marBottom w:val="0"/>
      <w:divBdr>
        <w:top w:val="none" w:sz="0" w:space="0" w:color="auto"/>
        <w:left w:val="none" w:sz="0" w:space="0" w:color="auto"/>
        <w:bottom w:val="none" w:sz="0" w:space="0" w:color="auto"/>
        <w:right w:val="none" w:sz="0" w:space="0" w:color="auto"/>
      </w:divBdr>
    </w:div>
    <w:div w:id="578755131">
      <w:marLeft w:val="0"/>
      <w:marRight w:val="0"/>
      <w:marTop w:val="0"/>
      <w:marBottom w:val="0"/>
      <w:divBdr>
        <w:top w:val="none" w:sz="0" w:space="0" w:color="auto"/>
        <w:left w:val="none" w:sz="0" w:space="0" w:color="auto"/>
        <w:bottom w:val="none" w:sz="0" w:space="0" w:color="auto"/>
        <w:right w:val="none" w:sz="0" w:space="0" w:color="auto"/>
      </w:divBdr>
    </w:div>
    <w:div w:id="597567696">
      <w:marLeft w:val="0"/>
      <w:marRight w:val="0"/>
      <w:marTop w:val="0"/>
      <w:marBottom w:val="0"/>
      <w:divBdr>
        <w:top w:val="none" w:sz="0" w:space="0" w:color="auto"/>
        <w:left w:val="none" w:sz="0" w:space="0" w:color="auto"/>
        <w:bottom w:val="none" w:sz="0" w:space="0" w:color="auto"/>
        <w:right w:val="none" w:sz="0" w:space="0" w:color="auto"/>
      </w:divBdr>
    </w:div>
    <w:div w:id="607084317">
      <w:marLeft w:val="0"/>
      <w:marRight w:val="0"/>
      <w:marTop w:val="0"/>
      <w:marBottom w:val="0"/>
      <w:divBdr>
        <w:top w:val="none" w:sz="0" w:space="0" w:color="auto"/>
        <w:left w:val="none" w:sz="0" w:space="0" w:color="auto"/>
        <w:bottom w:val="none" w:sz="0" w:space="0" w:color="auto"/>
        <w:right w:val="none" w:sz="0" w:space="0" w:color="auto"/>
      </w:divBdr>
    </w:div>
    <w:div w:id="609820053">
      <w:marLeft w:val="0"/>
      <w:marRight w:val="0"/>
      <w:marTop w:val="0"/>
      <w:marBottom w:val="0"/>
      <w:divBdr>
        <w:top w:val="none" w:sz="0" w:space="0" w:color="auto"/>
        <w:left w:val="none" w:sz="0" w:space="0" w:color="auto"/>
        <w:bottom w:val="none" w:sz="0" w:space="0" w:color="auto"/>
        <w:right w:val="none" w:sz="0" w:space="0" w:color="auto"/>
      </w:divBdr>
    </w:div>
    <w:div w:id="620647277">
      <w:marLeft w:val="0"/>
      <w:marRight w:val="0"/>
      <w:marTop w:val="0"/>
      <w:marBottom w:val="0"/>
      <w:divBdr>
        <w:top w:val="none" w:sz="0" w:space="0" w:color="auto"/>
        <w:left w:val="none" w:sz="0" w:space="0" w:color="auto"/>
        <w:bottom w:val="none" w:sz="0" w:space="0" w:color="auto"/>
        <w:right w:val="none" w:sz="0" w:space="0" w:color="auto"/>
      </w:divBdr>
    </w:div>
    <w:div w:id="624584439">
      <w:marLeft w:val="0"/>
      <w:marRight w:val="0"/>
      <w:marTop w:val="0"/>
      <w:marBottom w:val="0"/>
      <w:divBdr>
        <w:top w:val="none" w:sz="0" w:space="0" w:color="auto"/>
        <w:left w:val="none" w:sz="0" w:space="0" w:color="auto"/>
        <w:bottom w:val="none" w:sz="0" w:space="0" w:color="auto"/>
        <w:right w:val="none" w:sz="0" w:space="0" w:color="auto"/>
      </w:divBdr>
    </w:div>
    <w:div w:id="663508750">
      <w:marLeft w:val="0"/>
      <w:marRight w:val="0"/>
      <w:marTop w:val="0"/>
      <w:marBottom w:val="0"/>
      <w:divBdr>
        <w:top w:val="none" w:sz="0" w:space="0" w:color="auto"/>
        <w:left w:val="none" w:sz="0" w:space="0" w:color="auto"/>
        <w:bottom w:val="none" w:sz="0" w:space="0" w:color="auto"/>
        <w:right w:val="none" w:sz="0" w:space="0" w:color="auto"/>
      </w:divBdr>
    </w:div>
    <w:div w:id="671957638">
      <w:marLeft w:val="0"/>
      <w:marRight w:val="0"/>
      <w:marTop w:val="0"/>
      <w:marBottom w:val="0"/>
      <w:divBdr>
        <w:top w:val="none" w:sz="0" w:space="0" w:color="auto"/>
        <w:left w:val="none" w:sz="0" w:space="0" w:color="auto"/>
        <w:bottom w:val="none" w:sz="0" w:space="0" w:color="auto"/>
        <w:right w:val="none" w:sz="0" w:space="0" w:color="auto"/>
      </w:divBdr>
    </w:div>
    <w:div w:id="684091566">
      <w:marLeft w:val="0"/>
      <w:marRight w:val="0"/>
      <w:marTop w:val="0"/>
      <w:marBottom w:val="0"/>
      <w:divBdr>
        <w:top w:val="none" w:sz="0" w:space="0" w:color="auto"/>
        <w:left w:val="none" w:sz="0" w:space="0" w:color="auto"/>
        <w:bottom w:val="none" w:sz="0" w:space="0" w:color="auto"/>
        <w:right w:val="none" w:sz="0" w:space="0" w:color="auto"/>
      </w:divBdr>
    </w:div>
    <w:div w:id="684328277">
      <w:marLeft w:val="0"/>
      <w:marRight w:val="0"/>
      <w:marTop w:val="0"/>
      <w:marBottom w:val="0"/>
      <w:divBdr>
        <w:top w:val="none" w:sz="0" w:space="0" w:color="auto"/>
        <w:left w:val="none" w:sz="0" w:space="0" w:color="auto"/>
        <w:bottom w:val="none" w:sz="0" w:space="0" w:color="auto"/>
        <w:right w:val="none" w:sz="0" w:space="0" w:color="auto"/>
      </w:divBdr>
    </w:div>
    <w:div w:id="693305863">
      <w:marLeft w:val="0"/>
      <w:marRight w:val="150"/>
      <w:marTop w:val="0"/>
      <w:marBottom w:val="0"/>
      <w:divBdr>
        <w:top w:val="none" w:sz="0" w:space="0" w:color="auto"/>
        <w:left w:val="none" w:sz="0" w:space="0" w:color="auto"/>
        <w:bottom w:val="none" w:sz="0" w:space="0" w:color="auto"/>
        <w:right w:val="none" w:sz="0" w:space="0" w:color="auto"/>
      </w:divBdr>
      <w:divsChild>
        <w:div w:id="617300914">
          <w:marLeft w:val="0"/>
          <w:marRight w:val="150"/>
          <w:marTop w:val="0"/>
          <w:marBottom w:val="0"/>
          <w:divBdr>
            <w:top w:val="none" w:sz="0" w:space="0" w:color="auto"/>
            <w:left w:val="none" w:sz="0" w:space="0" w:color="auto"/>
            <w:bottom w:val="none" w:sz="0" w:space="0" w:color="auto"/>
            <w:right w:val="none" w:sz="0" w:space="0" w:color="auto"/>
          </w:divBdr>
        </w:div>
      </w:divsChild>
    </w:div>
    <w:div w:id="699940064">
      <w:marLeft w:val="0"/>
      <w:marRight w:val="0"/>
      <w:marTop w:val="0"/>
      <w:marBottom w:val="0"/>
      <w:divBdr>
        <w:top w:val="none" w:sz="0" w:space="0" w:color="auto"/>
        <w:left w:val="none" w:sz="0" w:space="0" w:color="auto"/>
        <w:bottom w:val="none" w:sz="0" w:space="0" w:color="auto"/>
        <w:right w:val="none" w:sz="0" w:space="0" w:color="auto"/>
      </w:divBdr>
    </w:div>
    <w:div w:id="714352819">
      <w:marLeft w:val="0"/>
      <w:marRight w:val="0"/>
      <w:marTop w:val="0"/>
      <w:marBottom w:val="0"/>
      <w:divBdr>
        <w:top w:val="none" w:sz="0" w:space="0" w:color="auto"/>
        <w:left w:val="none" w:sz="0" w:space="0" w:color="auto"/>
        <w:bottom w:val="none" w:sz="0" w:space="0" w:color="auto"/>
        <w:right w:val="none" w:sz="0" w:space="0" w:color="auto"/>
      </w:divBdr>
    </w:div>
    <w:div w:id="728845547">
      <w:marLeft w:val="0"/>
      <w:marRight w:val="0"/>
      <w:marTop w:val="0"/>
      <w:marBottom w:val="0"/>
      <w:divBdr>
        <w:top w:val="none" w:sz="0" w:space="0" w:color="auto"/>
        <w:left w:val="none" w:sz="0" w:space="0" w:color="auto"/>
        <w:bottom w:val="none" w:sz="0" w:space="0" w:color="auto"/>
        <w:right w:val="none" w:sz="0" w:space="0" w:color="auto"/>
      </w:divBdr>
    </w:div>
    <w:div w:id="730661491">
      <w:marLeft w:val="0"/>
      <w:marRight w:val="0"/>
      <w:marTop w:val="0"/>
      <w:marBottom w:val="0"/>
      <w:divBdr>
        <w:top w:val="none" w:sz="0" w:space="0" w:color="auto"/>
        <w:left w:val="none" w:sz="0" w:space="0" w:color="auto"/>
        <w:bottom w:val="none" w:sz="0" w:space="0" w:color="auto"/>
        <w:right w:val="none" w:sz="0" w:space="0" w:color="auto"/>
      </w:divBdr>
    </w:div>
    <w:div w:id="735972359">
      <w:marLeft w:val="0"/>
      <w:marRight w:val="0"/>
      <w:marTop w:val="0"/>
      <w:marBottom w:val="0"/>
      <w:divBdr>
        <w:top w:val="none" w:sz="0" w:space="0" w:color="auto"/>
        <w:left w:val="none" w:sz="0" w:space="0" w:color="auto"/>
        <w:bottom w:val="none" w:sz="0" w:space="0" w:color="auto"/>
        <w:right w:val="none" w:sz="0" w:space="0" w:color="auto"/>
      </w:divBdr>
    </w:div>
    <w:div w:id="751583064">
      <w:marLeft w:val="0"/>
      <w:marRight w:val="0"/>
      <w:marTop w:val="0"/>
      <w:marBottom w:val="0"/>
      <w:divBdr>
        <w:top w:val="none" w:sz="0" w:space="0" w:color="auto"/>
        <w:left w:val="none" w:sz="0" w:space="0" w:color="auto"/>
        <w:bottom w:val="none" w:sz="0" w:space="0" w:color="auto"/>
        <w:right w:val="none" w:sz="0" w:space="0" w:color="auto"/>
      </w:divBdr>
    </w:div>
    <w:div w:id="752893533">
      <w:marLeft w:val="0"/>
      <w:marRight w:val="0"/>
      <w:marTop w:val="0"/>
      <w:marBottom w:val="0"/>
      <w:divBdr>
        <w:top w:val="none" w:sz="0" w:space="0" w:color="auto"/>
        <w:left w:val="none" w:sz="0" w:space="0" w:color="auto"/>
        <w:bottom w:val="none" w:sz="0" w:space="0" w:color="auto"/>
        <w:right w:val="none" w:sz="0" w:space="0" w:color="auto"/>
      </w:divBdr>
    </w:div>
    <w:div w:id="754743020">
      <w:marLeft w:val="0"/>
      <w:marRight w:val="0"/>
      <w:marTop w:val="0"/>
      <w:marBottom w:val="0"/>
      <w:divBdr>
        <w:top w:val="none" w:sz="0" w:space="0" w:color="auto"/>
        <w:left w:val="none" w:sz="0" w:space="0" w:color="auto"/>
        <w:bottom w:val="none" w:sz="0" w:space="0" w:color="auto"/>
        <w:right w:val="none" w:sz="0" w:space="0" w:color="auto"/>
      </w:divBdr>
    </w:div>
    <w:div w:id="755899122">
      <w:marLeft w:val="0"/>
      <w:marRight w:val="0"/>
      <w:marTop w:val="0"/>
      <w:marBottom w:val="0"/>
      <w:divBdr>
        <w:top w:val="none" w:sz="0" w:space="0" w:color="auto"/>
        <w:left w:val="none" w:sz="0" w:space="0" w:color="auto"/>
        <w:bottom w:val="none" w:sz="0" w:space="0" w:color="auto"/>
        <w:right w:val="none" w:sz="0" w:space="0" w:color="auto"/>
      </w:divBdr>
    </w:div>
    <w:div w:id="770659566">
      <w:marLeft w:val="0"/>
      <w:marRight w:val="0"/>
      <w:marTop w:val="0"/>
      <w:marBottom w:val="0"/>
      <w:divBdr>
        <w:top w:val="none" w:sz="0" w:space="0" w:color="auto"/>
        <w:left w:val="none" w:sz="0" w:space="0" w:color="auto"/>
        <w:bottom w:val="none" w:sz="0" w:space="0" w:color="auto"/>
        <w:right w:val="none" w:sz="0" w:space="0" w:color="auto"/>
      </w:divBdr>
    </w:div>
    <w:div w:id="773131800">
      <w:marLeft w:val="0"/>
      <w:marRight w:val="0"/>
      <w:marTop w:val="0"/>
      <w:marBottom w:val="0"/>
      <w:divBdr>
        <w:top w:val="none" w:sz="0" w:space="0" w:color="auto"/>
        <w:left w:val="none" w:sz="0" w:space="0" w:color="auto"/>
        <w:bottom w:val="none" w:sz="0" w:space="0" w:color="auto"/>
        <w:right w:val="none" w:sz="0" w:space="0" w:color="auto"/>
      </w:divBdr>
    </w:div>
    <w:div w:id="781802848">
      <w:marLeft w:val="0"/>
      <w:marRight w:val="0"/>
      <w:marTop w:val="0"/>
      <w:marBottom w:val="0"/>
      <w:divBdr>
        <w:top w:val="none" w:sz="0" w:space="0" w:color="auto"/>
        <w:left w:val="none" w:sz="0" w:space="0" w:color="auto"/>
        <w:bottom w:val="none" w:sz="0" w:space="0" w:color="auto"/>
        <w:right w:val="none" w:sz="0" w:space="0" w:color="auto"/>
      </w:divBdr>
    </w:div>
    <w:div w:id="788856956">
      <w:marLeft w:val="0"/>
      <w:marRight w:val="0"/>
      <w:marTop w:val="0"/>
      <w:marBottom w:val="0"/>
      <w:divBdr>
        <w:top w:val="none" w:sz="0" w:space="0" w:color="auto"/>
        <w:left w:val="none" w:sz="0" w:space="0" w:color="auto"/>
        <w:bottom w:val="none" w:sz="0" w:space="0" w:color="auto"/>
        <w:right w:val="none" w:sz="0" w:space="0" w:color="auto"/>
      </w:divBdr>
    </w:div>
    <w:div w:id="789396773">
      <w:marLeft w:val="0"/>
      <w:marRight w:val="0"/>
      <w:marTop w:val="0"/>
      <w:marBottom w:val="0"/>
      <w:divBdr>
        <w:top w:val="none" w:sz="0" w:space="0" w:color="auto"/>
        <w:left w:val="none" w:sz="0" w:space="0" w:color="auto"/>
        <w:bottom w:val="none" w:sz="0" w:space="0" w:color="auto"/>
        <w:right w:val="none" w:sz="0" w:space="0" w:color="auto"/>
      </w:divBdr>
    </w:div>
    <w:div w:id="807548064">
      <w:marLeft w:val="0"/>
      <w:marRight w:val="0"/>
      <w:marTop w:val="0"/>
      <w:marBottom w:val="0"/>
      <w:divBdr>
        <w:top w:val="none" w:sz="0" w:space="0" w:color="auto"/>
        <w:left w:val="none" w:sz="0" w:space="0" w:color="auto"/>
        <w:bottom w:val="none" w:sz="0" w:space="0" w:color="auto"/>
        <w:right w:val="none" w:sz="0" w:space="0" w:color="auto"/>
      </w:divBdr>
    </w:div>
    <w:div w:id="809134407">
      <w:marLeft w:val="0"/>
      <w:marRight w:val="0"/>
      <w:marTop w:val="0"/>
      <w:marBottom w:val="0"/>
      <w:divBdr>
        <w:top w:val="none" w:sz="0" w:space="0" w:color="auto"/>
        <w:left w:val="none" w:sz="0" w:space="0" w:color="auto"/>
        <w:bottom w:val="none" w:sz="0" w:space="0" w:color="auto"/>
        <w:right w:val="none" w:sz="0" w:space="0" w:color="auto"/>
      </w:divBdr>
    </w:div>
    <w:div w:id="813332709">
      <w:marLeft w:val="0"/>
      <w:marRight w:val="0"/>
      <w:marTop w:val="0"/>
      <w:marBottom w:val="0"/>
      <w:divBdr>
        <w:top w:val="none" w:sz="0" w:space="0" w:color="auto"/>
        <w:left w:val="none" w:sz="0" w:space="0" w:color="auto"/>
        <w:bottom w:val="none" w:sz="0" w:space="0" w:color="auto"/>
        <w:right w:val="none" w:sz="0" w:space="0" w:color="auto"/>
      </w:divBdr>
    </w:div>
    <w:div w:id="831137932">
      <w:marLeft w:val="0"/>
      <w:marRight w:val="0"/>
      <w:marTop w:val="0"/>
      <w:marBottom w:val="0"/>
      <w:divBdr>
        <w:top w:val="none" w:sz="0" w:space="0" w:color="auto"/>
        <w:left w:val="none" w:sz="0" w:space="0" w:color="auto"/>
        <w:bottom w:val="none" w:sz="0" w:space="0" w:color="auto"/>
        <w:right w:val="none" w:sz="0" w:space="0" w:color="auto"/>
      </w:divBdr>
    </w:div>
    <w:div w:id="839929195">
      <w:marLeft w:val="0"/>
      <w:marRight w:val="0"/>
      <w:marTop w:val="0"/>
      <w:marBottom w:val="0"/>
      <w:divBdr>
        <w:top w:val="none" w:sz="0" w:space="0" w:color="auto"/>
        <w:left w:val="none" w:sz="0" w:space="0" w:color="auto"/>
        <w:bottom w:val="none" w:sz="0" w:space="0" w:color="auto"/>
        <w:right w:val="none" w:sz="0" w:space="0" w:color="auto"/>
      </w:divBdr>
    </w:div>
    <w:div w:id="851145099">
      <w:marLeft w:val="0"/>
      <w:marRight w:val="0"/>
      <w:marTop w:val="0"/>
      <w:marBottom w:val="0"/>
      <w:divBdr>
        <w:top w:val="none" w:sz="0" w:space="0" w:color="auto"/>
        <w:left w:val="none" w:sz="0" w:space="0" w:color="auto"/>
        <w:bottom w:val="none" w:sz="0" w:space="0" w:color="auto"/>
        <w:right w:val="none" w:sz="0" w:space="0" w:color="auto"/>
      </w:divBdr>
    </w:div>
    <w:div w:id="855192327">
      <w:marLeft w:val="0"/>
      <w:marRight w:val="0"/>
      <w:marTop w:val="0"/>
      <w:marBottom w:val="0"/>
      <w:divBdr>
        <w:top w:val="none" w:sz="0" w:space="0" w:color="auto"/>
        <w:left w:val="none" w:sz="0" w:space="0" w:color="auto"/>
        <w:bottom w:val="none" w:sz="0" w:space="0" w:color="auto"/>
        <w:right w:val="none" w:sz="0" w:space="0" w:color="auto"/>
      </w:divBdr>
    </w:div>
    <w:div w:id="855735026">
      <w:marLeft w:val="0"/>
      <w:marRight w:val="0"/>
      <w:marTop w:val="0"/>
      <w:marBottom w:val="0"/>
      <w:divBdr>
        <w:top w:val="none" w:sz="0" w:space="0" w:color="auto"/>
        <w:left w:val="none" w:sz="0" w:space="0" w:color="auto"/>
        <w:bottom w:val="none" w:sz="0" w:space="0" w:color="auto"/>
        <w:right w:val="none" w:sz="0" w:space="0" w:color="auto"/>
      </w:divBdr>
    </w:div>
    <w:div w:id="867185842">
      <w:marLeft w:val="0"/>
      <w:marRight w:val="0"/>
      <w:marTop w:val="0"/>
      <w:marBottom w:val="0"/>
      <w:divBdr>
        <w:top w:val="none" w:sz="0" w:space="0" w:color="auto"/>
        <w:left w:val="none" w:sz="0" w:space="0" w:color="auto"/>
        <w:bottom w:val="none" w:sz="0" w:space="0" w:color="auto"/>
        <w:right w:val="none" w:sz="0" w:space="0" w:color="auto"/>
      </w:divBdr>
    </w:div>
    <w:div w:id="870731251">
      <w:marLeft w:val="0"/>
      <w:marRight w:val="0"/>
      <w:marTop w:val="0"/>
      <w:marBottom w:val="0"/>
      <w:divBdr>
        <w:top w:val="none" w:sz="0" w:space="0" w:color="auto"/>
        <w:left w:val="none" w:sz="0" w:space="0" w:color="auto"/>
        <w:bottom w:val="none" w:sz="0" w:space="0" w:color="auto"/>
        <w:right w:val="none" w:sz="0" w:space="0" w:color="auto"/>
      </w:divBdr>
    </w:div>
    <w:div w:id="871646357">
      <w:marLeft w:val="0"/>
      <w:marRight w:val="0"/>
      <w:marTop w:val="0"/>
      <w:marBottom w:val="0"/>
      <w:divBdr>
        <w:top w:val="none" w:sz="0" w:space="0" w:color="auto"/>
        <w:left w:val="none" w:sz="0" w:space="0" w:color="auto"/>
        <w:bottom w:val="none" w:sz="0" w:space="0" w:color="auto"/>
        <w:right w:val="none" w:sz="0" w:space="0" w:color="auto"/>
      </w:divBdr>
    </w:div>
    <w:div w:id="895816036">
      <w:marLeft w:val="0"/>
      <w:marRight w:val="0"/>
      <w:marTop w:val="0"/>
      <w:marBottom w:val="0"/>
      <w:divBdr>
        <w:top w:val="none" w:sz="0" w:space="0" w:color="auto"/>
        <w:left w:val="none" w:sz="0" w:space="0" w:color="auto"/>
        <w:bottom w:val="none" w:sz="0" w:space="0" w:color="auto"/>
        <w:right w:val="none" w:sz="0" w:space="0" w:color="auto"/>
      </w:divBdr>
    </w:div>
    <w:div w:id="902254833">
      <w:marLeft w:val="0"/>
      <w:marRight w:val="0"/>
      <w:marTop w:val="0"/>
      <w:marBottom w:val="0"/>
      <w:divBdr>
        <w:top w:val="none" w:sz="0" w:space="0" w:color="auto"/>
        <w:left w:val="none" w:sz="0" w:space="0" w:color="auto"/>
        <w:bottom w:val="none" w:sz="0" w:space="0" w:color="auto"/>
        <w:right w:val="none" w:sz="0" w:space="0" w:color="auto"/>
      </w:divBdr>
    </w:div>
    <w:div w:id="922908359">
      <w:marLeft w:val="0"/>
      <w:marRight w:val="0"/>
      <w:marTop w:val="0"/>
      <w:marBottom w:val="0"/>
      <w:divBdr>
        <w:top w:val="none" w:sz="0" w:space="0" w:color="auto"/>
        <w:left w:val="none" w:sz="0" w:space="0" w:color="auto"/>
        <w:bottom w:val="none" w:sz="0" w:space="0" w:color="auto"/>
        <w:right w:val="none" w:sz="0" w:space="0" w:color="auto"/>
      </w:divBdr>
    </w:div>
    <w:div w:id="930351999">
      <w:marLeft w:val="0"/>
      <w:marRight w:val="150"/>
      <w:marTop w:val="0"/>
      <w:marBottom w:val="0"/>
      <w:divBdr>
        <w:top w:val="none" w:sz="0" w:space="0" w:color="auto"/>
        <w:left w:val="none" w:sz="0" w:space="0" w:color="auto"/>
        <w:bottom w:val="none" w:sz="0" w:space="0" w:color="auto"/>
        <w:right w:val="none" w:sz="0" w:space="0" w:color="auto"/>
      </w:divBdr>
      <w:divsChild>
        <w:div w:id="795370084">
          <w:marLeft w:val="0"/>
          <w:marRight w:val="150"/>
          <w:marTop w:val="0"/>
          <w:marBottom w:val="0"/>
          <w:divBdr>
            <w:top w:val="none" w:sz="0" w:space="0" w:color="auto"/>
            <w:left w:val="none" w:sz="0" w:space="0" w:color="auto"/>
            <w:bottom w:val="none" w:sz="0" w:space="0" w:color="auto"/>
            <w:right w:val="none" w:sz="0" w:space="0" w:color="auto"/>
          </w:divBdr>
        </w:div>
      </w:divsChild>
    </w:div>
    <w:div w:id="931278886">
      <w:bodyDiv w:val="1"/>
      <w:marLeft w:val="0"/>
      <w:marRight w:val="0"/>
      <w:marTop w:val="0"/>
      <w:marBottom w:val="0"/>
      <w:divBdr>
        <w:top w:val="none" w:sz="0" w:space="0" w:color="auto"/>
        <w:left w:val="none" w:sz="0" w:space="0" w:color="auto"/>
        <w:bottom w:val="none" w:sz="0" w:space="0" w:color="auto"/>
        <w:right w:val="none" w:sz="0" w:space="0" w:color="auto"/>
      </w:divBdr>
      <w:divsChild>
        <w:div w:id="891624119">
          <w:marLeft w:val="0"/>
          <w:marRight w:val="0"/>
          <w:marTop w:val="0"/>
          <w:marBottom w:val="0"/>
          <w:divBdr>
            <w:top w:val="none" w:sz="0" w:space="0" w:color="auto"/>
            <w:left w:val="none" w:sz="0" w:space="0" w:color="auto"/>
            <w:bottom w:val="none" w:sz="0" w:space="0" w:color="auto"/>
            <w:right w:val="none" w:sz="0" w:space="0" w:color="auto"/>
          </w:divBdr>
        </w:div>
        <w:div w:id="1625427382">
          <w:marLeft w:val="0"/>
          <w:marRight w:val="0"/>
          <w:marTop w:val="0"/>
          <w:marBottom w:val="0"/>
          <w:divBdr>
            <w:top w:val="none" w:sz="0" w:space="0" w:color="auto"/>
            <w:left w:val="none" w:sz="0" w:space="0" w:color="auto"/>
            <w:bottom w:val="none" w:sz="0" w:space="0" w:color="auto"/>
            <w:right w:val="none" w:sz="0" w:space="0" w:color="auto"/>
          </w:divBdr>
        </w:div>
        <w:div w:id="457454723">
          <w:marLeft w:val="0"/>
          <w:marRight w:val="0"/>
          <w:marTop w:val="0"/>
          <w:marBottom w:val="0"/>
          <w:divBdr>
            <w:top w:val="none" w:sz="0" w:space="0" w:color="auto"/>
            <w:left w:val="none" w:sz="0" w:space="0" w:color="auto"/>
            <w:bottom w:val="none" w:sz="0" w:space="0" w:color="auto"/>
            <w:right w:val="none" w:sz="0" w:space="0" w:color="auto"/>
          </w:divBdr>
        </w:div>
        <w:div w:id="514999603">
          <w:marLeft w:val="0"/>
          <w:marRight w:val="0"/>
          <w:marTop w:val="0"/>
          <w:marBottom w:val="0"/>
          <w:divBdr>
            <w:top w:val="none" w:sz="0" w:space="0" w:color="auto"/>
            <w:left w:val="none" w:sz="0" w:space="0" w:color="auto"/>
            <w:bottom w:val="none" w:sz="0" w:space="0" w:color="auto"/>
            <w:right w:val="none" w:sz="0" w:space="0" w:color="auto"/>
          </w:divBdr>
        </w:div>
        <w:div w:id="1578321884">
          <w:marLeft w:val="0"/>
          <w:marRight w:val="0"/>
          <w:marTop w:val="0"/>
          <w:marBottom w:val="0"/>
          <w:divBdr>
            <w:top w:val="none" w:sz="0" w:space="0" w:color="auto"/>
            <w:left w:val="none" w:sz="0" w:space="0" w:color="auto"/>
            <w:bottom w:val="none" w:sz="0" w:space="0" w:color="auto"/>
            <w:right w:val="none" w:sz="0" w:space="0" w:color="auto"/>
          </w:divBdr>
        </w:div>
        <w:div w:id="1726946777">
          <w:marLeft w:val="0"/>
          <w:marRight w:val="0"/>
          <w:marTop w:val="0"/>
          <w:marBottom w:val="0"/>
          <w:divBdr>
            <w:top w:val="none" w:sz="0" w:space="0" w:color="auto"/>
            <w:left w:val="none" w:sz="0" w:space="0" w:color="auto"/>
            <w:bottom w:val="none" w:sz="0" w:space="0" w:color="auto"/>
            <w:right w:val="none" w:sz="0" w:space="0" w:color="auto"/>
          </w:divBdr>
        </w:div>
        <w:div w:id="242643597">
          <w:marLeft w:val="0"/>
          <w:marRight w:val="0"/>
          <w:marTop w:val="0"/>
          <w:marBottom w:val="0"/>
          <w:divBdr>
            <w:top w:val="none" w:sz="0" w:space="0" w:color="auto"/>
            <w:left w:val="none" w:sz="0" w:space="0" w:color="auto"/>
            <w:bottom w:val="none" w:sz="0" w:space="0" w:color="auto"/>
            <w:right w:val="none" w:sz="0" w:space="0" w:color="auto"/>
          </w:divBdr>
        </w:div>
        <w:div w:id="582183587">
          <w:marLeft w:val="0"/>
          <w:marRight w:val="0"/>
          <w:marTop w:val="0"/>
          <w:marBottom w:val="0"/>
          <w:divBdr>
            <w:top w:val="none" w:sz="0" w:space="0" w:color="auto"/>
            <w:left w:val="none" w:sz="0" w:space="0" w:color="auto"/>
            <w:bottom w:val="none" w:sz="0" w:space="0" w:color="auto"/>
            <w:right w:val="none" w:sz="0" w:space="0" w:color="auto"/>
          </w:divBdr>
        </w:div>
        <w:div w:id="554507344">
          <w:marLeft w:val="0"/>
          <w:marRight w:val="0"/>
          <w:marTop w:val="0"/>
          <w:marBottom w:val="0"/>
          <w:divBdr>
            <w:top w:val="none" w:sz="0" w:space="0" w:color="auto"/>
            <w:left w:val="none" w:sz="0" w:space="0" w:color="auto"/>
            <w:bottom w:val="none" w:sz="0" w:space="0" w:color="auto"/>
            <w:right w:val="none" w:sz="0" w:space="0" w:color="auto"/>
          </w:divBdr>
        </w:div>
        <w:div w:id="800391202">
          <w:marLeft w:val="0"/>
          <w:marRight w:val="0"/>
          <w:marTop w:val="0"/>
          <w:marBottom w:val="0"/>
          <w:divBdr>
            <w:top w:val="none" w:sz="0" w:space="0" w:color="auto"/>
            <w:left w:val="none" w:sz="0" w:space="0" w:color="auto"/>
            <w:bottom w:val="none" w:sz="0" w:space="0" w:color="auto"/>
            <w:right w:val="none" w:sz="0" w:space="0" w:color="auto"/>
          </w:divBdr>
        </w:div>
        <w:div w:id="265891641">
          <w:marLeft w:val="0"/>
          <w:marRight w:val="0"/>
          <w:marTop w:val="0"/>
          <w:marBottom w:val="0"/>
          <w:divBdr>
            <w:top w:val="none" w:sz="0" w:space="0" w:color="auto"/>
            <w:left w:val="none" w:sz="0" w:space="0" w:color="auto"/>
            <w:bottom w:val="none" w:sz="0" w:space="0" w:color="auto"/>
            <w:right w:val="none" w:sz="0" w:space="0" w:color="auto"/>
          </w:divBdr>
        </w:div>
        <w:div w:id="1095174522">
          <w:marLeft w:val="0"/>
          <w:marRight w:val="0"/>
          <w:marTop w:val="0"/>
          <w:marBottom w:val="0"/>
          <w:divBdr>
            <w:top w:val="none" w:sz="0" w:space="0" w:color="auto"/>
            <w:left w:val="none" w:sz="0" w:space="0" w:color="auto"/>
            <w:bottom w:val="none" w:sz="0" w:space="0" w:color="auto"/>
            <w:right w:val="none" w:sz="0" w:space="0" w:color="auto"/>
          </w:divBdr>
        </w:div>
        <w:div w:id="722562583">
          <w:marLeft w:val="0"/>
          <w:marRight w:val="0"/>
          <w:marTop w:val="0"/>
          <w:marBottom w:val="0"/>
          <w:divBdr>
            <w:top w:val="none" w:sz="0" w:space="0" w:color="auto"/>
            <w:left w:val="none" w:sz="0" w:space="0" w:color="auto"/>
            <w:bottom w:val="none" w:sz="0" w:space="0" w:color="auto"/>
            <w:right w:val="none" w:sz="0" w:space="0" w:color="auto"/>
          </w:divBdr>
        </w:div>
        <w:div w:id="464205032">
          <w:marLeft w:val="0"/>
          <w:marRight w:val="0"/>
          <w:marTop w:val="0"/>
          <w:marBottom w:val="0"/>
          <w:divBdr>
            <w:top w:val="none" w:sz="0" w:space="0" w:color="auto"/>
            <w:left w:val="none" w:sz="0" w:space="0" w:color="auto"/>
            <w:bottom w:val="none" w:sz="0" w:space="0" w:color="auto"/>
            <w:right w:val="none" w:sz="0" w:space="0" w:color="auto"/>
          </w:divBdr>
        </w:div>
        <w:div w:id="1151215920">
          <w:marLeft w:val="0"/>
          <w:marRight w:val="0"/>
          <w:marTop w:val="0"/>
          <w:marBottom w:val="0"/>
          <w:divBdr>
            <w:top w:val="none" w:sz="0" w:space="0" w:color="auto"/>
            <w:left w:val="none" w:sz="0" w:space="0" w:color="auto"/>
            <w:bottom w:val="none" w:sz="0" w:space="0" w:color="auto"/>
            <w:right w:val="none" w:sz="0" w:space="0" w:color="auto"/>
          </w:divBdr>
        </w:div>
        <w:div w:id="426538781">
          <w:marLeft w:val="0"/>
          <w:marRight w:val="0"/>
          <w:marTop w:val="0"/>
          <w:marBottom w:val="0"/>
          <w:divBdr>
            <w:top w:val="none" w:sz="0" w:space="0" w:color="auto"/>
            <w:left w:val="none" w:sz="0" w:space="0" w:color="auto"/>
            <w:bottom w:val="none" w:sz="0" w:space="0" w:color="auto"/>
            <w:right w:val="none" w:sz="0" w:space="0" w:color="auto"/>
          </w:divBdr>
        </w:div>
        <w:div w:id="1278950607">
          <w:marLeft w:val="0"/>
          <w:marRight w:val="0"/>
          <w:marTop w:val="0"/>
          <w:marBottom w:val="0"/>
          <w:divBdr>
            <w:top w:val="none" w:sz="0" w:space="0" w:color="auto"/>
            <w:left w:val="none" w:sz="0" w:space="0" w:color="auto"/>
            <w:bottom w:val="none" w:sz="0" w:space="0" w:color="auto"/>
            <w:right w:val="none" w:sz="0" w:space="0" w:color="auto"/>
          </w:divBdr>
        </w:div>
        <w:div w:id="1864896319">
          <w:marLeft w:val="0"/>
          <w:marRight w:val="0"/>
          <w:marTop w:val="0"/>
          <w:marBottom w:val="0"/>
          <w:divBdr>
            <w:top w:val="none" w:sz="0" w:space="0" w:color="auto"/>
            <w:left w:val="none" w:sz="0" w:space="0" w:color="auto"/>
            <w:bottom w:val="none" w:sz="0" w:space="0" w:color="auto"/>
            <w:right w:val="none" w:sz="0" w:space="0" w:color="auto"/>
          </w:divBdr>
        </w:div>
        <w:div w:id="1832140628">
          <w:marLeft w:val="0"/>
          <w:marRight w:val="0"/>
          <w:marTop w:val="0"/>
          <w:marBottom w:val="0"/>
          <w:divBdr>
            <w:top w:val="none" w:sz="0" w:space="0" w:color="auto"/>
            <w:left w:val="none" w:sz="0" w:space="0" w:color="auto"/>
            <w:bottom w:val="none" w:sz="0" w:space="0" w:color="auto"/>
            <w:right w:val="none" w:sz="0" w:space="0" w:color="auto"/>
          </w:divBdr>
        </w:div>
        <w:div w:id="335233802">
          <w:marLeft w:val="0"/>
          <w:marRight w:val="0"/>
          <w:marTop w:val="0"/>
          <w:marBottom w:val="0"/>
          <w:divBdr>
            <w:top w:val="none" w:sz="0" w:space="0" w:color="auto"/>
            <w:left w:val="none" w:sz="0" w:space="0" w:color="auto"/>
            <w:bottom w:val="none" w:sz="0" w:space="0" w:color="auto"/>
            <w:right w:val="none" w:sz="0" w:space="0" w:color="auto"/>
          </w:divBdr>
        </w:div>
        <w:div w:id="1843734814">
          <w:marLeft w:val="0"/>
          <w:marRight w:val="0"/>
          <w:marTop w:val="0"/>
          <w:marBottom w:val="0"/>
          <w:divBdr>
            <w:top w:val="none" w:sz="0" w:space="0" w:color="auto"/>
            <w:left w:val="none" w:sz="0" w:space="0" w:color="auto"/>
            <w:bottom w:val="none" w:sz="0" w:space="0" w:color="auto"/>
            <w:right w:val="none" w:sz="0" w:space="0" w:color="auto"/>
          </w:divBdr>
        </w:div>
        <w:div w:id="2106803539">
          <w:marLeft w:val="0"/>
          <w:marRight w:val="0"/>
          <w:marTop w:val="0"/>
          <w:marBottom w:val="0"/>
          <w:divBdr>
            <w:top w:val="none" w:sz="0" w:space="0" w:color="auto"/>
            <w:left w:val="none" w:sz="0" w:space="0" w:color="auto"/>
            <w:bottom w:val="none" w:sz="0" w:space="0" w:color="auto"/>
            <w:right w:val="none" w:sz="0" w:space="0" w:color="auto"/>
          </w:divBdr>
        </w:div>
        <w:div w:id="511458570">
          <w:marLeft w:val="0"/>
          <w:marRight w:val="0"/>
          <w:marTop w:val="0"/>
          <w:marBottom w:val="0"/>
          <w:divBdr>
            <w:top w:val="none" w:sz="0" w:space="0" w:color="auto"/>
            <w:left w:val="none" w:sz="0" w:space="0" w:color="auto"/>
            <w:bottom w:val="none" w:sz="0" w:space="0" w:color="auto"/>
            <w:right w:val="none" w:sz="0" w:space="0" w:color="auto"/>
          </w:divBdr>
        </w:div>
        <w:div w:id="1058015786">
          <w:marLeft w:val="0"/>
          <w:marRight w:val="0"/>
          <w:marTop w:val="0"/>
          <w:marBottom w:val="0"/>
          <w:divBdr>
            <w:top w:val="none" w:sz="0" w:space="0" w:color="auto"/>
            <w:left w:val="none" w:sz="0" w:space="0" w:color="auto"/>
            <w:bottom w:val="none" w:sz="0" w:space="0" w:color="auto"/>
            <w:right w:val="none" w:sz="0" w:space="0" w:color="auto"/>
          </w:divBdr>
        </w:div>
        <w:div w:id="1959990909">
          <w:marLeft w:val="0"/>
          <w:marRight w:val="0"/>
          <w:marTop w:val="0"/>
          <w:marBottom w:val="0"/>
          <w:divBdr>
            <w:top w:val="none" w:sz="0" w:space="0" w:color="auto"/>
            <w:left w:val="none" w:sz="0" w:space="0" w:color="auto"/>
            <w:bottom w:val="none" w:sz="0" w:space="0" w:color="auto"/>
            <w:right w:val="none" w:sz="0" w:space="0" w:color="auto"/>
          </w:divBdr>
        </w:div>
        <w:div w:id="1302884622">
          <w:marLeft w:val="0"/>
          <w:marRight w:val="0"/>
          <w:marTop w:val="0"/>
          <w:marBottom w:val="0"/>
          <w:divBdr>
            <w:top w:val="none" w:sz="0" w:space="0" w:color="auto"/>
            <w:left w:val="none" w:sz="0" w:space="0" w:color="auto"/>
            <w:bottom w:val="none" w:sz="0" w:space="0" w:color="auto"/>
            <w:right w:val="none" w:sz="0" w:space="0" w:color="auto"/>
          </w:divBdr>
        </w:div>
        <w:div w:id="1181818984">
          <w:marLeft w:val="0"/>
          <w:marRight w:val="0"/>
          <w:marTop w:val="0"/>
          <w:marBottom w:val="0"/>
          <w:divBdr>
            <w:top w:val="none" w:sz="0" w:space="0" w:color="auto"/>
            <w:left w:val="none" w:sz="0" w:space="0" w:color="auto"/>
            <w:bottom w:val="none" w:sz="0" w:space="0" w:color="auto"/>
            <w:right w:val="none" w:sz="0" w:space="0" w:color="auto"/>
          </w:divBdr>
        </w:div>
        <w:div w:id="1129737789">
          <w:marLeft w:val="0"/>
          <w:marRight w:val="0"/>
          <w:marTop w:val="0"/>
          <w:marBottom w:val="0"/>
          <w:divBdr>
            <w:top w:val="none" w:sz="0" w:space="0" w:color="auto"/>
            <w:left w:val="none" w:sz="0" w:space="0" w:color="auto"/>
            <w:bottom w:val="none" w:sz="0" w:space="0" w:color="auto"/>
            <w:right w:val="none" w:sz="0" w:space="0" w:color="auto"/>
          </w:divBdr>
        </w:div>
        <w:div w:id="1329868316">
          <w:marLeft w:val="0"/>
          <w:marRight w:val="0"/>
          <w:marTop w:val="0"/>
          <w:marBottom w:val="0"/>
          <w:divBdr>
            <w:top w:val="none" w:sz="0" w:space="0" w:color="auto"/>
            <w:left w:val="none" w:sz="0" w:space="0" w:color="auto"/>
            <w:bottom w:val="none" w:sz="0" w:space="0" w:color="auto"/>
            <w:right w:val="none" w:sz="0" w:space="0" w:color="auto"/>
          </w:divBdr>
        </w:div>
        <w:div w:id="2020768895">
          <w:marLeft w:val="0"/>
          <w:marRight w:val="0"/>
          <w:marTop w:val="0"/>
          <w:marBottom w:val="0"/>
          <w:divBdr>
            <w:top w:val="none" w:sz="0" w:space="0" w:color="auto"/>
            <w:left w:val="none" w:sz="0" w:space="0" w:color="auto"/>
            <w:bottom w:val="none" w:sz="0" w:space="0" w:color="auto"/>
            <w:right w:val="none" w:sz="0" w:space="0" w:color="auto"/>
          </w:divBdr>
        </w:div>
        <w:div w:id="1060635729">
          <w:marLeft w:val="0"/>
          <w:marRight w:val="0"/>
          <w:marTop w:val="0"/>
          <w:marBottom w:val="0"/>
          <w:divBdr>
            <w:top w:val="none" w:sz="0" w:space="0" w:color="auto"/>
            <w:left w:val="none" w:sz="0" w:space="0" w:color="auto"/>
            <w:bottom w:val="none" w:sz="0" w:space="0" w:color="auto"/>
            <w:right w:val="none" w:sz="0" w:space="0" w:color="auto"/>
          </w:divBdr>
        </w:div>
        <w:div w:id="430006610">
          <w:marLeft w:val="0"/>
          <w:marRight w:val="0"/>
          <w:marTop w:val="0"/>
          <w:marBottom w:val="0"/>
          <w:divBdr>
            <w:top w:val="none" w:sz="0" w:space="0" w:color="auto"/>
            <w:left w:val="none" w:sz="0" w:space="0" w:color="auto"/>
            <w:bottom w:val="none" w:sz="0" w:space="0" w:color="auto"/>
            <w:right w:val="none" w:sz="0" w:space="0" w:color="auto"/>
          </w:divBdr>
        </w:div>
        <w:div w:id="431978924">
          <w:marLeft w:val="0"/>
          <w:marRight w:val="0"/>
          <w:marTop w:val="0"/>
          <w:marBottom w:val="0"/>
          <w:divBdr>
            <w:top w:val="none" w:sz="0" w:space="0" w:color="auto"/>
            <w:left w:val="none" w:sz="0" w:space="0" w:color="auto"/>
            <w:bottom w:val="none" w:sz="0" w:space="0" w:color="auto"/>
            <w:right w:val="none" w:sz="0" w:space="0" w:color="auto"/>
          </w:divBdr>
        </w:div>
        <w:div w:id="1837912099">
          <w:marLeft w:val="0"/>
          <w:marRight w:val="0"/>
          <w:marTop w:val="0"/>
          <w:marBottom w:val="0"/>
          <w:divBdr>
            <w:top w:val="none" w:sz="0" w:space="0" w:color="auto"/>
            <w:left w:val="none" w:sz="0" w:space="0" w:color="auto"/>
            <w:bottom w:val="none" w:sz="0" w:space="0" w:color="auto"/>
            <w:right w:val="none" w:sz="0" w:space="0" w:color="auto"/>
          </w:divBdr>
        </w:div>
        <w:div w:id="1552113173">
          <w:marLeft w:val="0"/>
          <w:marRight w:val="0"/>
          <w:marTop w:val="0"/>
          <w:marBottom w:val="0"/>
          <w:divBdr>
            <w:top w:val="none" w:sz="0" w:space="0" w:color="auto"/>
            <w:left w:val="none" w:sz="0" w:space="0" w:color="auto"/>
            <w:bottom w:val="none" w:sz="0" w:space="0" w:color="auto"/>
            <w:right w:val="none" w:sz="0" w:space="0" w:color="auto"/>
          </w:divBdr>
        </w:div>
        <w:div w:id="2051219026">
          <w:marLeft w:val="0"/>
          <w:marRight w:val="0"/>
          <w:marTop w:val="0"/>
          <w:marBottom w:val="0"/>
          <w:divBdr>
            <w:top w:val="none" w:sz="0" w:space="0" w:color="auto"/>
            <w:left w:val="none" w:sz="0" w:space="0" w:color="auto"/>
            <w:bottom w:val="none" w:sz="0" w:space="0" w:color="auto"/>
            <w:right w:val="none" w:sz="0" w:space="0" w:color="auto"/>
          </w:divBdr>
        </w:div>
        <w:div w:id="1382248425">
          <w:marLeft w:val="0"/>
          <w:marRight w:val="0"/>
          <w:marTop w:val="0"/>
          <w:marBottom w:val="0"/>
          <w:divBdr>
            <w:top w:val="none" w:sz="0" w:space="0" w:color="auto"/>
            <w:left w:val="none" w:sz="0" w:space="0" w:color="auto"/>
            <w:bottom w:val="none" w:sz="0" w:space="0" w:color="auto"/>
            <w:right w:val="none" w:sz="0" w:space="0" w:color="auto"/>
          </w:divBdr>
        </w:div>
        <w:div w:id="1558929112">
          <w:marLeft w:val="0"/>
          <w:marRight w:val="0"/>
          <w:marTop w:val="0"/>
          <w:marBottom w:val="0"/>
          <w:divBdr>
            <w:top w:val="none" w:sz="0" w:space="0" w:color="auto"/>
            <w:left w:val="none" w:sz="0" w:space="0" w:color="auto"/>
            <w:bottom w:val="none" w:sz="0" w:space="0" w:color="auto"/>
            <w:right w:val="none" w:sz="0" w:space="0" w:color="auto"/>
          </w:divBdr>
        </w:div>
        <w:div w:id="917204649">
          <w:marLeft w:val="0"/>
          <w:marRight w:val="0"/>
          <w:marTop w:val="0"/>
          <w:marBottom w:val="0"/>
          <w:divBdr>
            <w:top w:val="none" w:sz="0" w:space="0" w:color="auto"/>
            <w:left w:val="none" w:sz="0" w:space="0" w:color="auto"/>
            <w:bottom w:val="none" w:sz="0" w:space="0" w:color="auto"/>
            <w:right w:val="none" w:sz="0" w:space="0" w:color="auto"/>
          </w:divBdr>
        </w:div>
        <w:div w:id="35080815">
          <w:marLeft w:val="0"/>
          <w:marRight w:val="0"/>
          <w:marTop w:val="0"/>
          <w:marBottom w:val="0"/>
          <w:divBdr>
            <w:top w:val="none" w:sz="0" w:space="0" w:color="auto"/>
            <w:left w:val="none" w:sz="0" w:space="0" w:color="auto"/>
            <w:bottom w:val="none" w:sz="0" w:space="0" w:color="auto"/>
            <w:right w:val="none" w:sz="0" w:space="0" w:color="auto"/>
          </w:divBdr>
        </w:div>
        <w:div w:id="541675282">
          <w:marLeft w:val="0"/>
          <w:marRight w:val="0"/>
          <w:marTop w:val="0"/>
          <w:marBottom w:val="0"/>
          <w:divBdr>
            <w:top w:val="none" w:sz="0" w:space="0" w:color="auto"/>
            <w:left w:val="none" w:sz="0" w:space="0" w:color="auto"/>
            <w:bottom w:val="none" w:sz="0" w:space="0" w:color="auto"/>
            <w:right w:val="none" w:sz="0" w:space="0" w:color="auto"/>
          </w:divBdr>
        </w:div>
        <w:div w:id="379020830">
          <w:marLeft w:val="0"/>
          <w:marRight w:val="0"/>
          <w:marTop w:val="0"/>
          <w:marBottom w:val="0"/>
          <w:divBdr>
            <w:top w:val="none" w:sz="0" w:space="0" w:color="auto"/>
            <w:left w:val="none" w:sz="0" w:space="0" w:color="auto"/>
            <w:bottom w:val="none" w:sz="0" w:space="0" w:color="auto"/>
            <w:right w:val="none" w:sz="0" w:space="0" w:color="auto"/>
          </w:divBdr>
        </w:div>
        <w:div w:id="874931599">
          <w:marLeft w:val="0"/>
          <w:marRight w:val="0"/>
          <w:marTop w:val="0"/>
          <w:marBottom w:val="0"/>
          <w:divBdr>
            <w:top w:val="none" w:sz="0" w:space="0" w:color="auto"/>
            <w:left w:val="none" w:sz="0" w:space="0" w:color="auto"/>
            <w:bottom w:val="none" w:sz="0" w:space="0" w:color="auto"/>
            <w:right w:val="none" w:sz="0" w:space="0" w:color="auto"/>
          </w:divBdr>
        </w:div>
        <w:div w:id="1107118158">
          <w:marLeft w:val="0"/>
          <w:marRight w:val="0"/>
          <w:marTop w:val="0"/>
          <w:marBottom w:val="0"/>
          <w:divBdr>
            <w:top w:val="none" w:sz="0" w:space="0" w:color="auto"/>
            <w:left w:val="none" w:sz="0" w:space="0" w:color="auto"/>
            <w:bottom w:val="none" w:sz="0" w:space="0" w:color="auto"/>
            <w:right w:val="none" w:sz="0" w:space="0" w:color="auto"/>
          </w:divBdr>
        </w:div>
        <w:div w:id="2082096410">
          <w:marLeft w:val="0"/>
          <w:marRight w:val="0"/>
          <w:marTop w:val="0"/>
          <w:marBottom w:val="0"/>
          <w:divBdr>
            <w:top w:val="none" w:sz="0" w:space="0" w:color="auto"/>
            <w:left w:val="none" w:sz="0" w:space="0" w:color="auto"/>
            <w:bottom w:val="none" w:sz="0" w:space="0" w:color="auto"/>
            <w:right w:val="none" w:sz="0" w:space="0" w:color="auto"/>
          </w:divBdr>
        </w:div>
        <w:div w:id="371150068">
          <w:marLeft w:val="0"/>
          <w:marRight w:val="0"/>
          <w:marTop w:val="0"/>
          <w:marBottom w:val="0"/>
          <w:divBdr>
            <w:top w:val="none" w:sz="0" w:space="0" w:color="auto"/>
            <w:left w:val="none" w:sz="0" w:space="0" w:color="auto"/>
            <w:bottom w:val="none" w:sz="0" w:space="0" w:color="auto"/>
            <w:right w:val="none" w:sz="0" w:space="0" w:color="auto"/>
          </w:divBdr>
        </w:div>
        <w:div w:id="1122768423">
          <w:marLeft w:val="0"/>
          <w:marRight w:val="0"/>
          <w:marTop w:val="0"/>
          <w:marBottom w:val="0"/>
          <w:divBdr>
            <w:top w:val="none" w:sz="0" w:space="0" w:color="auto"/>
            <w:left w:val="none" w:sz="0" w:space="0" w:color="auto"/>
            <w:bottom w:val="none" w:sz="0" w:space="0" w:color="auto"/>
            <w:right w:val="none" w:sz="0" w:space="0" w:color="auto"/>
          </w:divBdr>
        </w:div>
        <w:div w:id="1714108994">
          <w:marLeft w:val="0"/>
          <w:marRight w:val="0"/>
          <w:marTop w:val="0"/>
          <w:marBottom w:val="0"/>
          <w:divBdr>
            <w:top w:val="none" w:sz="0" w:space="0" w:color="auto"/>
            <w:left w:val="none" w:sz="0" w:space="0" w:color="auto"/>
            <w:bottom w:val="none" w:sz="0" w:space="0" w:color="auto"/>
            <w:right w:val="none" w:sz="0" w:space="0" w:color="auto"/>
          </w:divBdr>
        </w:div>
        <w:div w:id="306593930">
          <w:marLeft w:val="0"/>
          <w:marRight w:val="0"/>
          <w:marTop w:val="0"/>
          <w:marBottom w:val="0"/>
          <w:divBdr>
            <w:top w:val="none" w:sz="0" w:space="0" w:color="auto"/>
            <w:left w:val="none" w:sz="0" w:space="0" w:color="auto"/>
            <w:bottom w:val="none" w:sz="0" w:space="0" w:color="auto"/>
            <w:right w:val="none" w:sz="0" w:space="0" w:color="auto"/>
          </w:divBdr>
        </w:div>
        <w:div w:id="423037475">
          <w:marLeft w:val="0"/>
          <w:marRight w:val="0"/>
          <w:marTop w:val="0"/>
          <w:marBottom w:val="0"/>
          <w:divBdr>
            <w:top w:val="none" w:sz="0" w:space="0" w:color="auto"/>
            <w:left w:val="none" w:sz="0" w:space="0" w:color="auto"/>
            <w:bottom w:val="none" w:sz="0" w:space="0" w:color="auto"/>
            <w:right w:val="none" w:sz="0" w:space="0" w:color="auto"/>
          </w:divBdr>
        </w:div>
        <w:div w:id="1666859164">
          <w:marLeft w:val="0"/>
          <w:marRight w:val="0"/>
          <w:marTop w:val="0"/>
          <w:marBottom w:val="0"/>
          <w:divBdr>
            <w:top w:val="none" w:sz="0" w:space="0" w:color="auto"/>
            <w:left w:val="none" w:sz="0" w:space="0" w:color="auto"/>
            <w:bottom w:val="none" w:sz="0" w:space="0" w:color="auto"/>
            <w:right w:val="none" w:sz="0" w:space="0" w:color="auto"/>
          </w:divBdr>
        </w:div>
        <w:div w:id="1059981620">
          <w:marLeft w:val="0"/>
          <w:marRight w:val="0"/>
          <w:marTop w:val="0"/>
          <w:marBottom w:val="0"/>
          <w:divBdr>
            <w:top w:val="none" w:sz="0" w:space="0" w:color="auto"/>
            <w:left w:val="none" w:sz="0" w:space="0" w:color="auto"/>
            <w:bottom w:val="none" w:sz="0" w:space="0" w:color="auto"/>
            <w:right w:val="none" w:sz="0" w:space="0" w:color="auto"/>
          </w:divBdr>
        </w:div>
        <w:div w:id="319817281">
          <w:marLeft w:val="0"/>
          <w:marRight w:val="0"/>
          <w:marTop w:val="0"/>
          <w:marBottom w:val="0"/>
          <w:divBdr>
            <w:top w:val="none" w:sz="0" w:space="0" w:color="auto"/>
            <w:left w:val="none" w:sz="0" w:space="0" w:color="auto"/>
            <w:bottom w:val="none" w:sz="0" w:space="0" w:color="auto"/>
            <w:right w:val="none" w:sz="0" w:space="0" w:color="auto"/>
          </w:divBdr>
        </w:div>
        <w:div w:id="114954361">
          <w:marLeft w:val="0"/>
          <w:marRight w:val="0"/>
          <w:marTop w:val="0"/>
          <w:marBottom w:val="0"/>
          <w:divBdr>
            <w:top w:val="none" w:sz="0" w:space="0" w:color="auto"/>
            <w:left w:val="none" w:sz="0" w:space="0" w:color="auto"/>
            <w:bottom w:val="none" w:sz="0" w:space="0" w:color="auto"/>
            <w:right w:val="none" w:sz="0" w:space="0" w:color="auto"/>
          </w:divBdr>
        </w:div>
        <w:div w:id="215091802">
          <w:marLeft w:val="0"/>
          <w:marRight w:val="0"/>
          <w:marTop w:val="0"/>
          <w:marBottom w:val="0"/>
          <w:divBdr>
            <w:top w:val="none" w:sz="0" w:space="0" w:color="auto"/>
            <w:left w:val="none" w:sz="0" w:space="0" w:color="auto"/>
            <w:bottom w:val="none" w:sz="0" w:space="0" w:color="auto"/>
            <w:right w:val="none" w:sz="0" w:space="0" w:color="auto"/>
          </w:divBdr>
        </w:div>
        <w:div w:id="644049217">
          <w:marLeft w:val="0"/>
          <w:marRight w:val="0"/>
          <w:marTop w:val="0"/>
          <w:marBottom w:val="0"/>
          <w:divBdr>
            <w:top w:val="none" w:sz="0" w:space="0" w:color="auto"/>
            <w:left w:val="none" w:sz="0" w:space="0" w:color="auto"/>
            <w:bottom w:val="none" w:sz="0" w:space="0" w:color="auto"/>
            <w:right w:val="none" w:sz="0" w:space="0" w:color="auto"/>
          </w:divBdr>
        </w:div>
        <w:div w:id="440418719">
          <w:marLeft w:val="0"/>
          <w:marRight w:val="0"/>
          <w:marTop w:val="0"/>
          <w:marBottom w:val="0"/>
          <w:divBdr>
            <w:top w:val="none" w:sz="0" w:space="0" w:color="auto"/>
            <w:left w:val="none" w:sz="0" w:space="0" w:color="auto"/>
            <w:bottom w:val="none" w:sz="0" w:space="0" w:color="auto"/>
            <w:right w:val="none" w:sz="0" w:space="0" w:color="auto"/>
          </w:divBdr>
        </w:div>
        <w:div w:id="333337186">
          <w:marLeft w:val="0"/>
          <w:marRight w:val="0"/>
          <w:marTop w:val="0"/>
          <w:marBottom w:val="0"/>
          <w:divBdr>
            <w:top w:val="none" w:sz="0" w:space="0" w:color="auto"/>
            <w:left w:val="none" w:sz="0" w:space="0" w:color="auto"/>
            <w:bottom w:val="none" w:sz="0" w:space="0" w:color="auto"/>
            <w:right w:val="none" w:sz="0" w:space="0" w:color="auto"/>
          </w:divBdr>
        </w:div>
        <w:div w:id="722800807">
          <w:marLeft w:val="0"/>
          <w:marRight w:val="0"/>
          <w:marTop w:val="0"/>
          <w:marBottom w:val="0"/>
          <w:divBdr>
            <w:top w:val="none" w:sz="0" w:space="0" w:color="auto"/>
            <w:left w:val="none" w:sz="0" w:space="0" w:color="auto"/>
            <w:bottom w:val="none" w:sz="0" w:space="0" w:color="auto"/>
            <w:right w:val="none" w:sz="0" w:space="0" w:color="auto"/>
          </w:divBdr>
        </w:div>
        <w:div w:id="1904220044">
          <w:marLeft w:val="0"/>
          <w:marRight w:val="0"/>
          <w:marTop w:val="0"/>
          <w:marBottom w:val="0"/>
          <w:divBdr>
            <w:top w:val="none" w:sz="0" w:space="0" w:color="auto"/>
            <w:left w:val="none" w:sz="0" w:space="0" w:color="auto"/>
            <w:bottom w:val="none" w:sz="0" w:space="0" w:color="auto"/>
            <w:right w:val="none" w:sz="0" w:space="0" w:color="auto"/>
          </w:divBdr>
        </w:div>
        <w:div w:id="1472332639">
          <w:marLeft w:val="0"/>
          <w:marRight w:val="0"/>
          <w:marTop w:val="0"/>
          <w:marBottom w:val="0"/>
          <w:divBdr>
            <w:top w:val="none" w:sz="0" w:space="0" w:color="auto"/>
            <w:left w:val="none" w:sz="0" w:space="0" w:color="auto"/>
            <w:bottom w:val="none" w:sz="0" w:space="0" w:color="auto"/>
            <w:right w:val="none" w:sz="0" w:space="0" w:color="auto"/>
          </w:divBdr>
        </w:div>
        <w:div w:id="1307467182">
          <w:marLeft w:val="0"/>
          <w:marRight w:val="0"/>
          <w:marTop w:val="0"/>
          <w:marBottom w:val="0"/>
          <w:divBdr>
            <w:top w:val="none" w:sz="0" w:space="0" w:color="auto"/>
            <w:left w:val="none" w:sz="0" w:space="0" w:color="auto"/>
            <w:bottom w:val="none" w:sz="0" w:space="0" w:color="auto"/>
            <w:right w:val="none" w:sz="0" w:space="0" w:color="auto"/>
          </w:divBdr>
        </w:div>
        <w:div w:id="127171481">
          <w:marLeft w:val="0"/>
          <w:marRight w:val="0"/>
          <w:marTop w:val="0"/>
          <w:marBottom w:val="0"/>
          <w:divBdr>
            <w:top w:val="none" w:sz="0" w:space="0" w:color="auto"/>
            <w:left w:val="none" w:sz="0" w:space="0" w:color="auto"/>
            <w:bottom w:val="none" w:sz="0" w:space="0" w:color="auto"/>
            <w:right w:val="none" w:sz="0" w:space="0" w:color="auto"/>
          </w:divBdr>
        </w:div>
        <w:div w:id="1152525937">
          <w:marLeft w:val="0"/>
          <w:marRight w:val="0"/>
          <w:marTop w:val="0"/>
          <w:marBottom w:val="0"/>
          <w:divBdr>
            <w:top w:val="none" w:sz="0" w:space="0" w:color="auto"/>
            <w:left w:val="none" w:sz="0" w:space="0" w:color="auto"/>
            <w:bottom w:val="none" w:sz="0" w:space="0" w:color="auto"/>
            <w:right w:val="none" w:sz="0" w:space="0" w:color="auto"/>
          </w:divBdr>
        </w:div>
        <w:div w:id="1293057318">
          <w:marLeft w:val="0"/>
          <w:marRight w:val="0"/>
          <w:marTop w:val="0"/>
          <w:marBottom w:val="0"/>
          <w:divBdr>
            <w:top w:val="none" w:sz="0" w:space="0" w:color="auto"/>
            <w:left w:val="none" w:sz="0" w:space="0" w:color="auto"/>
            <w:bottom w:val="none" w:sz="0" w:space="0" w:color="auto"/>
            <w:right w:val="none" w:sz="0" w:space="0" w:color="auto"/>
          </w:divBdr>
        </w:div>
        <w:div w:id="1060521033">
          <w:marLeft w:val="0"/>
          <w:marRight w:val="0"/>
          <w:marTop w:val="0"/>
          <w:marBottom w:val="0"/>
          <w:divBdr>
            <w:top w:val="none" w:sz="0" w:space="0" w:color="auto"/>
            <w:left w:val="none" w:sz="0" w:space="0" w:color="auto"/>
            <w:bottom w:val="none" w:sz="0" w:space="0" w:color="auto"/>
            <w:right w:val="none" w:sz="0" w:space="0" w:color="auto"/>
          </w:divBdr>
        </w:div>
        <w:div w:id="1312522022">
          <w:marLeft w:val="0"/>
          <w:marRight w:val="0"/>
          <w:marTop w:val="0"/>
          <w:marBottom w:val="0"/>
          <w:divBdr>
            <w:top w:val="none" w:sz="0" w:space="0" w:color="auto"/>
            <w:left w:val="none" w:sz="0" w:space="0" w:color="auto"/>
            <w:bottom w:val="none" w:sz="0" w:space="0" w:color="auto"/>
            <w:right w:val="none" w:sz="0" w:space="0" w:color="auto"/>
          </w:divBdr>
        </w:div>
        <w:div w:id="126894776">
          <w:marLeft w:val="0"/>
          <w:marRight w:val="0"/>
          <w:marTop w:val="0"/>
          <w:marBottom w:val="0"/>
          <w:divBdr>
            <w:top w:val="none" w:sz="0" w:space="0" w:color="auto"/>
            <w:left w:val="none" w:sz="0" w:space="0" w:color="auto"/>
            <w:bottom w:val="none" w:sz="0" w:space="0" w:color="auto"/>
            <w:right w:val="none" w:sz="0" w:space="0" w:color="auto"/>
          </w:divBdr>
        </w:div>
        <w:div w:id="699162281">
          <w:marLeft w:val="0"/>
          <w:marRight w:val="0"/>
          <w:marTop w:val="0"/>
          <w:marBottom w:val="0"/>
          <w:divBdr>
            <w:top w:val="none" w:sz="0" w:space="0" w:color="auto"/>
            <w:left w:val="none" w:sz="0" w:space="0" w:color="auto"/>
            <w:bottom w:val="none" w:sz="0" w:space="0" w:color="auto"/>
            <w:right w:val="none" w:sz="0" w:space="0" w:color="auto"/>
          </w:divBdr>
        </w:div>
        <w:div w:id="230122436">
          <w:marLeft w:val="0"/>
          <w:marRight w:val="0"/>
          <w:marTop w:val="0"/>
          <w:marBottom w:val="0"/>
          <w:divBdr>
            <w:top w:val="none" w:sz="0" w:space="0" w:color="auto"/>
            <w:left w:val="none" w:sz="0" w:space="0" w:color="auto"/>
            <w:bottom w:val="none" w:sz="0" w:space="0" w:color="auto"/>
            <w:right w:val="none" w:sz="0" w:space="0" w:color="auto"/>
          </w:divBdr>
        </w:div>
        <w:div w:id="2088334429">
          <w:marLeft w:val="0"/>
          <w:marRight w:val="0"/>
          <w:marTop w:val="0"/>
          <w:marBottom w:val="0"/>
          <w:divBdr>
            <w:top w:val="none" w:sz="0" w:space="0" w:color="auto"/>
            <w:left w:val="none" w:sz="0" w:space="0" w:color="auto"/>
            <w:bottom w:val="none" w:sz="0" w:space="0" w:color="auto"/>
            <w:right w:val="none" w:sz="0" w:space="0" w:color="auto"/>
          </w:divBdr>
        </w:div>
        <w:div w:id="1254701602">
          <w:marLeft w:val="0"/>
          <w:marRight w:val="0"/>
          <w:marTop w:val="0"/>
          <w:marBottom w:val="0"/>
          <w:divBdr>
            <w:top w:val="none" w:sz="0" w:space="0" w:color="auto"/>
            <w:left w:val="none" w:sz="0" w:space="0" w:color="auto"/>
            <w:bottom w:val="none" w:sz="0" w:space="0" w:color="auto"/>
            <w:right w:val="none" w:sz="0" w:space="0" w:color="auto"/>
          </w:divBdr>
        </w:div>
        <w:div w:id="851719472">
          <w:marLeft w:val="0"/>
          <w:marRight w:val="0"/>
          <w:marTop w:val="0"/>
          <w:marBottom w:val="0"/>
          <w:divBdr>
            <w:top w:val="none" w:sz="0" w:space="0" w:color="auto"/>
            <w:left w:val="none" w:sz="0" w:space="0" w:color="auto"/>
            <w:bottom w:val="none" w:sz="0" w:space="0" w:color="auto"/>
            <w:right w:val="none" w:sz="0" w:space="0" w:color="auto"/>
          </w:divBdr>
        </w:div>
        <w:div w:id="2019576472">
          <w:marLeft w:val="0"/>
          <w:marRight w:val="0"/>
          <w:marTop w:val="0"/>
          <w:marBottom w:val="0"/>
          <w:divBdr>
            <w:top w:val="none" w:sz="0" w:space="0" w:color="auto"/>
            <w:left w:val="none" w:sz="0" w:space="0" w:color="auto"/>
            <w:bottom w:val="none" w:sz="0" w:space="0" w:color="auto"/>
            <w:right w:val="none" w:sz="0" w:space="0" w:color="auto"/>
          </w:divBdr>
        </w:div>
        <w:div w:id="1063601824">
          <w:marLeft w:val="0"/>
          <w:marRight w:val="0"/>
          <w:marTop w:val="0"/>
          <w:marBottom w:val="0"/>
          <w:divBdr>
            <w:top w:val="none" w:sz="0" w:space="0" w:color="auto"/>
            <w:left w:val="none" w:sz="0" w:space="0" w:color="auto"/>
            <w:bottom w:val="none" w:sz="0" w:space="0" w:color="auto"/>
            <w:right w:val="none" w:sz="0" w:space="0" w:color="auto"/>
          </w:divBdr>
        </w:div>
        <w:div w:id="182401256">
          <w:marLeft w:val="0"/>
          <w:marRight w:val="0"/>
          <w:marTop w:val="0"/>
          <w:marBottom w:val="0"/>
          <w:divBdr>
            <w:top w:val="none" w:sz="0" w:space="0" w:color="auto"/>
            <w:left w:val="none" w:sz="0" w:space="0" w:color="auto"/>
            <w:bottom w:val="none" w:sz="0" w:space="0" w:color="auto"/>
            <w:right w:val="none" w:sz="0" w:space="0" w:color="auto"/>
          </w:divBdr>
        </w:div>
        <w:div w:id="699428299">
          <w:marLeft w:val="0"/>
          <w:marRight w:val="0"/>
          <w:marTop w:val="0"/>
          <w:marBottom w:val="0"/>
          <w:divBdr>
            <w:top w:val="none" w:sz="0" w:space="0" w:color="auto"/>
            <w:left w:val="none" w:sz="0" w:space="0" w:color="auto"/>
            <w:bottom w:val="none" w:sz="0" w:space="0" w:color="auto"/>
            <w:right w:val="none" w:sz="0" w:space="0" w:color="auto"/>
          </w:divBdr>
        </w:div>
        <w:div w:id="947471214">
          <w:marLeft w:val="0"/>
          <w:marRight w:val="0"/>
          <w:marTop w:val="0"/>
          <w:marBottom w:val="0"/>
          <w:divBdr>
            <w:top w:val="none" w:sz="0" w:space="0" w:color="auto"/>
            <w:left w:val="none" w:sz="0" w:space="0" w:color="auto"/>
            <w:bottom w:val="none" w:sz="0" w:space="0" w:color="auto"/>
            <w:right w:val="none" w:sz="0" w:space="0" w:color="auto"/>
          </w:divBdr>
        </w:div>
        <w:div w:id="1789155424">
          <w:marLeft w:val="0"/>
          <w:marRight w:val="0"/>
          <w:marTop w:val="0"/>
          <w:marBottom w:val="0"/>
          <w:divBdr>
            <w:top w:val="none" w:sz="0" w:space="0" w:color="auto"/>
            <w:left w:val="none" w:sz="0" w:space="0" w:color="auto"/>
            <w:bottom w:val="none" w:sz="0" w:space="0" w:color="auto"/>
            <w:right w:val="none" w:sz="0" w:space="0" w:color="auto"/>
          </w:divBdr>
        </w:div>
        <w:div w:id="1967853204">
          <w:marLeft w:val="0"/>
          <w:marRight w:val="0"/>
          <w:marTop w:val="0"/>
          <w:marBottom w:val="0"/>
          <w:divBdr>
            <w:top w:val="none" w:sz="0" w:space="0" w:color="auto"/>
            <w:left w:val="none" w:sz="0" w:space="0" w:color="auto"/>
            <w:bottom w:val="none" w:sz="0" w:space="0" w:color="auto"/>
            <w:right w:val="none" w:sz="0" w:space="0" w:color="auto"/>
          </w:divBdr>
        </w:div>
        <w:div w:id="1077168388">
          <w:marLeft w:val="0"/>
          <w:marRight w:val="0"/>
          <w:marTop w:val="0"/>
          <w:marBottom w:val="0"/>
          <w:divBdr>
            <w:top w:val="none" w:sz="0" w:space="0" w:color="auto"/>
            <w:left w:val="none" w:sz="0" w:space="0" w:color="auto"/>
            <w:bottom w:val="none" w:sz="0" w:space="0" w:color="auto"/>
            <w:right w:val="none" w:sz="0" w:space="0" w:color="auto"/>
          </w:divBdr>
        </w:div>
      </w:divsChild>
    </w:div>
    <w:div w:id="935599755">
      <w:marLeft w:val="0"/>
      <w:marRight w:val="0"/>
      <w:marTop w:val="0"/>
      <w:marBottom w:val="0"/>
      <w:divBdr>
        <w:top w:val="none" w:sz="0" w:space="0" w:color="auto"/>
        <w:left w:val="none" w:sz="0" w:space="0" w:color="auto"/>
        <w:bottom w:val="none" w:sz="0" w:space="0" w:color="auto"/>
        <w:right w:val="none" w:sz="0" w:space="0" w:color="auto"/>
      </w:divBdr>
    </w:div>
    <w:div w:id="948396391">
      <w:marLeft w:val="0"/>
      <w:marRight w:val="0"/>
      <w:marTop w:val="0"/>
      <w:marBottom w:val="0"/>
      <w:divBdr>
        <w:top w:val="none" w:sz="0" w:space="0" w:color="auto"/>
        <w:left w:val="none" w:sz="0" w:space="0" w:color="auto"/>
        <w:bottom w:val="none" w:sz="0" w:space="0" w:color="auto"/>
        <w:right w:val="none" w:sz="0" w:space="0" w:color="auto"/>
      </w:divBdr>
    </w:div>
    <w:div w:id="957948508">
      <w:marLeft w:val="0"/>
      <w:marRight w:val="0"/>
      <w:marTop w:val="0"/>
      <w:marBottom w:val="0"/>
      <w:divBdr>
        <w:top w:val="none" w:sz="0" w:space="0" w:color="auto"/>
        <w:left w:val="none" w:sz="0" w:space="0" w:color="auto"/>
        <w:bottom w:val="none" w:sz="0" w:space="0" w:color="auto"/>
        <w:right w:val="none" w:sz="0" w:space="0" w:color="auto"/>
      </w:divBdr>
    </w:div>
    <w:div w:id="965358364">
      <w:marLeft w:val="0"/>
      <w:marRight w:val="0"/>
      <w:marTop w:val="0"/>
      <w:marBottom w:val="0"/>
      <w:divBdr>
        <w:top w:val="none" w:sz="0" w:space="0" w:color="auto"/>
        <w:left w:val="none" w:sz="0" w:space="0" w:color="auto"/>
        <w:bottom w:val="none" w:sz="0" w:space="0" w:color="auto"/>
        <w:right w:val="none" w:sz="0" w:space="0" w:color="auto"/>
      </w:divBdr>
    </w:div>
    <w:div w:id="969482265">
      <w:marLeft w:val="0"/>
      <w:marRight w:val="0"/>
      <w:marTop w:val="0"/>
      <w:marBottom w:val="0"/>
      <w:divBdr>
        <w:top w:val="none" w:sz="0" w:space="0" w:color="auto"/>
        <w:left w:val="none" w:sz="0" w:space="0" w:color="auto"/>
        <w:bottom w:val="none" w:sz="0" w:space="0" w:color="auto"/>
        <w:right w:val="none" w:sz="0" w:space="0" w:color="auto"/>
      </w:divBdr>
    </w:div>
    <w:div w:id="972901834">
      <w:marLeft w:val="0"/>
      <w:marRight w:val="0"/>
      <w:marTop w:val="0"/>
      <w:marBottom w:val="0"/>
      <w:divBdr>
        <w:top w:val="none" w:sz="0" w:space="0" w:color="auto"/>
        <w:left w:val="none" w:sz="0" w:space="0" w:color="auto"/>
        <w:bottom w:val="none" w:sz="0" w:space="0" w:color="auto"/>
        <w:right w:val="none" w:sz="0" w:space="0" w:color="auto"/>
      </w:divBdr>
    </w:div>
    <w:div w:id="974530638">
      <w:marLeft w:val="0"/>
      <w:marRight w:val="0"/>
      <w:marTop w:val="0"/>
      <w:marBottom w:val="0"/>
      <w:divBdr>
        <w:top w:val="none" w:sz="0" w:space="0" w:color="auto"/>
        <w:left w:val="none" w:sz="0" w:space="0" w:color="auto"/>
        <w:bottom w:val="none" w:sz="0" w:space="0" w:color="auto"/>
        <w:right w:val="none" w:sz="0" w:space="0" w:color="auto"/>
      </w:divBdr>
    </w:div>
    <w:div w:id="982004736">
      <w:marLeft w:val="0"/>
      <w:marRight w:val="0"/>
      <w:marTop w:val="0"/>
      <w:marBottom w:val="0"/>
      <w:divBdr>
        <w:top w:val="none" w:sz="0" w:space="0" w:color="auto"/>
        <w:left w:val="none" w:sz="0" w:space="0" w:color="auto"/>
        <w:bottom w:val="none" w:sz="0" w:space="0" w:color="auto"/>
        <w:right w:val="none" w:sz="0" w:space="0" w:color="auto"/>
      </w:divBdr>
    </w:div>
    <w:div w:id="994652114">
      <w:marLeft w:val="0"/>
      <w:marRight w:val="0"/>
      <w:marTop w:val="0"/>
      <w:marBottom w:val="0"/>
      <w:divBdr>
        <w:top w:val="none" w:sz="0" w:space="0" w:color="auto"/>
        <w:left w:val="none" w:sz="0" w:space="0" w:color="auto"/>
        <w:bottom w:val="none" w:sz="0" w:space="0" w:color="auto"/>
        <w:right w:val="none" w:sz="0" w:space="0" w:color="auto"/>
      </w:divBdr>
    </w:div>
    <w:div w:id="998537370">
      <w:marLeft w:val="0"/>
      <w:marRight w:val="0"/>
      <w:marTop w:val="0"/>
      <w:marBottom w:val="0"/>
      <w:divBdr>
        <w:top w:val="none" w:sz="0" w:space="0" w:color="auto"/>
        <w:left w:val="none" w:sz="0" w:space="0" w:color="auto"/>
        <w:bottom w:val="none" w:sz="0" w:space="0" w:color="auto"/>
        <w:right w:val="none" w:sz="0" w:space="0" w:color="auto"/>
      </w:divBdr>
    </w:div>
    <w:div w:id="1007710863">
      <w:marLeft w:val="0"/>
      <w:marRight w:val="0"/>
      <w:marTop w:val="0"/>
      <w:marBottom w:val="0"/>
      <w:divBdr>
        <w:top w:val="none" w:sz="0" w:space="0" w:color="auto"/>
        <w:left w:val="none" w:sz="0" w:space="0" w:color="auto"/>
        <w:bottom w:val="none" w:sz="0" w:space="0" w:color="auto"/>
        <w:right w:val="none" w:sz="0" w:space="0" w:color="auto"/>
      </w:divBdr>
    </w:div>
    <w:div w:id="1025443443">
      <w:marLeft w:val="0"/>
      <w:marRight w:val="0"/>
      <w:marTop w:val="0"/>
      <w:marBottom w:val="0"/>
      <w:divBdr>
        <w:top w:val="none" w:sz="0" w:space="0" w:color="auto"/>
        <w:left w:val="none" w:sz="0" w:space="0" w:color="auto"/>
        <w:bottom w:val="none" w:sz="0" w:space="0" w:color="auto"/>
        <w:right w:val="none" w:sz="0" w:space="0" w:color="auto"/>
      </w:divBdr>
    </w:div>
    <w:div w:id="1025517643">
      <w:marLeft w:val="0"/>
      <w:marRight w:val="0"/>
      <w:marTop w:val="0"/>
      <w:marBottom w:val="0"/>
      <w:divBdr>
        <w:top w:val="none" w:sz="0" w:space="0" w:color="auto"/>
        <w:left w:val="none" w:sz="0" w:space="0" w:color="auto"/>
        <w:bottom w:val="none" w:sz="0" w:space="0" w:color="auto"/>
        <w:right w:val="none" w:sz="0" w:space="0" w:color="auto"/>
      </w:divBdr>
    </w:div>
    <w:div w:id="1041634907">
      <w:marLeft w:val="0"/>
      <w:marRight w:val="0"/>
      <w:marTop w:val="0"/>
      <w:marBottom w:val="0"/>
      <w:divBdr>
        <w:top w:val="none" w:sz="0" w:space="0" w:color="auto"/>
        <w:left w:val="none" w:sz="0" w:space="0" w:color="auto"/>
        <w:bottom w:val="none" w:sz="0" w:space="0" w:color="auto"/>
        <w:right w:val="none" w:sz="0" w:space="0" w:color="auto"/>
      </w:divBdr>
    </w:div>
    <w:div w:id="1054550869">
      <w:marLeft w:val="0"/>
      <w:marRight w:val="0"/>
      <w:marTop w:val="0"/>
      <w:marBottom w:val="0"/>
      <w:divBdr>
        <w:top w:val="none" w:sz="0" w:space="0" w:color="auto"/>
        <w:left w:val="none" w:sz="0" w:space="0" w:color="auto"/>
        <w:bottom w:val="none" w:sz="0" w:space="0" w:color="auto"/>
        <w:right w:val="none" w:sz="0" w:space="0" w:color="auto"/>
      </w:divBdr>
    </w:div>
    <w:div w:id="1056733244">
      <w:marLeft w:val="0"/>
      <w:marRight w:val="0"/>
      <w:marTop w:val="0"/>
      <w:marBottom w:val="0"/>
      <w:divBdr>
        <w:top w:val="none" w:sz="0" w:space="0" w:color="auto"/>
        <w:left w:val="none" w:sz="0" w:space="0" w:color="auto"/>
        <w:bottom w:val="none" w:sz="0" w:space="0" w:color="auto"/>
        <w:right w:val="none" w:sz="0" w:space="0" w:color="auto"/>
      </w:divBdr>
    </w:div>
    <w:div w:id="1058016818">
      <w:marLeft w:val="0"/>
      <w:marRight w:val="0"/>
      <w:marTop w:val="0"/>
      <w:marBottom w:val="0"/>
      <w:divBdr>
        <w:top w:val="none" w:sz="0" w:space="0" w:color="auto"/>
        <w:left w:val="none" w:sz="0" w:space="0" w:color="auto"/>
        <w:bottom w:val="none" w:sz="0" w:space="0" w:color="auto"/>
        <w:right w:val="none" w:sz="0" w:space="0" w:color="auto"/>
      </w:divBdr>
    </w:div>
    <w:div w:id="1070926328">
      <w:marLeft w:val="0"/>
      <w:marRight w:val="0"/>
      <w:marTop w:val="0"/>
      <w:marBottom w:val="0"/>
      <w:divBdr>
        <w:top w:val="none" w:sz="0" w:space="0" w:color="auto"/>
        <w:left w:val="none" w:sz="0" w:space="0" w:color="auto"/>
        <w:bottom w:val="none" w:sz="0" w:space="0" w:color="auto"/>
        <w:right w:val="none" w:sz="0" w:space="0" w:color="auto"/>
      </w:divBdr>
    </w:div>
    <w:div w:id="1073969173">
      <w:marLeft w:val="0"/>
      <w:marRight w:val="0"/>
      <w:marTop w:val="0"/>
      <w:marBottom w:val="0"/>
      <w:divBdr>
        <w:top w:val="none" w:sz="0" w:space="0" w:color="auto"/>
        <w:left w:val="none" w:sz="0" w:space="0" w:color="auto"/>
        <w:bottom w:val="none" w:sz="0" w:space="0" w:color="auto"/>
        <w:right w:val="none" w:sz="0" w:space="0" w:color="auto"/>
      </w:divBdr>
    </w:div>
    <w:div w:id="1078792742">
      <w:marLeft w:val="0"/>
      <w:marRight w:val="0"/>
      <w:marTop w:val="0"/>
      <w:marBottom w:val="0"/>
      <w:divBdr>
        <w:top w:val="none" w:sz="0" w:space="0" w:color="auto"/>
        <w:left w:val="none" w:sz="0" w:space="0" w:color="auto"/>
        <w:bottom w:val="none" w:sz="0" w:space="0" w:color="auto"/>
        <w:right w:val="none" w:sz="0" w:space="0" w:color="auto"/>
      </w:divBdr>
    </w:div>
    <w:div w:id="1089083983">
      <w:marLeft w:val="0"/>
      <w:marRight w:val="150"/>
      <w:marTop w:val="0"/>
      <w:marBottom w:val="0"/>
      <w:divBdr>
        <w:top w:val="none" w:sz="0" w:space="0" w:color="auto"/>
        <w:left w:val="none" w:sz="0" w:space="0" w:color="auto"/>
        <w:bottom w:val="none" w:sz="0" w:space="0" w:color="auto"/>
        <w:right w:val="none" w:sz="0" w:space="0" w:color="auto"/>
      </w:divBdr>
      <w:divsChild>
        <w:div w:id="1904371761">
          <w:marLeft w:val="0"/>
          <w:marRight w:val="150"/>
          <w:marTop w:val="0"/>
          <w:marBottom w:val="0"/>
          <w:divBdr>
            <w:top w:val="none" w:sz="0" w:space="0" w:color="auto"/>
            <w:left w:val="none" w:sz="0" w:space="0" w:color="auto"/>
            <w:bottom w:val="none" w:sz="0" w:space="0" w:color="auto"/>
            <w:right w:val="none" w:sz="0" w:space="0" w:color="auto"/>
          </w:divBdr>
        </w:div>
      </w:divsChild>
    </w:div>
    <w:div w:id="1101679181">
      <w:marLeft w:val="0"/>
      <w:marRight w:val="0"/>
      <w:marTop w:val="0"/>
      <w:marBottom w:val="0"/>
      <w:divBdr>
        <w:top w:val="none" w:sz="0" w:space="0" w:color="auto"/>
        <w:left w:val="none" w:sz="0" w:space="0" w:color="auto"/>
        <w:bottom w:val="none" w:sz="0" w:space="0" w:color="auto"/>
        <w:right w:val="none" w:sz="0" w:space="0" w:color="auto"/>
      </w:divBdr>
    </w:div>
    <w:div w:id="1103961003">
      <w:marLeft w:val="0"/>
      <w:marRight w:val="0"/>
      <w:marTop w:val="0"/>
      <w:marBottom w:val="0"/>
      <w:divBdr>
        <w:top w:val="none" w:sz="0" w:space="0" w:color="auto"/>
        <w:left w:val="none" w:sz="0" w:space="0" w:color="auto"/>
        <w:bottom w:val="none" w:sz="0" w:space="0" w:color="auto"/>
        <w:right w:val="none" w:sz="0" w:space="0" w:color="auto"/>
      </w:divBdr>
    </w:div>
    <w:div w:id="1108281646">
      <w:marLeft w:val="0"/>
      <w:marRight w:val="0"/>
      <w:marTop w:val="0"/>
      <w:marBottom w:val="0"/>
      <w:divBdr>
        <w:top w:val="none" w:sz="0" w:space="0" w:color="auto"/>
        <w:left w:val="none" w:sz="0" w:space="0" w:color="auto"/>
        <w:bottom w:val="none" w:sz="0" w:space="0" w:color="auto"/>
        <w:right w:val="none" w:sz="0" w:space="0" w:color="auto"/>
      </w:divBdr>
    </w:div>
    <w:div w:id="1117136904">
      <w:marLeft w:val="0"/>
      <w:marRight w:val="150"/>
      <w:marTop w:val="0"/>
      <w:marBottom w:val="0"/>
      <w:divBdr>
        <w:top w:val="none" w:sz="0" w:space="0" w:color="auto"/>
        <w:left w:val="none" w:sz="0" w:space="0" w:color="auto"/>
        <w:bottom w:val="none" w:sz="0" w:space="0" w:color="auto"/>
        <w:right w:val="none" w:sz="0" w:space="0" w:color="auto"/>
      </w:divBdr>
      <w:divsChild>
        <w:div w:id="730933019">
          <w:marLeft w:val="0"/>
          <w:marRight w:val="150"/>
          <w:marTop w:val="0"/>
          <w:marBottom w:val="0"/>
          <w:divBdr>
            <w:top w:val="none" w:sz="0" w:space="0" w:color="auto"/>
            <w:left w:val="none" w:sz="0" w:space="0" w:color="auto"/>
            <w:bottom w:val="none" w:sz="0" w:space="0" w:color="auto"/>
            <w:right w:val="none" w:sz="0" w:space="0" w:color="auto"/>
          </w:divBdr>
        </w:div>
      </w:divsChild>
    </w:div>
    <w:div w:id="1122068452">
      <w:marLeft w:val="0"/>
      <w:marRight w:val="0"/>
      <w:marTop w:val="0"/>
      <w:marBottom w:val="0"/>
      <w:divBdr>
        <w:top w:val="none" w:sz="0" w:space="0" w:color="auto"/>
        <w:left w:val="none" w:sz="0" w:space="0" w:color="auto"/>
        <w:bottom w:val="none" w:sz="0" w:space="0" w:color="auto"/>
        <w:right w:val="none" w:sz="0" w:space="0" w:color="auto"/>
      </w:divBdr>
    </w:div>
    <w:div w:id="1136025628">
      <w:marLeft w:val="0"/>
      <w:marRight w:val="0"/>
      <w:marTop w:val="0"/>
      <w:marBottom w:val="0"/>
      <w:divBdr>
        <w:top w:val="none" w:sz="0" w:space="0" w:color="auto"/>
        <w:left w:val="none" w:sz="0" w:space="0" w:color="auto"/>
        <w:bottom w:val="none" w:sz="0" w:space="0" w:color="auto"/>
        <w:right w:val="none" w:sz="0" w:space="0" w:color="auto"/>
      </w:divBdr>
    </w:div>
    <w:div w:id="1158110273">
      <w:marLeft w:val="0"/>
      <w:marRight w:val="0"/>
      <w:marTop w:val="0"/>
      <w:marBottom w:val="0"/>
      <w:divBdr>
        <w:top w:val="none" w:sz="0" w:space="0" w:color="auto"/>
        <w:left w:val="none" w:sz="0" w:space="0" w:color="auto"/>
        <w:bottom w:val="none" w:sz="0" w:space="0" w:color="auto"/>
        <w:right w:val="none" w:sz="0" w:space="0" w:color="auto"/>
      </w:divBdr>
    </w:div>
    <w:div w:id="1169255823">
      <w:marLeft w:val="0"/>
      <w:marRight w:val="0"/>
      <w:marTop w:val="0"/>
      <w:marBottom w:val="0"/>
      <w:divBdr>
        <w:top w:val="none" w:sz="0" w:space="0" w:color="auto"/>
        <w:left w:val="none" w:sz="0" w:space="0" w:color="auto"/>
        <w:bottom w:val="none" w:sz="0" w:space="0" w:color="auto"/>
        <w:right w:val="none" w:sz="0" w:space="0" w:color="auto"/>
      </w:divBdr>
    </w:div>
    <w:div w:id="1176110069">
      <w:marLeft w:val="0"/>
      <w:marRight w:val="0"/>
      <w:marTop w:val="0"/>
      <w:marBottom w:val="0"/>
      <w:divBdr>
        <w:top w:val="none" w:sz="0" w:space="0" w:color="auto"/>
        <w:left w:val="none" w:sz="0" w:space="0" w:color="auto"/>
        <w:bottom w:val="none" w:sz="0" w:space="0" w:color="auto"/>
        <w:right w:val="none" w:sz="0" w:space="0" w:color="auto"/>
      </w:divBdr>
    </w:div>
    <w:div w:id="1183938292">
      <w:marLeft w:val="0"/>
      <w:marRight w:val="0"/>
      <w:marTop w:val="0"/>
      <w:marBottom w:val="0"/>
      <w:divBdr>
        <w:top w:val="none" w:sz="0" w:space="0" w:color="auto"/>
        <w:left w:val="none" w:sz="0" w:space="0" w:color="auto"/>
        <w:bottom w:val="none" w:sz="0" w:space="0" w:color="auto"/>
        <w:right w:val="none" w:sz="0" w:space="0" w:color="auto"/>
      </w:divBdr>
    </w:div>
    <w:div w:id="1193229452">
      <w:marLeft w:val="0"/>
      <w:marRight w:val="0"/>
      <w:marTop w:val="0"/>
      <w:marBottom w:val="0"/>
      <w:divBdr>
        <w:top w:val="none" w:sz="0" w:space="0" w:color="auto"/>
        <w:left w:val="none" w:sz="0" w:space="0" w:color="auto"/>
        <w:bottom w:val="none" w:sz="0" w:space="0" w:color="auto"/>
        <w:right w:val="none" w:sz="0" w:space="0" w:color="auto"/>
      </w:divBdr>
    </w:div>
    <w:div w:id="1194539686">
      <w:marLeft w:val="0"/>
      <w:marRight w:val="0"/>
      <w:marTop w:val="0"/>
      <w:marBottom w:val="0"/>
      <w:divBdr>
        <w:top w:val="none" w:sz="0" w:space="0" w:color="auto"/>
        <w:left w:val="none" w:sz="0" w:space="0" w:color="auto"/>
        <w:bottom w:val="none" w:sz="0" w:space="0" w:color="auto"/>
        <w:right w:val="none" w:sz="0" w:space="0" w:color="auto"/>
      </w:divBdr>
    </w:div>
    <w:div w:id="1196504959">
      <w:marLeft w:val="0"/>
      <w:marRight w:val="0"/>
      <w:marTop w:val="0"/>
      <w:marBottom w:val="0"/>
      <w:divBdr>
        <w:top w:val="none" w:sz="0" w:space="0" w:color="auto"/>
        <w:left w:val="none" w:sz="0" w:space="0" w:color="auto"/>
        <w:bottom w:val="none" w:sz="0" w:space="0" w:color="auto"/>
        <w:right w:val="none" w:sz="0" w:space="0" w:color="auto"/>
      </w:divBdr>
    </w:div>
    <w:div w:id="1197281139">
      <w:marLeft w:val="0"/>
      <w:marRight w:val="0"/>
      <w:marTop w:val="0"/>
      <w:marBottom w:val="0"/>
      <w:divBdr>
        <w:top w:val="none" w:sz="0" w:space="0" w:color="auto"/>
        <w:left w:val="none" w:sz="0" w:space="0" w:color="auto"/>
        <w:bottom w:val="none" w:sz="0" w:space="0" w:color="auto"/>
        <w:right w:val="none" w:sz="0" w:space="0" w:color="auto"/>
      </w:divBdr>
    </w:div>
    <w:div w:id="1216159296">
      <w:marLeft w:val="0"/>
      <w:marRight w:val="0"/>
      <w:marTop w:val="0"/>
      <w:marBottom w:val="0"/>
      <w:divBdr>
        <w:top w:val="none" w:sz="0" w:space="0" w:color="auto"/>
        <w:left w:val="none" w:sz="0" w:space="0" w:color="auto"/>
        <w:bottom w:val="none" w:sz="0" w:space="0" w:color="auto"/>
        <w:right w:val="none" w:sz="0" w:space="0" w:color="auto"/>
      </w:divBdr>
    </w:div>
    <w:div w:id="1221136834">
      <w:marLeft w:val="0"/>
      <w:marRight w:val="0"/>
      <w:marTop w:val="0"/>
      <w:marBottom w:val="0"/>
      <w:divBdr>
        <w:top w:val="none" w:sz="0" w:space="0" w:color="auto"/>
        <w:left w:val="none" w:sz="0" w:space="0" w:color="auto"/>
        <w:bottom w:val="none" w:sz="0" w:space="0" w:color="auto"/>
        <w:right w:val="none" w:sz="0" w:space="0" w:color="auto"/>
      </w:divBdr>
    </w:div>
    <w:div w:id="1242445832">
      <w:marLeft w:val="0"/>
      <w:marRight w:val="0"/>
      <w:marTop w:val="0"/>
      <w:marBottom w:val="0"/>
      <w:divBdr>
        <w:top w:val="none" w:sz="0" w:space="0" w:color="auto"/>
        <w:left w:val="none" w:sz="0" w:space="0" w:color="auto"/>
        <w:bottom w:val="none" w:sz="0" w:space="0" w:color="auto"/>
        <w:right w:val="none" w:sz="0" w:space="0" w:color="auto"/>
      </w:divBdr>
    </w:div>
    <w:div w:id="1245609170">
      <w:marLeft w:val="0"/>
      <w:marRight w:val="0"/>
      <w:marTop w:val="0"/>
      <w:marBottom w:val="0"/>
      <w:divBdr>
        <w:top w:val="none" w:sz="0" w:space="0" w:color="auto"/>
        <w:left w:val="none" w:sz="0" w:space="0" w:color="auto"/>
        <w:bottom w:val="none" w:sz="0" w:space="0" w:color="auto"/>
        <w:right w:val="none" w:sz="0" w:space="0" w:color="auto"/>
      </w:divBdr>
    </w:div>
    <w:div w:id="1252737880">
      <w:marLeft w:val="0"/>
      <w:marRight w:val="0"/>
      <w:marTop w:val="0"/>
      <w:marBottom w:val="0"/>
      <w:divBdr>
        <w:top w:val="none" w:sz="0" w:space="0" w:color="auto"/>
        <w:left w:val="none" w:sz="0" w:space="0" w:color="auto"/>
        <w:bottom w:val="none" w:sz="0" w:space="0" w:color="auto"/>
        <w:right w:val="none" w:sz="0" w:space="0" w:color="auto"/>
      </w:divBdr>
    </w:div>
    <w:div w:id="1254365331">
      <w:marLeft w:val="0"/>
      <w:marRight w:val="0"/>
      <w:marTop w:val="0"/>
      <w:marBottom w:val="0"/>
      <w:divBdr>
        <w:top w:val="none" w:sz="0" w:space="0" w:color="auto"/>
        <w:left w:val="none" w:sz="0" w:space="0" w:color="auto"/>
        <w:bottom w:val="none" w:sz="0" w:space="0" w:color="auto"/>
        <w:right w:val="none" w:sz="0" w:space="0" w:color="auto"/>
      </w:divBdr>
    </w:div>
    <w:div w:id="1259409161">
      <w:marLeft w:val="0"/>
      <w:marRight w:val="0"/>
      <w:marTop w:val="0"/>
      <w:marBottom w:val="0"/>
      <w:divBdr>
        <w:top w:val="none" w:sz="0" w:space="0" w:color="auto"/>
        <w:left w:val="none" w:sz="0" w:space="0" w:color="auto"/>
        <w:bottom w:val="none" w:sz="0" w:space="0" w:color="auto"/>
        <w:right w:val="none" w:sz="0" w:space="0" w:color="auto"/>
      </w:divBdr>
    </w:div>
    <w:div w:id="1259410846">
      <w:marLeft w:val="0"/>
      <w:marRight w:val="0"/>
      <w:marTop w:val="0"/>
      <w:marBottom w:val="0"/>
      <w:divBdr>
        <w:top w:val="none" w:sz="0" w:space="0" w:color="auto"/>
        <w:left w:val="none" w:sz="0" w:space="0" w:color="auto"/>
        <w:bottom w:val="none" w:sz="0" w:space="0" w:color="auto"/>
        <w:right w:val="none" w:sz="0" w:space="0" w:color="auto"/>
      </w:divBdr>
    </w:div>
    <w:div w:id="1259827357">
      <w:marLeft w:val="0"/>
      <w:marRight w:val="0"/>
      <w:marTop w:val="0"/>
      <w:marBottom w:val="0"/>
      <w:divBdr>
        <w:top w:val="none" w:sz="0" w:space="0" w:color="auto"/>
        <w:left w:val="none" w:sz="0" w:space="0" w:color="auto"/>
        <w:bottom w:val="none" w:sz="0" w:space="0" w:color="auto"/>
        <w:right w:val="none" w:sz="0" w:space="0" w:color="auto"/>
      </w:divBdr>
    </w:div>
    <w:div w:id="1272591035">
      <w:marLeft w:val="0"/>
      <w:marRight w:val="0"/>
      <w:marTop w:val="0"/>
      <w:marBottom w:val="0"/>
      <w:divBdr>
        <w:top w:val="none" w:sz="0" w:space="0" w:color="auto"/>
        <w:left w:val="none" w:sz="0" w:space="0" w:color="auto"/>
        <w:bottom w:val="none" w:sz="0" w:space="0" w:color="auto"/>
        <w:right w:val="none" w:sz="0" w:space="0" w:color="auto"/>
      </w:divBdr>
    </w:div>
    <w:div w:id="1277442202">
      <w:marLeft w:val="0"/>
      <w:marRight w:val="0"/>
      <w:marTop w:val="0"/>
      <w:marBottom w:val="0"/>
      <w:divBdr>
        <w:top w:val="none" w:sz="0" w:space="0" w:color="auto"/>
        <w:left w:val="none" w:sz="0" w:space="0" w:color="auto"/>
        <w:bottom w:val="none" w:sz="0" w:space="0" w:color="auto"/>
        <w:right w:val="none" w:sz="0" w:space="0" w:color="auto"/>
      </w:divBdr>
    </w:div>
    <w:div w:id="1278297111">
      <w:marLeft w:val="0"/>
      <w:marRight w:val="0"/>
      <w:marTop w:val="0"/>
      <w:marBottom w:val="0"/>
      <w:divBdr>
        <w:top w:val="none" w:sz="0" w:space="0" w:color="auto"/>
        <w:left w:val="none" w:sz="0" w:space="0" w:color="auto"/>
        <w:bottom w:val="none" w:sz="0" w:space="0" w:color="auto"/>
        <w:right w:val="none" w:sz="0" w:space="0" w:color="auto"/>
      </w:divBdr>
    </w:div>
    <w:div w:id="1279408217">
      <w:marLeft w:val="0"/>
      <w:marRight w:val="0"/>
      <w:marTop w:val="0"/>
      <w:marBottom w:val="0"/>
      <w:divBdr>
        <w:top w:val="none" w:sz="0" w:space="0" w:color="auto"/>
        <w:left w:val="none" w:sz="0" w:space="0" w:color="auto"/>
        <w:bottom w:val="none" w:sz="0" w:space="0" w:color="auto"/>
        <w:right w:val="none" w:sz="0" w:space="0" w:color="auto"/>
      </w:divBdr>
    </w:div>
    <w:div w:id="1279918916">
      <w:marLeft w:val="0"/>
      <w:marRight w:val="0"/>
      <w:marTop w:val="0"/>
      <w:marBottom w:val="0"/>
      <w:divBdr>
        <w:top w:val="none" w:sz="0" w:space="0" w:color="auto"/>
        <w:left w:val="none" w:sz="0" w:space="0" w:color="auto"/>
        <w:bottom w:val="none" w:sz="0" w:space="0" w:color="auto"/>
        <w:right w:val="none" w:sz="0" w:space="0" w:color="auto"/>
      </w:divBdr>
    </w:div>
    <w:div w:id="1280723329">
      <w:marLeft w:val="0"/>
      <w:marRight w:val="0"/>
      <w:marTop w:val="0"/>
      <w:marBottom w:val="0"/>
      <w:divBdr>
        <w:top w:val="none" w:sz="0" w:space="0" w:color="auto"/>
        <w:left w:val="none" w:sz="0" w:space="0" w:color="auto"/>
        <w:bottom w:val="none" w:sz="0" w:space="0" w:color="auto"/>
        <w:right w:val="none" w:sz="0" w:space="0" w:color="auto"/>
      </w:divBdr>
    </w:div>
    <w:div w:id="1286304996">
      <w:marLeft w:val="0"/>
      <w:marRight w:val="0"/>
      <w:marTop w:val="0"/>
      <w:marBottom w:val="0"/>
      <w:divBdr>
        <w:top w:val="none" w:sz="0" w:space="0" w:color="auto"/>
        <w:left w:val="none" w:sz="0" w:space="0" w:color="auto"/>
        <w:bottom w:val="none" w:sz="0" w:space="0" w:color="auto"/>
        <w:right w:val="none" w:sz="0" w:space="0" w:color="auto"/>
      </w:divBdr>
    </w:div>
    <w:div w:id="1288511619">
      <w:marLeft w:val="0"/>
      <w:marRight w:val="0"/>
      <w:marTop w:val="0"/>
      <w:marBottom w:val="0"/>
      <w:divBdr>
        <w:top w:val="none" w:sz="0" w:space="0" w:color="auto"/>
        <w:left w:val="none" w:sz="0" w:space="0" w:color="auto"/>
        <w:bottom w:val="none" w:sz="0" w:space="0" w:color="auto"/>
        <w:right w:val="none" w:sz="0" w:space="0" w:color="auto"/>
      </w:divBdr>
    </w:div>
    <w:div w:id="1297755777">
      <w:marLeft w:val="0"/>
      <w:marRight w:val="0"/>
      <w:marTop w:val="0"/>
      <w:marBottom w:val="0"/>
      <w:divBdr>
        <w:top w:val="none" w:sz="0" w:space="0" w:color="auto"/>
        <w:left w:val="none" w:sz="0" w:space="0" w:color="auto"/>
        <w:bottom w:val="none" w:sz="0" w:space="0" w:color="auto"/>
        <w:right w:val="none" w:sz="0" w:space="0" w:color="auto"/>
      </w:divBdr>
    </w:div>
    <w:div w:id="1303582371">
      <w:marLeft w:val="0"/>
      <w:marRight w:val="0"/>
      <w:marTop w:val="0"/>
      <w:marBottom w:val="0"/>
      <w:divBdr>
        <w:top w:val="none" w:sz="0" w:space="0" w:color="auto"/>
        <w:left w:val="none" w:sz="0" w:space="0" w:color="auto"/>
        <w:bottom w:val="none" w:sz="0" w:space="0" w:color="auto"/>
        <w:right w:val="none" w:sz="0" w:space="0" w:color="auto"/>
      </w:divBdr>
    </w:div>
    <w:div w:id="1305433551">
      <w:marLeft w:val="0"/>
      <w:marRight w:val="0"/>
      <w:marTop w:val="0"/>
      <w:marBottom w:val="0"/>
      <w:divBdr>
        <w:top w:val="none" w:sz="0" w:space="0" w:color="auto"/>
        <w:left w:val="none" w:sz="0" w:space="0" w:color="auto"/>
        <w:bottom w:val="none" w:sz="0" w:space="0" w:color="auto"/>
        <w:right w:val="none" w:sz="0" w:space="0" w:color="auto"/>
      </w:divBdr>
    </w:div>
    <w:div w:id="1308584251">
      <w:marLeft w:val="0"/>
      <w:marRight w:val="0"/>
      <w:marTop w:val="0"/>
      <w:marBottom w:val="0"/>
      <w:divBdr>
        <w:top w:val="none" w:sz="0" w:space="0" w:color="auto"/>
        <w:left w:val="none" w:sz="0" w:space="0" w:color="auto"/>
        <w:bottom w:val="none" w:sz="0" w:space="0" w:color="auto"/>
        <w:right w:val="none" w:sz="0" w:space="0" w:color="auto"/>
      </w:divBdr>
    </w:div>
    <w:div w:id="1320577353">
      <w:marLeft w:val="0"/>
      <w:marRight w:val="0"/>
      <w:marTop w:val="0"/>
      <w:marBottom w:val="0"/>
      <w:divBdr>
        <w:top w:val="none" w:sz="0" w:space="0" w:color="auto"/>
        <w:left w:val="none" w:sz="0" w:space="0" w:color="auto"/>
        <w:bottom w:val="none" w:sz="0" w:space="0" w:color="auto"/>
        <w:right w:val="none" w:sz="0" w:space="0" w:color="auto"/>
      </w:divBdr>
    </w:div>
    <w:div w:id="1338801893">
      <w:marLeft w:val="0"/>
      <w:marRight w:val="0"/>
      <w:marTop w:val="0"/>
      <w:marBottom w:val="0"/>
      <w:divBdr>
        <w:top w:val="none" w:sz="0" w:space="0" w:color="auto"/>
        <w:left w:val="none" w:sz="0" w:space="0" w:color="auto"/>
        <w:bottom w:val="none" w:sz="0" w:space="0" w:color="auto"/>
        <w:right w:val="none" w:sz="0" w:space="0" w:color="auto"/>
      </w:divBdr>
    </w:div>
    <w:div w:id="1339191966">
      <w:marLeft w:val="0"/>
      <w:marRight w:val="0"/>
      <w:marTop w:val="0"/>
      <w:marBottom w:val="0"/>
      <w:divBdr>
        <w:top w:val="none" w:sz="0" w:space="0" w:color="auto"/>
        <w:left w:val="none" w:sz="0" w:space="0" w:color="auto"/>
        <w:bottom w:val="none" w:sz="0" w:space="0" w:color="auto"/>
        <w:right w:val="none" w:sz="0" w:space="0" w:color="auto"/>
      </w:divBdr>
    </w:div>
    <w:div w:id="1344670992">
      <w:marLeft w:val="0"/>
      <w:marRight w:val="150"/>
      <w:marTop w:val="0"/>
      <w:marBottom w:val="0"/>
      <w:divBdr>
        <w:top w:val="none" w:sz="0" w:space="0" w:color="auto"/>
        <w:left w:val="none" w:sz="0" w:space="0" w:color="auto"/>
        <w:bottom w:val="none" w:sz="0" w:space="0" w:color="auto"/>
        <w:right w:val="none" w:sz="0" w:space="0" w:color="auto"/>
      </w:divBdr>
      <w:divsChild>
        <w:div w:id="2038962400">
          <w:marLeft w:val="0"/>
          <w:marRight w:val="150"/>
          <w:marTop w:val="0"/>
          <w:marBottom w:val="0"/>
          <w:divBdr>
            <w:top w:val="none" w:sz="0" w:space="0" w:color="auto"/>
            <w:left w:val="none" w:sz="0" w:space="0" w:color="auto"/>
            <w:bottom w:val="none" w:sz="0" w:space="0" w:color="auto"/>
            <w:right w:val="none" w:sz="0" w:space="0" w:color="auto"/>
          </w:divBdr>
        </w:div>
      </w:divsChild>
    </w:div>
    <w:div w:id="1349402755">
      <w:marLeft w:val="0"/>
      <w:marRight w:val="0"/>
      <w:marTop w:val="0"/>
      <w:marBottom w:val="0"/>
      <w:divBdr>
        <w:top w:val="none" w:sz="0" w:space="0" w:color="auto"/>
        <w:left w:val="none" w:sz="0" w:space="0" w:color="auto"/>
        <w:bottom w:val="none" w:sz="0" w:space="0" w:color="auto"/>
        <w:right w:val="none" w:sz="0" w:space="0" w:color="auto"/>
      </w:divBdr>
    </w:div>
    <w:div w:id="1360006728">
      <w:marLeft w:val="0"/>
      <w:marRight w:val="0"/>
      <w:marTop w:val="0"/>
      <w:marBottom w:val="0"/>
      <w:divBdr>
        <w:top w:val="none" w:sz="0" w:space="0" w:color="auto"/>
        <w:left w:val="none" w:sz="0" w:space="0" w:color="auto"/>
        <w:bottom w:val="none" w:sz="0" w:space="0" w:color="auto"/>
        <w:right w:val="none" w:sz="0" w:space="0" w:color="auto"/>
      </w:divBdr>
    </w:div>
    <w:div w:id="1361082309">
      <w:marLeft w:val="0"/>
      <w:marRight w:val="0"/>
      <w:marTop w:val="0"/>
      <w:marBottom w:val="0"/>
      <w:divBdr>
        <w:top w:val="none" w:sz="0" w:space="0" w:color="auto"/>
        <w:left w:val="none" w:sz="0" w:space="0" w:color="auto"/>
        <w:bottom w:val="none" w:sz="0" w:space="0" w:color="auto"/>
        <w:right w:val="none" w:sz="0" w:space="0" w:color="auto"/>
      </w:divBdr>
    </w:div>
    <w:div w:id="1368525509">
      <w:marLeft w:val="0"/>
      <w:marRight w:val="150"/>
      <w:marTop w:val="0"/>
      <w:marBottom w:val="0"/>
      <w:divBdr>
        <w:top w:val="none" w:sz="0" w:space="0" w:color="auto"/>
        <w:left w:val="none" w:sz="0" w:space="0" w:color="auto"/>
        <w:bottom w:val="none" w:sz="0" w:space="0" w:color="auto"/>
        <w:right w:val="none" w:sz="0" w:space="0" w:color="auto"/>
      </w:divBdr>
      <w:divsChild>
        <w:div w:id="2093354671">
          <w:marLeft w:val="0"/>
          <w:marRight w:val="150"/>
          <w:marTop w:val="0"/>
          <w:marBottom w:val="0"/>
          <w:divBdr>
            <w:top w:val="none" w:sz="0" w:space="0" w:color="auto"/>
            <w:left w:val="none" w:sz="0" w:space="0" w:color="auto"/>
            <w:bottom w:val="none" w:sz="0" w:space="0" w:color="auto"/>
            <w:right w:val="none" w:sz="0" w:space="0" w:color="auto"/>
          </w:divBdr>
        </w:div>
      </w:divsChild>
    </w:div>
    <w:div w:id="1369375279">
      <w:marLeft w:val="0"/>
      <w:marRight w:val="0"/>
      <w:marTop w:val="0"/>
      <w:marBottom w:val="0"/>
      <w:divBdr>
        <w:top w:val="none" w:sz="0" w:space="0" w:color="auto"/>
        <w:left w:val="none" w:sz="0" w:space="0" w:color="auto"/>
        <w:bottom w:val="none" w:sz="0" w:space="0" w:color="auto"/>
        <w:right w:val="none" w:sz="0" w:space="0" w:color="auto"/>
      </w:divBdr>
    </w:div>
    <w:div w:id="1370759451">
      <w:marLeft w:val="0"/>
      <w:marRight w:val="0"/>
      <w:marTop w:val="0"/>
      <w:marBottom w:val="0"/>
      <w:divBdr>
        <w:top w:val="none" w:sz="0" w:space="0" w:color="auto"/>
        <w:left w:val="none" w:sz="0" w:space="0" w:color="auto"/>
        <w:bottom w:val="none" w:sz="0" w:space="0" w:color="auto"/>
        <w:right w:val="none" w:sz="0" w:space="0" w:color="auto"/>
      </w:divBdr>
    </w:div>
    <w:div w:id="1398673269">
      <w:marLeft w:val="0"/>
      <w:marRight w:val="0"/>
      <w:marTop w:val="0"/>
      <w:marBottom w:val="0"/>
      <w:divBdr>
        <w:top w:val="none" w:sz="0" w:space="0" w:color="auto"/>
        <w:left w:val="none" w:sz="0" w:space="0" w:color="auto"/>
        <w:bottom w:val="none" w:sz="0" w:space="0" w:color="auto"/>
        <w:right w:val="none" w:sz="0" w:space="0" w:color="auto"/>
      </w:divBdr>
    </w:div>
    <w:div w:id="1401176558">
      <w:marLeft w:val="0"/>
      <w:marRight w:val="0"/>
      <w:marTop w:val="0"/>
      <w:marBottom w:val="0"/>
      <w:divBdr>
        <w:top w:val="none" w:sz="0" w:space="0" w:color="auto"/>
        <w:left w:val="none" w:sz="0" w:space="0" w:color="auto"/>
        <w:bottom w:val="none" w:sz="0" w:space="0" w:color="auto"/>
        <w:right w:val="none" w:sz="0" w:space="0" w:color="auto"/>
      </w:divBdr>
    </w:div>
    <w:div w:id="1402175017">
      <w:marLeft w:val="0"/>
      <w:marRight w:val="0"/>
      <w:marTop w:val="0"/>
      <w:marBottom w:val="0"/>
      <w:divBdr>
        <w:top w:val="none" w:sz="0" w:space="0" w:color="auto"/>
        <w:left w:val="none" w:sz="0" w:space="0" w:color="auto"/>
        <w:bottom w:val="none" w:sz="0" w:space="0" w:color="auto"/>
        <w:right w:val="none" w:sz="0" w:space="0" w:color="auto"/>
      </w:divBdr>
    </w:div>
    <w:div w:id="1405370533">
      <w:marLeft w:val="0"/>
      <w:marRight w:val="0"/>
      <w:marTop w:val="0"/>
      <w:marBottom w:val="0"/>
      <w:divBdr>
        <w:top w:val="none" w:sz="0" w:space="0" w:color="auto"/>
        <w:left w:val="none" w:sz="0" w:space="0" w:color="auto"/>
        <w:bottom w:val="none" w:sz="0" w:space="0" w:color="auto"/>
        <w:right w:val="none" w:sz="0" w:space="0" w:color="auto"/>
      </w:divBdr>
    </w:div>
    <w:div w:id="1416590223">
      <w:marLeft w:val="0"/>
      <w:marRight w:val="0"/>
      <w:marTop w:val="0"/>
      <w:marBottom w:val="0"/>
      <w:divBdr>
        <w:top w:val="none" w:sz="0" w:space="0" w:color="auto"/>
        <w:left w:val="none" w:sz="0" w:space="0" w:color="auto"/>
        <w:bottom w:val="none" w:sz="0" w:space="0" w:color="auto"/>
        <w:right w:val="none" w:sz="0" w:space="0" w:color="auto"/>
      </w:divBdr>
    </w:div>
    <w:div w:id="1420563379">
      <w:marLeft w:val="0"/>
      <w:marRight w:val="0"/>
      <w:marTop w:val="0"/>
      <w:marBottom w:val="0"/>
      <w:divBdr>
        <w:top w:val="none" w:sz="0" w:space="0" w:color="auto"/>
        <w:left w:val="none" w:sz="0" w:space="0" w:color="auto"/>
        <w:bottom w:val="none" w:sz="0" w:space="0" w:color="auto"/>
        <w:right w:val="none" w:sz="0" w:space="0" w:color="auto"/>
      </w:divBdr>
    </w:div>
    <w:div w:id="1425953410">
      <w:marLeft w:val="0"/>
      <w:marRight w:val="0"/>
      <w:marTop w:val="0"/>
      <w:marBottom w:val="0"/>
      <w:divBdr>
        <w:top w:val="none" w:sz="0" w:space="0" w:color="auto"/>
        <w:left w:val="none" w:sz="0" w:space="0" w:color="auto"/>
        <w:bottom w:val="none" w:sz="0" w:space="0" w:color="auto"/>
        <w:right w:val="none" w:sz="0" w:space="0" w:color="auto"/>
      </w:divBdr>
    </w:div>
    <w:div w:id="1435245333">
      <w:marLeft w:val="0"/>
      <w:marRight w:val="0"/>
      <w:marTop w:val="0"/>
      <w:marBottom w:val="0"/>
      <w:divBdr>
        <w:top w:val="none" w:sz="0" w:space="0" w:color="auto"/>
        <w:left w:val="none" w:sz="0" w:space="0" w:color="auto"/>
        <w:bottom w:val="none" w:sz="0" w:space="0" w:color="auto"/>
        <w:right w:val="none" w:sz="0" w:space="0" w:color="auto"/>
      </w:divBdr>
    </w:div>
    <w:div w:id="1439334195">
      <w:marLeft w:val="0"/>
      <w:marRight w:val="0"/>
      <w:marTop w:val="0"/>
      <w:marBottom w:val="0"/>
      <w:divBdr>
        <w:top w:val="none" w:sz="0" w:space="0" w:color="auto"/>
        <w:left w:val="none" w:sz="0" w:space="0" w:color="auto"/>
        <w:bottom w:val="none" w:sz="0" w:space="0" w:color="auto"/>
        <w:right w:val="none" w:sz="0" w:space="0" w:color="auto"/>
      </w:divBdr>
    </w:div>
    <w:div w:id="1444224191">
      <w:marLeft w:val="0"/>
      <w:marRight w:val="0"/>
      <w:marTop w:val="0"/>
      <w:marBottom w:val="0"/>
      <w:divBdr>
        <w:top w:val="none" w:sz="0" w:space="0" w:color="auto"/>
        <w:left w:val="none" w:sz="0" w:space="0" w:color="auto"/>
        <w:bottom w:val="none" w:sz="0" w:space="0" w:color="auto"/>
        <w:right w:val="none" w:sz="0" w:space="0" w:color="auto"/>
      </w:divBdr>
    </w:div>
    <w:div w:id="1444613425">
      <w:marLeft w:val="0"/>
      <w:marRight w:val="0"/>
      <w:marTop w:val="0"/>
      <w:marBottom w:val="0"/>
      <w:divBdr>
        <w:top w:val="none" w:sz="0" w:space="0" w:color="auto"/>
        <w:left w:val="none" w:sz="0" w:space="0" w:color="auto"/>
        <w:bottom w:val="none" w:sz="0" w:space="0" w:color="auto"/>
        <w:right w:val="none" w:sz="0" w:space="0" w:color="auto"/>
      </w:divBdr>
    </w:div>
    <w:div w:id="1451782649">
      <w:marLeft w:val="0"/>
      <w:marRight w:val="0"/>
      <w:marTop w:val="0"/>
      <w:marBottom w:val="0"/>
      <w:divBdr>
        <w:top w:val="none" w:sz="0" w:space="0" w:color="auto"/>
        <w:left w:val="none" w:sz="0" w:space="0" w:color="auto"/>
        <w:bottom w:val="none" w:sz="0" w:space="0" w:color="auto"/>
        <w:right w:val="none" w:sz="0" w:space="0" w:color="auto"/>
      </w:divBdr>
    </w:div>
    <w:div w:id="1459570822">
      <w:marLeft w:val="0"/>
      <w:marRight w:val="0"/>
      <w:marTop w:val="0"/>
      <w:marBottom w:val="0"/>
      <w:divBdr>
        <w:top w:val="none" w:sz="0" w:space="0" w:color="auto"/>
        <w:left w:val="none" w:sz="0" w:space="0" w:color="auto"/>
        <w:bottom w:val="none" w:sz="0" w:space="0" w:color="auto"/>
        <w:right w:val="none" w:sz="0" w:space="0" w:color="auto"/>
      </w:divBdr>
    </w:div>
    <w:div w:id="1462501479">
      <w:marLeft w:val="0"/>
      <w:marRight w:val="0"/>
      <w:marTop w:val="0"/>
      <w:marBottom w:val="0"/>
      <w:divBdr>
        <w:top w:val="none" w:sz="0" w:space="0" w:color="auto"/>
        <w:left w:val="none" w:sz="0" w:space="0" w:color="auto"/>
        <w:bottom w:val="none" w:sz="0" w:space="0" w:color="auto"/>
        <w:right w:val="none" w:sz="0" w:space="0" w:color="auto"/>
      </w:divBdr>
    </w:div>
    <w:div w:id="1471480352">
      <w:marLeft w:val="0"/>
      <w:marRight w:val="0"/>
      <w:marTop w:val="0"/>
      <w:marBottom w:val="0"/>
      <w:divBdr>
        <w:top w:val="none" w:sz="0" w:space="0" w:color="auto"/>
        <w:left w:val="none" w:sz="0" w:space="0" w:color="auto"/>
        <w:bottom w:val="none" w:sz="0" w:space="0" w:color="auto"/>
        <w:right w:val="none" w:sz="0" w:space="0" w:color="auto"/>
      </w:divBdr>
    </w:div>
    <w:div w:id="1480342402">
      <w:marLeft w:val="0"/>
      <w:marRight w:val="0"/>
      <w:marTop w:val="0"/>
      <w:marBottom w:val="0"/>
      <w:divBdr>
        <w:top w:val="none" w:sz="0" w:space="0" w:color="auto"/>
        <w:left w:val="none" w:sz="0" w:space="0" w:color="auto"/>
        <w:bottom w:val="none" w:sz="0" w:space="0" w:color="auto"/>
        <w:right w:val="none" w:sz="0" w:space="0" w:color="auto"/>
      </w:divBdr>
    </w:div>
    <w:div w:id="1482191826">
      <w:marLeft w:val="0"/>
      <w:marRight w:val="0"/>
      <w:marTop w:val="0"/>
      <w:marBottom w:val="0"/>
      <w:divBdr>
        <w:top w:val="none" w:sz="0" w:space="0" w:color="auto"/>
        <w:left w:val="none" w:sz="0" w:space="0" w:color="auto"/>
        <w:bottom w:val="none" w:sz="0" w:space="0" w:color="auto"/>
        <w:right w:val="none" w:sz="0" w:space="0" w:color="auto"/>
      </w:divBdr>
    </w:div>
    <w:div w:id="1482699112">
      <w:marLeft w:val="0"/>
      <w:marRight w:val="0"/>
      <w:marTop w:val="0"/>
      <w:marBottom w:val="0"/>
      <w:divBdr>
        <w:top w:val="none" w:sz="0" w:space="0" w:color="auto"/>
        <w:left w:val="none" w:sz="0" w:space="0" w:color="auto"/>
        <w:bottom w:val="none" w:sz="0" w:space="0" w:color="auto"/>
        <w:right w:val="none" w:sz="0" w:space="0" w:color="auto"/>
      </w:divBdr>
    </w:div>
    <w:div w:id="1487159821">
      <w:marLeft w:val="0"/>
      <w:marRight w:val="150"/>
      <w:marTop w:val="0"/>
      <w:marBottom w:val="0"/>
      <w:divBdr>
        <w:top w:val="none" w:sz="0" w:space="0" w:color="auto"/>
        <w:left w:val="none" w:sz="0" w:space="0" w:color="auto"/>
        <w:bottom w:val="none" w:sz="0" w:space="0" w:color="auto"/>
        <w:right w:val="none" w:sz="0" w:space="0" w:color="auto"/>
      </w:divBdr>
      <w:divsChild>
        <w:div w:id="1652518218">
          <w:marLeft w:val="0"/>
          <w:marRight w:val="150"/>
          <w:marTop w:val="0"/>
          <w:marBottom w:val="0"/>
          <w:divBdr>
            <w:top w:val="none" w:sz="0" w:space="0" w:color="auto"/>
            <w:left w:val="none" w:sz="0" w:space="0" w:color="auto"/>
            <w:bottom w:val="none" w:sz="0" w:space="0" w:color="auto"/>
            <w:right w:val="none" w:sz="0" w:space="0" w:color="auto"/>
          </w:divBdr>
        </w:div>
      </w:divsChild>
    </w:div>
    <w:div w:id="1488935944">
      <w:marLeft w:val="0"/>
      <w:marRight w:val="0"/>
      <w:marTop w:val="0"/>
      <w:marBottom w:val="0"/>
      <w:divBdr>
        <w:top w:val="none" w:sz="0" w:space="0" w:color="auto"/>
        <w:left w:val="none" w:sz="0" w:space="0" w:color="auto"/>
        <w:bottom w:val="none" w:sz="0" w:space="0" w:color="auto"/>
        <w:right w:val="none" w:sz="0" w:space="0" w:color="auto"/>
      </w:divBdr>
    </w:div>
    <w:div w:id="1495340322">
      <w:marLeft w:val="0"/>
      <w:marRight w:val="0"/>
      <w:marTop w:val="0"/>
      <w:marBottom w:val="0"/>
      <w:divBdr>
        <w:top w:val="none" w:sz="0" w:space="0" w:color="auto"/>
        <w:left w:val="none" w:sz="0" w:space="0" w:color="auto"/>
        <w:bottom w:val="none" w:sz="0" w:space="0" w:color="auto"/>
        <w:right w:val="none" w:sz="0" w:space="0" w:color="auto"/>
      </w:divBdr>
    </w:div>
    <w:div w:id="1495996634">
      <w:marLeft w:val="0"/>
      <w:marRight w:val="0"/>
      <w:marTop w:val="0"/>
      <w:marBottom w:val="0"/>
      <w:divBdr>
        <w:top w:val="none" w:sz="0" w:space="0" w:color="auto"/>
        <w:left w:val="none" w:sz="0" w:space="0" w:color="auto"/>
        <w:bottom w:val="none" w:sz="0" w:space="0" w:color="auto"/>
        <w:right w:val="none" w:sz="0" w:space="0" w:color="auto"/>
      </w:divBdr>
    </w:div>
    <w:div w:id="1496264110">
      <w:marLeft w:val="0"/>
      <w:marRight w:val="0"/>
      <w:marTop w:val="0"/>
      <w:marBottom w:val="0"/>
      <w:divBdr>
        <w:top w:val="none" w:sz="0" w:space="0" w:color="auto"/>
        <w:left w:val="none" w:sz="0" w:space="0" w:color="auto"/>
        <w:bottom w:val="none" w:sz="0" w:space="0" w:color="auto"/>
        <w:right w:val="none" w:sz="0" w:space="0" w:color="auto"/>
      </w:divBdr>
    </w:div>
    <w:div w:id="1513835770">
      <w:marLeft w:val="0"/>
      <w:marRight w:val="0"/>
      <w:marTop w:val="0"/>
      <w:marBottom w:val="0"/>
      <w:divBdr>
        <w:top w:val="none" w:sz="0" w:space="0" w:color="auto"/>
        <w:left w:val="none" w:sz="0" w:space="0" w:color="auto"/>
        <w:bottom w:val="none" w:sz="0" w:space="0" w:color="auto"/>
        <w:right w:val="none" w:sz="0" w:space="0" w:color="auto"/>
      </w:divBdr>
    </w:div>
    <w:div w:id="1516386513">
      <w:marLeft w:val="0"/>
      <w:marRight w:val="0"/>
      <w:marTop w:val="0"/>
      <w:marBottom w:val="0"/>
      <w:divBdr>
        <w:top w:val="none" w:sz="0" w:space="0" w:color="auto"/>
        <w:left w:val="none" w:sz="0" w:space="0" w:color="auto"/>
        <w:bottom w:val="none" w:sz="0" w:space="0" w:color="auto"/>
        <w:right w:val="none" w:sz="0" w:space="0" w:color="auto"/>
      </w:divBdr>
    </w:div>
    <w:div w:id="1534996647">
      <w:marLeft w:val="0"/>
      <w:marRight w:val="0"/>
      <w:marTop w:val="0"/>
      <w:marBottom w:val="0"/>
      <w:divBdr>
        <w:top w:val="none" w:sz="0" w:space="0" w:color="auto"/>
        <w:left w:val="none" w:sz="0" w:space="0" w:color="auto"/>
        <w:bottom w:val="none" w:sz="0" w:space="0" w:color="auto"/>
        <w:right w:val="none" w:sz="0" w:space="0" w:color="auto"/>
      </w:divBdr>
    </w:div>
    <w:div w:id="1536649824">
      <w:marLeft w:val="0"/>
      <w:marRight w:val="0"/>
      <w:marTop w:val="0"/>
      <w:marBottom w:val="0"/>
      <w:divBdr>
        <w:top w:val="none" w:sz="0" w:space="0" w:color="auto"/>
        <w:left w:val="none" w:sz="0" w:space="0" w:color="auto"/>
        <w:bottom w:val="none" w:sz="0" w:space="0" w:color="auto"/>
        <w:right w:val="none" w:sz="0" w:space="0" w:color="auto"/>
      </w:divBdr>
    </w:div>
    <w:div w:id="1542396514">
      <w:marLeft w:val="0"/>
      <w:marRight w:val="0"/>
      <w:marTop w:val="0"/>
      <w:marBottom w:val="0"/>
      <w:divBdr>
        <w:top w:val="none" w:sz="0" w:space="0" w:color="auto"/>
        <w:left w:val="none" w:sz="0" w:space="0" w:color="auto"/>
        <w:bottom w:val="none" w:sz="0" w:space="0" w:color="auto"/>
        <w:right w:val="none" w:sz="0" w:space="0" w:color="auto"/>
      </w:divBdr>
    </w:div>
    <w:div w:id="1544250730">
      <w:marLeft w:val="0"/>
      <w:marRight w:val="0"/>
      <w:marTop w:val="0"/>
      <w:marBottom w:val="0"/>
      <w:divBdr>
        <w:top w:val="none" w:sz="0" w:space="0" w:color="auto"/>
        <w:left w:val="none" w:sz="0" w:space="0" w:color="auto"/>
        <w:bottom w:val="none" w:sz="0" w:space="0" w:color="auto"/>
        <w:right w:val="none" w:sz="0" w:space="0" w:color="auto"/>
      </w:divBdr>
    </w:div>
    <w:div w:id="1549608239">
      <w:marLeft w:val="0"/>
      <w:marRight w:val="0"/>
      <w:marTop w:val="0"/>
      <w:marBottom w:val="0"/>
      <w:divBdr>
        <w:top w:val="none" w:sz="0" w:space="0" w:color="auto"/>
        <w:left w:val="none" w:sz="0" w:space="0" w:color="auto"/>
        <w:bottom w:val="none" w:sz="0" w:space="0" w:color="auto"/>
        <w:right w:val="none" w:sz="0" w:space="0" w:color="auto"/>
      </w:divBdr>
    </w:div>
    <w:div w:id="1566723692">
      <w:marLeft w:val="0"/>
      <w:marRight w:val="0"/>
      <w:marTop w:val="0"/>
      <w:marBottom w:val="0"/>
      <w:divBdr>
        <w:top w:val="none" w:sz="0" w:space="0" w:color="auto"/>
        <w:left w:val="none" w:sz="0" w:space="0" w:color="auto"/>
        <w:bottom w:val="none" w:sz="0" w:space="0" w:color="auto"/>
        <w:right w:val="none" w:sz="0" w:space="0" w:color="auto"/>
      </w:divBdr>
    </w:div>
    <w:div w:id="1567837677">
      <w:marLeft w:val="0"/>
      <w:marRight w:val="0"/>
      <w:marTop w:val="0"/>
      <w:marBottom w:val="0"/>
      <w:divBdr>
        <w:top w:val="none" w:sz="0" w:space="0" w:color="auto"/>
        <w:left w:val="none" w:sz="0" w:space="0" w:color="auto"/>
        <w:bottom w:val="none" w:sz="0" w:space="0" w:color="auto"/>
        <w:right w:val="none" w:sz="0" w:space="0" w:color="auto"/>
      </w:divBdr>
    </w:div>
    <w:div w:id="1571302726">
      <w:marLeft w:val="0"/>
      <w:marRight w:val="0"/>
      <w:marTop w:val="0"/>
      <w:marBottom w:val="0"/>
      <w:divBdr>
        <w:top w:val="none" w:sz="0" w:space="0" w:color="auto"/>
        <w:left w:val="none" w:sz="0" w:space="0" w:color="auto"/>
        <w:bottom w:val="none" w:sz="0" w:space="0" w:color="auto"/>
        <w:right w:val="none" w:sz="0" w:space="0" w:color="auto"/>
      </w:divBdr>
    </w:div>
    <w:div w:id="1585261033">
      <w:marLeft w:val="0"/>
      <w:marRight w:val="0"/>
      <w:marTop w:val="0"/>
      <w:marBottom w:val="0"/>
      <w:divBdr>
        <w:top w:val="none" w:sz="0" w:space="0" w:color="auto"/>
        <w:left w:val="none" w:sz="0" w:space="0" w:color="auto"/>
        <w:bottom w:val="none" w:sz="0" w:space="0" w:color="auto"/>
        <w:right w:val="none" w:sz="0" w:space="0" w:color="auto"/>
      </w:divBdr>
    </w:div>
    <w:div w:id="1587568949">
      <w:marLeft w:val="0"/>
      <w:marRight w:val="0"/>
      <w:marTop w:val="0"/>
      <w:marBottom w:val="0"/>
      <w:divBdr>
        <w:top w:val="none" w:sz="0" w:space="0" w:color="auto"/>
        <w:left w:val="none" w:sz="0" w:space="0" w:color="auto"/>
        <w:bottom w:val="none" w:sz="0" w:space="0" w:color="auto"/>
        <w:right w:val="none" w:sz="0" w:space="0" w:color="auto"/>
      </w:divBdr>
    </w:div>
    <w:div w:id="1600914220">
      <w:marLeft w:val="0"/>
      <w:marRight w:val="0"/>
      <w:marTop w:val="0"/>
      <w:marBottom w:val="0"/>
      <w:divBdr>
        <w:top w:val="none" w:sz="0" w:space="0" w:color="auto"/>
        <w:left w:val="none" w:sz="0" w:space="0" w:color="auto"/>
        <w:bottom w:val="none" w:sz="0" w:space="0" w:color="auto"/>
        <w:right w:val="none" w:sz="0" w:space="0" w:color="auto"/>
      </w:divBdr>
    </w:div>
    <w:div w:id="1602493929">
      <w:marLeft w:val="0"/>
      <w:marRight w:val="0"/>
      <w:marTop w:val="0"/>
      <w:marBottom w:val="0"/>
      <w:divBdr>
        <w:top w:val="none" w:sz="0" w:space="0" w:color="auto"/>
        <w:left w:val="none" w:sz="0" w:space="0" w:color="auto"/>
        <w:bottom w:val="none" w:sz="0" w:space="0" w:color="auto"/>
        <w:right w:val="none" w:sz="0" w:space="0" w:color="auto"/>
      </w:divBdr>
    </w:div>
    <w:div w:id="1603761760">
      <w:marLeft w:val="0"/>
      <w:marRight w:val="0"/>
      <w:marTop w:val="0"/>
      <w:marBottom w:val="0"/>
      <w:divBdr>
        <w:top w:val="none" w:sz="0" w:space="0" w:color="auto"/>
        <w:left w:val="none" w:sz="0" w:space="0" w:color="auto"/>
        <w:bottom w:val="none" w:sz="0" w:space="0" w:color="auto"/>
        <w:right w:val="none" w:sz="0" w:space="0" w:color="auto"/>
      </w:divBdr>
    </w:div>
    <w:div w:id="1621105360">
      <w:marLeft w:val="0"/>
      <w:marRight w:val="0"/>
      <w:marTop w:val="0"/>
      <w:marBottom w:val="0"/>
      <w:divBdr>
        <w:top w:val="none" w:sz="0" w:space="0" w:color="auto"/>
        <w:left w:val="none" w:sz="0" w:space="0" w:color="auto"/>
        <w:bottom w:val="none" w:sz="0" w:space="0" w:color="auto"/>
        <w:right w:val="none" w:sz="0" w:space="0" w:color="auto"/>
      </w:divBdr>
    </w:div>
    <w:div w:id="1630696552">
      <w:marLeft w:val="0"/>
      <w:marRight w:val="150"/>
      <w:marTop w:val="0"/>
      <w:marBottom w:val="0"/>
      <w:divBdr>
        <w:top w:val="none" w:sz="0" w:space="0" w:color="auto"/>
        <w:left w:val="none" w:sz="0" w:space="0" w:color="auto"/>
        <w:bottom w:val="none" w:sz="0" w:space="0" w:color="auto"/>
        <w:right w:val="none" w:sz="0" w:space="0" w:color="auto"/>
      </w:divBdr>
      <w:divsChild>
        <w:div w:id="2028091715">
          <w:marLeft w:val="0"/>
          <w:marRight w:val="150"/>
          <w:marTop w:val="0"/>
          <w:marBottom w:val="0"/>
          <w:divBdr>
            <w:top w:val="none" w:sz="0" w:space="0" w:color="auto"/>
            <w:left w:val="none" w:sz="0" w:space="0" w:color="auto"/>
            <w:bottom w:val="none" w:sz="0" w:space="0" w:color="auto"/>
            <w:right w:val="none" w:sz="0" w:space="0" w:color="auto"/>
          </w:divBdr>
        </w:div>
      </w:divsChild>
    </w:div>
    <w:div w:id="1634478702">
      <w:marLeft w:val="0"/>
      <w:marRight w:val="0"/>
      <w:marTop w:val="0"/>
      <w:marBottom w:val="0"/>
      <w:divBdr>
        <w:top w:val="none" w:sz="0" w:space="0" w:color="auto"/>
        <w:left w:val="none" w:sz="0" w:space="0" w:color="auto"/>
        <w:bottom w:val="none" w:sz="0" w:space="0" w:color="auto"/>
        <w:right w:val="none" w:sz="0" w:space="0" w:color="auto"/>
      </w:divBdr>
    </w:div>
    <w:div w:id="1637222902">
      <w:marLeft w:val="0"/>
      <w:marRight w:val="0"/>
      <w:marTop w:val="0"/>
      <w:marBottom w:val="0"/>
      <w:divBdr>
        <w:top w:val="none" w:sz="0" w:space="0" w:color="auto"/>
        <w:left w:val="none" w:sz="0" w:space="0" w:color="auto"/>
        <w:bottom w:val="none" w:sz="0" w:space="0" w:color="auto"/>
        <w:right w:val="none" w:sz="0" w:space="0" w:color="auto"/>
      </w:divBdr>
    </w:div>
    <w:div w:id="1637491984">
      <w:bodyDiv w:val="1"/>
      <w:marLeft w:val="0"/>
      <w:marRight w:val="0"/>
      <w:marTop w:val="0"/>
      <w:marBottom w:val="0"/>
      <w:divBdr>
        <w:top w:val="none" w:sz="0" w:space="0" w:color="auto"/>
        <w:left w:val="none" w:sz="0" w:space="0" w:color="auto"/>
        <w:bottom w:val="none" w:sz="0" w:space="0" w:color="auto"/>
        <w:right w:val="none" w:sz="0" w:space="0" w:color="auto"/>
      </w:divBdr>
      <w:divsChild>
        <w:div w:id="681787172">
          <w:marLeft w:val="0"/>
          <w:marRight w:val="0"/>
          <w:marTop w:val="0"/>
          <w:marBottom w:val="0"/>
          <w:divBdr>
            <w:top w:val="none" w:sz="0" w:space="0" w:color="auto"/>
            <w:left w:val="none" w:sz="0" w:space="0" w:color="auto"/>
            <w:bottom w:val="none" w:sz="0" w:space="0" w:color="auto"/>
            <w:right w:val="none" w:sz="0" w:space="0" w:color="auto"/>
          </w:divBdr>
          <w:divsChild>
            <w:div w:id="937559845">
              <w:marLeft w:val="0"/>
              <w:marRight w:val="0"/>
              <w:marTop w:val="0"/>
              <w:marBottom w:val="0"/>
              <w:divBdr>
                <w:top w:val="none" w:sz="0" w:space="0" w:color="auto"/>
                <w:left w:val="none" w:sz="0" w:space="0" w:color="auto"/>
                <w:bottom w:val="none" w:sz="0" w:space="0" w:color="auto"/>
                <w:right w:val="none" w:sz="0" w:space="0" w:color="auto"/>
              </w:divBdr>
              <w:divsChild>
                <w:div w:id="1725332790">
                  <w:marLeft w:val="0"/>
                  <w:marRight w:val="150"/>
                  <w:marTop w:val="0"/>
                  <w:marBottom w:val="0"/>
                  <w:divBdr>
                    <w:top w:val="none" w:sz="0" w:space="0" w:color="auto"/>
                    <w:left w:val="none" w:sz="0" w:space="0" w:color="auto"/>
                    <w:bottom w:val="none" w:sz="0" w:space="0" w:color="auto"/>
                    <w:right w:val="none" w:sz="0" w:space="0" w:color="auto"/>
                  </w:divBdr>
                  <w:divsChild>
                    <w:div w:id="13621685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1715">
      <w:marLeft w:val="0"/>
      <w:marRight w:val="0"/>
      <w:marTop w:val="0"/>
      <w:marBottom w:val="0"/>
      <w:divBdr>
        <w:top w:val="none" w:sz="0" w:space="0" w:color="auto"/>
        <w:left w:val="none" w:sz="0" w:space="0" w:color="auto"/>
        <w:bottom w:val="none" w:sz="0" w:space="0" w:color="auto"/>
        <w:right w:val="none" w:sz="0" w:space="0" w:color="auto"/>
      </w:divBdr>
    </w:div>
    <w:div w:id="1653750622">
      <w:marLeft w:val="0"/>
      <w:marRight w:val="0"/>
      <w:marTop w:val="0"/>
      <w:marBottom w:val="0"/>
      <w:divBdr>
        <w:top w:val="none" w:sz="0" w:space="0" w:color="auto"/>
        <w:left w:val="none" w:sz="0" w:space="0" w:color="auto"/>
        <w:bottom w:val="none" w:sz="0" w:space="0" w:color="auto"/>
        <w:right w:val="none" w:sz="0" w:space="0" w:color="auto"/>
      </w:divBdr>
    </w:div>
    <w:div w:id="1658609762">
      <w:marLeft w:val="0"/>
      <w:marRight w:val="0"/>
      <w:marTop w:val="0"/>
      <w:marBottom w:val="0"/>
      <w:divBdr>
        <w:top w:val="none" w:sz="0" w:space="0" w:color="auto"/>
        <w:left w:val="none" w:sz="0" w:space="0" w:color="auto"/>
        <w:bottom w:val="none" w:sz="0" w:space="0" w:color="auto"/>
        <w:right w:val="none" w:sz="0" w:space="0" w:color="auto"/>
      </w:divBdr>
    </w:div>
    <w:div w:id="1662392512">
      <w:marLeft w:val="0"/>
      <w:marRight w:val="0"/>
      <w:marTop w:val="0"/>
      <w:marBottom w:val="0"/>
      <w:divBdr>
        <w:top w:val="none" w:sz="0" w:space="0" w:color="auto"/>
        <w:left w:val="none" w:sz="0" w:space="0" w:color="auto"/>
        <w:bottom w:val="none" w:sz="0" w:space="0" w:color="auto"/>
        <w:right w:val="none" w:sz="0" w:space="0" w:color="auto"/>
      </w:divBdr>
    </w:div>
    <w:div w:id="1669670781">
      <w:marLeft w:val="0"/>
      <w:marRight w:val="0"/>
      <w:marTop w:val="0"/>
      <w:marBottom w:val="0"/>
      <w:divBdr>
        <w:top w:val="none" w:sz="0" w:space="0" w:color="auto"/>
        <w:left w:val="none" w:sz="0" w:space="0" w:color="auto"/>
        <w:bottom w:val="none" w:sz="0" w:space="0" w:color="auto"/>
        <w:right w:val="none" w:sz="0" w:space="0" w:color="auto"/>
      </w:divBdr>
    </w:div>
    <w:div w:id="1670982197">
      <w:marLeft w:val="0"/>
      <w:marRight w:val="0"/>
      <w:marTop w:val="0"/>
      <w:marBottom w:val="0"/>
      <w:divBdr>
        <w:top w:val="none" w:sz="0" w:space="0" w:color="auto"/>
        <w:left w:val="none" w:sz="0" w:space="0" w:color="auto"/>
        <w:bottom w:val="none" w:sz="0" w:space="0" w:color="auto"/>
        <w:right w:val="none" w:sz="0" w:space="0" w:color="auto"/>
      </w:divBdr>
    </w:div>
    <w:div w:id="1678337918">
      <w:marLeft w:val="0"/>
      <w:marRight w:val="0"/>
      <w:marTop w:val="0"/>
      <w:marBottom w:val="0"/>
      <w:divBdr>
        <w:top w:val="none" w:sz="0" w:space="0" w:color="auto"/>
        <w:left w:val="none" w:sz="0" w:space="0" w:color="auto"/>
        <w:bottom w:val="none" w:sz="0" w:space="0" w:color="auto"/>
        <w:right w:val="none" w:sz="0" w:space="0" w:color="auto"/>
      </w:divBdr>
    </w:div>
    <w:div w:id="1687638889">
      <w:marLeft w:val="0"/>
      <w:marRight w:val="0"/>
      <w:marTop w:val="0"/>
      <w:marBottom w:val="0"/>
      <w:divBdr>
        <w:top w:val="none" w:sz="0" w:space="0" w:color="auto"/>
        <w:left w:val="none" w:sz="0" w:space="0" w:color="auto"/>
        <w:bottom w:val="none" w:sz="0" w:space="0" w:color="auto"/>
        <w:right w:val="none" w:sz="0" w:space="0" w:color="auto"/>
      </w:divBdr>
    </w:div>
    <w:div w:id="1688365219">
      <w:marLeft w:val="0"/>
      <w:marRight w:val="0"/>
      <w:marTop w:val="0"/>
      <w:marBottom w:val="0"/>
      <w:divBdr>
        <w:top w:val="none" w:sz="0" w:space="0" w:color="auto"/>
        <w:left w:val="none" w:sz="0" w:space="0" w:color="auto"/>
        <w:bottom w:val="none" w:sz="0" w:space="0" w:color="auto"/>
        <w:right w:val="none" w:sz="0" w:space="0" w:color="auto"/>
      </w:divBdr>
    </w:div>
    <w:div w:id="1692563144">
      <w:marLeft w:val="0"/>
      <w:marRight w:val="0"/>
      <w:marTop w:val="0"/>
      <w:marBottom w:val="0"/>
      <w:divBdr>
        <w:top w:val="none" w:sz="0" w:space="0" w:color="auto"/>
        <w:left w:val="none" w:sz="0" w:space="0" w:color="auto"/>
        <w:bottom w:val="none" w:sz="0" w:space="0" w:color="auto"/>
        <w:right w:val="none" w:sz="0" w:space="0" w:color="auto"/>
      </w:divBdr>
    </w:div>
    <w:div w:id="1697847690">
      <w:marLeft w:val="0"/>
      <w:marRight w:val="0"/>
      <w:marTop w:val="0"/>
      <w:marBottom w:val="0"/>
      <w:divBdr>
        <w:top w:val="none" w:sz="0" w:space="0" w:color="auto"/>
        <w:left w:val="none" w:sz="0" w:space="0" w:color="auto"/>
        <w:bottom w:val="none" w:sz="0" w:space="0" w:color="auto"/>
        <w:right w:val="none" w:sz="0" w:space="0" w:color="auto"/>
      </w:divBdr>
    </w:div>
    <w:div w:id="1698241282">
      <w:marLeft w:val="0"/>
      <w:marRight w:val="0"/>
      <w:marTop w:val="0"/>
      <w:marBottom w:val="0"/>
      <w:divBdr>
        <w:top w:val="none" w:sz="0" w:space="0" w:color="auto"/>
        <w:left w:val="none" w:sz="0" w:space="0" w:color="auto"/>
        <w:bottom w:val="none" w:sz="0" w:space="0" w:color="auto"/>
        <w:right w:val="none" w:sz="0" w:space="0" w:color="auto"/>
      </w:divBdr>
    </w:div>
    <w:div w:id="1707946633">
      <w:marLeft w:val="0"/>
      <w:marRight w:val="0"/>
      <w:marTop w:val="0"/>
      <w:marBottom w:val="0"/>
      <w:divBdr>
        <w:top w:val="none" w:sz="0" w:space="0" w:color="auto"/>
        <w:left w:val="none" w:sz="0" w:space="0" w:color="auto"/>
        <w:bottom w:val="none" w:sz="0" w:space="0" w:color="auto"/>
        <w:right w:val="none" w:sz="0" w:space="0" w:color="auto"/>
      </w:divBdr>
    </w:div>
    <w:div w:id="1711877738">
      <w:marLeft w:val="0"/>
      <w:marRight w:val="0"/>
      <w:marTop w:val="0"/>
      <w:marBottom w:val="0"/>
      <w:divBdr>
        <w:top w:val="none" w:sz="0" w:space="0" w:color="auto"/>
        <w:left w:val="none" w:sz="0" w:space="0" w:color="auto"/>
        <w:bottom w:val="none" w:sz="0" w:space="0" w:color="auto"/>
        <w:right w:val="none" w:sz="0" w:space="0" w:color="auto"/>
      </w:divBdr>
    </w:div>
    <w:div w:id="1716388733">
      <w:marLeft w:val="0"/>
      <w:marRight w:val="0"/>
      <w:marTop w:val="0"/>
      <w:marBottom w:val="0"/>
      <w:divBdr>
        <w:top w:val="none" w:sz="0" w:space="0" w:color="auto"/>
        <w:left w:val="none" w:sz="0" w:space="0" w:color="auto"/>
        <w:bottom w:val="none" w:sz="0" w:space="0" w:color="auto"/>
        <w:right w:val="none" w:sz="0" w:space="0" w:color="auto"/>
      </w:divBdr>
    </w:div>
    <w:div w:id="1731615937">
      <w:marLeft w:val="0"/>
      <w:marRight w:val="0"/>
      <w:marTop w:val="0"/>
      <w:marBottom w:val="0"/>
      <w:divBdr>
        <w:top w:val="none" w:sz="0" w:space="0" w:color="auto"/>
        <w:left w:val="none" w:sz="0" w:space="0" w:color="auto"/>
        <w:bottom w:val="none" w:sz="0" w:space="0" w:color="auto"/>
        <w:right w:val="none" w:sz="0" w:space="0" w:color="auto"/>
      </w:divBdr>
    </w:div>
    <w:div w:id="1733189901">
      <w:marLeft w:val="0"/>
      <w:marRight w:val="0"/>
      <w:marTop w:val="0"/>
      <w:marBottom w:val="0"/>
      <w:divBdr>
        <w:top w:val="none" w:sz="0" w:space="0" w:color="auto"/>
        <w:left w:val="none" w:sz="0" w:space="0" w:color="auto"/>
        <w:bottom w:val="none" w:sz="0" w:space="0" w:color="auto"/>
        <w:right w:val="none" w:sz="0" w:space="0" w:color="auto"/>
      </w:divBdr>
    </w:div>
    <w:div w:id="1743134242">
      <w:marLeft w:val="0"/>
      <w:marRight w:val="0"/>
      <w:marTop w:val="0"/>
      <w:marBottom w:val="0"/>
      <w:divBdr>
        <w:top w:val="none" w:sz="0" w:space="0" w:color="auto"/>
        <w:left w:val="none" w:sz="0" w:space="0" w:color="auto"/>
        <w:bottom w:val="none" w:sz="0" w:space="0" w:color="auto"/>
        <w:right w:val="none" w:sz="0" w:space="0" w:color="auto"/>
      </w:divBdr>
    </w:div>
    <w:div w:id="1745030393">
      <w:marLeft w:val="0"/>
      <w:marRight w:val="0"/>
      <w:marTop w:val="0"/>
      <w:marBottom w:val="0"/>
      <w:divBdr>
        <w:top w:val="none" w:sz="0" w:space="0" w:color="auto"/>
        <w:left w:val="none" w:sz="0" w:space="0" w:color="auto"/>
        <w:bottom w:val="none" w:sz="0" w:space="0" w:color="auto"/>
        <w:right w:val="none" w:sz="0" w:space="0" w:color="auto"/>
      </w:divBdr>
    </w:div>
    <w:div w:id="1751779467">
      <w:marLeft w:val="0"/>
      <w:marRight w:val="0"/>
      <w:marTop w:val="0"/>
      <w:marBottom w:val="0"/>
      <w:divBdr>
        <w:top w:val="none" w:sz="0" w:space="0" w:color="auto"/>
        <w:left w:val="none" w:sz="0" w:space="0" w:color="auto"/>
        <w:bottom w:val="none" w:sz="0" w:space="0" w:color="auto"/>
        <w:right w:val="none" w:sz="0" w:space="0" w:color="auto"/>
      </w:divBdr>
    </w:div>
    <w:div w:id="1755514844">
      <w:marLeft w:val="0"/>
      <w:marRight w:val="0"/>
      <w:marTop w:val="0"/>
      <w:marBottom w:val="0"/>
      <w:divBdr>
        <w:top w:val="none" w:sz="0" w:space="0" w:color="auto"/>
        <w:left w:val="none" w:sz="0" w:space="0" w:color="auto"/>
        <w:bottom w:val="none" w:sz="0" w:space="0" w:color="auto"/>
        <w:right w:val="none" w:sz="0" w:space="0" w:color="auto"/>
      </w:divBdr>
    </w:div>
    <w:div w:id="1783917917">
      <w:marLeft w:val="0"/>
      <w:marRight w:val="150"/>
      <w:marTop w:val="0"/>
      <w:marBottom w:val="0"/>
      <w:divBdr>
        <w:top w:val="none" w:sz="0" w:space="0" w:color="auto"/>
        <w:left w:val="none" w:sz="0" w:space="0" w:color="auto"/>
        <w:bottom w:val="none" w:sz="0" w:space="0" w:color="auto"/>
        <w:right w:val="none" w:sz="0" w:space="0" w:color="auto"/>
      </w:divBdr>
      <w:divsChild>
        <w:div w:id="297882903">
          <w:marLeft w:val="0"/>
          <w:marRight w:val="150"/>
          <w:marTop w:val="0"/>
          <w:marBottom w:val="0"/>
          <w:divBdr>
            <w:top w:val="none" w:sz="0" w:space="0" w:color="auto"/>
            <w:left w:val="none" w:sz="0" w:space="0" w:color="auto"/>
            <w:bottom w:val="none" w:sz="0" w:space="0" w:color="auto"/>
            <w:right w:val="none" w:sz="0" w:space="0" w:color="auto"/>
          </w:divBdr>
        </w:div>
      </w:divsChild>
    </w:div>
    <w:div w:id="1785464356">
      <w:bodyDiv w:val="1"/>
      <w:marLeft w:val="0"/>
      <w:marRight w:val="0"/>
      <w:marTop w:val="0"/>
      <w:marBottom w:val="0"/>
      <w:divBdr>
        <w:top w:val="none" w:sz="0" w:space="0" w:color="auto"/>
        <w:left w:val="none" w:sz="0" w:space="0" w:color="auto"/>
        <w:bottom w:val="none" w:sz="0" w:space="0" w:color="auto"/>
        <w:right w:val="none" w:sz="0" w:space="0" w:color="auto"/>
      </w:divBdr>
      <w:divsChild>
        <w:div w:id="1603492426">
          <w:marLeft w:val="0"/>
          <w:marRight w:val="0"/>
          <w:marTop w:val="0"/>
          <w:marBottom w:val="0"/>
          <w:divBdr>
            <w:top w:val="none" w:sz="0" w:space="0" w:color="auto"/>
            <w:left w:val="none" w:sz="0" w:space="0" w:color="auto"/>
            <w:bottom w:val="none" w:sz="0" w:space="0" w:color="auto"/>
            <w:right w:val="none" w:sz="0" w:space="0" w:color="auto"/>
          </w:divBdr>
          <w:divsChild>
            <w:div w:id="1122921752">
              <w:marLeft w:val="0"/>
              <w:marRight w:val="0"/>
              <w:marTop w:val="0"/>
              <w:marBottom w:val="0"/>
              <w:divBdr>
                <w:top w:val="none" w:sz="0" w:space="0" w:color="auto"/>
                <w:left w:val="none" w:sz="0" w:space="0" w:color="auto"/>
                <w:bottom w:val="none" w:sz="0" w:space="0" w:color="auto"/>
                <w:right w:val="none" w:sz="0" w:space="0" w:color="auto"/>
              </w:divBdr>
              <w:divsChild>
                <w:div w:id="104228646">
                  <w:marLeft w:val="0"/>
                  <w:marRight w:val="150"/>
                  <w:marTop w:val="0"/>
                  <w:marBottom w:val="0"/>
                  <w:divBdr>
                    <w:top w:val="none" w:sz="0" w:space="0" w:color="auto"/>
                    <w:left w:val="none" w:sz="0" w:space="0" w:color="auto"/>
                    <w:bottom w:val="none" w:sz="0" w:space="0" w:color="auto"/>
                    <w:right w:val="none" w:sz="0" w:space="0" w:color="auto"/>
                  </w:divBdr>
                  <w:divsChild>
                    <w:div w:id="16504804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2991">
      <w:marLeft w:val="0"/>
      <w:marRight w:val="0"/>
      <w:marTop w:val="0"/>
      <w:marBottom w:val="0"/>
      <w:divBdr>
        <w:top w:val="none" w:sz="0" w:space="0" w:color="auto"/>
        <w:left w:val="none" w:sz="0" w:space="0" w:color="auto"/>
        <w:bottom w:val="none" w:sz="0" w:space="0" w:color="auto"/>
        <w:right w:val="none" w:sz="0" w:space="0" w:color="auto"/>
      </w:divBdr>
    </w:div>
    <w:div w:id="1792481769">
      <w:marLeft w:val="0"/>
      <w:marRight w:val="0"/>
      <w:marTop w:val="0"/>
      <w:marBottom w:val="0"/>
      <w:divBdr>
        <w:top w:val="none" w:sz="0" w:space="0" w:color="auto"/>
        <w:left w:val="none" w:sz="0" w:space="0" w:color="auto"/>
        <w:bottom w:val="none" w:sz="0" w:space="0" w:color="auto"/>
        <w:right w:val="none" w:sz="0" w:space="0" w:color="auto"/>
      </w:divBdr>
    </w:div>
    <w:div w:id="1799639505">
      <w:marLeft w:val="0"/>
      <w:marRight w:val="0"/>
      <w:marTop w:val="0"/>
      <w:marBottom w:val="0"/>
      <w:divBdr>
        <w:top w:val="none" w:sz="0" w:space="0" w:color="auto"/>
        <w:left w:val="none" w:sz="0" w:space="0" w:color="auto"/>
        <w:bottom w:val="none" w:sz="0" w:space="0" w:color="auto"/>
        <w:right w:val="none" w:sz="0" w:space="0" w:color="auto"/>
      </w:divBdr>
    </w:div>
    <w:div w:id="1803494255">
      <w:marLeft w:val="0"/>
      <w:marRight w:val="0"/>
      <w:marTop w:val="0"/>
      <w:marBottom w:val="0"/>
      <w:divBdr>
        <w:top w:val="none" w:sz="0" w:space="0" w:color="auto"/>
        <w:left w:val="none" w:sz="0" w:space="0" w:color="auto"/>
        <w:bottom w:val="none" w:sz="0" w:space="0" w:color="auto"/>
        <w:right w:val="none" w:sz="0" w:space="0" w:color="auto"/>
      </w:divBdr>
    </w:div>
    <w:div w:id="1807119814">
      <w:marLeft w:val="0"/>
      <w:marRight w:val="0"/>
      <w:marTop w:val="0"/>
      <w:marBottom w:val="0"/>
      <w:divBdr>
        <w:top w:val="none" w:sz="0" w:space="0" w:color="auto"/>
        <w:left w:val="none" w:sz="0" w:space="0" w:color="auto"/>
        <w:bottom w:val="none" w:sz="0" w:space="0" w:color="auto"/>
        <w:right w:val="none" w:sz="0" w:space="0" w:color="auto"/>
      </w:divBdr>
    </w:div>
    <w:div w:id="1826894040">
      <w:marLeft w:val="0"/>
      <w:marRight w:val="0"/>
      <w:marTop w:val="0"/>
      <w:marBottom w:val="0"/>
      <w:divBdr>
        <w:top w:val="none" w:sz="0" w:space="0" w:color="auto"/>
        <w:left w:val="none" w:sz="0" w:space="0" w:color="auto"/>
        <w:bottom w:val="none" w:sz="0" w:space="0" w:color="auto"/>
        <w:right w:val="none" w:sz="0" w:space="0" w:color="auto"/>
      </w:divBdr>
    </w:div>
    <w:div w:id="1828354005">
      <w:marLeft w:val="0"/>
      <w:marRight w:val="0"/>
      <w:marTop w:val="0"/>
      <w:marBottom w:val="0"/>
      <w:divBdr>
        <w:top w:val="none" w:sz="0" w:space="0" w:color="auto"/>
        <w:left w:val="none" w:sz="0" w:space="0" w:color="auto"/>
        <w:bottom w:val="none" w:sz="0" w:space="0" w:color="auto"/>
        <w:right w:val="none" w:sz="0" w:space="0" w:color="auto"/>
      </w:divBdr>
    </w:div>
    <w:div w:id="1831672936">
      <w:marLeft w:val="0"/>
      <w:marRight w:val="0"/>
      <w:marTop w:val="0"/>
      <w:marBottom w:val="0"/>
      <w:divBdr>
        <w:top w:val="none" w:sz="0" w:space="0" w:color="auto"/>
        <w:left w:val="none" w:sz="0" w:space="0" w:color="auto"/>
        <w:bottom w:val="none" w:sz="0" w:space="0" w:color="auto"/>
        <w:right w:val="none" w:sz="0" w:space="0" w:color="auto"/>
      </w:divBdr>
    </w:div>
    <w:div w:id="1833372207">
      <w:marLeft w:val="0"/>
      <w:marRight w:val="0"/>
      <w:marTop w:val="0"/>
      <w:marBottom w:val="0"/>
      <w:divBdr>
        <w:top w:val="none" w:sz="0" w:space="0" w:color="auto"/>
        <w:left w:val="none" w:sz="0" w:space="0" w:color="auto"/>
        <w:bottom w:val="none" w:sz="0" w:space="0" w:color="auto"/>
        <w:right w:val="none" w:sz="0" w:space="0" w:color="auto"/>
      </w:divBdr>
    </w:div>
    <w:div w:id="1851682146">
      <w:marLeft w:val="0"/>
      <w:marRight w:val="0"/>
      <w:marTop w:val="0"/>
      <w:marBottom w:val="0"/>
      <w:divBdr>
        <w:top w:val="none" w:sz="0" w:space="0" w:color="auto"/>
        <w:left w:val="none" w:sz="0" w:space="0" w:color="auto"/>
        <w:bottom w:val="none" w:sz="0" w:space="0" w:color="auto"/>
        <w:right w:val="none" w:sz="0" w:space="0" w:color="auto"/>
      </w:divBdr>
    </w:div>
    <w:div w:id="1856578155">
      <w:marLeft w:val="0"/>
      <w:marRight w:val="0"/>
      <w:marTop w:val="0"/>
      <w:marBottom w:val="0"/>
      <w:divBdr>
        <w:top w:val="none" w:sz="0" w:space="0" w:color="auto"/>
        <w:left w:val="none" w:sz="0" w:space="0" w:color="auto"/>
        <w:bottom w:val="none" w:sz="0" w:space="0" w:color="auto"/>
        <w:right w:val="none" w:sz="0" w:space="0" w:color="auto"/>
      </w:divBdr>
    </w:div>
    <w:div w:id="1860965135">
      <w:marLeft w:val="0"/>
      <w:marRight w:val="0"/>
      <w:marTop w:val="0"/>
      <w:marBottom w:val="0"/>
      <w:divBdr>
        <w:top w:val="none" w:sz="0" w:space="0" w:color="auto"/>
        <w:left w:val="none" w:sz="0" w:space="0" w:color="auto"/>
        <w:bottom w:val="none" w:sz="0" w:space="0" w:color="auto"/>
        <w:right w:val="none" w:sz="0" w:space="0" w:color="auto"/>
      </w:divBdr>
    </w:div>
    <w:div w:id="1879850952">
      <w:marLeft w:val="0"/>
      <w:marRight w:val="0"/>
      <w:marTop w:val="0"/>
      <w:marBottom w:val="0"/>
      <w:divBdr>
        <w:top w:val="none" w:sz="0" w:space="0" w:color="auto"/>
        <w:left w:val="none" w:sz="0" w:space="0" w:color="auto"/>
        <w:bottom w:val="none" w:sz="0" w:space="0" w:color="auto"/>
        <w:right w:val="none" w:sz="0" w:space="0" w:color="auto"/>
      </w:divBdr>
    </w:div>
    <w:div w:id="1880624828">
      <w:marLeft w:val="0"/>
      <w:marRight w:val="0"/>
      <w:marTop w:val="0"/>
      <w:marBottom w:val="0"/>
      <w:divBdr>
        <w:top w:val="none" w:sz="0" w:space="0" w:color="auto"/>
        <w:left w:val="none" w:sz="0" w:space="0" w:color="auto"/>
        <w:bottom w:val="none" w:sz="0" w:space="0" w:color="auto"/>
        <w:right w:val="none" w:sz="0" w:space="0" w:color="auto"/>
      </w:divBdr>
    </w:div>
    <w:div w:id="1880701126">
      <w:marLeft w:val="0"/>
      <w:marRight w:val="0"/>
      <w:marTop w:val="0"/>
      <w:marBottom w:val="0"/>
      <w:divBdr>
        <w:top w:val="none" w:sz="0" w:space="0" w:color="auto"/>
        <w:left w:val="none" w:sz="0" w:space="0" w:color="auto"/>
        <w:bottom w:val="none" w:sz="0" w:space="0" w:color="auto"/>
        <w:right w:val="none" w:sz="0" w:space="0" w:color="auto"/>
      </w:divBdr>
    </w:div>
    <w:div w:id="1885865018">
      <w:marLeft w:val="0"/>
      <w:marRight w:val="0"/>
      <w:marTop w:val="0"/>
      <w:marBottom w:val="0"/>
      <w:divBdr>
        <w:top w:val="none" w:sz="0" w:space="0" w:color="auto"/>
        <w:left w:val="none" w:sz="0" w:space="0" w:color="auto"/>
        <w:bottom w:val="none" w:sz="0" w:space="0" w:color="auto"/>
        <w:right w:val="none" w:sz="0" w:space="0" w:color="auto"/>
      </w:divBdr>
    </w:div>
    <w:div w:id="1892306328">
      <w:marLeft w:val="0"/>
      <w:marRight w:val="150"/>
      <w:marTop w:val="0"/>
      <w:marBottom w:val="0"/>
      <w:divBdr>
        <w:top w:val="none" w:sz="0" w:space="0" w:color="auto"/>
        <w:left w:val="none" w:sz="0" w:space="0" w:color="auto"/>
        <w:bottom w:val="none" w:sz="0" w:space="0" w:color="auto"/>
        <w:right w:val="none" w:sz="0" w:space="0" w:color="auto"/>
      </w:divBdr>
      <w:divsChild>
        <w:div w:id="1079206878">
          <w:marLeft w:val="0"/>
          <w:marRight w:val="150"/>
          <w:marTop w:val="0"/>
          <w:marBottom w:val="0"/>
          <w:divBdr>
            <w:top w:val="none" w:sz="0" w:space="0" w:color="auto"/>
            <w:left w:val="none" w:sz="0" w:space="0" w:color="auto"/>
            <w:bottom w:val="none" w:sz="0" w:space="0" w:color="auto"/>
            <w:right w:val="none" w:sz="0" w:space="0" w:color="auto"/>
          </w:divBdr>
        </w:div>
      </w:divsChild>
    </w:div>
    <w:div w:id="1897080906">
      <w:marLeft w:val="0"/>
      <w:marRight w:val="0"/>
      <w:marTop w:val="0"/>
      <w:marBottom w:val="0"/>
      <w:divBdr>
        <w:top w:val="none" w:sz="0" w:space="0" w:color="auto"/>
        <w:left w:val="none" w:sz="0" w:space="0" w:color="auto"/>
        <w:bottom w:val="none" w:sz="0" w:space="0" w:color="auto"/>
        <w:right w:val="none" w:sz="0" w:space="0" w:color="auto"/>
      </w:divBdr>
    </w:div>
    <w:div w:id="1897624214">
      <w:marLeft w:val="0"/>
      <w:marRight w:val="0"/>
      <w:marTop w:val="0"/>
      <w:marBottom w:val="0"/>
      <w:divBdr>
        <w:top w:val="none" w:sz="0" w:space="0" w:color="auto"/>
        <w:left w:val="none" w:sz="0" w:space="0" w:color="auto"/>
        <w:bottom w:val="none" w:sz="0" w:space="0" w:color="auto"/>
        <w:right w:val="none" w:sz="0" w:space="0" w:color="auto"/>
      </w:divBdr>
    </w:div>
    <w:div w:id="1911504215">
      <w:marLeft w:val="0"/>
      <w:marRight w:val="0"/>
      <w:marTop w:val="0"/>
      <w:marBottom w:val="0"/>
      <w:divBdr>
        <w:top w:val="none" w:sz="0" w:space="0" w:color="auto"/>
        <w:left w:val="none" w:sz="0" w:space="0" w:color="auto"/>
        <w:bottom w:val="none" w:sz="0" w:space="0" w:color="auto"/>
        <w:right w:val="none" w:sz="0" w:space="0" w:color="auto"/>
      </w:divBdr>
    </w:div>
    <w:div w:id="1913656706">
      <w:marLeft w:val="0"/>
      <w:marRight w:val="0"/>
      <w:marTop w:val="0"/>
      <w:marBottom w:val="0"/>
      <w:divBdr>
        <w:top w:val="none" w:sz="0" w:space="0" w:color="auto"/>
        <w:left w:val="none" w:sz="0" w:space="0" w:color="auto"/>
        <w:bottom w:val="none" w:sz="0" w:space="0" w:color="auto"/>
        <w:right w:val="none" w:sz="0" w:space="0" w:color="auto"/>
      </w:divBdr>
    </w:div>
    <w:div w:id="1917667571">
      <w:marLeft w:val="0"/>
      <w:marRight w:val="0"/>
      <w:marTop w:val="0"/>
      <w:marBottom w:val="0"/>
      <w:divBdr>
        <w:top w:val="none" w:sz="0" w:space="0" w:color="auto"/>
        <w:left w:val="none" w:sz="0" w:space="0" w:color="auto"/>
        <w:bottom w:val="none" w:sz="0" w:space="0" w:color="auto"/>
        <w:right w:val="none" w:sz="0" w:space="0" w:color="auto"/>
      </w:divBdr>
    </w:div>
    <w:div w:id="1918398515">
      <w:marLeft w:val="0"/>
      <w:marRight w:val="0"/>
      <w:marTop w:val="0"/>
      <w:marBottom w:val="0"/>
      <w:divBdr>
        <w:top w:val="none" w:sz="0" w:space="0" w:color="auto"/>
        <w:left w:val="none" w:sz="0" w:space="0" w:color="auto"/>
        <w:bottom w:val="none" w:sz="0" w:space="0" w:color="auto"/>
        <w:right w:val="none" w:sz="0" w:space="0" w:color="auto"/>
      </w:divBdr>
    </w:div>
    <w:div w:id="1922130953">
      <w:marLeft w:val="0"/>
      <w:marRight w:val="0"/>
      <w:marTop w:val="0"/>
      <w:marBottom w:val="0"/>
      <w:divBdr>
        <w:top w:val="none" w:sz="0" w:space="0" w:color="auto"/>
        <w:left w:val="none" w:sz="0" w:space="0" w:color="auto"/>
        <w:bottom w:val="none" w:sz="0" w:space="0" w:color="auto"/>
        <w:right w:val="none" w:sz="0" w:space="0" w:color="auto"/>
      </w:divBdr>
    </w:div>
    <w:div w:id="1927641983">
      <w:marLeft w:val="0"/>
      <w:marRight w:val="0"/>
      <w:marTop w:val="0"/>
      <w:marBottom w:val="0"/>
      <w:divBdr>
        <w:top w:val="none" w:sz="0" w:space="0" w:color="auto"/>
        <w:left w:val="none" w:sz="0" w:space="0" w:color="auto"/>
        <w:bottom w:val="none" w:sz="0" w:space="0" w:color="auto"/>
        <w:right w:val="none" w:sz="0" w:space="0" w:color="auto"/>
      </w:divBdr>
    </w:div>
    <w:div w:id="1931623992">
      <w:marLeft w:val="0"/>
      <w:marRight w:val="0"/>
      <w:marTop w:val="0"/>
      <w:marBottom w:val="0"/>
      <w:divBdr>
        <w:top w:val="none" w:sz="0" w:space="0" w:color="auto"/>
        <w:left w:val="none" w:sz="0" w:space="0" w:color="auto"/>
        <w:bottom w:val="none" w:sz="0" w:space="0" w:color="auto"/>
        <w:right w:val="none" w:sz="0" w:space="0" w:color="auto"/>
      </w:divBdr>
    </w:div>
    <w:div w:id="1931961520">
      <w:marLeft w:val="0"/>
      <w:marRight w:val="0"/>
      <w:marTop w:val="0"/>
      <w:marBottom w:val="0"/>
      <w:divBdr>
        <w:top w:val="none" w:sz="0" w:space="0" w:color="auto"/>
        <w:left w:val="none" w:sz="0" w:space="0" w:color="auto"/>
        <w:bottom w:val="none" w:sz="0" w:space="0" w:color="auto"/>
        <w:right w:val="none" w:sz="0" w:space="0" w:color="auto"/>
      </w:divBdr>
    </w:div>
    <w:div w:id="1932664504">
      <w:marLeft w:val="0"/>
      <w:marRight w:val="0"/>
      <w:marTop w:val="0"/>
      <w:marBottom w:val="0"/>
      <w:divBdr>
        <w:top w:val="none" w:sz="0" w:space="0" w:color="auto"/>
        <w:left w:val="none" w:sz="0" w:space="0" w:color="auto"/>
        <w:bottom w:val="none" w:sz="0" w:space="0" w:color="auto"/>
        <w:right w:val="none" w:sz="0" w:space="0" w:color="auto"/>
      </w:divBdr>
    </w:div>
    <w:div w:id="1943564379">
      <w:marLeft w:val="0"/>
      <w:marRight w:val="0"/>
      <w:marTop w:val="0"/>
      <w:marBottom w:val="0"/>
      <w:divBdr>
        <w:top w:val="none" w:sz="0" w:space="0" w:color="auto"/>
        <w:left w:val="none" w:sz="0" w:space="0" w:color="auto"/>
        <w:bottom w:val="none" w:sz="0" w:space="0" w:color="auto"/>
        <w:right w:val="none" w:sz="0" w:space="0" w:color="auto"/>
      </w:divBdr>
    </w:div>
    <w:div w:id="1958248066">
      <w:marLeft w:val="0"/>
      <w:marRight w:val="0"/>
      <w:marTop w:val="0"/>
      <w:marBottom w:val="0"/>
      <w:divBdr>
        <w:top w:val="none" w:sz="0" w:space="0" w:color="auto"/>
        <w:left w:val="none" w:sz="0" w:space="0" w:color="auto"/>
        <w:bottom w:val="none" w:sz="0" w:space="0" w:color="auto"/>
        <w:right w:val="none" w:sz="0" w:space="0" w:color="auto"/>
      </w:divBdr>
    </w:div>
    <w:div w:id="1966695918">
      <w:marLeft w:val="0"/>
      <w:marRight w:val="0"/>
      <w:marTop w:val="0"/>
      <w:marBottom w:val="0"/>
      <w:divBdr>
        <w:top w:val="none" w:sz="0" w:space="0" w:color="auto"/>
        <w:left w:val="none" w:sz="0" w:space="0" w:color="auto"/>
        <w:bottom w:val="none" w:sz="0" w:space="0" w:color="auto"/>
        <w:right w:val="none" w:sz="0" w:space="0" w:color="auto"/>
      </w:divBdr>
    </w:div>
    <w:div w:id="1973709984">
      <w:marLeft w:val="0"/>
      <w:marRight w:val="0"/>
      <w:marTop w:val="0"/>
      <w:marBottom w:val="0"/>
      <w:divBdr>
        <w:top w:val="none" w:sz="0" w:space="0" w:color="auto"/>
        <w:left w:val="none" w:sz="0" w:space="0" w:color="auto"/>
        <w:bottom w:val="none" w:sz="0" w:space="0" w:color="auto"/>
        <w:right w:val="none" w:sz="0" w:space="0" w:color="auto"/>
      </w:divBdr>
    </w:div>
    <w:div w:id="1981380742">
      <w:marLeft w:val="0"/>
      <w:marRight w:val="0"/>
      <w:marTop w:val="0"/>
      <w:marBottom w:val="0"/>
      <w:divBdr>
        <w:top w:val="none" w:sz="0" w:space="0" w:color="auto"/>
        <w:left w:val="none" w:sz="0" w:space="0" w:color="auto"/>
        <w:bottom w:val="none" w:sz="0" w:space="0" w:color="auto"/>
        <w:right w:val="none" w:sz="0" w:space="0" w:color="auto"/>
      </w:divBdr>
    </w:div>
    <w:div w:id="1988896653">
      <w:marLeft w:val="0"/>
      <w:marRight w:val="0"/>
      <w:marTop w:val="0"/>
      <w:marBottom w:val="0"/>
      <w:divBdr>
        <w:top w:val="none" w:sz="0" w:space="0" w:color="auto"/>
        <w:left w:val="none" w:sz="0" w:space="0" w:color="auto"/>
        <w:bottom w:val="none" w:sz="0" w:space="0" w:color="auto"/>
        <w:right w:val="none" w:sz="0" w:space="0" w:color="auto"/>
      </w:divBdr>
    </w:div>
    <w:div w:id="1992099311">
      <w:marLeft w:val="0"/>
      <w:marRight w:val="0"/>
      <w:marTop w:val="0"/>
      <w:marBottom w:val="0"/>
      <w:divBdr>
        <w:top w:val="none" w:sz="0" w:space="0" w:color="auto"/>
        <w:left w:val="none" w:sz="0" w:space="0" w:color="auto"/>
        <w:bottom w:val="none" w:sz="0" w:space="0" w:color="auto"/>
        <w:right w:val="none" w:sz="0" w:space="0" w:color="auto"/>
      </w:divBdr>
    </w:div>
    <w:div w:id="1993437436">
      <w:marLeft w:val="0"/>
      <w:marRight w:val="0"/>
      <w:marTop w:val="0"/>
      <w:marBottom w:val="0"/>
      <w:divBdr>
        <w:top w:val="none" w:sz="0" w:space="0" w:color="auto"/>
        <w:left w:val="none" w:sz="0" w:space="0" w:color="auto"/>
        <w:bottom w:val="none" w:sz="0" w:space="0" w:color="auto"/>
        <w:right w:val="none" w:sz="0" w:space="0" w:color="auto"/>
      </w:divBdr>
    </w:div>
    <w:div w:id="2001152621">
      <w:marLeft w:val="0"/>
      <w:marRight w:val="0"/>
      <w:marTop w:val="0"/>
      <w:marBottom w:val="0"/>
      <w:divBdr>
        <w:top w:val="none" w:sz="0" w:space="0" w:color="auto"/>
        <w:left w:val="none" w:sz="0" w:space="0" w:color="auto"/>
        <w:bottom w:val="none" w:sz="0" w:space="0" w:color="auto"/>
        <w:right w:val="none" w:sz="0" w:space="0" w:color="auto"/>
      </w:divBdr>
    </w:div>
    <w:div w:id="2004357390">
      <w:marLeft w:val="0"/>
      <w:marRight w:val="0"/>
      <w:marTop w:val="0"/>
      <w:marBottom w:val="0"/>
      <w:divBdr>
        <w:top w:val="none" w:sz="0" w:space="0" w:color="auto"/>
        <w:left w:val="none" w:sz="0" w:space="0" w:color="auto"/>
        <w:bottom w:val="none" w:sz="0" w:space="0" w:color="auto"/>
        <w:right w:val="none" w:sz="0" w:space="0" w:color="auto"/>
      </w:divBdr>
    </w:div>
    <w:div w:id="2010863758">
      <w:marLeft w:val="0"/>
      <w:marRight w:val="0"/>
      <w:marTop w:val="0"/>
      <w:marBottom w:val="0"/>
      <w:divBdr>
        <w:top w:val="none" w:sz="0" w:space="0" w:color="auto"/>
        <w:left w:val="none" w:sz="0" w:space="0" w:color="auto"/>
        <w:bottom w:val="none" w:sz="0" w:space="0" w:color="auto"/>
        <w:right w:val="none" w:sz="0" w:space="0" w:color="auto"/>
      </w:divBdr>
    </w:div>
    <w:div w:id="2016609094">
      <w:marLeft w:val="0"/>
      <w:marRight w:val="0"/>
      <w:marTop w:val="0"/>
      <w:marBottom w:val="0"/>
      <w:divBdr>
        <w:top w:val="none" w:sz="0" w:space="0" w:color="auto"/>
        <w:left w:val="none" w:sz="0" w:space="0" w:color="auto"/>
        <w:bottom w:val="none" w:sz="0" w:space="0" w:color="auto"/>
        <w:right w:val="none" w:sz="0" w:space="0" w:color="auto"/>
      </w:divBdr>
    </w:div>
    <w:div w:id="2021470526">
      <w:marLeft w:val="0"/>
      <w:marRight w:val="0"/>
      <w:marTop w:val="0"/>
      <w:marBottom w:val="0"/>
      <w:divBdr>
        <w:top w:val="none" w:sz="0" w:space="0" w:color="auto"/>
        <w:left w:val="none" w:sz="0" w:space="0" w:color="auto"/>
        <w:bottom w:val="none" w:sz="0" w:space="0" w:color="auto"/>
        <w:right w:val="none" w:sz="0" w:space="0" w:color="auto"/>
      </w:divBdr>
    </w:div>
    <w:div w:id="2042128460">
      <w:marLeft w:val="0"/>
      <w:marRight w:val="0"/>
      <w:marTop w:val="0"/>
      <w:marBottom w:val="0"/>
      <w:divBdr>
        <w:top w:val="none" w:sz="0" w:space="0" w:color="auto"/>
        <w:left w:val="none" w:sz="0" w:space="0" w:color="auto"/>
        <w:bottom w:val="none" w:sz="0" w:space="0" w:color="auto"/>
        <w:right w:val="none" w:sz="0" w:space="0" w:color="auto"/>
      </w:divBdr>
    </w:div>
    <w:div w:id="2048025543">
      <w:marLeft w:val="0"/>
      <w:marRight w:val="150"/>
      <w:marTop w:val="0"/>
      <w:marBottom w:val="0"/>
      <w:divBdr>
        <w:top w:val="none" w:sz="0" w:space="0" w:color="auto"/>
        <w:left w:val="none" w:sz="0" w:space="0" w:color="auto"/>
        <w:bottom w:val="none" w:sz="0" w:space="0" w:color="auto"/>
        <w:right w:val="none" w:sz="0" w:space="0" w:color="auto"/>
      </w:divBdr>
      <w:divsChild>
        <w:div w:id="1620838053">
          <w:marLeft w:val="0"/>
          <w:marRight w:val="150"/>
          <w:marTop w:val="0"/>
          <w:marBottom w:val="0"/>
          <w:divBdr>
            <w:top w:val="none" w:sz="0" w:space="0" w:color="auto"/>
            <w:left w:val="none" w:sz="0" w:space="0" w:color="auto"/>
            <w:bottom w:val="none" w:sz="0" w:space="0" w:color="auto"/>
            <w:right w:val="none" w:sz="0" w:space="0" w:color="auto"/>
          </w:divBdr>
        </w:div>
      </w:divsChild>
    </w:div>
    <w:div w:id="2052535476">
      <w:marLeft w:val="0"/>
      <w:marRight w:val="0"/>
      <w:marTop w:val="0"/>
      <w:marBottom w:val="0"/>
      <w:divBdr>
        <w:top w:val="none" w:sz="0" w:space="0" w:color="auto"/>
        <w:left w:val="none" w:sz="0" w:space="0" w:color="auto"/>
        <w:bottom w:val="none" w:sz="0" w:space="0" w:color="auto"/>
        <w:right w:val="none" w:sz="0" w:space="0" w:color="auto"/>
      </w:divBdr>
    </w:div>
    <w:div w:id="2056847451">
      <w:marLeft w:val="0"/>
      <w:marRight w:val="0"/>
      <w:marTop w:val="0"/>
      <w:marBottom w:val="0"/>
      <w:divBdr>
        <w:top w:val="none" w:sz="0" w:space="0" w:color="auto"/>
        <w:left w:val="none" w:sz="0" w:space="0" w:color="auto"/>
        <w:bottom w:val="none" w:sz="0" w:space="0" w:color="auto"/>
        <w:right w:val="none" w:sz="0" w:space="0" w:color="auto"/>
      </w:divBdr>
    </w:div>
    <w:div w:id="2078435148">
      <w:marLeft w:val="0"/>
      <w:marRight w:val="0"/>
      <w:marTop w:val="0"/>
      <w:marBottom w:val="0"/>
      <w:divBdr>
        <w:top w:val="none" w:sz="0" w:space="0" w:color="auto"/>
        <w:left w:val="none" w:sz="0" w:space="0" w:color="auto"/>
        <w:bottom w:val="none" w:sz="0" w:space="0" w:color="auto"/>
        <w:right w:val="none" w:sz="0" w:space="0" w:color="auto"/>
      </w:divBdr>
    </w:div>
    <w:div w:id="2087222997">
      <w:marLeft w:val="0"/>
      <w:marRight w:val="0"/>
      <w:marTop w:val="0"/>
      <w:marBottom w:val="0"/>
      <w:divBdr>
        <w:top w:val="none" w:sz="0" w:space="0" w:color="auto"/>
        <w:left w:val="none" w:sz="0" w:space="0" w:color="auto"/>
        <w:bottom w:val="none" w:sz="0" w:space="0" w:color="auto"/>
        <w:right w:val="none" w:sz="0" w:space="0" w:color="auto"/>
      </w:divBdr>
    </w:div>
    <w:div w:id="2091732772">
      <w:marLeft w:val="0"/>
      <w:marRight w:val="0"/>
      <w:marTop w:val="0"/>
      <w:marBottom w:val="0"/>
      <w:divBdr>
        <w:top w:val="none" w:sz="0" w:space="0" w:color="auto"/>
        <w:left w:val="none" w:sz="0" w:space="0" w:color="auto"/>
        <w:bottom w:val="none" w:sz="0" w:space="0" w:color="auto"/>
        <w:right w:val="none" w:sz="0" w:space="0" w:color="auto"/>
      </w:divBdr>
    </w:div>
    <w:div w:id="2092191656">
      <w:marLeft w:val="0"/>
      <w:marRight w:val="0"/>
      <w:marTop w:val="0"/>
      <w:marBottom w:val="0"/>
      <w:divBdr>
        <w:top w:val="none" w:sz="0" w:space="0" w:color="auto"/>
        <w:left w:val="none" w:sz="0" w:space="0" w:color="auto"/>
        <w:bottom w:val="none" w:sz="0" w:space="0" w:color="auto"/>
        <w:right w:val="none" w:sz="0" w:space="0" w:color="auto"/>
      </w:divBdr>
    </w:div>
    <w:div w:id="2093427546">
      <w:marLeft w:val="0"/>
      <w:marRight w:val="0"/>
      <w:marTop w:val="0"/>
      <w:marBottom w:val="0"/>
      <w:divBdr>
        <w:top w:val="none" w:sz="0" w:space="0" w:color="auto"/>
        <w:left w:val="none" w:sz="0" w:space="0" w:color="auto"/>
        <w:bottom w:val="none" w:sz="0" w:space="0" w:color="auto"/>
        <w:right w:val="none" w:sz="0" w:space="0" w:color="auto"/>
      </w:divBdr>
    </w:div>
    <w:div w:id="2099671910">
      <w:marLeft w:val="0"/>
      <w:marRight w:val="0"/>
      <w:marTop w:val="0"/>
      <w:marBottom w:val="0"/>
      <w:divBdr>
        <w:top w:val="none" w:sz="0" w:space="0" w:color="auto"/>
        <w:left w:val="none" w:sz="0" w:space="0" w:color="auto"/>
        <w:bottom w:val="none" w:sz="0" w:space="0" w:color="auto"/>
        <w:right w:val="none" w:sz="0" w:space="0" w:color="auto"/>
      </w:divBdr>
    </w:div>
    <w:div w:id="2113275842">
      <w:marLeft w:val="0"/>
      <w:marRight w:val="0"/>
      <w:marTop w:val="0"/>
      <w:marBottom w:val="0"/>
      <w:divBdr>
        <w:top w:val="none" w:sz="0" w:space="0" w:color="auto"/>
        <w:left w:val="none" w:sz="0" w:space="0" w:color="auto"/>
        <w:bottom w:val="none" w:sz="0" w:space="0" w:color="auto"/>
        <w:right w:val="none" w:sz="0" w:space="0" w:color="auto"/>
      </w:divBdr>
    </w:div>
    <w:div w:id="2115900823">
      <w:marLeft w:val="0"/>
      <w:marRight w:val="0"/>
      <w:marTop w:val="0"/>
      <w:marBottom w:val="0"/>
      <w:divBdr>
        <w:top w:val="none" w:sz="0" w:space="0" w:color="auto"/>
        <w:left w:val="none" w:sz="0" w:space="0" w:color="auto"/>
        <w:bottom w:val="none" w:sz="0" w:space="0" w:color="auto"/>
        <w:right w:val="none" w:sz="0" w:space="0" w:color="auto"/>
      </w:divBdr>
    </w:div>
    <w:div w:id="2120105696">
      <w:marLeft w:val="0"/>
      <w:marRight w:val="0"/>
      <w:marTop w:val="0"/>
      <w:marBottom w:val="0"/>
      <w:divBdr>
        <w:top w:val="none" w:sz="0" w:space="0" w:color="auto"/>
        <w:left w:val="none" w:sz="0" w:space="0" w:color="auto"/>
        <w:bottom w:val="none" w:sz="0" w:space="0" w:color="auto"/>
        <w:right w:val="none" w:sz="0" w:space="0" w:color="auto"/>
      </w:divBdr>
    </w:div>
    <w:div w:id="2121605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nn@hsph.harvard.edu"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0544-C843-6C43-A17A-B6042969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13484</Words>
  <Characters>76860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Minttu Rönn</dc:creator>
  <cp:keywords/>
  <dc:description/>
  <cp:lastModifiedBy>Ronn, Minttu</cp:lastModifiedBy>
  <cp:revision>3</cp:revision>
  <dcterms:created xsi:type="dcterms:W3CDTF">2023-01-25T17:20:00Z</dcterms:created>
  <dcterms:modified xsi:type="dcterms:W3CDTF">2023-01-28T20:33:00Z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http://www.zotero.org/styles/american-journal-of-public-health</vt:lpwstr>
  </property>
  <property fmtid="{D5CDD505-2E9C-101B-9397-08002B2CF9AE}" pid="3" name="Mendeley Recent Style Name 0_1">
    <vt:lpwstr>American Journal of Public Health</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http://csl.mendeley.com/styles/7013903/american-medical-association-3</vt:lpwstr>
  </property>
  <property fmtid="{D5CDD505-2E9C-101B-9397-08002B2CF9AE}" pid="7" name="Mendeley Recent Style Name 2_1">
    <vt:lpwstr>American Medical Association 11th edition - Minttu Rönn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6th edition</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vt:lpwstr>
  </property>
  <property fmtid="{D5CDD505-2E9C-101B-9397-08002B2CF9AE}" pid="14" name="Mendeley Recent Style Id 6_1">
    <vt:lpwstr>https://csl.mendeley.com/styles/7013903/std-3</vt:lpwstr>
  </property>
  <property fmtid="{D5CDD505-2E9C-101B-9397-08002B2CF9AE}" pid="15" name="Mendeley Recent Style Name 6_1">
    <vt:lpwstr>BMJ - Minttu Rönn</vt:lpwstr>
  </property>
  <property fmtid="{D5CDD505-2E9C-101B-9397-08002B2CF9AE}" pid="16" name="Mendeley Recent Style Id 7_1">
    <vt:lpwstr>http://csl.mendeley.com/styles/7013903/std-4</vt:lpwstr>
  </property>
  <property fmtid="{D5CDD505-2E9C-101B-9397-08002B2CF9AE}" pid="17" name="Mendeley Recent Style Name 7_1">
    <vt:lpwstr>BMJ - Minttu Rönn</vt:lpwstr>
  </property>
  <property fmtid="{D5CDD505-2E9C-101B-9397-08002B2CF9AE}" pid="18" name="Mendeley Recent Style Id 8_1">
    <vt:lpwstr>http://www.zotero.org/styles/citation-compass-apa-note</vt:lpwstr>
  </property>
  <property fmtid="{D5CDD505-2E9C-101B-9397-08002B2CF9AE}" pid="19" name="Mendeley Recent Style Name 8_1">
    <vt:lpwstr>Citation Compass (Kildekompasset) - APA (note)</vt:lpwstr>
  </property>
  <property fmtid="{D5CDD505-2E9C-101B-9397-08002B2CF9AE}" pid="20" name="Mendeley Recent Style Id 9_1">
    <vt:lpwstr>http://www.zotero.org/styles/harvard-cite-them-right</vt:lpwstr>
  </property>
  <property fmtid="{D5CDD505-2E9C-101B-9397-08002B2CF9AE}" pid="21" name="Mendeley Recent Style Name 9_1">
    <vt:lpwstr>Cite Them Right 10th edition - Harvard</vt:lpwstr>
  </property>
  <property fmtid="{D5CDD505-2E9C-101B-9397-08002B2CF9AE}" pid="22" name="Mendeley Document_1">
    <vt:lpwstr>True</vt:lpwstr>
  </property>
  <property fmtid="{D5CDD505-2E9C-101B-9397-08002B2CF9AE}" pid="23" name="Mendeley Unique User Id_1">
    <vt:lpwstr>5f799b14-b050-3f10-9837-647b6ad209b5</vt:lpwstr>
  </property>
  <property fmtid="{D5CDD505-2E9C-101B-9397-08002B2CF9AE}" pid="24" name="Mendeley Citation Style_1">
    <vt:lpwstr>http://csl.mendeley.com/styles/7013903/std-4</vt:lpwstr>
  </property>
  <property fmtid="{D5CDD505-2E9C-101B-9397-08002B2CF9AE}" pid="25" name="MSIP_Label_7b94a7b8-f06c-4dfe-bdcc-9b548fd58c31_Enabled">
    <vt:lpwstr>true</vt:lpwstr>
  </property>
  <property fmtid="{D5CDD505-2E9C-101B-9397-08002B2CF9AE}" pid="26" name="MSIP_Label_7b94a7b8-f06c-4dfe-bdcc-9b548fd58c31_SetDate">
    <vt:lpwstr>2022-07-20T13:30:05Z</vt:lpwstr>
  </property>
  <property fmtid="{D5CDD505-2E9C-101B-9397-08002B2CF9AE}" pid="27" name="MSIP_Label_7b94a7b8-f06c-4dfe-bdcc-9b548fd58c31_Method">
    <vt:lpwstr>Privileged</vt:lpwstr>
  </property>
  <property fmtid="{D5CDD505-2E9C-101B-9397-08002B2CF9AE}" pid="28" name="MSIP_Label_7b94a7b8-f06c-4dfe-bdcc-9b548fd58c31_Name">
    <vt:lpwstr>7b94a7b8-f06c-4dfe-bdcc-9b548fd58c31</vt:lpwstr>
  </property>
  <property fmtid="{D5CDD505-2E9C-101B-9397-08002B2CF9AE}" pid="29" name="MSIP_Label_7b94a7b8-f06c-4dfe-bdcc-9b548fd58c31_SiteId">
    <vt:lpwstr>9ce70869-60db-44fd-abe8-d2767077fc8f</vt:lpwstr>
  </property>
  <property fmtid="{D5CDD505-2E9C-101B-9397-08002B2CF9AE}" pid="30" name="MSIP_Label_7b94a7b8-f06c-4dfe-bdcc-9b548fd58c31_ActionId">
    <vt:lpwstr>b845b053-2882-484f-ad07-bc9e0f6f2465</vt:lpwstr>
  </property>
  <property fmtid="{D5CDD505-2E9C-101B-9397-08002B2CF9AE}" pid="31" name="MSIP_Label_7b94a7b8-f06c-4dfe-bdcc-9b548fd58c31_ContentBits">
    <vt:lpwstr>0</vt:lpwstr>
  </property>
</Properties>
</file>