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6BF" w:rsidRDefault="001876BF" w:rsidP="00241FE3">
      <w:pPr>
        <w:spacing w:line="480" w:lineRule="auto"/>
        <w:rPr>
          <w:rFonts w:ascii="Arial" w:hAnsi="Arial" w:cs="Arial"/>
          <w:b/>
          <w:noProof/>
        </w:rPr>
      </w:pPr>
      <w:bookmarkStart w:id="0" w:name="OLE_LINK2"/>
      <w:r>
        <w:rPr>
          <w:rFonts w:ascii="Arial" w:hAnsi="Arial" w:cs="Arial"/>
          <w:b/>
          <w:noProof/>
        </w:rPr>
        <w:t>SUPPLEMENTAL INFORMATION</w:t>
      </w:r>
    </w:p>
    <w:p w:rsidR="00F731CF" w:rsidRDefault="00F731CF" w:rsidP="00241FE3">
      <w:pPr>
        <w:spacing w:line="480" w:lineRule="auto"/>
        <w:rPr>
          <w:rFonts w:ascii="Arial" w:hAnsi="Arial" w:cs="Arial"/>
          <w:b/>
          <w:noProof/>
        </w:rPr>
      </w:pPr>
    </w:p>
    <w:p w:rsidR="00F731CF" w:rsidRDefault="00F731CF" w:rsidP="00241FE3">
      <w:pPr>
        <w:spacing w:line="480" w:lineRule="auto"/>
        <w:rPr>
          <w:rFonts w:ascii="Arial" w:hAnsi="Arial" w:cs="Arial"/>
          <w:b/>
          <w:noProof/>
        </w:rPr>
      </w:pPr>
      <w:r>
        <w:rPr>
          <w:rFonts w:ascii="Arial" w:hAnsi="Arial" w:cs="Arial"/>
          <w:b/>
          <w:noProof/>
        </w:rPr>
        <w:drawing>
          <wp:inline distT="0" distB="0" distL="0" distR="0">
            <wp:extent cx="6252161"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59007" cy="2269432"/>
                    </a:xfrm>
                    <a:prstGeom prst="rect">
                      <a:avLst/>
                    </a:prstGeom>
                  </pic:spPr>
                </pic:pic>
              </a:graphicData>
            </a:graphic>
          </wp:inline>
        </w:drawing>
      </w:r>
    </w:p>
    <w:p w:rsidR="001876BF" w:rsidRDefault="001876BF" w:rsidP="00241FE3">
      <w:pPr>
        <w:spacing w:line="480" w:lineRule="auto"/>
        <w:rPr>
          <w:rFonts w:ascii="Arial" w:hAnsi="Arial" w:cs="Arial"/>
          <w:b/>
          <w:noProof/>
        </w:rPr>
      </w:pPr>
    </w:p>
    <w:p w:rsidR="00241FE3" w:rsidRDefault="001876BF" w:rsidP="00241FE3">
      <w:pPr>
        <w:spacing w:line="480" w:lineRule="auto"/>
        <w:rPr>
          <w:rFonts w:ascii="Arial" w:hAnsi="Arial" w:cs="Arial"/>
        </w:rPr>
      </w:pPr>
      <w:r>
        <w:rPr>
          <w:rFonts w:ascii="Arial" w:hAnsi="Arial" w:cs="Arial"/>
          <w:b/>
          <w:noProof/>
        </w:rPr>
        <w:t>Supplemental</w:t>
      </w:r>
      <w:r w:rsidR="00241FE3" w:rsidRPr="006340AB">
        <w:rPr>
          <w:rFonts w:ascii="Arial" w:hAnsi="Arial" w:cs="Arial"/>
          <w:b/>
          <w:noProof/>
        </w:rPr>
        <w:t xml:space="preserve"> Fig 1.</w:t>
      </w:r>
      <w:r w:rsidR="00241FE3" w:rsidRPr="006340AB">
        <w:rPr>
          <w:rFonts w:ascii="Arial" w:hAnsi="Arial" w:cs="Arial"/>
          <w:b/>
        </w:rPr>
        <w:t xml:space="preserve"> </w:t>
      </w:r>
      <w:bookmarkEnd w:id="0"/>
      <w:r w:rsidR="00241FE3" w:rsidRPr="006340AB">
        <w:rPr>
          <w:rFonts w:ascii="Arial" w:hAnsi="Arial" w:cs="Arial"/>
          <w:b/>
        </w:rPr>
        <w:t xml:space="preserve">Acute SSZ treatment attenuates spontaneous CIBP-related behaviors.  </w:t>
      </w:r>
      <w:r w:rsidR="00241FE3" w:rsidRPr="006340AB">
        <w:rPr>
          <w:rFonts w:ascii="Arial" w:hAnsi="Arial" w:cs="Arial"/>
          <w:shd w:val="clear" w:color="auto" w:fill="FFFFFF"/>
        </w:rPr>
        <w:t>Animal femurs were inoculated with breast cancer cells (66.1) after baseline (Pre-surgery) behavioral measurements. On day 10 after femoral inoculation</w:t>
      </w:r>
      <w:r w:rsidR="0088672C">
        <w:rPr>
          <w:rFonts w:ascii="Arial" w:hAnsi="Arial" w:cs="Arial"/>
          <w:shd w:val="clear" w:color="auto" w:fill="FFFFFF"/>
        </w:rPr>
        <w:t>,</w:t>
      </w:r>
      <w:r w:rsidR="00241FE3" w:rsidRPr="006340AB">
        <w:rPr>
          <w:rFonts w:ascii="Arial" w:hAnsi="Arial" w:cs="Arial"/>
          <w:shd w:val="clear" w:color="auto" w:fill="FFFFFF"/>
        </w:rPr>
        <w:t xml:space="preserve"> </w:t>
      </w:r>
      <w:r w:rsidR="0088672C">
        <w:rPr>
          <w:rFonts w:ascii="Arial" w:hAnsi="Arial" w:cs="Arial"/>
          <w:shd w:val="clear" w:color="auto" w:fill="FFFFFF"/>
        </w:rPr>
        <w:t>mice</w:t>
      </w:r>
      <w:r w:rsidR="0088672C" w:rsidRPr="006340AB">
        <w:rPr>
          <w:rFonts w:ascii="Arial" w:hAnsi="Arial" w:cs="Arial"/>
          <w:shd w:val="clear" w:color="auto" w:fill="FFFFFF"/>
        </w:rPr>
        <w:t xml:space="preserve"> </w:t>
      </w:r>
      <w:r w:rsidR="00241FE3" w:rsidRPr="006340AB">
        <w:rPr>
          <w:rFonts w:ascii="Arial" w:hAnsi="Arial" w:cs="Arial"/>
          <w:shd w:val="clear" w:color="auto" w:fill="FFFFFF"/>
        </w:rPr>
        <w:t xml:space="preserve">demonstrated bone cancer–induced flinching and guarding. </w:t>
      </w:r>
      <w:r w:rsidR="00241FE3" w:rsidRPr="006340AB">
        <w:rPr>
          <w:rFonts w:ascii="Arial" w:hAnsi="Arial" w:cs="Arial"/>
        </w:rPr>
        <w:t xml:space="preserve">Bone cancer–induced spontaneous flinches </w:t>
      </w:r>
      <w:r w:rsidR="00241FE3" w:rsidRPr="009D429F">
        <w:rPr>
          <w:rFonts w:ascii="Arial" w:hAnsi="Arial" w:cs="Arial"/>
          <w:b/>
          <w:bCs/>
          <w:i/>
        </w:rPr>
        <w:t>(</w:t>
      </w:r>
      <w:r w:rsidR="00241FE3" w:rsidRPr="009D429F">
        <w:rPr>
          <w:rFonts w:ascii="Arial" w:hAnsi="Arial" w:cs="Arial"/>
          <w:b/>
          <w:bCs/>
          <w:i/>
          <w:iCs/>
        </w:rPr>
        <w:t>A</w:t>
      </w:r>
      <w:r w:rsidR="00241FE3" w:rsidRPr="009D429F">
        <w:rPr>
          <w:rFonts w:ascii="Arial" w:hAnsi="Arial" w:cs="Arial"/>
          <w:b/>
          <w:bCs/>
          <w:i/>
        </w:rPr>
        <w:t>)</w:t>
      </w:r>
      <w:r w:rsidR="00241FE3" w:rsidRPr="006340AB">
        <w:rPr>
          <w:rFonts w:ascii="Arial" w:hAnsi="Arial" w:cs="Arial"/>
        </w:rPr>
        <w:t xml:space="preserve"> and guarding </w:t>
      </w:r>
      <w:r w:rsidR="00241FE3" w:rsidRPr="009D429F">
        <w:rPr>
          <w:rFonts w:ascii="Arial" w:hAnsi="Arial" w:cs="Arial"/>
          <w:b/>
          <w:bCs/>
          <w:i/>
        </w:rPr>
        <w:t>(</w:t>
      </w:r>
      <w:r w:rsidR="00241FE3" w:rsidRPr="009D429F">
        <w:rPr>
          <w:rFonts w:ascii="Arial" w:hAnsi="Arial" w:cs="Arial"/>
          <w:b/>
          <w:bCs/>
          <w:i/>
          <w:iCs/>
        </w:rPr>
        <w:t>B</w:t>
      </w:r>
      <w:r w:rsidR="00241FE3" w:rsidRPr="009D429F">
        <w:rPr>
          <w:rFonts w:ascii="Arial" w:hAnsi="Arial" w:cs="Arial"/>
          <w:b/>
          <w:bCs/>
          <w:i/>
        </w:rPr>
        <w:t>)</w:t>
      </w:r>
      <w:r w:rsidR="00241FE3" w:rsidRPr="006340AB">
        <w:rPr>
          <w:rFonts w:ascii="Arial" w:hAnsi="Arial" w:cs="Arial"/>
        </w:rPr>
        <w:t xml:space="preserve"> were attenuated in </w:t>
      </w:r>
      <w:r w:rsidR="0088672C">
        <w:rPr>
          <w:rFonts w:ascii="Arial" w:hAnsi="Arial" w:cs="Arial"/>
        </w:rPr>
        <w:t>mice</w:t>
      </w:r>
      <w:r w:rsidR="0088672C" w:rsidRPr="006340AB">
        <w:rPr>
          <w:rFonts w:ascii="Arial" w:hAnsi="Arial" w:cs="Arial"/>
        </w:rPr>
        <w:t xml:space="preserve"> </w:t>
      </w:r>
      <w:r w:rsidR="00241FE3" w:rsidRPr="006340AB">
        <w:rPr>
          <w:rFonts w:ascii="Arial" w:hAnsi="Arial" w:cs="Arial"/>
        </w:rPr>
        <w:t>administered the system x</w:t>
      </w:r>
      <w:r w:rsidR="00241FE3" w:rsidRPr="006340AB">
        <w:rPr>
          <w:rFonts w:ascii="Arial" w:hAnsi="Arial" w:cs="Arial"/>
          <w:vertAlign w:val="subscript"/>
        </w:rPr>
        <w:t>c</w:t>
      </w:r>
      <w:r w:rsidR="00241FE3" w:rsidRPr="006340AB">
        <w:rPr>
          <w:rFonts w:ascii="Arial" w:hAnsi="Arial" w:cs="Arial"/>
          <w:vertAlign w:val="superscript"/>
        </w:rPr>
        <w:t>-</w:t>
      </w:r>
      <w:r w:rsidR="00241FE3" w:rsidRPr="006340AB">
        <w:rPr>
          <w:rFonts w:ascii="Arial" w:hAnsi="Arial" w:cs="Arial"/>
        </w:rPr>
        <w:t xml:space="preserve"> inhibitor sulfasalazine (SSZ, 3, 10 or 30 mg/kg, i.p.), as compared to vehicle-treated animals</w:t>
      </w:r>
      <w:r w:rsidR="002A7DDA">
        <w:rPr>
          <w:rFonts w:ascii="Arial" w:hAnsi="Arial" w:cs="Arial"/>
        </w:rPr>
        <w:t xml:space="preserve"> (two-way repeated measure ANOVA F</w:t>
      </w:r>
      <w:r w:rsidR="002A7DDA" w:rsidRPr="002A7DDA">
        <w:rPr>
          <w:rFonts w:ascii="Arial" w:hAnsi="Arial" w:cs="Arial"/>
          <w:vertAlign w:val="subscript"/>
        </w:rPr>
        <w:t>flinching</w:t>
      </w:r>
      <w:r w:rsidR="002A7DDA">
        <w:rPr>
          <w:rFonts w:ascii="Arial" w:hAnsi="Arial" w:cs="Arial"/>
        </w:rPr>
        <w:t xml:space="preserve">(3,5) = </w:t>
      </w:r>
      <w:r w:rsidR="002A7DDA" w:rsidRPr="002A7DDA">
        <w:rPr>
          <w:rFonts w:ascii="Arial" w:hAnsi="Arial" w:cs="Arial"/>
        </w:rPr>
        <w:t>7.979</w:t>
      </w:r>
      <w:r w:rsidR="002A7DDA">
        <w:rPr>
          <w:rFonts w:ascii="Arial" w:hAnsi="Arial" w:cs="Arial"/>
        </w:rPr>
        <w:t>, F</w:t>
      </w:r>
      <w:r w:rsidR="002A7DDA">
        <w:rPr>
          <w:rFonts w:ascii="Arial" w:hAnsi="Arial" w:cs="Arial"/>
          <w:vertAlign w:val="subscript"/>
        </w:rPr>
        <w:t>guarding</w:t>
      </w:r>
      <w:r w:rsidR="002A7DDA">
        <w:rPr>
          <w:rFonts w:ascii="Arial" w:hAnsi="Arial" w:cs="Arial"/>
        </w:rPr>
        <w:t xml:space="preserve">(3,5) = </w:t>
      </w:r>
      <w:r w:rsidR="002A7DDA" w:rsidRPr="002A7DDA">
        <w:rPr>
          <w:rFonts w:ascii="Arial" w:hAnsi="Arial" w:cs="Arial"/>
        </w:rPr>
        <w:t>5.041</w:t>
      </w:r>
      <w:r w:rsidR="002A7DDA">
        <w:rPr>
          <w:rFonts w:ascii="Arial" w:hAnsi="Arial" w:cs="Arial"/>
        </w:rPr>
        <w:t>, p</w:t>
      </w:r>
      <w:r w:rsidR="002A7DDA">
        <w:rPr>
          <w:rFonts w:ascii="Arial" w:hAnsi="Arial" w:cs="Arial"/>
          <w:vertAlign w:val="subscript"/>
        </w:rPr>
        <w:t xml:space="preserve">flinching </w:t>
      </w:r>
      <w:r w:rsidR="002A7DDA" w:rsidRPr="002A7DDA">
        <w:rPr>
          <w:rFonts w:ascii="Arial" w:hAnsi="Arial" w:cs="Arial"/>
        </w:rPr>
        <w:t>&lt;0.001</w:t>
      </w:r>
      <w:r w:rsidR="002A7DDA">
        <w:rPr>
          <w:rFonts w:ascii="Arial" w:hAnsi="Arial" w:cs="Arial"/>
        </w:rPr>
        <w:t>, p</w:t>
      </w:r>
      <w:r w:rsidR="002A7DDA" w:rsidRPr="002A7DDA">
        <w:rPr>
          <w:rFonts w:ascii="Arial" w:hAnsi="Arial" w:cs="Arial"/>
          <w:vertAlign w:val="subscript"/>
        </w:rPr>
        <w:t>guarding</w:t>
      </w:r>
      <w:r w:rsidR="002A7DDA">
        <w:rPr>
          <w:rFonts w:ascii="Arial" w:hAnsi="Arial" w:cs="Arial"/>
        </w:rPr>
        <w:t xml:space="preserve"> = 0.0083)</w:t>
      </w:r>
      <w:r w:rsidR="00241FE3" w:rsidRPr="006340AB">
        <w:rPr>
          <w:rFonts w:ascii="Arial" w:hAnsi="Arial" w:cs="Arial"/>
        </w:rPr>
        <w:t>. Vehicle (</w:t>
      </w:r>
      <w:bookmarkStart w:id="1" w:name="OLE_LINK1"/>
      <w:r w:rsidR="00241FE3" w:rsidRPr="006340AB">
        <w:rPr>
          <w:rFonts w:ascii="Arial" w:hAnsi="Arial" w:cs="Arial"/>
        </w:rPr>
        <w:t>10% DMSO, 10% Tween-80, and 80% saline, 10 ml/kg, i.p.</w:t>
      </w:r>
      <w:bookmarkEnd w:id="1"/>
      <w:r w:rsidR="00241FE3" w:rsidRPr="006340AB">
        <w:rPr>
          <w:rFonts w:ascii="Arial" w:hAnsi="Arial" w:cs="Arial"/>
        </w:rPr>
        <w:t>) treatment did not significantly alter flinching or guarding behaviors. Results are represented as the mean ± S</w:t>
      </w:r>
      <w:r w:rsidR="00241FE3">
        <w:rPr>
          <w:rFonts w:ascii="Arial" w:hAnsi="Arial" w:cs="Arial"/>
        </w:rPr>
        <w:t>.E.M. of 7-8 animals per group.</w:t>
      </w:r>
    </w:p>
    <w:p w:rsidR="00241FE3" w:rsidRDefault="00241FE3" w:rsidP="00241FE3">
      <w:pPr>
        <w:spacing w:line="480" w:lineRule="auto"/>
        <w:rPr>
          <w:rFonts w:ascii="Arial" w:hAnsi="Arial" w:cs="Arial"/>
        </w:rPr>
      </w:pPr>
    </w:p>
    <w:p w:rsidR="00F731CF" w:rsidRDefault="00F731CF" w:rsidP="00241FE3">
      <w:pPr>
        <w:spacing w:line="480" w:lineRule="auto"/>
        <w:rPr>
          <w:rFonts w:ascii="Arial" w:hAnsi="Arial" w:cs="Arial"/>
        </w:rPr>
      </w:pPr>
      <w:r>
        <w:rPr>
          <w:rFonts w:ascii="Arial" w:hAnsi="Arial" w:cs="Arial"/>
          <w:noProof/>
        </w:rPr>
        <w:drawing>
          <wp:inline distT="0" distB="0" distL="0" distR="0">
            <wp:extent cx="5964105" cy="263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321" cy="2641617"/>
                    </a:xfrm>
                    <a:prstGeom prst="rect">
                      <a:avLst/>
                    </a:prstGeom>
                  </pic:spPr>
                </pic:pic>
              </a:graphicData>
            </a:graphic>
          </wp:inline>
        </w:drawing>
      </w:r>
    </w:p>
    <w:p w:rsidR="00241FE3" w:rsidRDefault="001876BF" w:rsidP="00241FE3">
      <w:pPr>
        <w:spacing w:line="480" w:lineRule="auto"/>
        <w:rPr>
          <w:rFonts w:ascii="Arial" w:hAnsi="Arial" w:cs="Arial"/>
        </w:rPr>
      </w:pPr>
      <w:r>
        <w:rPr>
          <w:rFonts w:ascii="Arial" w:hAnsi="Arial" w:cs="Arial"/>
          <w:b/>
          <w:noProof/>
        </w:rPr>
        <w:t>Supplemental</w:t>
      </w:r>
      <w:r w:rsidR="00241FE3">
        <w:rPr>
          <w:rFonts w:ascii="Arial" w:hAnsi="Arial" w:cs="Arial"/>
          <w:b/>
          <w:noProof/>
        </w:rPr>
        <w:t xml:space="preserve"> Fig 2</w:t>
      </w:r>
      <w:r w:rsidR="00241FE3" w:rsidRPr="006340AB">
        <w:rPr>
          <w:rFonts w:ascii="Arial" w:hAnsi="Arial" w:cs="Arial"/>
          <w:b/>
          <w:noProof/>
        </w:rPr>
        <w:t>.</w:t>
      </w:r>
      <w:r w:rsidR="00241FE3">
        <w:rPr>
          <w:rFonts w:ascii="Arial" w:hAnsi="Arial" w:cs="Arial"/>
          <w:b/>
          <w:noProof/>
        </w:rPr>
        <w:t xml:space="preserve"> Nitrated β-actin, a marker for peroxynitrite generation, </w:t>
      </w:r>
      <w:r w:rsidR="00241FE3" w:rsidRPr="00B31812">
        <w:rPr>
          <w:rFonts w:ascii="Arial" w:hAnsi="Arial" w:cs="Arial"/>
          <w:b/>
          <w:noProof/>
        </w:rPr>
        <w:t xml:space="preserve">increased in CIBP. </w:t>
      </w:r>
      <w:r w:rsidR="00241FE3" w:rsidRPr="00B31812">
        <w:rPr>
          <w:rFonts w:ascii="Arial" w:hAnsi="Arial" w:cs="Arial"/>
          <w:noProof/>
        </w:rPr>
        <w:t>There is an appa</w:t>
      </w:r>
      <w:r w:rsidR="00241FE3">
        <w:rPr>
          <w:rFonts w:ascii="Arial" w:hAnsi="Arial" w:cs="Arial"/>
          <w:noProof/>
        </w:rPr>
        <w:t>rent elevation in nitrosative</w:t>
      </w:r>
      <w:r w:rsidR="00241FE3" w:rsidRPr="00B31812">
        <w:rPr>
          <w:rFonts w:ascii="Arial" w:hAnsi="Arial" w:cs="Arial"/>
          <w:noProof/>
        </w:rPr>
        <w:t xml:space="preserve"> stress in the bone tumor microenvironment as evidenced by an increase in nitrated β-actin in the bone marrow exudates from cancer-bearing animals as compared to sham controls</w:t>
      </w:r>
      <w:r w:rsidR="00D773B9">
        <w:rPr>
          <w:rFonts w:ascii="Arial" w:hAnsi="Arial" w:cs="Arial"/>
          <w:noProof/>
        </w:rPr>
        <w:t xml:space="preserve"> (</w:t>
      </w:r>
      <w:r w:rsidR="00D773B9">
        <w:rPr>
          <w:rFonts w:ascii="Arial" w:hAnsi="Arial" w:cs="Arial"/>
        </w:rPr>
        <w:t xml:space="preserve">Mann-Whitney test for unpaired experimental data, p = </w:t>
      </w:r>
      <w:r w:rsidR="00D773B9" w:rsidRPr="00D773B9">
        <w:rPr>
          <w:rFonts w:ascii="Arial" w:hAnsi="Arial" w:cs="Arial"/>
        </w:rPr>
        <w:t>0.0424</w:t>
      </w:r>
      <w:r w:rsidR="00D773B9">
        <w:rPr>
          <w:rFonts w:ascii="Arial" w:hAnsi="Arial" w:cs="Arial"/>
        </w:rPr>
        <w:t>)</w:t>
      </w:r>
      <w:r w:rsidR="00241FE3" w:rsidRPr="00B31812">
        <w:rPr>
          <w:rFonts w:ascii="Arial" w:hAnsi="Arial" w:cs="Arial"/>
          <w:noProof/>
        </w:rPr>
        <w:t>.</w:t>
      </w:r>
      <w:r w:rsidR="00241FE3" w:rsidRPr="00B31812">
        <w:rPr>
          <w:rFonts w:ascii="Arial" w:hAnsi="Arial" w:cs="Arial"/>
        </w:rPr>
        <w:t xml:space="preserve"> Animals were inoculated intrafemorally with breast cancer cells (66.1) or cell-free media (Sham).</w:t>
      </w:r>
      <w:r w:rsidR="00241FE3" w:rsidRPr="00B31812">
        <w:rPr>
          <w:rFonts w:ascii="Arial" w:hAnsi="Arial" w:cs="Arial"/>
          <w:shd w:val="clear" w:color="auto" w:fill="FFFFFF"/>
        </w:rPr>
        <w:t xml:space="preserve"> On day 14 after femoral inoculation ipsilateral animal femurs were extracted and flushed. </w:t>
      </w:r>
      <w:r w:rsidR="00241FE3" w:rsidRPr="003D53C7">
        <w:rPr>
          <w:rFonts w:ascii="Arial" w:hAnsi="Arial" w:cs="Arial"/>
          <w:shd w:val="clear" w:color="auto" w:fill="FFFFFF"/>
        </w:rPr>
        <w:t>Femur contents from 2-4 animals/treatment were pooled per sample.</w:t>
      </w:r>
      <w:r w:rsidR="00241FE3" w:rsidRPr="003D53C7">
        <w:rPr>
          <w:rStyle w:val="apple-converted-space"/>
          <w:rFonts w:ascii="Arial" w:hAnsi="Arial" w:cs="Arial"/>
          <w:color w:val="auto"/>
          <w:shd w:val="clear" w:color="auto" w:fill="FFFFFF"/>
        </w:rPr>
        <w:t> </w:t>
      </w:r>
      <w:r w:rsidR="00241FE3">
        <w:rPr>
          <w:rStyle w:val="apple-converted-space"/>
          <w:rFonts w:ascii="Arial" w:hAnsi="Arial" w:cs="Arial"/>
          <w:color w:val="auto"/>
          <w:shd w:val="clear" w:color="auto" w:fill="FFFFFF"/>
        </w:rPr>
        <w:t xml:space="preserve">Pooled </w:t>
      </w:r>
      <w:r w:rsidR="00241FE3">
        <w:rPr>
          <w:rFonts w:ascii="Arial" w:hAnsi="Arial" w:cs="Arial"/>
          <w:shd w:val="clear" w:color="auto" w:fill="FFFFFF"/>
        </w:rPr>
        <w:t xml:space="preserve">femur extrudates </w:t>
      </w:r>
      <w:r w:rsidR="00241FE3" w:rsidRPr="00B31812">
        <w:rPr>
          <w:rFonts w:ascii="Arial" w:hAnsi="Arial" w:cs="Arial"/>
          <w:shd w:val="clear" w:color="auto" w:fill="FFFFFF"/>
        </w:rPr>
        <w:t xml:space="preserve">were analyzed for expression of total and nitrated </w:t>
      </w:r>
      <w:r w:rsidR="00241FE3" w:rsidRPr="00B31812">
        <w:rPr>
          <w:rFonts w:ascii="Arial" w:hAnsi="Arial" w:cs="Arial"/>
          <w:noProof/>
        </w:rPr>
        <w:t xml:space="preserve">β-actin. Briefly, </w:t>
      </w:r>
      <w:r w:rsidR="00241FE3" w:rsidRPr="00B31812">
        <w:rPr>
          <w:rFonts w:ascii="Arial" w:hAnsi="Arial" w:cs="Arial"/>
        </w:rPr>
        <w:t>marrow exud</w:t>
      </w:r>
      <w:r w:rsidR="00241FE3">
        <w:rPr>
          <w:rFonts w:ascii="Arial" w:hAnsi="Arial" w:cs="Arial"/>
        </w:rPr>
        <w:t>ates (50 µg) were incubated with 10 µ</w:t>
      </w:r>
      <w:r w:rsidR="00241FE3" w:rsidRPr="00B31812">
        <w:rPr>
          <w:rFonts w:ascii="Arial" w:hAnsi="Arial" w:cs="Arial"/>
        </w:rPr>
        <w:t xml:space="preserve">g of agarose conjugated anti-3-nitrotyrosine beads (Millipore, Billerica, MA). The immunoprecipitate was </w:t>
      </w:r>
      <w:r w:rsidR="00241FE3">
        <w:rPr>
          <w:rFonts w:ascii="Arial" w:hAnsi="Arial" w:cs="Arial"/>
        </w:rPr>
        <w:t>released and denatured with 15 µ</w:t>
      </w:r>
      <w:r w:rsidR="00241FE3" w:rsidRPr="00B31812">
        <w:rPr>
          <w:rFonts w:ascii="Arial" w:hAnsi="Arial" w:cs="Arial"/>
        </w:rPr>
        <w:t>l of 2X Laemmli buffer, boiled for 5 min, and cent</w:t>
      </w:r>
      <w:r w:rsidR="00241FE3">
        <w:rPr>
          <w:rFonts w:ascii="Arial" w:hAnsi="Arial" w:cs="Arial"/>
        </w:rPr>
        <w:t>rifuged 12,000 x g for 1 min at room temperature</w:t>
      </w:r>
      <w:r w:rsidR="00241FE3" w:rsidRPr="00B31812">
        <w:rPr>
          <w:rFonts w:ascii="Arial" w:hAnsi="Arial" w:cs="Arial"/>
        </w:rPr>
        <w:t>.</w:t>
      </w:r>
      <w:r w:rsidR="00241FE3" w:rsidRPr="00B31812">
        <w:rPr>
          <w:rFonts w:ascii="Arial" w:hAnsi="Arial" w:cs="Arial"/>
          <w:noProof/>
        </w:rPr>
        <w:t xml:space="preserve"> </w:t>
      </w:r>
      <w:r w:rsidR="00241FE3" w:rsidRPr="00B31812">
        <w:rPr>
          <w:rFonts w:ascii="Arial" w:hAnsi="Arial" w:cs="Arial"/>
        </w:rPr>
        <w:t>Total protein (4</w:t>
      </w:r>
      <w:r w:rsidR="00241FE3">
        <w:rPr>
          <w:rFonts w:ascii="Arial" w:hAnsi="Arial" w:cs="Arial"/>
        </w:rPr>
        <w:t>0 µ</w:t>
      </w:r>
      <w:r w:rsidR="00241FE3" w:rsidRPr="00B31812">
        <w:rPr>
          <w:rFonts w:ascii="Arial" w:hAnsi="Arial" w:cs="Arial"/>
        </w:rPr>
        <w:t>g</w:t>
      </w:r>
      <w:r w:rsidR="00241FE3">
        <w:rPr>
          <w:rFonts w:ascii="Arial" w:hAnsi="Arial" w:cs="Arial"/>
        </w:rPr>
        <w:t xml:space="preserve">, </w:t>
      </w:r>
      <w:r w:rsidR="00241FE3" w:rsidRPr="00733828">
        <w:rPr>
          <w:rFonts w:ascii="Arial" w:hAnsi="Arial" w:cs="Arial"/>
        </w:rPr>
        <w:t>denatured in Laemmli buffer and boiled for 5 min</w:t>
      </w:r>
      <w:r w:rsidR="00241FE3" w:rsidRPr="00B31812">
        <w:rPr>
          <w:rFonts w:ascii="Arial" w:hAnsi="Arial" w:cs="Arial"/>
        </w:rPr>
        <w:t>) and immunoprecipitate frac</w:t>
      </w:r>
      <w:r w:rsidR="00241FE3">
        <w:rPr>
          <w:rFonts w:ascii="Arial" w:hAnsi="Arial" w:cs="Arial"/>
        </w:rPr>
        <w:t xml:space="preserve">tions were resolved in </w:t>
      </w:r>
      <w:r w:rsidR="00241FE3" w:rsidRPr="00B31812">
        <w:rPr>
          <w:rFonts w:ascii="Arial" w:hAnsi="Arial" w:cs="Arial"/>
        </w:rPr>
        <w:t xml:space="preserve">4-20% TGX mini-gels in Towbin’s running buffer. The gels were equilibrated in </w:t>
      </w:r>
      <w:r w:rsidR="00241FE3" w:rsidRPr="00B31812">
        <w:rPr>
          <w:rFonts w:ascii="Arial" w:hAnsi="Arial" w:cs="Arial"/>
        </w:rPr>
        <w:lastRenderedPageBreak/>
        <w:t xml:space="preserve">Towbin’s buffer with 20% methanol and electroblotted to PVDF in Towbin’s buffer with 20% methanol. </w:t>
      </w:r>
      <w:r w:rsidR="00241FE3">
        <w:rPr>
          <w:rFonts w:ascii="Arial" w:hAnsi="Arial" w:cs="Arial"/>
        </w:rPr>
        <w:t xml:space="preserve">Membranes were blocked with </w:t>
      </w:r>
      <w:r w:rsidR="00241FE3" w:rsidRPr="00733828">
        <w:rPr>
          <w:rFonts w:ascii="Arial" w:hAnsi="Arial" w:cs="Arial"/>
        </w:rPr>
        <w:t>1% BSA (Sigma, A7030) in 1X PBS-T with 0.01% Tween-20 and 0.1% thimerasol</w:t>
      </w:r>
      <w:r w:rsidR="00241FE3">
        <w:rPr>
          <w:rFonts w:ascii="Arial" w:hAnsi="Arial" w:cs="Arial"/>
        </w:rPr>
        <w:t xml:space="preserve"> and t</w:t>
      </w:r>
      <w:r w:rsidR="00241FE3" w:rsidRPr="00B31812">
        <w:rPr>
          <w:rFonts w:ascii="Arial" w:hAnsi="Arial" w:cs="Arial"/>
        </w:rPr>
        <w:t>otal and nitrated proteins were detected using m</w:t>
      </w:r>
      <w:r w:rsidR="00241FE3">
        <w:rPr>
          <w:rFonts w:ascii="Arial" w:hAnsi="Arial" w:cs="Arial"/>
        </w:rPr>
        <w:t>ouse anti-β-actin (Sigma, A5441</w:t>
      </w:r>
      <w:r w:rsidR="00241FE3" w:rsidRPr="00B31812">
        <w:rPr>
          <w:rFonts w:ascii="Arial" w:hAnsi="Arial" w:cs="Arial"/>
        </w:rPr>
        <w:t>).</w:t>
      </w:r>
      <w:r w:rsidR="00241FE3">
        <w:rPr>
          <w:rFonts w:ascii="Arial" w:hAnsi="Arial" w:cs="Arial"/>
        </w:rPr>
        <w:t xml:space="preserve"> </w:t>
      </w:r>
      <w:r w:rsidR="00241FE3" w:rsidRPr="006340AB">
        <w:rPr>
          <w:rFonts w:ascii="Arial" w:hAnsi="Arial" w:cs="Arial"/>
        </w:rPr>
        <w:t>Results are represented as the mean</w:t>
      </w:r>
      <w:r w:rsidR="00241FE3">
        <w:rPr>
          <w:rFonts w:ascii="Arial" w:hAnsi="Arial" w:cs="Arial"/>
        </w:rPr>
        <w:t xml:space="preserve"> % nitrated / total β-actin</w:t>
      </w:r>
      <w:r w:rsidR="00241FE3" w:rsidRPr="006340AB">
        <w:rPr>
          <w:rFonts w:ascii="Arial" w:hAnsi="Arial" w:cs="Arial"/>
        </w:rPr>
        <w:t xml:space="preserve"> ± S</w:t>
      </w:r>
      <w:r w:rsidR="00241FE3">
        <w:rPr>
          <w:rFonts w:ascii="Arial" w:hAnsi="Arial" w:cs="Arial"/>
        </w:rPr>
        <w:t xml:space="preserve">.E.M. of 4 (Sham) or </w:t>
      </w:r>
      <w:r w:rsidR="00D773B9">
        <w:rPr>
          <w:rFonts w:ascii="Arial" w:hAnsi="Arial" w:cs="Arial"/>
        </w:rPr>
        <w:t>7 (66.1) pools of marrow extrude;</w:t>
      </w:r>
      <w:r w:rsidR="00241FE3">
        <w:rPr>
          <w:rFonts w:ascii="Arial" w:hAnsi="Arial" w:cs="Arial"/>
        </w:rPr>
        <w:t xml:space="preserve"> *p&lt;0.05</w:t>
      </w:r>
      <w:r w:rsidR="00D773B9">
        <w:rPr>
          <w:rFonts w:ascii="Arial" w:hAnsi="Arial" w:cs="Arial"/>
        </w:rPr>
        <w:t>.</w:t>
      </w:r>
    </w:p>
    <w:p w:rsidR="00F731CF" w:rsidRDefault="00F731CF" w:rsidP="00241FE3">
      <w:pPr>
        <w:spacing w:line="480" w:lineRule="auto"/>
        <w:rPr>
          <w:rFonts w:ascii="Arial" w:hAnsi="Arial" w:cs="Arial"/>
        </w:rPr>
      </w:pPr>
    </w:p>
    <w:p w:rsidR="00F731CF" w:rsidRDefault="00F731CF" w:rsidP="00241FE3">
      <w:pPr>
        <w:spacing w:line="480" w:lineRule="auto"/>
        <w:rPr>
          <w:rFonts w:ascii="Arial" w:hAnsi="Arial" w:cs="Arial"/>
        </w:rPr>
      </w:pPr>
      <w:r>
        <w:rPr>
          <w:rFonts w:ascii="Arial" w:hAnsi="Arial" w:cs="Arial"/>
          <w:noProof/>
        </w:rPr>
        <w:drawing>
          <wp:inline distT="0" distB="0" distL="0" distR="0">
            <wp:extent cx="6383667"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491" cy="2240417"/>
                    </a:xfrm>
                    <a:prstGeom prst="rect">
                      <a:avLst/>
                    </a:prstGeom>
                  </pic:spPr>
                </pic:pic>
              </a:graphicData>
            </a:graphic>
          </wp:inline>
        </w:drawing>
      </w:r>
    </w:p>
    <w:p w:rsidR="00D773B9" w:rsidRDefault="00D773B9" w:rsidP="00241FE3">
      <w:pPr>
        <w:spacing w:line="480" w:lineRule="auto"/>
        <w:rPr>
          <w:rFonts w:ascii="Arial" w:hAnsi="Arial" w:cs="Arial"/>
        </w:rPr>
      </w:pPr>
    </w:p>
    <w:p w:rsidR="00241FE3" w:rsidRDefault="001876BF" w:rsidP="00241FE3">
      <w:pPr>
        <w:spacing w:line="480" w:lineRule="auto"/>
        <w:rPr>
          <w:rFonts w:ascii="Arial" w:hAnsi="Arial" w:cs="Arial"/>
        </w:rPr>
      </w:pPr>
      <w:r>
        <w:rPr>
          <w:rFonts w:ascii="Arial" w:hAnsi="Arial" w:cs="Arial"/>
          <w:b/>
          <w:noProof/>
        </w:rPr>
        <w:t>Supplemental</w:t>
      </w:r>
      <w:r w:rsidR="00241FE3">
        <w:rPr>
          <w:rFonts w:ascii="Arial" w:hAnsi="Arial" w:cs="Arial"/>
          <w:b/>
          <w:noProof/>
        </w:rPr>
        <w:t xml:space="preserve"> Fig 3</w:t>
      </w:r>
      <w:r w:rsidR="00241FE3" w:rsidRPr="006340AB">
        <w:rPr>
          <w:rFonts w:ascii="Arial" w:hAnsi="Arial" w:cs="Arial"/>
          <w:b/>
          <w:noProof/>
        </w:rPr>
        <w:t xml:space="preserve">. </w:t>
      </w:r>
      <w:r w:rsidR="00241FE3" w:rsidRPr="006340AB">
        <w:rPr>
          <w:rFonts w:ascii="Arial" w:hAnsi="Arial" w:cs="Arial"/>
          <w:b/>
        </w:rPr>
        <w:t xml:space="preserve">Acute FeTMPyP treatment attenuates spontaneous CIBP-related behaviors. </w:t>
      </w:r>
      <w:r w:rsidR="00241FE3" w:rsidRPr="006340AB">
        <w:rPr>
          <w:rFonts w:ascii="Arial" w:hAnsi="Arial" w:cs="Arial"/>
          <w:shd w:val="clear" w:color="auto" w:fill="FFFFFF"/>
        </w:rPr>
        <w:t xml:space="preserve">Animal femurs were inoculated with breast cancer cells (66.1) after baseline (Pre-surgery) behavioral measurements. On day 10-12 after femoral inoculation animals demonstrated bone cancer–induced flinching and guarding. </w:t>
      </w:r>
      <w:r w:rsidR="00241FE3" w:rsidRPr="006340AB">
        <w:rPr>
          <w:rFonts w:ascii="Arial" w:hAnsi="Arial" w:cs="Arial"/>
        </w:rPr>
        <w:t xml:space="preserve">Bone cancer–induced spontaneous flinches </w:t>
      </w:r>
      <w:r w:rsidR="00241FE3" w:rsidRPr="009D429F">
        <w:rPr>
          <w:rFonts w:ascii="Arial" w:hAnsi="Arial" w:cs="Arial"/>
          <w:b/>
          <w:i/>
        </w:rPr>
        <w:t>(A)</w:t>
      </w:r>
      <w:r w:rsidR="00241FE3" w:rsidRPr="006340AB">
        <w:rPr>
          <w:rFonts w:ascii="Arial" w:hAnsi="Arial" w:cs="Arial"/>
        </w:rPr>
        <w:t xml:space="preserve"> and</w:t>
      </w:r>
      <w:r w:rsidR="00241FE3" w:rsidRPr="006340AB">
        <w:rPr>
          <w:rFonts w:ascii="Arial" w:hAnsi="Arial" w:cs="Arial"/>
          <w:i/>
        </w:rPr>
        <w:t xml:space="preserve"> </w:t>
      </w:r>
      <w:r w:rsidR="00241FE3" w:rsidRPr="006340AB">
        <w:rPr>
          <w:rFonts w:ascii="Arial" w:hAnsi="Arial" w:cs="Arial"/>
        </w:rPr>
        <w:t xml:space="preserve">guarding </w:t>
      </w:r>
      <w:r w:rsidR="00241FE3" w:rsidRPr="009D429F">
        <w:rPr>
          <w:rFonts w:ascii="Arial" w:hAnsi="Arial" w:cs="Arial"/>
          <w:b/>
          <w:i/>
        </w:rPr>
        <w:t>(B)</w:t>
      </w:r>
      <w:r w:rsidR="00241FE3" w:rsidRPr="006340AB">
        <w:rPr>
          <w:rFonts w:ascii="Arial" w:hAnsi="Arial" w:cs="Arial"/>
        </w:rPr>
        <w:t xml:space="preserve"> were attenuated in animals administered the peroxynitrite composition catalyst FeTMPyP, as compared to vehicle-treated animals</w:t>
      </w:r>
      <w:r w:rsidR="007B37F0">
        <w:rPr>
          <w:rFonts w:ascii="Arial" w:hAnsi="Arial" w:cs="Arial"/>
        </w:rPr>
        <w:t xml:space="preserve"> (two-way repeated measure ANOVA F</w:t>
      </w:r>
      <w:r w:rsidR="007B37F0" w:rsidRPr="002A7DDA">
        <w:rPr>
          <w:rFonts w:ascii="Arial" w:hAnsi="Arial" w:cs="Arial"/>
          <w:vertAlign w:val="subscript"/>
        </w:rPr>
        <w:t>flinching</w:t>
      </w:r>
      <w:r w:rsidR="007B37F0">
        <w:rPr>
          <w:rFonts w:ascii="Arial" w:hAnsi="Arial" w:cs="Arial"/>
        </w:rPr>
        <w:t xml:space="preserve">(5,9) = </w:t>
      </w:r>
      <w:r w:rsidR="007B37F0" w:rsidRPr="007B37F0">
        <w:rPr>
          <w:rFonts w:ascii="Arial" w:hAnsi="Arial" w:cs="Arial"/>
        </w:rPr>
        <w:t>60.95</w:t>
      </w:r>
      <w:r w:rsidR="007B37F0">
        <w:rPr>
          <w:rFonts w:ascii="Arial" w:hAnsi="Arial" w:cs="Arial"/>
        </w:rPr>
        <w:t>, F</w:t>
      </w:r>
      <w:r w:rsidR="007B37F0">
        <w:rPr>
          <w:rFonts w:ascii="Arial" w:hAnsi="Arial" w:cs="Arial"/>
          <w:vertAlign w:val="subscript"/>
        </w:rPr>
        <w:t>guarding</w:t>
      </w:r>
      <w:r w:rsidR="007B37F0">
        <w:rPr>
          <w:rFonts w:ascii="Arial" w:hAnsi="Arial" w:cs="Arial"/>
        </w:rPr>
        <w:t xml:space="preserve">(5,9) = </w:t>
      </w:r>
      <w:r w:rsidR="007B37F0" w:rsidRPr="007B37F0">
        <w:rPr>
          <w:rFonts w:ascii="Arial" w:hAnsi="Arial" w:cs="Arial"/>
        </w:rPr>
        <w:t>68.59</w:t>
      </w:r>
      <w:r w:rsidR="007B37F0">
        <w:rPr>
          <w:rFonts w:ascii="Arial" w:hAnsi="Arial" w:cs="Arial"/>
        </w:rPr>
        <w:t>, p</w:t>
      </w:r>
      <w:r w:rsidR="007B37F0">
        <w:rPr>
          <w:rFonts w:ascii="Arial" w:hAnsi="Arial" w:cs="Arial"/>
          <w:vertAlign w:val="subscript"/>
        </w:rPr>
        <w:t xml:space="preserve">flinching </w:t>
      </w:r>
      <w:r w:rsidR="007B37F0" w:rsidRPr="002A7DDA">
        <w:rPr>
          <w:rFonts w:ascii="Arial" w:hAnsi="Arial" w:cs="Arial"/>
        </w:rPr>
        <w:t>&lt;0.0</w:t>
      </w:r>
      <w:r w:rsidR="00450DC5">
        <w:rPr>
          <w:rFonts w:ascii="Arial" w:hAnsi="Arial" w:cs="Arial"/>
        </w:rPr>
        <w:t>0</w:t>
      </w:r>
      <w:r w:rsidR="007B37F0" w:rsidRPr="002A7DDA">
        <w:rPr>
          <w:rFonts w:ascii="Arial" w:hAnsi="Arial" w:cs="Arial"/>
        </w:rPr>
        <w:t>01</w:t>
      </w:r>
      <w:r w:rsidR="007B37F0">
        <w:rPr>
          <w:rFonts w:ascii="Arial" w:hAnsi="Arial" w:cs="Arial"/>
        </w:rPr>
        <w:t>, p</w:t>
      </w:r>
      <w:r w:rsidR="007B37F0" w:rsidRPr="002A7DDA">
        <w:rPr>
          <w:rFonts w:ascii="Arial" w:hAnsi="Arial" w:cs="Arial"/>
          <w:vertAlign w:val="subscript"/>
        </w:rPr>
        <w:t>guarding</w:t>
      </w:r>
      <w:r w:rsidR="007B37F0">
        <w:rPr>
          <w:rFonts w:ascii="Arial" w:hAnsi="Arial" w:cs="Arial"/>
        </w:rPr>
        <w:t xml:space="preserve"> &lt; 0.</w:t>
      </w:r>
      <w:r w:rsidR="00450DC5">
        <w:rPr>
          <w:rFonts w:ascii="Arial" w:hAnsi="Arial" w:cs="Arial"/>
        </w:rPr>
        <w:t>0</w:t>
      </w:r>
      <w:r w:rsidR="007B37F0">
        <w:rPr>
          <w:rFonts w:ascii="Arial" w:hAnsi="Arial" w:cs="Arial"/>
        </w:rPr>
        <w:t>001)</w:t>
      </w:r>
      <w:r w:rsidR="00241FE3" w:rsidRPr="006340AB">
        <w:rPr>
          <w:rFonts w:ascii="Arial" w:hAnsi="Arial" w:cs="Arial"/>
        </w:rPr>
        <w:t>. Vehicle (saline, 10 ml/kg, i.p.) treatment did not significantly alter flinching or guarding behaviors. Results are represented as the mean ± S.E.M. of 7-8 animals per group.</w:t>
      </w:r>
    </w:p>
    <w:p w:rsidR="00F731CF" w:rsidRDefault="00F731CF" w:rsidP="00241FE3">
      <w:pPr>
        <w:spacing w:line="480" w:lineRule="auto"/>
        <w:rPr>
          <w:rFonts w:ascii="Arial" w:hAnsi="Arial" w:cs="Arial"/>
        </w:rPr>
      </w:pPr>
    </w:p>
    <w:p w:rsidR="00F731CF" w:rsidRDefault="00F731CF" w:rsidP="00241FE3">
      <w:pPr>
        <w:spacing w:line="480" w:lineRule="auto"/>
        <w:rPr>
          <w:rFonts w:ascii="Arial" w:hAnsi="Arial" w:cs="Arial"/>
        </w:rPr>
      </w:pPr>
      <w:r>
        <w:rPr>
          <w:rFonts w:ascii="Arial" w:hAnsi="Arial" w:cs="Arial"/>
          <w:noProof/>
        </w:rPr>
        <w:drawing>
          <wp:inline distT="0" distB="0" distL="0" distR="0">
            <wp:extent cx="6377285"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ure 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2349" cy="2030436"/>
                    </a:xfrm>
                    <a:prstGeom prst="rect">
                      <a:avLst/>
                    </a:prstGeom>
                  </pic:spPr>
                </pic:pic>
              </a:graphicData>
            </a:graphic>
          </wp:inline>
        </w:drawing>
      </w:r>
    </w:p>
    <w:p w:rsidR="00241FE3" w:rsidRPr="00AE264A" w:rsidRDefault="00241FE3" w:rsidP="00241FE3">
      <w:pPr>
        <w:spacing w:line="480" w:lineRule="auto"/>
        <w:rPr>
          <w:rFonts w:ascii="Arial" w:hAnsi="Arial" w:cs="Arial"/>
        </w:rPr>
      </w:pPr>
    </w:p>
    <w:p w:rsidR="00241FE3" w:rsidRPr="00AE264A" w:rsidRDefault="001876BF" w:rsidP="00241FE3">
      <w:pPr>
        <w:spacing w:line="480" w:lineRule="auto"/>
        <w:rPr>
          <w:rFonts w:ascii="Arial" w:hAnsi="Arial" w:cs="Arial"/>
        </w:rPr>
      </w:pPr>
      <w:r>
        <w:rPr>
          <w:rFonts w:ascii="Arial" w:hAnsi="Arial" w:cs="Arial"/>
          <w:b/>
          <w:noProof/>
        </w:rPr>
        <w:t>Supplemental</w:t>
      </w:r>
      <w:r w:rsidR="00241FE3">
        <w:rPr>
          <w:rFonts w:ascii="Arial" w:hAnsi="Arial" w:cs="Arial"/>
          <w:b/>
          <w:noProof/>
        </w:rPr>
        <w:t xml:space="preserve"> Fig 4</w:t>
      </w:r>
      <w:r w:rsidR="00241FE3" w:rsidRPr="00FB0A58">
        <w:rPr>
          <w:rFonts w:ascii="Arial" w:hAnsi="Arial" w:cs="Arial"/>
          <w:b/>
          <w:noProof/>
        </w:rPr>
        <w:t xml:space="preserve">. FeTMPyP does not alter rotarod performace or animal weight. </w:t>
      </w:r>
      <w:r w:rsidR="0088672C">
        <w:rPr>
          <w:rFonts w:ascii="Arial" w:hAnsi="Arial" w:cs="Arial"/>
        </w:rPr>
        <w:t>Drug-induced sedation/</w:t>
      </w:r>
      <w:r w:rsidR="00241FE3" w:rsidRPr="00FB0A58">
        <w:rPr>
          <w:rFonts w:ascii="Arial" w:hAnsi="Arial" w:cs="Arial"/>
        </w:rPr>
        <w:t>motor impairment was measure</w:t>
      </w:r>
      <w:r w:rsidR="0088672C">
        <w:rPr>
          <w:rFonts w:ascii="Arial" w:hAnsi="Arial" w:cs="Arial"/>
        </w:rPr>
        <w:t>d using the R</w:t>
      </w:r>
      <w:r w:rsidR="00241FE3" w:rsidRPr="00FB0A58">
        <w:rPr>
          <w:rFonts w:ascii="Arial" w:hAnsi="Arial" w:cs="Arial"/>
        </w:rPr>
        <w:t>otarod</w:t>
      </w:r>
      <w:r w:rsidR="0088672C">
        <w:rPr>
          <w:rFonts w:ascii="Arial" w:hAnsi="Arial" w:cs="Arial"/>
        </w:rPr>
        <w:t xml:space="preserve"> apparatus (Columbus 4/8)</w:t>
      </w:r>
      <w:r w:rsidR="00241FE3" w:rsidRPr="00FB0A58">
        <w:rPr>
          <w:rFonts w:ascii="Arial" w:hAnsi="Arial" w:cs="Arial"/>
        </w:rPr>
        <w:t xml:space="preserve">. Briefly, naïve mice were trained to remain on a 22-mm diameter rod rotating at 5 rpm during three two-minute training periods each separated by 10 min of rest. Animals were then administered FeTMPyP (10 mg/kg, i.p.) or vehicle (Saline) and placed on the </w:t>
      </w:r>
      <w:r w:rsidR="0088672C">
        <w:rPr>
          <w:rFonts w:ascii="Arial" w:hAnsi="Arial" w:cs="Arial"/>
        </w:rPr>
        <w:t>R</w:t>
      </w:r>
      <w:r w:rsidR="0088672C" w:rsidRPr="00FB0A58">
        <w:rPr>
          <w:rFonts w:ascii="Arial" w:hAnsi="Arial" w:cs="Arial"/>
        </w:rPr>
        <w:t xml:space="preserve">otarod </w:t>
      </w:r>
      <w:r w:rsidR="00241FE3" w:rsidRPr="00FB0A58">
        <w:rPr>
          <w:rFonts w:ascii="Arial" w:hAnsi="Arial" w:cs="Arial"/>
        </w:rPr>
        <w:t>for trials 30 – 360 min post injection. Each trial lasted for two minutes, or until the animal fell off the rod. Time spent on the rod in each two minute period was recorded. Results are represented as the mean ± S.E.M. of 8 animals per group. Time on rotarod did not differ between the treatment group</w:t>
      </w:r>
      <w:r w:rsidR="0001502F">
        <w:rPr>
          <w:rFonts w:ascii="Arial" w:hAnsi="Arial" w:cs="Arial"/>
        </w:rPr>
        <w:t xml:space="preserve">s as determined by two-way repeated measure ANOVA F(1,6) = </w:t>
      </w:r>
      <w:r w:rsidR="0001502F" w:rsidRPr="0001502F">
        <w:rPr>
          <w:rFonts w:ascii="Arial" w:hAnsi="Arial" w:cs="Arial"/>
        </w:rPr>
        <w:t>0.8410</w:t>
      </w:r>
      <w:r w:rsidR="0001502F">
        <w:rPr>
          <w:rFonts w:ascii="Arial" w:hAnsi="Arial" w:cs="Arial"/>
        </w:rPr>
        <w:t xml:space="preserve">, p = </w:t>
      </w:r>
      <w:r w:rsidR="0001502F" w:rsidRPr="0001502F">
        <w:rPr>
          <w:rFonts w:ascii="Arial" w:hAnsi="Arial" w:cs="Arial"/>
        </w:rPr>
        <w:t xml:space="preserve">0.3758 </w:t>
      </w:r>
      <w:r w:rsidR="00241FE3" w:rsidRPr="00FB0A58">
        <w:rPr>
          <w:rFonts w:ascii="Arial" w:hAnsi="Arial" w:cs="Arial"/>
          <w:b/>
          <w:i/>
        </w:rPr>
        <w:t>(A)</w:t>
      </w:r>
      <w:r w:rsidR="00241FE3" w:rsidRPr="00FB0A58">
        <w:rPr>
          <w:rFonts w:ascii="Arial" w:hAnsi="Arial" w:cs="Arial"/>
        </w:rPr>
        <w:t>.</w:t>
      </w:r>
      <w:r w:rsidR="00241FE3">
        <w:rPr>
          <w:rFonts w:ascii="Arial" w:hAnsi="Arial" w:cs="Arial"/>
          <w:b/>
          <w:i/>
        </w:rPr>
        <w:t xml:space="preserve"> </w:t>
      </w:r>
      <w:r w:rsidR="00241FE3" w:rsidRPr="00FB0A58">
        <w:rPr>
          <w:rFonts w:ascii="Arial" w:hAnsi="Arial" w:cs="Arial"/>
        </w:rPr>
        <w:t xml:space="preserve">Animals were inoculated intrafemorally with breast cancer cells (66.1) or cell-free media (Sham). </w:t>
      </w:r>
      <w:r w:rsidR="00241FE3" w:rsidRPr="00FB0A58">
        <w:rPr>
          <w:rFonts w:ascii="Arial" w:hAnsi="Arial" w:cs="Arial"/>
        </w:rPr>
        <w:lastRenderedPageBreak/>
        <w:t xml:space="preserve">Once daily administration of FeTMPyP (10 mg/kg, i.p., q.d.) or vehicle (saline, 10 ml/kg, i.p., q.d.) began on post-surgery day 7 and continued until post-surgery day 14. Neither tumor- nor non-tumor-bearing animals receiving FeTMPyP had significantly altered body weight as compared to vehicle-treated controls as determined by two-way ANOVA </w:t>
      </w:r>
      <w:r w:rsidR="0001502F">
        <w:rPr>
          <w:rFonts w:ascii="Arial" w:hAnsi="Arial" w:cs="Arial"/>
        </w:rPr>
        <w:t>F</w:t>
      </w:r>
      <w:r w:rsidR="0001502F" w:rsidRPr="0001502F">
        <w:rPr>
          <w:rFonts w:ascii="Arial" w:hAnsi="Arial" w:cs="Arial"/>
          <w:vertAlign w:val="subscript"/>
        </w:rPr>
        <w:t>Sham</w:t>
      </w:r>
      <w:r w:rsidR="0001502F">
        <w:rPr>
          <w:rFonts w:ascii="Arial" w:hAnsi="Arial" w:cs="Arial"/>
        </w:rPr>
        <w:t xml:space="preserve">(1,8) = </w:t>
      </w:r>
      <w:r w:rsidR="0001502F" w:rsidRPr="0001502F">
        <w:rPr>
          <w:rFonts w:ascii="Arial" w:hAnsi="Arial" w:cs="Arial"/>
        </w:rPr>
        <w:t>0.08219</w:t>
      </w:r>
      <w:r w:rsidR="0001502F">
        <w:rPr>
          <w:rFonts w:ascii="Arial" w:hAnsi="Arial" w:cs="Arial"/>
        </w:rPr>
        <w:t>, F</w:t>
      </w:r>
      <w:r w:rsidR="0001502F" w:rsidRPr="0001502F">
        <w:rPr>
          <w:rFonts w:ascii="Arial" w:hAnsi="Arial" w:cs="Arial"/>
          <w:vertAlign w:val="subscript"/>
        </w:rPr>
        <w:t>66.1</w:t>
      </w:r>
      <w:r w:rsidR="0001502F">
        <w:rPr>
          <w:rFonts w:ascii="Arial" w:hAnsi="Arial" w:cs="Arial"/>
        </w:rPr>
        <w:t xml:space="preserve">(1,8) = </w:t>
      </w:r>
      <w:r w:rsidR="0001502F" w:rsidRPr="0001502F">
        <w:rPr>
          <w:rFonts w:ascii="Arial" w:hAnsi="Arial" w:cs="Arial"/>
        </w:rPr>
        <w:t>0.01683</w:t>
      </w:r>
      <w:r w:rsidR="0001502F">
        <w:rPr>
          <w:rFonts w:ascii="Arial" w:hAnsi="Arial" w:cs="Arial"/>
        </w:rPr>
        <w:t>, p</w:t>
      </w:r>
      <w:r w:rsidR="0001502F" w:rsidRPr="0001502F">
        <w:rPr>
          <w:rFonts w:ascii="Arial" w:hAnsi="Arial" w:cs="Arial"/>
          <w:vertAlign w:val="subscript"/>
        </w:rPr>
        <w:t>sham</w:t>
      </w:r>
      <w:r w:rsidR="0001502F">
        <w:rPr>
          <w:rFonts w:ascii="Arial" w:hAnsi="Arial" w:cs="Arial"/>
        </w:rPr>
        <w:t xml:space="preserve"> = </w:t>
      </w:r>
      <w:r w:rsidR="0001502F" w:rsidRPr="0001502F">
        <w:rPr>
          <w:rFonts w:ascii="Arial" w:hAnsi="Arial" w:cs="Arial"/>
        </w:rPr>
        <w:t>0.7816</w:t>
      </w:r>
      <w:r w:rsidR="0001502F">
        <w:rPr>
          <w:rFonts w:ascii="Arial" w:hAnsi="Arial" w:cs="Arial"/>
        </w:rPr>
        <w:t>, p</w:t>
      </w:r>
      <w:r w:rsidR="0001502F" w:rsidRPr="0001502F">
        <w:rPr>
          <w:rFonts w:ascii="Arial" w:hAnsi="Arial" w:cs="Arial"/>
          <w:vertAlign w:val="subscript"/>
        </w:rPr>
        <w:t xml:space="preserve">66.1 </w:t>
      </w:r>
      <w:r w:rsidR="0001502F">
        <w:rPr>
          <w:rFonts w:ascii="Arial" w:hAnsi="Arial" w:cs="Arial"/>
        </w:rPr>
        <w:t xml:space="preserve">= </w:t>
      </w:r>
      <w:r w:rsidR="0001502F" w:rsidRPr="0001502F">
        <w:rPr>
          <w:rFonts w:ascii="Arial" w:hAnsi="Arial" w:cs="Arial"/>
        </w:rPr>
        <w:t xml:space="preserve">0.9000 </w:t>
      </w:r>
      <w:r w:rsidR="00241FE3" w:rsidRPr="00FB0A58">
        <w:rPr>
          <w:rFonts w:ascii="Arial" w:hAnsi="Arial" w:cs="Arial"/>
          <w:b/>
          <w:i/>
        </w:rPr>
        <w:t>(B)</w:t>
      </w:r>
      <w:r w:rsidR="00241FE3" w:rsidRPr="00FB0A58">
        <w:rPr>
          <w:rFonts w:ascii="Arial" w:hAnsi="Arial" w:cs="Arial"/>
        </w:rPr>
        <w:t xml:space="preserve">. </w:t>
      </w:r>
    </w:p>
    <w:p w:rsidR="001876BF" w:rsidRDefault="00F731CF" w:rsidP="008C7B6E">
      <w:pPr>
        <w:spacing w:line="480" w:lineRule="auto"/>
        <w:rPr>
          <w:rFonts w:ascii="Arial" w:hAnsi="Arial" w:cs="Arial"/>
          <w:b/>
          <w:noProof/>
        </w:rPr>
      </w:pPr>
      <w:bookmarkStart w:id="2" w:name="_GoBack"/>
      <w:r>
        <w:rPr>
          <w:rFonts w:ascii="Arial" w:hAnsi="Arial" w:cs="Arial"/>
          <w:b/>
          <w:noProof/>
        </w:rPr>
        <w:drawing>
          <wp:inline distT="0" distB="0" distL="0" distR="0">
            <wp:extent cx="6298029" cy="2028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2542" cy="2030279"/>
                    </a:xfrm>
                    <a:prstGeom prst="rect">
                      <a:avLst/>
                    </a:prstGeom>
                  </pic:spPr>
                </pic:pic>
              </a:graphicData>
            </a:graphic>
          </wp:inline>
        </w:drawing>
      </w:r>
      <w:bookmarkEnd w:id="2"/>
    </w:p>
    <w:p w:rsidR="009730A7" w:rsidRPr="008C7B6E" w:rsidRDefault="001876BF" w:rsidP="008C7B6E">
      <w:pPr>
        <w:spacing w:line="480" w:lineRule="auto"/>
        <w:rPr>
          <w:rFonts w:ascii="Arial" w:hAnsi="Arial" w:cs="Arial"/>
        </w:rPr>
      </w:pPr>
      <w:r>
        <w:rPr>
          <w:rFonts w:ascii="Arial" w:hAnsi="Arial" w:cs="Arial"/>
          <w:b/>
          <w:noProof/>
        </w:rPr>
        <w:t>Supplemental</w:t>
      </w:r>
      <w:r w:rsidR="003858C2">
        <w:rPr>
          <w:rFonts w:ascii="Arial" w:hAnsi="Arial" w:cs="Arial"/>
          <w:b/>
          <w:noProof/>
        </w:rPr>
        <w:t xml:space="preserve"> Fig 5</w:t>
      </w:r>
      <w:r w:rsidR="00241FE3" w:rsidRPr="00857FFD">
        <w:rPr>
          <w:rFonts w:ascii="Arial" w:hAnsi="Arial" w:cs="Arial"/>
          <w:b/>
          <w:noProof/>
        </w:rPr>
        <w:t>.</w:t>
      </w:r>
      <w:r w:rsidR="00241FE3">
        <w:rPr>
          <w:rFonts w:ascii="Arial" w:hAnsi="Arial" w:cs="Arial"/>
          <w:b/>
          <w:noProof/>
        </w:rPr>
        <w:t xml:space="preserve"> </w:t>
      </w:r>
      <w:r w:rsidR="00241FE3">
        <w:rPr>
          <w:rFonts w:ascii="Arial" w:hAnsi="Arial" w:cs="Arial"/>
          <w:b/>
        </w:rPr>
        <w:t>Acute SRI10</w:t>
      </w:r>
      <w:r w:rsidR="00241FE3" w:rsidRPr="006340AB">
        <w:rPr>
          <w:rFonts w:ascii="Arial" w:hAnsi="Arial" w:cs="Arial"/>
          <w:b/>
        </w:rPr>
        <w:t xml:space="preserve"> treatment attenuates spontaneous CIBP-related behaviors. </w:t>
      </w:r>
      <w:r w:rsidR="00241FE3" w:rsidRPr="006340AB">
        <w:rPr>
          <w:rFonts w:ascii="Arial" w:hAnsi="Arial" w:cs="Arial"/>
          <w:shd w:val="clear" w:color="auto" w:fill="FFFFFF"/>
        </w:rPr>
        <w:t>Animal femurs were inoculated with breast cancer cells (66.1) after baseline (Pre-surgery) behav</w:t>
      </w:r>
      <w:r w:rsidR="00241FE3">
        <w:rPr>
          <w:rFonts w:ascii="Arial" w:hAnsi="Arial" w:cs="Arial"/>
          <w:shd w:val="clear" w:color="auto" w:fill="FFFFFF"/>
        </w:rPr>
        <w:t>ioral measurements. On day 7</w:t>
      </w:r>
      <w:r w:rsidR="00241FE3" w:rsidRPr="006340AB">
        <w:rPr>
          <w:rFonts w:ascii="Arial" w:hAnsi="Arial" w:cs="Arial"/>
          <w:shd w:val="clear" w:color="auto" w:fill="FFFFFF"/>
        </w:rPr>
        <w:t xml:space="preserve"> after femoral inoculation animals demonstrated bone cancer–induced flinching and guarding. </w:t>
      </w:r>
      <w:r w:rsidR="00241FE3" w:rsidRPr="006340AB">
        <w:rPr>
          <w:rFonts w:ascii="Arial" w:hAnsi="Arial" w:cs="Arial"/>
        </w:rPr>
        <w:t xml:space="preserve">Bone cancer–induced spontaneous flinches </w:t>
      </w:r>
      <w:r w:rsidR="00241FE3" w:rsidRPr="00FA2125">
        <w:rPr>
          <w:rFonts w:ascii="Arial" w:hAnsi="Arial" w:cs="Arial"/>
          <w:b/>
          <w:i/>
        </w:rPr>
        <w:t>(A)</w:t>
      </w:r>
      <w:r w:rsidR="00241FE3" w:rsidRPr="006340AB">
        <w:rPr>
          <w:rFonts w:ascii="Arial" w:hAnsi="Arial" w:cs="Arial"/>
        </w:rPr>
        <w:t xml:space="preserve"> and</w:t>
      </w:r>
      <w:r w:rsidR="00241FE3" w:rsidRPr="006340AB">
        <w:rPr>
          <w:rFonts w:ascii="Arial" w:hAnsi="Arial" w:cs="Arial"/>
          <w:i/>
        </w:rPr>
        <w:t xml:space="preserve"> </w:t>
      </w:r>
      <w:r w:rsidR="00241FE3" w:rsidRPr="006340AB">
        <w:rPr>
          <w:rFonts w:ascii="Arial" w:hAnsi="Arial" w:cs="Arial"/>
        </w:rPr>
        <w:t xml:space="preserve">guarding </w:t>
      </w:r>
      <w:r w:rsidR="00241FE3" w:rsidRPr="00FA2125">
        <w:rPr>
          <w:rFonts w:ascii="Arial" w:hAnsi="Arial" w:cs="Arial"/>
          <w:b/>
          <w:i/>
        </w:rPr>
        <w:t>(B)</w:t>
      </w:r>
      <w:r w:rsidR="00241FE3" w:rsidRPr="006340AB">
        <w:rPr>
          <w:rFonts w:ascii="Arial" w:hAnsi="Arial" w:cs="Arial"/>
        </w:rPr>
        <w:t xml:space="preserve"> were attenuated in animals administered</w:t>
      </w:r>
      <w:r w:rsidR="00241FE3">
        <w:rPr>
          <w:rFonts w:ascii="Arial" w:hAnsi="Arial" w:cs="Arial"/>
        </w:rPr>
        <w:t xml:space="preserve"> the SRI10 (3 mg/kg, i.p.)</w:t>
      </w:r>
      <w:r w:rsidR="00241FE3" w:rsidRPr="006340AB">
        <w:rPr>
          <w:rFonts w:ascii="Arial" w:hAnsi="Arial" w:cs="Arial"/>
        </w:rPr>
        <w:t>, as compared to vehicle-treated animals</w:t>
      </w:r>
      <w:r w:rsidR="00450DC5">
        <w:rPr>
          <w:rFonts w:ascii="Arial" w:hAnsi="Arial" w:cs="Arial"/>
        </w:rPr>
        <w:t xml:space="preserve"> (two-way repeated measure ANOVA F</w:t>
      </w:r>
      <w:r w:rsidR="00450DC5" w:rsidRPr="002A7DDA">
        <w:rPr>
          <w:rFonts w:ascii="Arial" w:hAnsi="Arial" w:cs="Arial"/>
          <w:vertAlign w:val="subscript"/>
        </w:rPr>
        <w:t>flinching</w:t>
      </w:r>
      <w:r w:rsidR="00450DC5">
        <w:rPr>
          <w:rFonts w:ascii="Arial" w:hAnsi="Arial" w:cs="Arial"/>
        </w:rPr>
        <w:t>(1,6) = 30.08, F</w:t>
      </w:r>
      <w:r w:rsidR="00450DC5">
        <w:rPr>
          <w:rFonts w:ascii="Arial" w:hAnsi="Arial" w:cs="Arial"/>
          <w:vertAlign w:val="subscript"/>
        </w:rPr>
        <w:t>guarding</w:t>
      </w:r>
      <w:r w:rsidR="00450DC5">
        <w:rPr>
          <w:rFonts w:ascii="Arial" w:hAnsi="Arial" w:cs="Arial"/>
        </w:rPr>
        <w:t xml:space="preserve">(1,6) = </w:t>
      </w:r>
      <w:r w:rsidR="00450DC5" w:rsidRPr="00450DC5">
        <w:rPr>
          <w:rFonts w:ascii="Arial" w:hAnsi="Arial" w:cs="Arial"/>
        </w:rPr>
        <w:t>14.32</w:t>
      </w:r>
      <w:r w:rsidR="00450DC5">
        <w:rPr>
          <w:rFonts w:ascii="Arial" w:hAnsi="Arial" w:cs="Arial"/>
        </w:rPr>
        <w:t>, p</w:t>
      </w:r>
      <w:r w:rsidR="00450DC5">
        <w:rPr>
          <w:rFonts w:ascii="Arial" w:hAnsi="Arial" w:cs="Arial"/>
          <w:vertAlign w:val="subscript"/>
        </w:rPr>
        <w:t xml:space="preserve">flinching </w:t>
      </w:r>
      <w:r w:rsidR="00450DC5" w:rsidRPr="002A7DDA">
        <w:rPr>
          <w:rFonts w:ascii="Arial" w:hAnsi="Arial" w:cs="Arial"/>
        </w:rPr>
        <w:t>&lt;0.00</w:t>
      </w:r>
      <w:r w:rsidR="00450DC5">
        <w:rPr>
          <w:rFonts w:ascii="Arial" w:hAnsi="Arial" w:cs="Arial"/>
        </w:rPr>
        <w:t>0</w:t>
      </w:r>
      <w:r w:rsidR="00450DC5" w:rsidRPr="002A7DDA">
        <w:rPr>
          <w:rFonts w:ascii="Arial" w:hAnsi="Arial" w:cs="Arial"/>
        </w:rPr>
        <w:t>1</w:t>
      </w:r>
      <w:r w:rsidR="00450DC5">
        <w:rPr>
          <w:rFonts w:ascii="Arial" w:hAnsi="Arial" w:cs="Arial"/>
        </w:rPr>
        <w:t>, p</w:t>
      </w:r>
      <w:r w:rsidR="00450DC5" w:rsidRPr="002A7DDA">
        <w:rPr>
          <w:rFonts w:ascii="Arial" w:hAnsi="Arial" w:cs="Arial"/>
          <w:vertAlign w:val="subscript"/>
        </w:rPr>
        <w:t>guarding</w:t>
      </w:r>
      <w:r w:rsidR="00450DC5">
        <w:rPr>
          <w:rFonts w:ascii="Arial" w:hAnsi="Arial" w:cs="Arial"/>
        </w:rPr>
        <w:t xml:space="preserve"> = 0.0002)</w:t>
      </w:r>
      <w:r w:rsidR="00241FE3" w:rsidRPr="006340AB">
        <w:rPr>
          <w:rFonts w:ascii="Arial" w:hAnsi="Arial" w:cs="Arial"/>
        </w:rPr>
        <w:t>. Vehicle (10% DMSO, 10% Tween-80</w:t>
      </w:r>
      <w:r w:rsidR="00241FE3">
        <w:rPr>
          <w:rFonts w:ascii="Arial" w:hAnsi="Arial" w:cs="Arial"/>
        </w:rPr>
        <w:t>, and 80% saline, 10 ml/kg, i.p</w:t>
      </w:r>
      <w:r w:rsidR="00241FE3" w:rsidRPr="006340AB">
        <w:rPr>
          <w:rFonts w:ascii="Arial" w:hAnsi="Arial" w:cs="Arial"/>
        </w:rPr>
        <w:t>.) treatment did not significantly alter flinching or guarding behaviors. Results are represented</w:t>
      </w:r>
      <w:r w:rsidR="00241FE3">
        <w:rPr>
          <w:rFonts w:ascii="Arial" w:hAnsi="Arial" w:cs="Arial"/>
        </w:rPr>
        <w:t xml:space="preserve"> as the mean ± S.E.M. of 12</w:t>
      </w:r>
      <w:r w:rsidR="00241FE3" w:rsidRPr="006340AB">
        <w:rPr>
          <w:rFonts w:ascii="Arial" w:hAnsi="Arial" w:cs="Arial"/>
        </w:rPr>
        <w:t xml:space="preserve"> animals per group.</w:t>
      </w:r>
    </w:p>
    <w:sectPr w:rsidR="009730A7" w:rsidRPr="008C7B6E" w:rsidSect="00F65BE1">
      <w:headerReference w:type="default" r:id="rId11"/>
      <w:footerReference w:type="default" r:id="rId1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634" w:rsidRDefault="00B11634" w:rsidP="00C95CC1">
      <w:pPr>
        <w:spacing w:line="240" w:lineRule="auto"/>
      </w:pPr>
      <w:r>
        <w:separator/>
      </w:r>
    </w:p>
  </w:endnote>
  <w:endnote w:type="continuationSeparator" w:id="0">
    <w:p w:rsidR="00B11634" w:rsidRDefault="00B11634" w:rsidP="00C95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8C0" w:rsidRDefault="00F731CF">
    <w:pPr>
      <w:ind w:right="260"/>
    </w:pPr>
  </w:p>
  <w:p w:rsidR="000A28C0" w:rsidRDefault="00AB6AEC">
    <w:pPr>
      <w:tabs>
        <w:tab w:val="center" w:pos="4680"/>
        <w:tab w:val="right" w:pos="9360"/>
      </w:tabs>
      <w:spacing w:line="240" w:lineRule="auto"/>
      <w:jc w:val="center"/>
    </w:pPr>
    <w:r>
      <w:fldChar w:fldCharType="begin"/>
    </w:r>
    <w:r w:rsidR="00241FE3">
      <w:instrText>PAGE</w:instrText>
    </w:r>
    <w:r>
      <w:fldChar w:fldCharType="separate"/>
    </w:r>
    <w:r w:rsidR="00F731CF">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634" w:rsidRDefault="00B11634" w:rsidP="00C95CC1">
      <w:pPr>
        <w:spacing w:line="240" w:lineRule="auto"/>
      </w:pPr>
      <w:r>
        <w:separator/>
      </w:r>
    </w:p>
  </w:footnote>
  <w:footnote w:type="continuationSeparator" w:id="0">
    <w:p w:rsidR="00B11634" w:rsidRDefault="00B11634" w:rsidP="00C95C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8C0" w:rsidRPr="00F17851" w:rsidRDefault="00241FE3" w:rsidP="00F17851">
    <w:pPr>
      <w:tabs>
        <w:tab w:val="center" w:pos="4680"/>
        <w:tab w:val="right" w:pos="9360"/>
      </w:tabs>
      <w:spacing w:line="240" w:lineRule="auto"/>
      <w:jc w:val="right"/>
      <w:rPr>
        <w:rFonts w:ascii="Arial" w:eastAsia="Calibri" w:hAnsi="Arial" w:cs="Arial"/>
      </w:rPr>
    </w:pPr>
    <w:r>
      <w:rPr>
        <w:rFonts w:ascii="Arial" w:eastAsia="Arial" w:hAnsi="Arial" w:cs="Arial"/>
      </w:rPr>
      <w:t xml:space="preserve">TARGETING SYSTEM </w:t>
    </w:r>
    <w:r>
      <w:rPr>
        <w:rFonts w:ascii="Arial" w:hAnsi="Arial" w:cs="Arial"/>
      </w:rPr>
      <w:t>x</w:t>
    </w:r>
    <w:r w:rsidRPr="00192AA0">
      <w:rPr>
        <w:rFonts w:ascii="Arial" w:hAnsi="Arial" w:cs="Arial"/>
        <w:vertAlign w:val="subscript"/>
      </w:rPr>
      <w:t>c</w:t>
    </w:r>
    <w:r w:rsidRPr="00192AA0">
      <w:rPr>
        <w:rFonts w:ascii="Arial" w:hAnsi="Arial" w:cs="Arial"/>
        <w:vertAlign w:val="superscript"/>
      </w:rPr>
      <w:t>-</w:t>
    </w:r>
    <w:r>
      <w:rPr>
        <w:rFonts w:ascii="Arial" w:eastAsia="Arial" w:hAnsi="Arial" w:cs="Arial"/>
      </w:rPr>
      <w:t xml:space="preserve"> IN CANCER-INDUCED BONE PAIN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FE3"/>
    <w:rsid w:val="0001502F"/>
    <w:rsid w:val="001876BF"/>
    <w:rsid w:val="00241FE3"/>
    <w:rsid w:val="002A7DDA"/>
    <w:rsid w:val="003858C2"/>
    <w:rsid w:val="00450DC5"/>
    <w:rsid w:val="005D0CA0"/>
    <w:rsid w:val="005E40A0"/>
    <w:rsid w:val="006B0EB1"/>
    <w:rsid w:val="0070275A"/>
    <w:rsid w:val="007B37F0"/>
    <w:rsid w:val="0088672C"/>
    <w:rsid w:val="008C7B6E"/>
    <w:rsid w:val="009730A7"/>
    <w:rsid w:val="009D429F"/>
    <w:rsid w:val="009F0D4E"/>
    <w:rsid w:val="00AB6AEC"/>
    <w:rsid w:val="00AF05AF"/>
    <w:rsid w:val="00B11634"/>
    <w:rsid w:val="00C6476A"/>
    <w:rsid w:val="00C95CC1"/>
    <w:rsid w:val="00D773B9"/>
    <w:rsid w:val="00F731CF"/>
    <w:rsid w:val="00FA2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DC2BF-09F8-4E6C-9995-BC25A7F0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1FE3"/>
    <w:pPr>
      <w:spacing w:after="0" w:line="276" w:lineRule="auto"/>
      <w:jc w:val="both"/>
    </w:pPr>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41FE3"/>
  </w:style>
  <w:style w:type="paragraph" w:styleId="BalloonText">
    <w:name w:val="Balloon Text"/>
    <w:basedOn w:val="Normal"/>
    <w:link w:val="BalloonTextChar"/>
    <w:uiPriority w:val="99"/>
    <w:semiHidden/>
    <w:unhideWhenUsed/>
    <w:rsid w:val="00FA21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125"/>
    <w:rPr>
      <w:rFonts w:ascii="Tahoma" w:eastAsia="Cambr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Slosky, Lauren Marie</dc:creator>
  <cp:lastModifiedBy>Kiniry, Jennie</cp:lastModifiedBy>
  <cp:revision>2</cp:revision>
  <dcterms:created xsi:type="dcterms:W3CDTF">2016-07-26T15:36:00Z</dcterms:created>
  <dcterms:modified xsi:type="dcterms:W3CDTF">2016-07-26T15:36:00Z</dcterms:modified>
</cp:coreProperties>
</file>