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C8" w:rsidRDefault="00C45BC8" w:rsidP="00BC5543">
      <w:pPr>
        <w:rPr>
          <w:b/>
          <w:sz w:val="24"/>
          <w:szCs w:val="24"/>
        </w:rPr>
      </w:pPr>
    </w:p>
    <w:p w:rsidR="00C45BC8" w:rsidRDefault="00C45BC8" w:rsidP="00BC554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7250" cy="5365750"/>
            <wp:effectExtent l="0" t="0" r="6350" b="6350"/>
            <wp:docPr id="1" name="Picture 1" descr="C:\Users\Jennie.Kiniry\AppData\Local\Microsoft\Windows\INetCache\Content.Word\Supplem Fi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e.Kiniry\AppData\Local\Microsoft\Windows\INetCache\Content.Word\Supplem Fig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3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BC8" w:rsidRDefault="00C45BC8" w:rsidP="00BC5543">
      <w:pPr>
        <w:rPr>
          <w:b/>
          <w:sz w:val="24"/>
          <w:szCs w:val="24"/>
        </w:rPr>
      </w:pPr>
    </w:p>
    <w:p w:rsidR="00BC5543" w:rsidRDefault="00BC5543" w:rsidP="00BC5543">
      <w:pPr>
        <w:rPr>
          <w:sz w:val="24"/>
          <w:szCs w:val="24"/>
        </w:rPr>
      </w:pPr>
      <w:r w:rsidRPr="00BC5543">
        <w:rPr>
          <w:sz w:val="24"/>
          <w:szCs w:val="24"/>
        </w:rPr>
        <w:t>Supplementary Figure 1: DTTx treatment does not alter mechanical and thermal sensitivity in mice. Animals received four injections of DTTx or vehicle – day 1, 14, 21 and 28 – and were tested periodically. A) Paw withdrawal on the von Frey test showed no difference in mechanical threshold between groups (vehicle and DTTx) (F(1,14)=0.12P&gt;0.05).  Time course behavioural analyses showed no change in mechanical sensitivity both acutely (4h after injection) and chronically (24h, 15 days, 22 days and 29 days) after injections (F(5,70)=1.50; P&gt;0.05).  DTTx treated animals presented the same behaviour patterns as control animals in the Randall-Selitto test (F(1,14)=1; P&gt;0.05), hot plate (F(1,14)=0.85; P&gt;0.05) and cold plate (F(1,14)=0.85; P&gt;0.05), B, C &amp; D, respectively. Interestingly, both group showed some learning behaviour at later points of the cold plate test (D). Data are means ± SEM. Grey chevrons represent 1st, 2nd, 3rd and 4th injections of either vehicle or DTTx. n= 8/group; two-way repeated measures ANOVA.</w:t>
      </w:r>
    </w:p>
    <w:p w:rsidR="00C45BC8" w:rsidRDefault="00C45BC8" w:rsidP="00BC5543">
      <w:pPr>
        <w:rPr>
          <w:sz w:val="24"/>
          <w:szCs w:val="24"/>
        </w:rPr>
      </w:pPr>
    </w:p>
    <w:p w:rsidR="00C45BC8" w:rsidRDefault="00C45BC8" w:rsidP="00BC5543">
      <w:pPr>
        <w:rPr>
          <w:sz w:val="24"/>
          <w:szCs w:val="24"/>
        </w:rPr>
      </w:pPr>
    </w:p>
    <w:p w:rsidR="00C45BC8" w:rsidRPr="00BC5543" w:rsidRDefault="00C45BC8" w:rsidP="00BC554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117850"/>
            <wp:effectExtent l="0" t="0" r="0" b="6350"/>
            <wp:docPr id="2" name="Picture 2" descr="C:\Users\Jennie.Kiniry\AppData\Local\Microsoft\Windows\INetCache\Content.Word\Supplem Fi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e.Kiniry\AppData\Local\Microsoft\Windows\INetCache\Content.Word\Supplem Fig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43" w:rsidRDefault="00BC5543" w:rsidP="00BC5543">
      <w:pPr>
        <w:rPr>
          <w:sz w:val="24"/>
          <w:szCs w:val="24"/>
        </w:rPr>
      </w:pPr>
      <w:r w:rsidRPr="00BC5543">
        <w:rPr>
          <w:sz w:val="24"/>
          <w:szCs w:val="24"/>
        </w:rPr>
        <w:t xml:space="preserve">Supplementary Figure 2: Compound 48/80 acts directly on DRG neurons.  A) Representative traces of cells responding to the application of compound 48/80 at 10μg/ml and 100μg/ml concentrations (shaded areas). Data are displayed as a normalized ratio of 340/380 fluorescence (ΔF Ratio). B) Percentage of cells responding to the application of two concentrations of compound 48/80. Data are means ± SEM, n = 4 mice and 67 cells. Grey diamonds (B) represent the average response for each animal. </w:t>
      </w:r>
    </w:p>
    <w:p w:rsidR="00C45BC8" w:rsidRDefault="00C45BC8" w:rsidP="00BC5543">
      <w:pPr>
        <w:rPr>
          <w:sz w:val="24"/>
          <w:szCs w:val="24"/>
        </w:rPr>
      </w:pPr>
    </w:p>
    <w:p w:rsidR="00C45BC8" w:rsidRDefault="00C45BC8" w:rsidP="00BC5543">
      <w:pPr>
        <w:rPr>
          <w:sz w:val="24"/>
          <w:szCs w:val="24"/>
        </w:rPr>
      </w:pPr>
    </w:p>
    <w:p w:rsidR="00C45BC8" w:rsidRDefault="00C45BC8" w:rsidP="00BC5543">
      <w:pPr>
        <w:rPr>
          <w:sz w:val="24"/>
          <w:szCs w:val="24"/>
        </w:rPr>
      </w:pPr>
    </w:p>
    <w:p w:rsidR="00C45BC8" w:rsidRDefault="00C45BC8" w:rsidP="00BC5543">
      <w:pPr>
        <w:rPr>
          <w:sz w:val="24"/>
          <w:szCs w:val="24"/>
        </w:rPr>
      </w:pPr>
    </w:p>
    <w:p w:rsidR="00C45BC8" w:rsidRDefault="00C45BC8" w:rsidP="00BC5543">
      <w:pPr>
        <w:rPr>
          <w:sz w:val="24"/>
          <w:szCs w:val="24"/>
        </w:rPr>
      </w:pPr>
    </w:p>
    <w:p w:rsidR="00C45BC8" w:rsidRDefault="00C45BC8" w:rsidP="00BC5543">
      <w:pPr>
        <w:rPr>
          <w:sz w:val="24"/>
          <w:szCs w:val="24"/>
        </w:rPr>
      </w:pPr>
    </w:p>
    <w:p w:rsidR="00C45BC8" w:rsidRDefault="00C45BC8" w:rsidP="00BC5543">
      <w:pPr>
        <w:rPr>
          <w:sz w:val="24"/>
          <w:szCs w:val="24"/>
        </w:rPr>
      </w:pPr>
      <w:bookmarkStart w:id="0" w:name="_GoBack"/>
      <w:bookmarkEnd w:id="0"/>
    </w:p>
    <w:p w:rsidR="00C45BC8" w:rsidRPr="00BC5543" w:rsidRDefault="00C45BC8" w:rsidP="00BC554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21200" cy="3473450"/>
            <wp:effectExtent l="0" t="0" r="0" b="0"/>
            <wp:docPr id="3" name="Picture 3" descr="C:\Users\Jennie.Kiniry\AppData\Local\Microsoft\Windows\INetCache\Content.Word\Supplem Fi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e.Kiniry\AppData\Local\Microsoft\Windows\INetCache\Content.Word\Supplem Fig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43" w:rsidRPr="00BC5543" w:rsidRDefault="00BC5543" w:rsidP="00BC5543">
      <w:pPr>
        <w:rPr>
          <w:sz w:val="24"/>
          <w:szCs w:val="24"/>
        </w:rPr>
      </w:pPr>
      <w:r w:rsidRPr="00BC5543">
        <w:rPr>
          <w:sz w:val="24"/>
          <w:szCs w:val="24"/>
        </w:rPr>
        <w:t xml:space="preserve">Supplementary Figure 3: Absence of TrkA and p75 expression in rat and human skin. A) qRT-PCR for NGF receptors on RNA extracted from the plantar skin of rats (n = 4) - TrkA: black bars; p75: grey bars – demonstrate absence of TrkA and p75 in the samples. Rat DRGs were used as a reference for the level of expression (n = 2). B) Similarly, human skin (n = 4) appears to be devoid of TrkA and p75, suggesting very low or no expression of NGF receptors in MC. Data are means ± SEM.  </w:t>
      </w:r>
    </w:p>
    <w:p w:rsidR="00BC5543" w:rsidRDefault="00BC5543" w:rsidP="00BC5543"/>
    <w:p w:rsidR="00BC5543" w:rsidRDefault="00BC5543" w:rsidP="00BC5543"/>
    <w:p w:rsidR="0099228B" w:rsidRDefault="0099228B"/>
    <w:sectPr w:rsidR="0099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43"/>
    <w:rsid w:val="0099228B"/>
    <w:rsid w:val="00BC5543"/>
    <w:rsid w:val="00C4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BABB9-58A0-4C0F-9E1C-EBAD5C19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Weiss</dc:creator>
  <cp:lastModifiedBy>Kiniry, Jennie</cp:lastModifiedBy>
  <cp:revision>2</cp:revision>
  <dcterms:created xsi:type="dcterms:W3CDTF">2017-03-28T19:48:00Z</dcterms:created>
  <dcterms:modified xsi:type="dcterms:W3CDTF">2017-03-28T19:48:00Z</dcterms:modified>
</cp:coreProperties>
</file>