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BE" w:rsidRDefault="002A5CCF">
      <w:pPr>
        <w:rPr>
          <w:rFonts w:ascii="Arial" w:hAnsi="Arial" w:cs="Arial"/>
          <w:b/>
          <w:sz w:val="24"/>
          <w:szCs w:val="24"/>
        </w:rPr>
      </w:pPr>
      <w:r w:rsidRPr="002A5CCF">
        <w:rPr>
          <w:rFonts w:ascii="Arial" w:hAnsi="Arial" w:cs="Arial"/>
          <w:b/>
          <w:sz w:val="24"/>
          <w:szCs w:val="24"/>
        </w:rPr>
        <w:t xml:space="preserve">APPENDIX 1. </w:t>
      </w:r>
      <w:r>
        <w:rPr>
          <w:rFonts w:ascii="Arial" w:hAnsi="Arial" w:cs="Arial"/>
          <w:b/>
          <w:sz w:val="24"/>
          <w:szCs w:val="24"/>
        </w:rPr>
        <w:t>Numeric Rating Scale recommended as core outcome measurement instruments to measure pain intensity in non-specific low back pain clinical trials</w:t>
      </w:r>
    </w:p>
    <w:p w:rsidR="002A5CCF" w:rsidRPr="002A5CCF" w:rsidRDefault="002A5CCF">
      <w:pPr>
        <w:rPr>
          <w:rFonts w:ascii="Arial" w:hAnsi="Arial" w:cs="Arial"/>
          <w:b/>
          <w:sz w:val="24"/>
          <w:szCs w:val="24"/>
        </w:rPr>
      </w:pPr>
    </w:p>
    <w:p w:rsidR="002A5CCF" w:rsidRPr="002A5CCF" w:rsidRDefault="002A5CCF" w:rsidP="002A5CCF">
      <w:pPr>
        <w:rPr>
          <w:rFonts w:ascii="Arial" w:hAnsi="Arial" w:cs="Arial"/>
          <w:b/>
          <w:sz w:val="26"/>
          <w:szCs w:val="26"/>
        </w:rPr>
      </w:pPr>
      <w:r w:rsidRPr="002A5CCF">
        <w:rPr>
          <w:rFonts w:ascii="Arial" w:hAnsi="Arial" w:cs="Arial"/>
          <w:b/>
          <w:sz w:val="26"/>
          <w:szCs w:val="26"/>
        </w:rPr>
        <w:t>How would you rate your average low back pain intensity over the last week?</w:t>
      </w:r>
    </w:p>
    <w:tbl>
      <w:tblPr>
        <w:tblStyle w:val="TableGrid"/>
        <w:tblW w:w="0" w:type="auto"/>
        <w:tblInd w:w="108" w:type="dxa"/>
        <w:tblLook w:val="04A0" w:firstRow="1" w:lastRow="0" w:firstColumn="1" w:lastColumn="0" w:noHBand="0" w:noVBand="1"/>
      </w:tblPr>
      <w:tblGrid>
        <w:gridCol w:w="815"/>
        <w:gridCol w:w="815"/>
        <w:gridCol w:w="815"/>
        <w:gridCol w:w="815"/>
        <w:gridCol w:w="815"/>
        <w:gridCol w:w="815"/>
        <w:gridCol w:w="815"/>
        <w:gridCol w:w="815"/>
        <w:gridCol w:w="815"/>
        <w:gridCol w:w="815"/>
        <w:gridCol w:w="815"/>
      </w:tblGrid>
      <w:tr w:rsidR="002A5CCF" w:rsidRPr="002A5CCF" w:rsidTr="004C53F0">
        <w:trPr>
          <w:trHeight w:val="427"/>
        </w:trPr>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0</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1</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2</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3</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4</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5</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6</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7</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8</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9</w:t>
            </w:r>
          </w:p>
        </w:tc>
        <w:tc>
          <w:tcPr>
            <w:tcW w:w="815" w:type="dxa"/>
          </w:tcPr>
          <w:p w:rsidR="002A5CCF" w:rsidRPr="002A5CCF" w:rsidRDefault="002A5CCF" w:rsidP="004C53F0">
            <w:pPr>
              <w:jc w:val="center"/>
              <w:rPr>
                <w:rFonts w:ascii="Arial" w:hAnsi="Arial" w:cs="Arial"/>
                <w:sz w:val="24"/>
                <w:szCs w:val="24"/>
              </w:rPr>
            </w:pPr>
            <w:r w:rsidRPr="002A5CCF">
              <w:rPr>
                <w:rFonts w:ascii="Arial" w:hAnsi="Arial" w:cs="Arial"/>
                <w:sz w:val="24"/>
                <w:szCs w:val="24"/>
              </w:rPr>
              <w:t>10</w:t>
            </w:r>
          </w:p>
        </w:tc>
      </w:tr>
    </w:tbl>
    <w:p w:rsidR="002A5CCF" w:rsidRPr="002A5CCF" w:rsidRDefault="002A5CCF" w:rsidP="002A5CCF">
      <w:pPr>
        <w:rPr>
          <w:rFonts w:ascii="Arial" w:hAnsi="Arial" w:cs="Arial"/>
        </w:rPr>
      </w:pPr>
      <w:r w:rsidRPr="002A5CCF">
        <w:rPr>
          <w:rFonts w:ascii="Arial" w:hAnsi="Arial" w:cs="Arial"/>
          <w:noProof/>
        </w:rPr>
        <mc:AlternateContent>
          <mc:Choice Requires="wps">
            <w:drawing>
              <wp:anchor distT="0" distB="0" distL="114300" distR="114300" simplePos="0" relativeHeight="251659264" behindDoc="0" locked="0" layoutInCell="1" allowOverlap="1" wp14:anchorId="35C14057" wp14:editId="51CE15BB">
                <wp:simplePos x="0" y="0"/>
                <wp:positionH relativeFrom="column">
                  <wp:posOffset>-137795</wp:posOffset>
                </wp:positionH>
                <wp:positionV relativeFrom="paragraph">
                  <wp:posOffset>86995</wp:posOffset>
                </wp:positionV>
                <wp:extent cx="787400" cy="2730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73050"/>
                        </a:xfrm>
                        <a:prstGeom prst="rect">
                          <a:avLst/>
                        </a:prstGeom>
                        <a:solidFill>
                          <a:srgbClr val="FFFFFF"/>
                        </a:solidFill>
                        <a:ln w="9525">
                          <a:solidFill>
                            <a:srgbClr val="000000"/>
                          </a:solidFill>
                          <a:miter lim="800000"/>
                          <a:headEnd/>
                          <a:tailEnd/>
                        </a:ln>
                      </wps:spPr>
                      <wps:txbx>
                        <w:txbxContent>
                          <w:p w:rsidR="002A5CCF" w:rsidRPr="002A5CCF" w:rsidRDefault="002A5CCF" w:rsidP="002A5CCF">
                            <w:pPr>
                              <w:jc w:val="center"/>
                              <w:rPr>
                                <w:rFonts w:ascii="Arial" w:hAnsi="Arial" w:cs="Arial"/>
                                <w:sz w:val="24"/>
                                <w:szCs w:val="24"/>
                              </w:rPr>
                            </w:pPr>
                            <w:r w:rsidRPr="002A5CCF">
                              <w:rPr>
                                <w:rFonts w:ascii="Arial" w:hAnsi="Arial" w:cs="Arial"/>
                                <w:sz w:val="24"/>
                                <w:szCs w:val="24"/>
                              </w:rPr>
                              <w:t>No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4057" id="_x0000_t202" coordsize="21600,21600" o:spt="202" path="m,l,21600r21600,l21600,xe">
                <v:stroke joinstyle="miter"/>
                <v:path gradientshapeok="t" o:connecttype="rect"/>
              </v:shapetype>
              <v:shape id="Text Box 2" o:spid="_x0000_s1026" type="#_x0000_t202" style="position:absolute;margin-left:-10.85pt;margin-top:6.85pt;width:6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zqIwIAAEUEAAAOAAAAZHJzL2Uyb0RvYy54bWysU9uO2yAQfa/Uf0C8N3a8SZO14qy22aaq&#10;tL1Iu/0AjHGMCgwFEjv9+h1wNo227UtVHhDDDIczZ2ZWN4NW5CCcl2AqOp3klAjDoZFmV9Fvj9s3&#10;S0p8YKZhCoyo6FF4erN+/WrV21IU0IFqhCMIYnzZ24p2IdgyyzzvhGZ+AlYYdLbgNAtoul3WONYj&#10;ulZZkedvsx5cYx1w4T3e3o1Ouk74bSt4+NK2XgSiKorcQtpd2uu4Z+sVK3eO2U7yEw32Dyw0kwY/&#10;PUPdscDI3snfoLTkDjy0YcJBZ9C2kouUA2YzzV9k89AxK1IuKI63Z5n8/4Plnw9fHZFNRa/yBSWG&#10;aSzSoxgCeQcDKaI+vfUlhj1YDAwDXmOdU67e3gP/7omBTcfMTtw6B30nWIP8pvFldvF0xPERpO4/&#10;QYPfsH2ABDS0TkfxUA6C6Fin47k2kQrHy8VyMcvRw9FVLK7yeapdxsrnx9b58EGAJvFQUYelT+Ds&#10;cO9DJMPK55D4lwclm61UKhluV2+UIweGbbJNK/F/EaYM6St6PS/mY/5/hcjT+hOElgH7XUld0eU5&#10;iJVRtfemSd0YmFTjGSkrc5IxKjdqGIZ6OJWlhuaIgjoY+xrnEA8duJ+U9NjTFfU/9swJStRHg0W5&#10;ns5mcQiSMZsvCjTcpae+9DDDEaqigZLxuAlpcKJgBm6xeK1MwsYqj0xOXLFXk96nuYrDcGmnqF/T&#10;v34CAAD//wMAUEsDBBQABgAIAAAAIQBneUNH4AAAAAkBAAAPAAAAZHJzL2Rvd25yZXYueG1sTI/L&#10;TsMwEEX3SPyDNUhsUOs0gaSEOBVCAtEdtBVs3XiaRPgRbDcNf890BavR6B7dOVOtJqPZiD70zgpY&#10;zBNgaBunetsK2G2fZ0tgIUqrpHYWBfxggFV9eVHJUrmTfcdxE1tGJTaUUkAX41ByHpoOjQxzN6Cl&#10;7OC8kZFW33Ll5YnKjeZpkuTcyN7ShU4O+NRh87U5GgHL29fxM6yzt48mP+j7eFOML99eiOur6fEB&#10;WMQp/sFw1id1qMlp745WBaYFzNJFQSgFGc0zkKQZsL2Au7wAXlf8/wf1LwAAAP//AwBQSwECLQAU&#10;AAYACAAAACEAtoM4kv4AAADhAQAAEwAAAAAAAAAAAAAAAAAAAAAAW0NvbnRlbnRfVHlwZXNdLnht&#10;bFBLAQItABQABgAIAAAAIQA4/SH/1gAAAJQBAAALAAAAAAAAAAAAAAAAAC8BAABfcmVscy8ucmVs&#10;c1BLAQItABQABgAIAAAAIQDhLtzqIwIAAEUEAAAOAAAAAAAAAAAAAAAAAC4CAABkcnMvZTJvRG9j&#10;LnhtbFBLAQItABQABgAIAAAAIQBneUNH4AAAAAkBAAAPAAAAAAAAAAAAAAAAAH0EAABkcnMvZG93&#10;bnJldi54bWxQSwUGAAAAAAQABADzAAAAigUAAAAA&#10;">
                <v:textbox>
                  <w:txbxContent>
                    <w:p w:rsidR="002A5CCF" w:rsidRPr="002A5CCF" w:rsidRDefault="002A5CCF" w:rsidP="002A5CCF">
                      <w:pPr>
                        <w:jc w:val="center"/>
                        <w:rPr>
                          <w:rFonts w:ascii="Arial" w:hAnsi="Arial" w:cs="Arial"/>
                          <w:sz w:val="24"/>
                          <w:szCs w:val="24"/>
                        </w:rPr>
                      </w:pPr>
                      <w:r w:rsidRPr="002A5CCF">
                        <w:rPr>
                          <w:rFonts w:ascii="Arial" w:hAnsi="Arial" w:cs="Arial"/>
                          <w:sz w:val="24"/>
                          <w:szCs w:val="24"/>
                        </w:rPr>
                        <w:t>No pain</w:t>
                      </w:r>
                    </w:p>
                  </w:txbxContent>
                </v:textbox>
              </v:shape>
            </w:pict>
          </mc:Fallback>
        </mc:AlternateContent>
      </w:r>
      <w:r w:rsidRPr="002A5CCF">
        <w:rPr>
          <w:rFonts w:ascii="Arial" w:hAnsi="Arial" w:cs="Arial"/>
          <w:noProof/>
        </w:rPr>
        <mc:AlternateContent>
          <mc:Choice Requires="wps">
            <w:drawing>
              <wp:anchor distT="0" distB="0" distL="114300" distR="114300" simplePos="0" relativeHeight="251660288" behindDoc="0" locked="0" layoutInCell="1" allowOverlap="1" wp14:anchorId="6A2495C0" wp14:editId="1891D965">
                <wp:simplePos x="0" y="0"/>
                <wp:positionH relativeFrom="column">
                  <wp:posOffset>4951095</wp:posOffset>
                </wp:positionH>
                <wp:positionV relativeFrom="paragraph">
                  <wp:posOffset>88075</wp:posOffset>
                </wp:positionV>
                <wp:extent cx="960755" cy="700405"/>
                <wp:effectExtent l="0" t="0" r="107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700405"/>
                        </a:xfrm>
                        <a:prstGeom prst="rect">
                          <a:avLst/>
                        </a:prstGeom>
                        <a:solidFill>
                          <a:srgbClr val="FFFFFF"/>
                        </a:solidFill>
                        <a:ln w="9525">
                          <a:solidFill>
                            <a:srgbClr val="000000"/>
                          </a:solidFill>
                          <a:miter lim="800000"/>
                          <a:headEnd/>
                          <a:tailEnd/>
                        </a:ln>
                      </wps:spPr>
                      <wps:txbx>
                        <w:txbxContent>
                          <w:p w:rsidR="002A5CCF" w:rsidRPr="002A5CCF" w:rsidRDefault="002A5CCF" w:rsidP="002A5CCF">
                            <w:pPr>
                              <w:jc w:val="center"/>
                              <w:rPr>
                                <w:rFonts w:ascii="Arial" w:hAnsi="Arial" w:cs="Arial"/>
                                <w:sz w:val="24"/>
                                <w:szCs w:val="24"/>
                              </w:rPr>
                            </w:pPr>
                            <w:r w:rsidRPr="002A5CCF">
                              <w:rPr>
                                <w:rFonts w:ascii="Arial" w:hAnsi="Arial" w:cs="Arial"/>
                                <w:sz w:val="24"/>
                                <w:szCs w:val="24"/>
                              </w:rPr>
                              <w:t>Worst imaginable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495C0" id="_x0000_s1027" type="#_x0000_t202" style="position:absolute;margin-left:389.85pt;margin-top:6.95pt;width:75.6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qQJAIAAEoEAAAOAAAAZHJzL2Uyb0RvYy54bWysVNtu2zAMfR+wfxD0vtgJ4qY14hRdugwD&#10;ugvQ7gNkWY6FSaImKbG7rx8lu5mx7WmYHwRRpI4OD0lvbwetyFk4L8FUdLnIKRGGQyPNsaJfnw5v&#10;rinxgZmGKTCios/C09vd61fb3pZiBR2oRjiCIMaXva1oF4Its8zzTmjmF2CFQWcLTrOApjtmjWM9&#10;omuVrfL8KuvBNdYBF97j6f3opLuE37aCh89t60UgqqLILaTVpbWOa7bbsvLomO0kn2iwf2ChmTT4&#10;6AXqngVGTk7+AaUld+ChDQsOOoO2lVykHDCbZf5bNo8dsyLlguJ4e5HJ/z9Y/un8xRHZYO0oMUxj&#10;iZ7EEMhbGMgqqtNbX2LQo8WwMOBxjIyZevsA/JsnBvYdM0dx5xz0nWANslvGm9ns6ojjI0jdf4QG&#10;n2GnAAloaJ2OgCgGQXSs0vOlMpEKx8Obq3xTFJRwdG3yfJ0X6QVWvly2zof3AjSJm4o6LHwCZ+cH&#10;HyIZVr6EJPKgZHOQSiXDHeu9cuTMsEkO6ZvQ/TxMGdIjk2JVjPnPfX4OkafvbxBaBux2JXVFry9B&#10;rIyqvTNN6sXApBr3SFmZScao3KhhGOphqtdUnRqaZ9TVwdjcOIy46cD9oKTHxq6o/35iTlCiPhis&#10;zc1yvY6TkIx1sVmh4eaeeu5hhiNURQMl43Yf0vRE3QzcYQ1bmfSNxR6ZTJSxYZPs03DFiZjbKerX&#10;L2D3EwAA//8DAFBLAwQUAAYACAAAACEAFM2E3d8AAAAKAQAADwAAAGRycy9kb3ducmV2LnhtbEyP&#10;wU7DMBBE70j8g7VIXBB1mlRNE+JUCAkENygIrm68TSLidbDdNPw9ywmOO/M0O1NtZzuICX3oHSlY&#10;LhIQSI0zPbUK3l7vrzcgQtRk9OAIFXxjgG19flbp0rgTveC0i63gEAqlVtDFOJZShqZDq8PCjUjs&#10;HZy3OvLpW2m8PnG4HWSaJGtpdU/8odMj3nXYfO6OVsFm9Th9hKfs+b1ZH4YiXuXTw5dX6vJivr0B&#10;EXGOfzD81ufqUHOnvTuSCWJQkOdFzigbWQGCgSJb8rg9C+kqBVlX8v+E+gcAAP//AwBQSwECLQAU&#10;AAYACAAAACEAtoM4kv4AAADhAQAAEwAAAAAAAAAAAAAAAAAAAAAAW0NvbnRlbnRfVHlwZXNdLnht&#10;bFBLAQItABQABgAIAAAAIQA4/SH/1gAAAJQBAAALAAAAAAAAAAAAAAAAAC8BAABfcmVscy8ucmVs&#10;c1BLAQItABQABgAIAAAAIQDEY3qQJAIAAEoEAAAOAAAAAAAAAAAAAAAAAC4CAABkcnMvZTJvRG9j&#10;LnhtbFBLAQItABQABgAIAAAAIQAUzYTd3wAAAAoBAAAPAAAAAAAAAAAAAAAAAH4EAABkcnMvZG93&#10;bnJldi54bWxQSwUGAAAAAAQABADzAAAAigUAAAAA&#10;">
                <v:textbox>
                  <w:txbxContent>
                    <w:p w:rsidR="002A5CCF" w:rsidRPr="002A5CCF" w:rsidRDefault="002A5CCF" w:rsidP="002A5CCF">
                      <w:pPr>
                        <w:jc w:val="center"/>
                        <w:rPr>
                          <w:rFonts w:ascii="Arial" w:hAnsi="Arial" w:cs="Arial"/>
                          <w:sz w:val="24"/>
                          <w:szCs w:val="24"/>
                        </w:rPr>
                      </w:pPr>
                      <w:r w:rsidRPr="002A5CCF">
                        <w:rPr>
                          <w:rFonts w:ascii="Arial" w:hAnsi="Arial" w:cs="Arial"/>
                          <w:sz w:val="24"/>
                          <w:szCs w:val="24"/>
                        </w:rPr>
                        <w:t>Worst imaginable pain</w:t>
                      </w:r>
                    </w:p>
                  </w:txbxContent>
                </v:textbox>
              </v:shape>
            </w:pict>
          </mc:Fallback>
        </mc:AlternateContent>
      </w:r>
    </w:p>
    <w:p w:rsidR="002A5CCF" w:rsidRPr="00F5635C" w:rsidRDefault="002A5CCF" w:rsidP="002A5CCF">
      <w:pPr>
        <w:rPr>
          <w:rFonts w:ascii="Arial" w:hAnsi="Arial" w:cs="Arial"/>
        </w:rPr>
      </w:pPr>
    </w:p>
    <w:p w:rsidR="00032DA3" w:rsidRDefault="00032DA3"/>
    <w:p w:rsidR="00032DA3" w:rsidRDefault="00032DA3" w:rsidP="00032DA3"/>
    <w:p w:rsidR="00032DA3" w:rsidRDefault="00032DA3">
      <w:r>
        <w:br w:type="page"/>
      </w:r>
    </w:p>
    <w:p w:rsidR="00032DA3" w:rsidRDefault="00032DA3" w:rsidP="00032DA3">
      <w:pPr>
        <w:rPr>
          <w:rFonts w:ascii="Arial" w:hAnsi="Arial" w:cs="Arial"/>
          <w:b/>
          <w:sz w:val="24"/>
          <w:szCs w:val="24"/>
        </w:rPr>
      </w:pPr>
      <w:r>
        <w:rPr>
          <w:rFonts w:ascii="Arial" w:hAnsi="Arial" w:cs="Arial"/>
          <w:b/>
          <w:sz w:val="24"/>
          <w:szCs w:val="24"/>
        </w:rPr>
        <w:t>APPENDIX 2. Evidence synthesis from systematic reviews on measurement properties of potential core outcome measurement instruments in patients with low back pain</w:t>
      </w:r>
    </w:p>
    <w:p w:rsidR="00032DA3" w:rsidRPr="00285E4D" w:rsidRDefault="00032DA3" w:rsidP="00032DA3">
      <w:pPr>
        <w:rPr>
          <w:rFonts w:ascii="Arial" w:hAnsi="Arial" w:cs="Arial"/>
          <w:b/>
          <w:sz w:val="24"/>
          <w:szCs w:val="24"/>
        </w:rPr>
      </w:pPr>
      <w:r w:rsidRPr="00285E4D">
        <w:rPr>
          <w:rFonts w:ascii="Arial" w:hAnsi="Arial" w:cs="Arial"/>
          <w:b/>
          <w:sz w:val="24"/>
          <w:szCs w:val="24"/>
        </w:rPr>
        <w:t>A. Physical functioning patient-reported outcome measures</w:t>
      </w:r>
      <w:r w:rsidRPr="00285E4D">
        <w:rPr>
          <w:rFonts w:ascii="Arial" w:hAnsi="Arial" w:cs="Arial"/>
          <w:sz w:val="24"/>
          <w:szCs w:val="24"/>
        </w:rPr>
        <w:br/>
      </w:r>
    </w:p>
    <w:tbl>
      <w:tblPr>
        <w:tblStyle w:val="LightShading-Accent1"/>
        <w:tblpPr w:leftFromText="180" w:rightFromText="180" w:vertAnchor="text" w:horzAnchor="margin" w:tblpXSpec="center" w:tblpY="1723"/>
        <w:tblW w:w="10456" w:type="dxa"/>
        <w:tblLayout w:type="fixed"/>
        <w:tblLook w:val="04A0" w:firstRow="1" w:lastRow="0" w:firstColumn="1" w:lastColumn="0" w:noHBand="0" w:noVBand="1"/>
      </w:tblPr>
      <w:tblGrid>
        <w:gridCol w:w="1384"/>
        <w:gridCol w:w="1134"/>
        <w:gridCol w:w="1134"/>
        <w:gridCol w:w="1134"/>
        <w:gridCol w:w="1134"/>
        <w:gridCol w:w="1134"/>
        <w:gridCol w:w="1134"/>
        <w:gridCol w:w="1134"/>
        <w:gridCol w:w="1134"/>
      </w:tblGrid>
      <w:tr w:rsidR="00032DA3" w:rsidRPr="006E646B" w:rsidTr="008E329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PROMs</w:t>
            </w:r>
          </w:p>
        </w:tc>
        <w:tc>
          <w:tcPr>
            <w:tcW w:w="6804"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sz w:val="20"/>
                <w:szCs w:val="20"/>
              </w:rPr>
            </w:pPr>
            <w:r w:rsidRPr="00285E4D">
              <w:rPr>
                <w:rFonts w:ascii="Arial Narrow" w:hAnsi="Arial Narrow" w:cs="Arial"/>
                <w:color w:val="auto"/>
                <w:sz w:val="20"/>
                <w:szCs w:val="20"/>
              </w:rPr>
              <w:t>Content validity</w:t>
            </w:r>
          </w:p>
        </w:tc>
        <w:tc>
          <w:tcPr>
            <w:tcW w:w="2268"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sz w:val="20"/>
                <w:szCs w:val="20"/>
              </w:rPr>
            </w:pPr>
            <w:r w:rsidRPr="00285E4D">
              <w:rPr>
                <w:rFonts w:ascii="Arial Narrow" w:hAnsi="Arial Narrow" w:cs="Arial"/>
                <w:color w:val="auto"/>
                <w:sz w:val="20"/>
                <w:szCs w:val="20"/>
              </w:rPr>
              <w:t>Structural validity</w:t>
            </w:r>
          </w:p>
        </w:tc>
      </w:tr>
      <w:tr w:rsidR="00032DA3" w:rsidRPr="006E646B" w:rsidTr="008E32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b w:val="0"/>
                <w:color w:val="auto"/>
                <w:sz w:val="20"/>
                <w:szCs w:val="20"/>
              </w:rPr>
            </w:pPr>
          </w:p>
        </w:tc>
        <w:tc>
          <w:tcPr>
            <w:tcW w:w="226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Relevance</w:t>
            </w:r>
          </w:p>
        </w:tc>
        <w:tc>
          <w:tcPr>
            <w:tcW w:w="226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Comprehensiveness</w:t>
            </w:r>
          </w:p>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0"/>
                <w:szCs w:val="20"/>
              </w:rPr>
            </w:pPr>
          </w:p>
        </w:tc>
        <w:tc>
          <w:tcPr>
            <w:tcW w:w="226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 xml:space="preserve">Comprehensibility </w:t>
            </w:r>
          </w:p>
        </w:tc>
        <w:tc>
          <w:tcPr>
            <w:tcW w:w="2268"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0"/>
                <w:szCs w:val="20"/>
              </w:rPr>
            </w:pPr>
          </w:p>
        </w:tc>
      </w:tr>
      <w:tr w:rsidR="00032DA3" w:rsidRPr="006E646B" w:rsidTr="008E329A">
        <w:trPr>
          <w:trHeight w:val="594"/>
        </w:trPr>
        <w:tc>
          <w:tcPr>
            <w:cnfStyle w:val="001000000000" w:firstRow="0" w:lastRow="0" w:firstColumn="1" w:lastColumn="0" w:oddVBand="0" w:evenVBand="0" w:oddHBand="0" w:evenHBand="0" w:firstRowFirstColumn="0" w:firstRowLastColumn="0" w:lastRowFirstColumn="0" w:lastRowLastColumn="0"/>
            <w:tcW w:w="1384"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Rating</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Quality of evidence</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Rating</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Quality of evidence</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Rating</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Quality of evidence</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Rating</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auto"/>
                <w:sz w:val="20"/>
                <w:szCs w:val="20"/>
              </w:rPr>
            </w:pPr>
            <w:r w:rsidRPr="00285E4D">
              <w:rPr>
                <w:rFonts w:ascii="Arial Narrow" w:hAnsi="Arial Narrow" w:cs="Arial"/>
                <w:b/>
                <w:color w:val="auto"/>
                <w:sz w:val="20"/>
                <w:szCs w:val="20"/>
              </w:rPr>
              <w:t>Quality of evidence</w:t>
            </w:r>
          </w:p>
        </w:tc>
      </w:tr>
      <w:tr w:rsidR="00032DA3" w:rsidRPr="006E646B"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sz w:val="20"/>
                <w:szCs w:val="20"/>
              </w:rPr>
            </w:pPr>
            <w:r w:rsidRPr="00285E4D">
              <w:rPr>
                <w:rFonts w:ascii="Arial Narrow" w:hAnsi="Arial Narrow" w:cs="Arial"/>
                <w:color w:val="auto"/>
                <w:sz w:val="20"/>
                <w:szCs w:val="20"/>
              </w:rPr>
              <w:t>RMDQ-24</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High</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High</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High</w:t>
            </w:r>
          </w:p>
        </w:tc>
      </w:tr>
      <w:tr w:rsidR="00032DA3" w:rsidRPr="006E646B" w:rsidTr="008E329A">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sz w:val="20"/>
                <w:szCs w:val="20"/>
              </w:rPr>
            </w:pPr>
            <w:r w:rsidRPr="00285E4D">
              <w:rPr>
                <w:rFonts w:ascii="Arial Narrow" w:hAnsi="Arial Narrow" w:cs="Arial"/>
                <w:color w:val="auto"/>
                <w:sz w:val="20"/>
                <w:szCs w:val="20"/>
              </w:rPr>
              <w:t>RMDQ-23</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Moderate</w:t>
            </w:r>
          </w:p>
        </w:tc>
      </w:tr>
      <w:tr w:rsidR="00032DA3" w:rsidRPr="006E646B"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sz w:val="20"/>
                <w:szCs w:val="20"/>
              </w:rPr>
            </w:pPr>
            <w:r w:rsidRPr="00285E4D">
              <w:rPr>
                <w:rFonts w:ascii="Arial Narrow" w:hAnsi="Arial Narrow" w:cs="Arial"/>
                <w:color w:val="auto"/>
                <w:sz w:val="20"/>
                <w:szCs w:val="20"/>
              </w:rPr>
              <w:t>RMDQ-18</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color w:val="auto"/>
                <w:sz w:val="20"/>
                <w:szCs w:val="20"/>
              </w:rPr>
              <w:t>High</w:t>
            </w:r>
          </w:p>
        </w:tc>
      </w:tr>
      <w:tr w:rsidR="00032DA3" w:rsidRPr="006E646B" w:rsidTr="008E329A">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ODI 1.0</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High</w:t>
            </w:r>
          </w:p>
        </w:tc>
      </w:tr>
      <w:tr w:rsidR="00032DA3" w:rsidRPr="006E646B"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ODI 2.1a</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Moderate</w:t>
            </w:r>
          </w:p>
        </w:tc>
      </w:tr>
      <w:tr w:rsidR="00032DA3" w:rsidRPr="006E646B" w:rsidTr="008E329A">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CLBPDQ</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p>
        </w:tc>
      </w:tr>
      <w:tr w:rsidR="00032DA3" w:rsidRPr="006E646B"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MLBPDQ</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032DA3" w:rsidRPr="006E646B" w:rsidTr="008E329A">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BPI-PI</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Moderate</w:t>
            </w:r>
          </w:p>
        </w:tc>
      </w:tr>
      <w:tr w:rsidR="00032DA3" w:rsidRPr="006E646B"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MPI-PI</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Moderate</w:t>
            </w:r>
          </w:p>
        </w:tc>
      </w:tr>
      <w:tr w:rsidR="00032DA3" w:rsidRPr="006E646B" w:rsidTr="008E329A">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SF36-PF</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Moderate</w:t>
            </w:r>
          </w:p>
        </w:tc>
      </w:tr>
      <w:tr w:rsidR="00032DA3" w:rsidRPr="006E646B"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LBPRS-DI</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032DA3" w:rsidRPr="006E646B" w:rsidTr="008E329A">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QBPDS</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Moderate</w:t>
            </w:r>
          </w:p>
        </w:tc>
      </w:tr>
      <w:tr w:rsidR="00032DA3" w:rsidRPr="006E646B"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PROMIS-PF-4</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032DA3" w:rsidRPr="006E646B" w:rsidTr="008E329A">
        <w:trPr>
          <w:trHeight w:val="269"/>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PROMIS-PF-6</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 xml:space="preserve">Very Low </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p>
        </w:tc>
      </w:tr>
      <w:tr w:rsidR="00032DA3" w:rsidRPr="006E646B" w:rsidTr="008E32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PROMIS-PF-8</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032DA3" w:rsidRPr="006E646B" w:rsidTr="008E329A">
        <w:trPr>
          <w:trHeight w:val="269"/>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PROMIS-PF-10</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p>
        </w:tc>
      </w:tr>
      <w:tr w:rsidR="00032DA3" w:rsidRPr="006E646B" w:rsidTr="008E32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rPr>
                <w:rFonts w:ascii="Arial Narrow" w:hAnsi="Arial Narrow" w:cs="Arial"/>
                <w:color w:val="auto"/>
                <w:sz w:val="20"/>
                <w:szCs w:val="20"/>
              </w:rPr>
            </w:pPr>
            <w:r w:rsidRPr="00285E4D">
              <w:rPr>
                <w:rFonts w:ascii="Arial Narrow" w:hAnsi="Arial Narrow" w:cs="Arial"/>
                <w:color w:val="auto"/>
                <w:sz w:val="20"/>
                <w:szCs w:val="20"/>
              </w:rPr>
              <w:t>PROMIS-PF-20</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Very 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r w:rsidRPr="00285E4D">
              <w:rPr>
                <w:rFonts w:ascii="Arial Narrow" w:hAnsi="Arial Narrow" w:cs="Arial"/>
                <w:color w:val="auto"/>
                <w:sz w:val="20"/>
                <w:szCs w:val="20"/>
              </w:rPr>
              <w:t>Low</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032DA3" w:rsidRPr="006E646B" w:rsidTr="008E329A">
        <w:trPr>
          <w:trHeight w:val="269"/>
        </w:trPr>
        <w:tc>
          <w:tcPr>
            <w:cnfStyle w:val="001000000000" w:firstRow="0" w:lastRow="0" w:firstColumn="1" w:lastColumn="0" w:oddVBand="0" w:evenVBand="0" w:oddHBand="0" w:evenHBand="0" w:firstRowFirstColumn="0" w:firstRowLastColumn="0" w:lastRowFirstColumn="0" w:lastRowLastColumn="0"/>
            <w:tcW w:w="10456" w:type="dxa"/>
            <w:gridSpan w:val="9"/>
            <w:tcBorders>
              <w:top w:val="single" w:sz="4" w:space="0" w:color="95B3D7" w:themeColor="accent1" w:themeTint="99"/>
              <w:left w:val="nil"/>
              <w:bottom w:val="nil"/>
              <w:right w:val="nil"/>
            </w:tcBorders>
          </w:tcPr>
          <w:p w:rsidR="00032DA3" w:rsidRDefault="00032DA3" w:rsidP="008E329A">
            <w:pPr>
              <w:spacing w:line="276" w:lineRule="auto"/>
              <w:rPr>
                <w:rFonts w:ascii="Arial Narrow" w:hAnsi="Arial Narrow" w:cs="Arial"/>
                <w:b w:val="0"/>
                <w:color w:val="auto"/>
                <w:sz w:val="16"/>
                <w:szCs w:val="16"/>
              </w:rPr>
            </w:pPr>
            <w:r>
              <w:rPr>
                <w:rFonts w:ascii="Arial Narrow" w:hAnsi="Arial Narrow" w:cs="Arial"/>
                <w:b w:val="0"/>
                <w:color w:val="auto"/>
                <w:sz w:val="16"/>
                <w:szCs w:val="16"/>
              </w:rPr>
              <w:t>Empty cells represent measurement properties not assessed in any study.</w:t>
            </w:r>
            <w:r>
              <w:rPr>
                <w:rFonts w:ascii="Arial Narrow" w:hAnsi="Arial Narrow" w:cs="Arial"/>
                <w:b w:val="0"/>
                <w:color w:val="auto"/>
                <w:sz w:val="16"/>
                <w:szCs w:val="16"/>
              </w:rPr>
              <w:br/>
            </w:r>
            <w:r w:rsidRPr="00FC0179">
              <w:rPr>
                <w:rFonts w:ascii="Arial Narrow" w:hAnsi="Arial Narrow" w:cs="Arial"/>
                <w:b w:val="0"/>
                <w:color w:val="auto"/>
                <w:sz w:val="16"/>
                <w:szCs w:val="16"/>
              </w:rPr>
              <w:t xml:space="preserve">+ = </w:t>
            </w:r>
            <w:r>
              <w:rPr>
                <w:rFonts w:ascii="Arial Narrow" w:hAnsi="Arial Narrow" w:cs="Arial"/>
                <w:b w:val="0"/>
                <w:color w:val="auto"/>
                <w:sz w:val="16"/>
                <w:szCs w:val="16"/>
              </w:rPr>
              <w:t xml:space="preserve">sufficient </w:t>
            </w:r>
            <w:r w:rsidRPr="00FC0179">
              <w:rPr>
                <w:rFonts w:ascii="Arial Narrow" w:hAnsi="Arial Narrow" w:cs="Arial"/>
                <w:b w:val="0"/>
                <w:color w:val="auto"/>
                <w:sz w:val="16"/>
                <w:szCs w:val="16"/>
              </w:rPr>
              <w:t xml:space="preserve">results; </w:t>
            </w:r>
            <w:r w:rsidRPr="00FC0179">
              <w:rPr>
                <w:rFonts w:ascii="Arial Narrow" w:hAnsi="Arial Narrow"/>
                <w:b w:val="0"/>
                <w:color w:val="auto"/>
                <w:sz w:val="16"/>
                <w:szCs w:val="16"/>
              </w:rPr>
              <w:t>–</w:t>
            </w:r>
            <w:r w:rsidRPr="00FC0179">
              <w:rPr>
                <w:rFonts w:ascii="Arial Narrow" w:hAnsi="Arial Narrow" w:cs="Arial"/>
                <w:b w:val="0"/>
                <w:color w:val="auto"/>
                <w:sz w:val="16"/>
                <w:szCs w:val="16"/>
              </w:rPr>
              <w:t xml:space="preserve"> = </w:t>
            </w:r>
            <w:r>
              <w:rPr>
                <w:rFonts w:ascii="Arial Narrow" w:hAnsi="Arial Narrow" w:cs="Arial"/>
                <w:b w:val="0"/>
                <w:color w:val="auto"/>
                <w:sz w:val="16"/>
                <w:szCs w:val="16"/>
              </w:rPr>
              <w:t xml:space="preserve">insufficient </w:t>
            </w:r>
            <w:r w:rsidRPr="00FC0179">
              <w:rPr>
                <w:rFonts w:ascii="Arial Narrow" w:hAnsi="Arial Narrow" w:cs="Arial"/>
                <w:b w:val="0"/>
                <w:color w:val="auto"/>
                <w:sz w:val="16"/>
                <w:szCs w:val="16"/>
              </w:rPr>
              <w:t>results; ± = inconsistent results; ? = indeterminate.</w:t>
            </w:r>
          </w:p>
          <w:p w:rsidR="00032DA3" w:rsidRDefault="00032DA3" w:rsidP="008E329A">
            <w:pPr>
              <w:spacing w:line="276" w:lineRule="auto"/>
              <w:rPr>
                <w:rFonts w:ascii="Arial Narrow" w:hAnsi="Arial Narrow" w:cs="Arial"/>
                <w:b w:val="0"/>
                <w:color w:val="auto"/>
                <w:sz w:val="16"/>
                <w:szCs w:val="16"/>
              </w:rPr>
            </w:pPr>
            <w:r>
              <w:rPr>
                <w:rFonts w:ascii="Arial Narrow" w:hAnsi="Arial Narrow" w:cs="Arial"/>
                <w:b w:val="0"/>
                <w:color w:val="auto"/>
                <w:sz w:val="16"/>
                <w:szCs w:val="16"/>
              </w:rPr>
              <w:t>The other measurement properties are not displayed because they were not assessed in this systematic review.</w:t>
            </w: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Default="00032DA3" w:rsidP="008E329A">
            <w:pPr>
              <w:spacing w:line="276" w:lineRule="auto"/>
              <w:rPr>
                <w:rFonts w:ascii="Arial Narrow" w:hAnsi="Arial Narrow" w:cs="Arial"/>
                <w:b w:val="0"/>
                <w:color w:val="auto"/>
                <w:sz w:val="16"/>
                <w:szCs w:val="16"/>
              </w:rPr>
            </w:pPr>
          </w:p>
          <w:p w:rsidR="00032DA3" w:rsidRPr="00FC0179" w:rsidRDefault="00032DA3" w:rsidP="008E329A">
            <w:pPr>
              <w:spacing w:line="276" w:lineRule="auto"/>
              <w:rPr>
                <w:rFonts w:ascii="Arial Narrow" w:hAnsi="Arial Narrow" w:cs="Arial"/>
                <w:b w:val="0"/>
                <w:color w:val="auto"/>
                <w:sz w:val="16"/>
                <w:szCs w:val="16"/>
              </w:rPr>
            </w:pPr>
          </w:p>
        </w:tc>
      </w:tr>
    </w:tbl>
    <w:p w:rsidR="00032DA3" w:rsidRDefault="00032DA3" w:rsidP="00032DA3">
      <w:pPr>
        <w:rPr>
          <w:rFonts w:ascii="Arial" w:hAnsi="Arial" w:cs="Arial"/>
          <w:b/>
        </w:rPr>
      </w:pPr>
    </w:p>
    <w:p w:rsidR="00032DA3" w:rsidRDefault="00032DA3" w:rsidP="00032DA3">
      <w:pPr>
        <w:rPr>
          <w:rFonts w:ascii="Arial" w:hAnsi="Arial" w:cs="Arial"/>
          <w:b/>
        </w:rPr>
      </w:pPr>
    </w:p>
    <w:p w:rsidR="00032DA3" w:rsidRDefault="00032DA3" w:rsidP="00032DA3">
      <w:pPr>
        <w:rPr>
          <w:rFonts w:ascii="Arial" w:hAnsi="Arial" w:cs="Arial"/>
          <w:b/>
        </w:rPr>
      </w:pPr>
    </w:p>
    <w:p w:rsidR="00032DA3" w:rsidRPr="00285E4D" w:rsidRDefault="00032DA3" w:rsidP="00032DA3">
      <w:pPr>
        <w:rPr>
          <w:rFonts w:ascii="Arial" w:hAnsi="Arial" w:cs="Arial"/>
          <w:b/>
          <w:sz w:val="24"/>
          <w:szCs w:val="24"/>
        </w:rPr>
      </w:pPr>
      <w:r w:rsidRPr="00285E4D">
        <w:rPr>
          <w:rFonts w:ascii="Arial" w:hAnsi="Arial" w:cs="Arial"/>
          <w:b/>
          <w:sz w:val="24"/>
          <w:szCs w:val="24"/>
        </w:rPr>
        <w:t>B. Pain intensity patient-reported outcome measures</w:t>
      </w:r>
    </w:p>
    <w:tbl>
      <w:tblPr>
        <w:tblStyle w:val="LightGrid-Accent1"/>
        <w:tblW w:w="0" w:type="auto"/>
        <w:tblLook w:val="04A0" w:firstRow="1" w:lastRow="0" w:firstColumn="1" w:lastColumn="0" w:noHBand="0" w:noVBand="1"/>
      </w:tblPr>
      <w:tblGrid>
        <w:gridCol w:w="1242"/>
        <w:gridCol w:w="1985"/>
        <w:gridCol w:w="1955"/>
        <w:gridCol w:w="1557"/>
        <w:gridCol w:w="1557"/>
        <w:gridCol w:w="1558"/>
      </w:tblGrid>
      <w:tr w:rsidR="00032DA3" w:rsidRPr="00E0261E" w:rsidTr="008E3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2"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Measurement properties</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85E4D">
              <w:rPr>
                <w:rFonts w:ascii="Arial Narrow" w:hAnsi="Arial Narrow" w:cs="Arial"/>
                <w:sz w:val="20"/>
                <w:szCs w:val="20"/>
              </w:rPr>
              <w:t>VAS</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85E4D">
              <w:rPr>
                <w:rFonts w:ascii="Arial Narrow" w:hAnsi="Arial Narrow" w:cs="Arial"/>
                <w:sz w:val="20"/>
                <w:szCs w:val="20"/>
              </w:rPr>
              <w:t>NRS</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85E4D">
              <w:rPr>
                <w:rFonts w:ascii="Arial Narrow" w:hAnsi="Arial Narrow" w:cs="Arial"/>
                <w:sz w:val="20"/>
                <w:szCs w:val="20"/>
              </w:rPr>
              <w:t>BPI-PS</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Content validity</w:t>
            </w:r>
          </w:p>
        </w:tc>
        <w:tc>
          <w:tcPr>
            <w:tcW w:w="1985"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Relevance</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 xml:space="preserve">Rating </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85"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85"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Comprehensiveness</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 xml:space="preserve">Rating </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85"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85"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Comprehensibility</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 xml:space="preserve">Rating </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85"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Very Low</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Very Low</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Very Low</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Structural validity</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Rating</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na</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na</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Moderate</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Internal consistency</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Rating</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na</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na</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Pr>
                <w:rFonts w:ascii="Arial Narrow" w:hAnsi="Arial Narrow" w:cs="Arial"/>
                <w:sz w:val="20"/>
                <w:szCs w:val="20"/>
              </w:rPr>
              <w:t>Moderate</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Test-retest reliability</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Rating</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Very Low</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Measurement error</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Rating</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Very Low</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High</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Construct validity</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Rating</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Very Low</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Moderate</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r w:rsidRPr="00285E4D">
              <w:rPr>
                <w:rFonts w:ascii="Arial Narrow" w:hAnsi="Arial Narrow" w:cs="Arial"/>
                <w:sz w:val="20"/>
                <w:szCs w:val="20"/>
              </w:rPr>
              <w:t>Responsiveness</w:t>
            </w: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Rating</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w:t>
            </w:r>
          </w:p>
        </w:tc>
      </w:tr>
      <w:tr w:rsidR="00032DA3" w:rsidRPr="00E0261E"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032DA3" w:rsidRPr="00285E4D" w:rsidRDefault="00032DA3" w:rsidP="008E329A">
            <w:pPr>
              <w:rPr>
                <w:rFonts w:ascii="Arial Narrow" w:hAnsi="Arial Narrow" w:cs="Arial"/>
                <w:b w:val="0"/>
                <w:sz w:val="20"/>
                <w:szCs w:val="20"/>
              </w:rPr>
            </w:pPr>
          </w:p>
        </w:tc>
        <w:tc>
          <w:tcPr>
            <w:tcW w:w="195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szCs w:val="20"/>
              </w:rPr>
            </w:pPr>
            <w:r w:rsidRPr="00285E4D">
              <w:rPr>
                <w:rFonts w:ascii="Arial Narrow" w:hAnsi="Arial Narrow" w:cs="Arial"/>
                <w:b/>
                <w:sz w:val="20"/>
                <w:szCs w:val="20"/>
              </w:rPr>
              <w:t>Quality of evidence</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Low</w:t>
            </w:r>
          </w:p>
        </w:tc>
        <w:tc>
          <w:tcPr>
            <w:tcW w:w="15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sidRPr="00285E4D">
              <w:rPr>
                <w:rFonts w:ascii="Arial Narrow" w:hAnsi="Arial Narrow" w:cs="Arial"/>
                <w:sz w:val="20"/>
                <w:szCs w:val="20"/>
              </w:rPr>
              <w:t>Moderate</w:t>
            </w:r>
          </w:p>
        </w:tc>
        <w:tc>
          <w:tcPr>
            <w:tcW w:w="15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rPr>
            </w:pPr>
            <w:r>
              <w:rPr>
                <w:rFonts w:ascii="Arial Narrow" w:hAnsi="Arial Narrow" w:cs="Arial"/>
                <w:sz w:val="20"/>
                <w:szCs w:val="20"/>
              </w:rPr>
              <w:t xml:space="preserve">Very </w:t>
            </w:r>
            <w:r w:rsidRPr="00285E4D">
              <w:rPr>
                <w:rFonts w:ascii="Arial Narrow" w:hAnsi="Arial Narrow" w:cs="Arial"/>
                <w:sz w:val="20"/>
                <w:szCs w:val="20"/>
              </w:rPr>
              <w:t>Low</w:t>
            </w:r>
          </w:p>
        </w:tc>
      </w:tr>
      <w:tr w:rsidR="00032DA3" w:rsidRPr="00E0261E" w:rsidTr="008E329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854" w:type="dxa"/>
            <w:gridSpan w:val="6"/>
            <w:tcBorders>
              <w:top w:val="single" w:sz="4" w:space="0" w:color="95B3D7" w:themeColor="accent1" w:themeTint="99"/>
              <w:left w:val="nil"/>
              <w:bottom w:val="nil"/>
              <w:right w:val="nil"/>
            </w:tcBorders>
            <w:shd w:val="clear" w:color="auto" w:fill="auto"/>
          </w:tcPr>
          <w:p w:rsidR="00032DA3" w:rsidRPr="00285E4D" w:rsidRDefault="00032DA3" w:rsidP="008E329A">
            <w:pPr>
              <w:rPr>
                <w:rFonts w:ascii="Arial Narrow" w:hAnsi="Arial Narrow" w:cs="Arial"/>
                <w:b w:val="0"/>
                <w:sz w:val="16"/>
                <w:szCs w:val="16"/>
              </w:rPr>
            </w:pPr>
            <w:r w:rsidRPr="00285E4D">
              <w:rPr>
                <w:rFonts w:ascii="Arial Narrow" w:hAnsi="Arial Narrow" w:cs="Arial"/>
                <w:b w:val="0"/>
                <w:sz w:val="16"/>
                <w:szCs w:val="16"/>
              </w:rPr>
              <w:t>Empty cells represent measurement properties not assessed in any study.</w:t>
            </w:r>
          </w:p>
          <w:p w:rsidR="00032DA3" w:rsidRPr="00285E4D" w:rsidRDefault="00032DA3" w:rsidP="008E329A">
            <w:pPr>
              <w:rPr>
                <w:rFonts w:ascii="Arial Narrow" w:hAnsi="Arial Narrow" w:cs="Arial"/>
                <w:b w:val="0"/>
                <w:sz w:val="16"/>
                <w:szCs w:val="16"/>
              </w:rPr>
            </w:pPr>
            <w:r w:rsidRPr="00285E4D">
              <w:rPr>
                <w:rFonts w:ascii="Arial Narrow" w:hAnsi="Arial Narrow" w:cs="Arial"/>
                <w:b w:val="0"/>
                <w:sz w:val="16"/>
                <w:szCs w:val="16"/>
              </w:rPr>
              <w:t>“+” = sufficient results; “</w:t>
            </w:r>
            <w:r w:rsidRPr="00285E4D">
              <w:rPr>
                <w:rFonts w:ascii="Arial" w:hAnsi="Arial" w:cs="Arial"/>
                <w:b w:val="0"/>
                <w:sz w:val="16"/>
                <w:szCs w:val="16"/>
              </w:rPr>
              <w:t>‒</w:t>
            </w:r>
            <w:r w:rsidRPr="00285E4D">
              <w:rPr>
                <w:rFonts w:ascii="Arial Narrow" w:hAnsi="Arial Narrow" w:cs="Arial Narrow"/>
                <w:b w:val="0"/>
                <w:sz w:val="16"/>
                <w:szCs w:val="16"/>
              </w:rPr>
              <w:t>”</w:t>
            </w:r>
            <w:r w:rsidRPr="00285E4D">
              <w:rPr>
                <w:rFonts w:ascii="Arial Narrow" w:hAnsi="Arial Narrow" w:cs="Arial"/>
                <w:b w:val="0"/>
                <w:sz w:val="16"/>
                <w:szCs w:val="16"/>
              </w:rPr>
              <w:t xml:space="preserve"> = insufficient results; “±” = inconsistent results; na = not applicable.</w:t>
            </w:r>
          </w:p>
          <w:p w:rsidR="00032DA3" w:rsidRPr="00FA64BE" w:rsidRDefault="00032DA3" w:rsidP="008E329A">
            <w:pPr>
              <w:rPr>
                <w:rFonts w:ascii="Arial Narrow" w:hAnsi="Arial Narrow" w:cs="Arial"/>
              </w:rPr>
            </w:pPr>
            <w:r w:rsidRPr="00285E4D">
              <w:rPr>
                <w:rFonts w:ascii="Arial Narrow" w:hAnsi="Arial Narrow" w:cs="Arial"/>
                <w:b w:val="0"/>
                <w:sz w:val="16"/>
                <w:szCs w:val="16"/>
              </w:rPr>
              <w:t>The cross-cultural validity row is not displayed because it was not assessed in any study.</w:t>
            </w:r>
          </w:p>
        </w:tc>
      </w:tr>
    </w:tbl>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 w:rsidR="00032DA3" w:rsidRDefault="00032DA3" w:rsidP="00032DA3">
      <w:pPr>
        <w:sectPr w:rsidR="00032DA3" w:rsidSect="006B1F2A">
          <w:pgSz w:w="11906" w:h="16838"/>
          <w:pgMar w:top="1417" w:right="1134" w:bottom="1134" w:left="1134" w:header="708" w:footer="708" w:gutter="0"/>
          <w:cols w:space="708"/>
          <w:docGrid w:linePitch="360"/>
        </w:sectPr>
      </w:pPr>
    </w:p>
    <w:p w:rsidR="00032DA3" w:rsidRPr="00285E4D" w:rsidRDefault="00032DA3" w:rsidP="00032DA3">
      <w:pPr>
        <w:rPr>
          <w:rFonts w:ascii="Arial" w:hAnsi="Arial" w:cs="Arial"/>
          <w:b/>
          <w:sz w:val="24"/>
          <w:szCs w:val="24"/>
        </w:rPr>
      </w:pPr>
      <w:r w:rsidRPr="00285E4D">
        <w:rPr>
          <w:rFonts w:ascii="Arial" w:hAnsi="Arial" w:cs="Arial"/>
          <w:b/>
          <w:sz w:val="24"/>
          <w:szCs w:val="24"/>
        </w:rPr>
        <w:t>C. Health-related quality of life patient-reported outcome measures</w:t>
      </w:r>
    </w:p>
    <w:tbl>
      <w:tblPr>
        <w:tblStyle w:val="LightGrid-Accent1"/>
        <w:tblW w:w="15735" w:type="dxa"/>
        <w:tblInd w:w="-318" w:type="dxa"/>
        <w:tblLayout w:type="fixed"/>
        <w:tblLook w:val="04A0" w:firstRow="1" w:lastRow="0" w:firstColumn="1" w:lastColumn="0" w:noHBand="0" w:noVBand="1"/>
      </w:tblPr>
      <w:tblGrid>
        <w:gridCol w:w="993"/>
        <w:gridCol w:w="1843"/>
        <w:gridCol w:w="992"/>
        <w:gridCol w:w="993"/>
        <w:gridCol w:w="992"/>
        <w:gridCol w:w="992"/>
        <w:gridCol w:w="992"/>
        <w:gridCol w:w="992"/>
        <w:gridCol w:w="993"/>
        <w:gridCol w:w="992"/>
        <w:gridCol w:w="992"/>
        <w:gridCol w:w="993"/>
        <w:gridCol w:w="992"/>
        <w:gridCol w:w="992"/>
        <w:gridCol w:w="992"/>
      </w:tblGrid>
      <w:tr w:rsidR="00032DA3" w:rsidTr="008E3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3"/>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sz w:val="20"/>
                <w:szCs w:val="20"/>
              </w:rPr>
            </w:pPr>
            <w:r w:rsidRPr="00285E4D">
              <w:rPr>
                <w:rFonts w:ascii="Arial Narrow" w:hAnsi="Arial Narrow"/>
                <w:sz w:val="20"/>
                <w:szCs w:val="20"/>
              </w:rPr>
              <w:t>Measurement properties</w:t>
            </w:r>
          </w:p>
        </w:tc>
        <w:tc>
          <w:tcPr>
            <w:tcW w:w="3969"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SF36</w:t>
            </w:r>
          </w:p>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p>
        </w:tc>
        <w:tc>
          <w:tcPr>
            <w:tcW w:w="198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SF12</w:t>
            </w:r>
          </w:p>
        </w:tc>
        <w:tc>
          <w:tcPr>
            <w:tcW w:w="297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EQ-5D</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NHP</w:t>
            </w:r>
          </w:p>
        </w:tc>
        <w:tc>
          <w:tcPr>
            <w:tcW w:w="198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PROMIS-GH-10</w:t>
            </w:r>
          </w:p>
        </w:tc>
      </w:tr>
      <w:tr w:rsidR="00032DA3"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3"/>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Sub-scales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PCS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MCS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TOT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PCS</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MCS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Utility</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VAS</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Domains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Sub-scales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PCS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MCS</w:t>
            </w:r>
          </w:p>
        </w:tc>
      </w:tr>
      <w:tr w:rsidR="00032DA3"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r w:rsidRPr="00285E4D">
              <w:rPr>
                <w:rFonts w:ascii="Arial Narrow" w:hAnsi="Arial Narrow"/>
                <w:sz w:val="20"/>
                <w:szCs w:val="20"/>
              </w:rPr>
              <w:t>Content validity</w:t>
            </w:r>
          </w:p>
        </w:tc>
        <w:tc>
          <w:tcPr>
            <w:tcW w:w="184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Relevance</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 xml:space="preserve">Rating </w:t>
            </w:r>
          </w:p>
        </w:tc>
        <w:tc>
          <w:tcPr>
            <w:tcW w:w="3969"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198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297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198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r>
      <w:tr w:rsidR="00032DA3"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184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Quality of Evidence</w:t>
            </w:r>
          </w:p>
        </w:tc>
        <w:tc>
          <w:tcPr>
            <w:tcW w:w="3969"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198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297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198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r>
      <w:tr w:rsidR="00032DA3"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184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Comprehensiveness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 xml:space="preserve">Rating </w:t>
            </w:r>
          </w:p>
        </w:tc>
        <w:tc>
          <w:tcPr>
            <w:tcW w:w="3969"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198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297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198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r>
      <w:tr w:rsidR="00032DA3"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184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Quality of Evidence</w:t>
            </w:r>
          </w:p>
        </w:tc>
        <w:tc>
          <w:tcPr>
            <w:tcW w:w="3969"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98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297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198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r>
      <w:tr w:rsidR="00032DA3"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184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Comprehensibility</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 xml:space="preserve">Rating </w:t>
            </w:r>
          </w:p>
        </w:tc>
        <w:tc>
          <w:tcPr>
            <w:tcW w:w="3969"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198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297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198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r>
      <w:tr w:rsidR="00032DA3"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1843"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Quality of Evidence</w:t>
            </w:r>
          </w:p>
        </w:tc>
        <w:tc>
          <w:tcPr>
            <w:tcW w:w="3969"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98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297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198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r>
      <w:tr w:rsidR="00032DA3"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r w:rsidRPr="00285E4D">
              <w:rPr>
                <w:rFonts w:ascii="Arial Narrow" w:hAnsi="Arial Narrow"/>
                <w:sz w:val="20"/>
                <w:szCs w:val="20"/>
              </w:rPr>
              <w:t>Construct validity</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Rating</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Pr>
                <w:rFonts w:ascii="Arial Narrow" w:hAnsi="Arial Narrow"/>
                <w:sz w:val="20"/>
                <w:szCs w:val="20"/>
              </w:rPr>
              <w:t>±</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ED589F">
              <w:rPr>
                <w:rFonts w:ascii="Arial Narrow" w:hAnsi="Arial Narrow"/>
                <w:sz w:val="24"/>
                <w:szCs w:val="24"/>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ED589F">
              <w:rPr>
                <w:rFonts w:ascii="Arial Narrow" w:hAnsi="Arial Narrow"/>
                <w:sz w:val="24"/>
                <w:szCs w:val="24"/>
              </w:rPr>
              <w:t>−</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r>
      <w:tr w:rsidR="00032DA3"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Quality of Evidence</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Moderate</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Moderate</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Low</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High</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High</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032DA3" w:rsidTr="008E3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r w:rsidRPr="00285E4D">
              <w:rPr>
                <w:rFonts w:ascii="Arial Narrow" w:hAnsi="Arial Narrow"/>
                <w:sz w:val="20"/>
                <w:szCs w:val="20"/>
              </w:rPr>
              <w:t>Responsiveness</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010000" w:firstRow="0" w:lastRow="0" w:firstColumn="0" w:lastColumn="0" w:oddVBand="0" w:evenVBand="0" w:oddHBand="0" w:evenHBand="1" w:firstRowFirstColumn="0" w:firstRowLastColumn="0" w:lastRowFirstColumn="0" w:lastRowLastColumn="0"/>
              <w:rPr>
                <w:rFonts w:ascii="Arial Narrow" w:hAnsi="Arial Narrow"/>
                <w:b/>
                <w:sz w:val="20"/>
                <w:szCs w:val="20"/>
              </w:rPr>
            </w:pPr>
            <w:r w:rsidRPr="00285E4D">
              <w:rPr>
                <w:rFonts w:ascii="Arial Narrow" w:hAnsi="Arial Narrow"/>
                <w:b/>
                <w:sz w:val="20"/>
                <w:szCs w:val="20"/>
              </w:rPr>
              <w:t>Rating</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cs="Arial"/>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Pr>
                <w:rFonts w:ascii="Arial Narrow" w:hAnsi="Arial Narrow"/>
                <w:sz w:val="20"/>
                <w:szCs w:val="20"/>
              </w:rPr>
              <w:t>±</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85E4D">
              <w:rPr>
                <w:rFonts w:ascii="Arial Narrow" w:hAnsi="Arial Narrow"/>
                <w:sz w:val="20"/>
                <w:szCs w:val="20"/>
              </w:rPr>
              <w:t>±</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r>
      <w:tr w:rsidR="00032DA3" w:rsidTr="008E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rPr>
                <w:rFonts w:ascii="Arial Narrow" w:hAnsi="Arial Narrow"/>
                <w:b w:val="0"/>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85E4D">
              <w:rPr>
                <w:rFonts w:ascii="Arial Narrow" w:hAnsi="Arial Narrow"/>
                <w:b/>
                <w:sz w:val="20"/>
                <w:szCs w:val="20"/>
              </w:rPr>
              <w:t>Quality of Evidence</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Very Low</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Moderate</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85E4D">
              <w:rPr>
                <w:rFonts w:ascii="Arial Narrow" w:hAnsi="Arial Narrow"/>
                <w:sz w:val="20"/>
                <w:szCs w:val="20"/>
              </w:rPr>
              <w:t>Low</w:t>
            </w:r>
          </w:p>
        </w:tc>
        <w:tc>
          <w:tcPr>
            <w:tcW w:w="99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32DA3" w:rsidRPr="00285E4D" w:rsidRDefault="00032DA3" w:rsidP="008E329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032DA3" w:rsidRPr="00F423EF" w:rsidTr="008E329A">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735" w:type="dxa"/>
            <w:gridSpan w:val="15"/>
            <w:tcBorders>
              <w:top w:val="single" w:sz="4" w:space="0" w:color="95B3D7" w:themeColor="accent1" w:themeTint="99"/>
              <w:left w:val="nil"/>
              <w:bottom w:val="nil"/>
              <w:right w:val="nil"/>
            </w:tcBorders>
          </w:tcPr>
          <w:p w:rsidR="00032DA3" w:rsidRPr="00285E4D" w:rsidRDefault="00032DA3" w:rsidP="008E329A">
            <w:pPr>
              <w:rPr>
                <w:rFonts w:ascii="Arial Narrow" w:hAnsi="Arial Narrow"/>
                <w:b w:val="0"/>
                <w:sz w:val="16"/>
                <w:szCs w:val="16"/>
              </w:rPr>
            </w:pPr>
            <w:r w:rsidRPr="00285E4D">
              <w:rPr>
                <w:rFonts w:ascii="Arial Narrow" w:hAnsi="Arial Narrow"/>
                <w:b w:val="0"/>
                <w:sz w:val="16"/>
                <w:szCs w:val="16"/>
              </w:rPr>
              <w:t>Empty cells represent measurement properties not assessed in any study.</w:t>
            </w:r>
          </w:p>
          <w:p w:rsidR="00032DA3" w:rsidRPr="00285E4D" w:rsidRDefault="00032DA3" w:rsidP="008E329A">
            <w:pPr>
              <w:rPr>
                <w:rFonts w:ascii="Arial Narrow" w:hAnsi="Arial Narrow"/>
                <w:b w:val="0"/>
                <w:sz w:val="16"/>
                <w:szCs w:val="16"/>
              </w:rPr>
            </w:pPr>
            <w:r w:rsidRPr="00285E4D">
              <w:rPr>
                <w:rFonts w:ascii="Arial Narrow" w:hAnsi="Arial Narrow"/>
                <w:b w:val="0"/>
                <w:sz w:val="16"/>
                <w:szCs w:val="16"/>
              </w:rPr>
              <w:t>PCS = Physical Component Summary score; MCS = Mental Component Summary score; TOT = Total score; VAS = Visual Analogue Scale score.</w:t>
            </w:r>
          </w:p>
          <w:p w:rsidR="00032DA3" w:rsidRDefault="00032DA3" w:rsidP="008E329A">
            <w:pPr>
              <w:rPr>
                <w:rFonts w:ascii="Arial Narrow" w:hAnsi="Arial Narrow"/>
                <w:b w:val="0"/>
                <w:sz w:val="16"/>
                <w:szCs w:val="16"/>
              </w:rPr>
            </w:pPr>
            <w:r w:rsidRPr="00285E4D">
              <w:rPr>
                <w:rFonts w:ascii="Arial Narrow" w:hAnsi="Arial Narrow"/>
                <w:b w:val="0"/>
                <w:sz w:val="16"/>
                <w:szCs w:val="16"/>
              </w:rPr>
              <w:t>“+” = sufficient results; “</w:t>
            </w:r>
            <w:r w:rsidRPr="00285E4D">
              <w:rPr>
                <w:rFonts w:ascii="Arial" w:hAnsi="Arial" w:cs="Arial"/>
                <w:b w:val="0"/>
                <w:sz w:val="16"/>
                <w:szCs w:val="16"/>
              </w:rPr>
              <w:t>‒</w:t>
            </w:r>
            <w:r w:rsidRPr="00285E4D">
              <w:rPr>
                <w:rFonts w:ascii="Arial Narrow" w:hAnsi="Arial Narrow" w:cs="Calibri"/>
                <w:b w:val="0"/>
                <w:sz w:val="16"/>
                <w:szCs w:val="16"/>
              </w:rPr>
              <w:t>”</w:t>
            </w:r>
            <w:r w:rsidRPr="00285E4D">
              <w:rPr>
                <w:rFonts w:ascii="Arial Narrow" w:hAnsi="Arial Narrow"/>
                <w:b w:val="0"/>
                <w:sz w:val="16"/>
                <w:szCs w:val="16"/>
              </w:rPr>
              <w:t xml:space="preserve"> = insufficient results; “±” = conflicting results.</w:t>
            </w:r>
          </w:p>
          <w:p w:rsidR="00032DA3" w:rsidRPr="00962B1C" w:rsidRDefault="00032DA3" w:rsidP="008E329A">
            <w:pPr>
              <w:rPr>
                <w:sz w:val="18"/>
                <w:szCs w:val="18"/>
              </w:rPr>
            </w:pPr>
            <w:r>
              <w:rPr>
                <w:rFonts w:ascii="Arial Narrow" w:hAnsi="Arial Narrow"/>
                <w:b w:val="0"/>
                <w:sz w:val="16"/>
                <w:szCs w:val="16"/>
              </w:rPr>
              <w:t>T</w:t>
            </w:r>
            <w:r w:rsidRPr="00863C67">
              <w:rPr>
                <w:rFonts w:ascii="Arial Narrow" w:hAnsi="Arial Narrow"/>
                <w:b w:val="0"/>
                <w:sz w:val="16"/>
                <w:szCs w:val="16"/>
              </w:rPr>
              <w:t xml:space="preserve">he following measurement properties were assessed only for one instrument and their evidence synthesis is not reported in the table: structural validity of SF-36 PCS and MCS was inconsistent (low quality evidence), test-retest reliability of SF-36 subscales was sufficient </w:t>
            </w:r>
            <w:r>
              <w:rPr>
                <w:rFonts w:ascii="Arial Narrow" w:hAnsi="Arial Narrow"/>
                <w:b w:val="0"/>
                <w:sz w:val="16"/>
                <w:szCs w:val="16"/>
              </w:rPr>
              <w:t>(low quality evidence), measurement error of SF-12 PCS and MCS was sufficient (low quality evidence). Internal consistency was assessed for the SF-36 subscales, SF-36 TOT, and for SF-12 PCS and MCS; the results of these studies are presented in the text but they do not represent for this measurement property, as the unidimensionality of the assessed tools has not been tested in patients with low back pain. Cross-cultural validity was not assessed for any instrument.</w:t>
            </w:r>
          </w:p>
        </w:tc>
      </w:tr>
    </w:tbl>
    <w:p w:rsidR="00032DA3" w:rsidRPr="00BA05D3" w:rsidRDefault="00032DA3" w:rsidP="00032DA3"/>
    <w:p w:rsidR="00032DA3" w:rsidRDefault="00032DA3">
      <w:r>
        <w:br w:type="page"/>
      </w:r>
    </w:p>
    <w:p w:rsidR="00032DA3" w:rsidRPr="00032DA3" w:rsidRDefault="00032DA3" w:rsidP="00032DA3">
      <w:pPr>
        <w:rPr>
          <w:rFonts w:ascii="Arial" w:eastAsiaTheme="minorEastAsia" w:hAnsi="Arial" w:cs="Arial"/>
          <w:b/>
          <w:sz w:val="24"/>
          <w:szCs w:val="24"/>
          <w:lang w:eastAsia="en-GB"/>
        </w:rPr>
      </w:pPr>
      <w:r w:rsidRPr="00032DA3">
        <w:rPr>
          <w:rFonts w:ascii="Arial" w:eastAsiaTheme="minorEastAsia" w:hAnsi="Arial" w:cs="Arial"/>
          <w:b/>
          <w:sz w:val="24"/>
          <w:szCs w:val="24"/>
          <w:lang w:eastAsia="en-GB"/>
        </w:rPr>
        <w:t>APPENDIX 3. Anonymous comments made by participants of the second Delphi round against recommending the Oswestry Disability Index version 2.1a as the only core outcome measurement instrument for physical functioning in low back pain</w:t>
      </w:r>
    </w:p>
    <w:tbl>
      <w:tblPr>
        <w:tblStyle w:val="TableGrid"/>
        <w:tblW w:w="0" w:type="auto"/>
        <w:tblLook w:val="04A0" w:firstRow="1" w:lastRow="0" w:firstColumn="1" w:lastColumn="0" w:noHBand="0" w:noVBand="1"/>
      </w:tblPr>
      <w:tblGrid>
        <w:gridCol w:w="675"/>
        <w:gridCol w:w="8537"/>
      </w:tblGrid>
      <w:tr w:rsidR="00032DA3" w:rsidRPr="00032DA3" w:rsidTr="008E329A">
        <w:tc>
          <w:tcPr>
            <w:tcW w:w="675" w:type="dxa"/>
          </w:tcPr>
          <w:p w:rsidR="00032DA3" w:rsidRPr="00032DA3" w:rsidRDefault="00032DA3" w:rsidP="00032DA3">
            <w:pPr>
              <w:spacing w:line="276" w:lineRule="auto"/>
              <w:rPr>
                <w:rFonts w:ascii="Arial" w:eastAsiaTheme="minorEastAsia" w:hAnsi="Arial" w:cs="Arial"/>
                <w:b/>
                <w:sz w:val="24"/>
                <w:szCs w:val="24"/>
                <w:lang w:eastAsia="en-GB"/>
              </w:rPr>
            </w:pPr>
            <w:r w:rsidRPr="00032DA3">
              <w:rPr>
                <w:rFonts w:ascii="Arial" w:eastAsiaTheme="minorEastAsia" w:hAnsi="Arial" w:cs="Arial"/>
                <w:b/>
                <w:sz w:val="24"/>
                <w:szCs w:val="24"/>
                <w:lang w:eastAsia="en-GB"/>
              </w:rPr>
              <w:t>n</w:t>
            </w:r>
          </w:p>
        </w:tc>
        <w:tc>
          <w:tcPr>
            <w:tcW w:w="8537" w:type="dxa"/>
          </w:tcPr>
          <w:p w:rsidR="00032DA3" w:rsidRPr="00032DA3" w:rsidRDefault="00032DA3" w:rsidP="00032DA3">
            <w:pPr>
              <w:spacing w:line="276" w:lineRule="auto"/>
              <w:rPr>
                <w:rFonts w:ascii="Arial" w:eastAsiaTheme="minorEastAsia" w:hAnsi="Arial" w:cs="Arial"/>
                <w:b/>
                <w:sz w:val="24"/>
                <w:szCs w:val="24"/>
                <w:lang w:eastAsia="en-GB"/>
              </w:rPr>
            </w:pPr>
            <w:r w:rsidRPr="00032DA3">
              <w:rPr>
                <w:rFonts w:ascii="Arial" w:eastAsiaTheme="minorEastAsia" w:hAnsi="Arial" w:cs="Arial"/>
                <w:b/>
                <w:sz w:val="24"/>
                <w:szCs w:val="24"/>
                <w:lang w:eastAsia="en-GB"/>
              </w:rPr>
              <w:t>comment</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1</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I think any fee is a barrier.</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2</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I am still worried about the fees in a core outcome measurement instrument.</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3</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I do have a problem with fees being charged for academic use, where no financial gain is expected from the research. We are essentially expecting funders (such as charities) to pay money to the questionnaire developers (i.e. into their own pockets).</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4</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Core set instruments should definitely be free to use if they are supposed to be endorsed and then possibly used in a large majority of studies.</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5</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Obviously, this is the state-of-affairs as-is, meaning that if whatever circumstances change, either higher fees may apply, or accessibility may seize for whatever reasons. So, although the absolute cost should not be restrictive, I am much more cautious about any other future implication, because of copyright protectiveness of the instrument.</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6</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This costing framework remains unacceptable. Whilst the cost for academic research is modest and would not be a problem for those of us working with well-funded research, it will remain a problem for others. I think the point of principal must stand that we should not recommend any measure attracting a fee for use. There is no guarantee that this fee structure will remain if ODI becomes part of core outcome set when we will all be forced to use it. In my view is not in The Pythia, then at the very least we need to approach the copyright holders and ensure there are no charges for researchers in LMICs. I make a general point here that if we are considering recommending measures that might attract a fee for there needs to be a conflict of interest policy. We cannot be in a position that one of the developers of measure who might stand to gain financially from use of a measure is contributing to this exercise. I further suggest that best practice would be to ask outcome developers without a financial stake to recuse themselves from discussion on that domain.</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7</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I will not pay for the use of any measurement which is developed with public money (most of them, or all are…). I am really strongly against any form of payment for the use of any questionnaire whatsoever.</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8</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What about in developing countries? Might still pose a problem if there were fees. Generally I think core sets should be freely available so this is still a little tick against for me.</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9</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Costs which seem affordable in Europe or the US may not be abroad. This is not a reason for not endorsing ODI, but a rational to ensure that at least one instrument which can be used for free is (also endorsed).</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10</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Must be free of charge. Content validity needs to be demonstrated (qualitative studies with patients).</w:t>
            </w:r>
          </w:p>
        </w:tc>
      </w:tr>
      <w:tr w:rsidR="00032DA3" w:rsidRPr="00032DA3" w:rsidTr="008E329A">
        <w:tc>
          <w:tcPr>
            <w:tcW w:w="675" w:type="dxa"/>
          </w:tcPr>
          <w:p w:rsidR="00032DA3" w:rsidRPr="00032DA3" w:rsidRDefault="00032DA3" w:rsidP="00032DA3">
            <w:pPr>
              <w:spacing w:line="276" w:lineRule="auto"/>
              <w:rPr>
                <w:rFonts w:ascii="Arial" w:eastAsiaTheme="minorEastAsia" w:hAnsi="Arial" w:cs="Arial"/>
                <w:sz w:val="24"/>
                <w:szCs w:val="24"/>
                <w:lang w:eastAsia="en-GB"/>
              </w:rPr>
            </w:pPr>
            <w:r w:rsidRPr="00032DA3">
              <w:rPr>
                <w:rFonts w:ascii="Arial" w:eastAsiaTheme="minorEastAsia" w:hAnsi="Arial" w:cs="Arial"/>
                <w:sz w:val="24"/>
                <w:szCs w:val="24"/>
                <w:lang w:eastAsia="en-GB"/>
              </w:rPr>
              <w:t>11</w:t>
            </w:r>
          </w:p>
        </w:tc>
        <w:tc>
          <w:tcPr>
            <w:tcW w:w="8537" w:type="dxa"/>
          </w:tcPr>
          <w:p w:rsidR="00032DA3" w:rsidRPr="00032DA3" w:rsidRDefault="00032DA3" w:rsidP="00032DA3">
            <w:pPr>
              <w:spacing w:line="276" w:lineRule="auto"/>
              <w:rPr>
                <w:rFonts w:ascii="Arial" w:eastAsiaTheme="minorEastAsia" w:hAnsi="Arial" w:cs="Arial"/>
                <w:i/>
                <w:sz w:val="24"/>
                <w:szCs w:val="24"/>
                <w:lang w:eastAsia="en-GB"/>
              </w:rPr>
            </w:pPr>
            <w:r w:rsidRPr="00032DA3">
              <w:rPr>
                <w:rFonts w:ascii="Arial" w:eastAsiaTheme="minorEastAsia" w:hAnsi="Arial" w:cs="Arial"/>
                <w:i/>
                <w:sz w:val="24"/>
                <w:szCs w:val="24"/>
                <w:lang w:eastAsia="en-GB"/>
              </w:rPr>
              <w:t>I am against using any outcomes which are not free but maybe I can accept ODI 2.1a despite of this substantial drawback.</w:t>
            </w:r>
          </w:p>
        </w:tc>
      </w:tr>
    </w:tbl>
    <w:p w:rsidR="00032DA3" w:rsidRPr="00032DA3" w:rsidRDefault="00032DA3" w:rsidP="00032DA3">
      <w:pPr>
        <w:rPr>
          <w:rFonts w:ascii="Arial" w:eastAsiaTheme="minorEastAsia" w:hAnsi="Arial" w:cs="Arial"/>
          <w:b/>
          <w:sz w:val="24"/>
          <w:szCs w:val="24"/>
          <w:lang w:eastAsia="en-GB"/>
        </w:rPr>
      </w:pPr>
    </w:p>
    <w:p w:rsidR="00032DA3" w:rsidRPr="00032DA3" w:rsidRDefault="00032DA3" w:rsidP="00032DA3">
      <w:pPr>
        <w:rPr>
          <w:rFonts w:eastAsiaTheme="minorEastAsia"/>
          <w:lang w:val="en-GB" w:eastAsia="en-GB"/>
        </w:rPr>
      </w:pPr>
    </w:p>
    <w:p w:rsidR="002A5CCF" w:rsidRPr="00032DA3" w:rsidRDefault="002A5CCF" w:rsidP="00032DA3">
      <w:pPr>
        <w:ind w:firstLine="708"/>
      </w:pPr>
      <w:bookmarkStart w:id="0" w:name="_GoBack"/>
      <w:bookmarkEnd w:id="0"/>
    </w:p>
    <w:sectPr w:rsidR="002A5CCF" w:rsidRPr="00032DA3" w:rsidSect="002A54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9"/>
    <w:rsid w:val="00004E1E"/>
    <w:rsid w:val="00020058"/>
    <w:rsid w:val="00032DA3"/>
    <w:rsid w:val="0005224A"/>
    <w:rsid w:val="000741CA"/>
    <w:rsid w:val="000A219A"/>
    <w:rsid w:val="001607BC"/>
    <w:rsid w:val="0018409D"/>
    <w:rsid w:val="001E63FF"/>
    <w:rsid w:val="001F3B8D"/>
    <w:rsid w:val="001F43AE"/>
    <w:rsid w:val="00230D4F"/>
    <w:rsid w:val="00297C11"/>
    <w:rsid w:val="002A5480"/>
    <w:rsid w:val="002A5CCF"/>
    <w:rsid w:val="002C750A"/>
    <w:rsid w:val="002E7663"/>
    <w:rsid w:val="00374954"/>
    <w:rsid w:val="003B64E8"/>
    <w:rsid w:val="003D1D1F"/>
    <w:rsid w:val="00487D14"/>
    <w:rsid w:val="00494A6C"/>
    <w:rsid w:val="00502364"/>
    <w:rsid w:val="00562A0E"/>
    <w:rsid w:val="00595AFE"/>
    <w:rsid w:val="006C667D"/>
    <w:rsid w:val="006D141B"/>
    <w:rsid w:val="0074418B"/>
    <w:rsid w:val="00763C85"/>
    <w:rsid w:val="007B6759"/>
    <w:rsid w:val="007E0649"/>
    <w:rsid w:val="00801011"/>
    <w:rsid w:val="00804E57"/>
    <w:rsid w:val="008215BE"/>
    <w:rsid w:val="00874998"/>
    <w:rsid w:val="00880F0B"/>
    <w:rsid w:val="008C497B"/>
    <w:rsid w:val="008C5B6A"/>
    <w:rsid w:val="00903D29"/>
    <w:rsid w:val="00947D89"/>
    <w:rsid w:val="00981676"/>
    <w:rsid w:val="009B22BE"/>
    <w:rsid w:val="00A42061"/>
    <w:rsid w:val="00A42C2C"/>
    <w:rsid w:val="00A92F6F"/>
    <w:rsid w:val="00B142C6"/>
    <w:rsid w:val="00B17F64"/>
    <w:rsid w:val="00B27AE1"/>
    <w:rsid w:val="00BB6BA2"/>
    <w:rsid w:val="00C170EB"/>
    <w:rsid w:val="00C36A48"/>
    <w:rsid w:val="00CD19C5"/>
    <w:rsid w:val="00CD41C9"/>
    <w:rsid w:val="00D313C4"/>
    <w:rsid w:val="00D3636E"/>
    <w:rsid w:val="00DF191F"/>
    <w:rsid w:val="00DF63AA"/>
    <w:rsid w:val="00E11963"/>
    <w:rsid w:val="00E23870"/>
    <w:rsid w:val="00E35160"/>
    <w:rsid w:val="00E42D34"/>
    <w:rsid w:val="00E66D6D"/>
    <w:rsid w:val="00E82143"/>
    <w:rsid w:val="00E836F1"/>
    <w:rsid w:val="00EB487F"/>
    <w:rsid w:val="00F30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7639-D87C-4DDD-A595-F66E6C05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C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E"/>
    <w:rPr>
      <w:rFonts w:ascii="Tahoma" w:hAnsi="Tahoma" w:cs="Tahoma"/>
      <w:sz w:val="16"/>
      <w:szCs w:val="16"/>
    </w:rPr>
  </w:style>
  <w:style w:type="character" w:styleId="CommentReference">
    <w:name w:val="annotation reference"/>
    <w:basedOn w:val="DefaultParagraphFont"/>
    <w:uiPriority w:val="99"/>
    <w:semiHidden/>
    <w:unhideWhenUsed/>
    <w:rsid w:val="00E836F1"/>
    <w:rPr>
      <w:sz w:val="16"/>
      <w:szCs w:val="16"/>
    </w:rPr>
  </w:style>
  <w:style w:type="paragraph" w:styleId="CommentText">
    <w:name w:val="annotation text"/>
    <w:basedOn w:val="Normal"/>
    <w:link w:val="CommentTextChar"/>
    <w:uiPriority w:val="99"/>
    <w:semiHidden/>
    <w:unhideWhenUsed/>
    <w:rsid w:val="00E836F1"/>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E836F1"/>
    <w:rPr>
      <w:sz w:val="20"/>
      <w:szCs w:val="20"/>
    </w:rPr>
  </w:style>
  <w:style w:type="paragraph" w:styleId="CommentSubject">
    <w:name w:val="annotation subject"/>
    <w:basedOn w:val="CommentText"/>
    <w:next w:val="CommentText"/>
    <w:link w:val="CommentSubjectChar"/>
    <w:uiPriority w:val="99"/>
    <w:semiHidden/>
    <w:unhideWhenUsed/>
    <w:rsid w:val="00E836F1"/>
    <w:rPr>
      <w:b/>
      <w:bCs/>
    </w:rPr>
  </w:style>
  <w:style w:type="character" w:customStyle="1" w:styleId="CommentSubjectChar">
    <w:name w:val="Comment Subject Char"/>
    <w:basedOn w:val="CommentTextChar"/>
    <w:link w:val="CommentSubject"/>
    <w:uiPriority w:val="99"/>
    <w:semiHidden/>
    <w:rsid w:val="00E836F1"/>
    <w:rPr>
      <w:b/>
      <w:bCs/>
      <w:sz w:val="20"/>
      <w:szCs w:val="20"/>
    </w:rPr>
  </w:style>
  <w:style w:type="table" w:styleId="LightGrid-Accent1">
    <w:name w:val="Light Grid Accent 1"/>
    <w:basedOn w:val="TableNormal"/>
    <w:uiPriority w:val="62"/>
    <w:rsid w:val="00032DA3"/>
    <w:pPr>
      <w:spacing w:after="0" w:line="240" w:lineRule="auto"/>
    </w:pPr>
    <w:rPr>
      <w:rFonts w:eastAsiaTheme="minorEastAsia"/>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032DA3"/>
    <w:pPr>
      <w:spacing w:after="0" w:line="240" w:lineRule="auto"/>
    </w:pPr>
    <w:rPr>
      <w:rFonts w:eastAsiaTheme="minorEastAsia"/>
      <w:color w:val="365F91" w:themeColor="accent1" w:themeShade="BF"/>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6DFD-5D5F-4C14-A089-6F57063D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Chiarotto, Alessandro</dc:creator>
  <cp:lastModifiedBy>Kiniry, Jennie</cp:lastModifiedBy>
  <cp:revision>2</cp:revision>
  <dcterms:created xsi:type="dcterms:W3CDTF">2017-11-20T20:47:00Z</dcterms:created>
  <dcterms:modified xsi:type="dcterms:W3CDTF">2017-11-20T20:47:00Z</dcterms:modified>
</cp:coreProperties>
</file>