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30" w:rsidRDefault="002F2930" w:rsidP="002F2930">
      <w:pPr>
        <w:spacing w:after="0"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Supplementary</w:t>
      </w:r>
    </w:p>
    <w:p w:rsidR="002F2930" w:rsidRDefault="002F2930" w:rsidP="002F2930">
      <w:pPr>
        <w:spacing w:after="0" w:line="48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Tissue selection, DNA extraction and sequencing</w:t>
      </w:r>
    </w:p>
    <w:p w:rsidR="002F2930" w:rsidRDefault="002F2930" w:rsidP="002F2930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DNA isolation, the area of interest was marked on H&amp;E stained tissue slides and then </w:t>
      </w:r>
      <w:proofErr w:type="spellStart"/>
      <w:r>
        <w:rPr>
          <w:rFonts w:ascii="Arial" w:eastAsia="Arial" w:hAnsi="Arial" w:cs="Arial"/>
          <w:sz w:val="24"/>
          <w:szCs w:val="24"/>
        </w:rPr>
        <w:t>macrodissected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by scratching. The DNA was isolated using the Maxwell DNA purification kit according to the manufacturer’s protocol. The DNA concentration </w:t>
      </w:r>
      <w:proofErr w:type="gramStart"/>
      <w:r>
        <w:rPr>
          <w:rFonts w:ascii="Arial" w:eastAsia="Arial" w:hAnsi="Arial" w:cs="Arial"/>
          <w:sz w:val="24"/>
          <w:szCs w:val="24"/>
        </w:rPr>
        <w:t>was quantified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using the Qubit® dsDNA HS Assay Kit (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Scientific). The Ion </w:t>
      </w:r>
      <w:proofErr w:type="spellStart"/>
      <w:r>
        <w:rPr>
          <w:rFonts w:ascii="Arial" w:eastAsia="Arial" w:hAnsi="Arial" w:cs="Arial"/>
          <w:sz w:val="24"/>
          <w:szCs w:val="24"/>
        </w:rPr>
        <w:t>AmpliSeq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Library Kit V.2.0 (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 </w:t>
      </w:r>
      <w:proofErr w:type="gramStart"/>
      <w:r>
        <w:rPr>
          <w:rFonts w:ascii="Arial" w:eastAsia="Arial" w:hAnsi="Arial" w:cs="Arial"/>
          <w:sz w:val="24"/>
          <w:szCs w:val="24"/>
        </w:rPr>
        <w:t>was used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prepare the libraries from 10-20 ng of DNA. The Ion </w:t>
      </w:r>
      <w:proofErr w:type="spellStart"/>
      <w:r>
        <w:rPr>
          <w:rFonts w:ascii="Arial" w:eastAsia="Arial" w:hAnsi="Arial" w:cs="Arial"/>
          <w:sz w:val="24"/>
          <w:szCs w:val="24"/>
        </w:rPr>
        <w:t>Ampliseq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Master Mix (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 </w:t>
      </w:r>
      <w:proofErr w:type="gramStart"/>
      <w:r>
        <w:rPr>
          <w:rFonts w:ascii="Arial" w:eastAsia="Arial" w:hAnsi="Arial" w:cs="Arial"/>
          <w:sz w:val="24"/>
          <w:szCs w:val="24"/>
        </w:rPr>
        <w:t>was used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prepare the amplicons that were digested with FUPA reagent in order to remove primer-specific sequences and tagged with the </w:t>
      </w:r>
      <w:proofErr w:type="spellStart"/>
      <w:r>
        <w:rPr>
          <w:rFonts w:ascii="Arial" w:eastAsia="Arial" w:hAnsi="Arial" w:cs="Arial"/>
          <w:sz w:val="24"/>
          <w:szCs w:val="24"/>
        </w:rPr>
        <w:t>IonCode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Barcode Adapters. Finally, the amplified products </w:t>
      </w:r>
      <w:proofErr w:type="gramStart"/>
      <w:r>
        <w:rPr>
          <w:rFonts w:ascii="Arial" w:eastAsia="Arial" w:hAnsi="Arial" w:cs="Arial"/>
          <w:sz w:val="24"/>
          <w:szCs w:val="24"/>
        </w:rPr>
        <w:t>were purified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by performing a two-step </w:t>
      </w:r>
      <w:proofErr w:type="spellStart"/>
      <w:r>
        <w:rPr>
          <w:rFonts w:ascii="Arial" w:eastAsia="Arial" w:hAnsi="Arial" w:cs="Arial"/>
          <w:sz w:val="24"/>
          <w:szCs w:val="24"/>
        </w:rPr>
        <w:t>cleanup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using the </w:t>
      </w:r>
      <w:proofErr w:type="spellStart"/>
      <w:r>
        <w:rPr>
          <w:rFonts w:ascii="Arial" w:eastAsia="Arial" w:hAnsi="Arial" w:cs="Arial"/>
          <w:sz w:val="24"/>
          <w:szCs w:val="24"/>
        </w:rPr>
        <w:t>Agencourt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AMPure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XP PCR purification system (Beckman Coulter, California, USA) at a bead to sample ratio of 1.15X and 1.0X, respectively. The Ion Library Equalizer Kit method was used to normalize the library concentration at ~100 </w:t>
      </w:r>
      <w:proofErr w:type="spellStart"/>
      <w:r>
        <w:rPr>
          <w:rFonts w:ascii="Arial" w:eastAsia="Arial" w:hAnsi="Arial" w:cs="Arial"/>
          <w:sz w:val="24"/>
          <w:szCs w:val="24"/>
        </w:rPr>
        <w:t>pM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Finally, equal volumes of normalized DNA library were combined and amplified on Ion Sphere particles (ISP; 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 by emulsion PCR using the Ion PI </w:t>
      </w:r>
      <w:proofErr w:type="spellStart"/>
      <w:r>
        <w:rPr>
          <w:rFonts w:ascii="Arial" w:eastAsia="Arial" w:hAnsi="Arial" w:cs="Arial"/>
          <w:sz w:val="24"/>
          <w:szCs w:val="24"/>
        </w:rPr>
        <w:t>HiQ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OT2 200 Kit (both 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Scientific). Quality control was performed using the Ion Sphere Quality Control kit (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 to ensure that 10%–30% of template positive ISP were generated in the emulsion PCR. The template-positive Ion PI ISP were loaded on an Ion PI Chip and sequenced on an Ion S5</w:t>
      </w:r>
      <w:r>
        <w:rPr>
          <w:rFonts w:ascii="Arial" w:eastAsia="Arial" w:hAnsi="Arial" w:cs="Arial"/>
          <w:sz w:val="24"/>
          <w:szCs w:val="24"/>
          <w:vertAlign w:val="superscript"/>
        </w:rPr>
        <w:t>TM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XLSequencer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 with the Ion PI </w:t>
      </w:r>
      <w:proofErr w:type="spellStart"/>
      <w:r>
        <w:rPr>
          <w:rFonts w:ascii="Arial" w:eastAsia="Arial" w:hAnsi="Arial" w:cs="Arial"/>
          <w:sz w:val="24"/>
          <w:szCs w:val="24"/>
        </w:rPr>
        <w:t>HiQ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Sequencing 200 Kit (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 according to the manufacturer’s instructions. </w:t>
      </w:r>
    </w:p>
    <w:p w:rsidR="002F2930" w:rsidRDefault="002F2930" w:rsidP="002F2930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2F2930" w:rsidRDefault="002F2930" w:rsidP="002F2930">
      <w:pPr>
        <w:spacing w:after="0" w:line="48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Data analysis</w:t>
      </w:r>
    </w:p>
    <w:p w:rsidR="002F2930" w:rsidRDefault="002F2930" w:rsidP="002F2930">
      <w:pPr>
        <w:spacing w:after="0" w:line="48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Raw data </w:t>
      </w:r>
      <w:proofErr w:type="gramStart"/>
      <w:r>
        <w:rPr>
          <w:rFonts w:ascii="Arial" w:eastAsia="Arial" w:hAnsi="Arial" w:cs="Arial"/>
          <w:sz w:val="24"/>
          <w:szCs w:val="24"/>
        </w:rPr>
        <w:t>was processed automatically on the Torrent Server™ and aligned to the reference hg19 genome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NGS data analysis was performed on Ion Reporter Analysis </w:t>
      </w:r>
      <w:r>
        <w:rPr>
          <w:rFonts w:ascii="Arial" w:eastAsia="Arial" w:hAnsi="Arial" w:cs="Arial"/>
          <w:sz w:val="24"/>
          <w:szCs w:val="24"/>
        </w:rPr>
        <w:lastRenderedPageBreak/>
        <w:t>Software (</w:t>
      </w:r>
      <w:proofErr w:type="spellStart"/>
      <w:r>
        <w:rPr>
          <w:rFonts w:ascii="Arial" w:eastAsia="Arial" w:hAnsi="Arial" w:cs="Arial"/>
          <w:sz w:val="24"/>
          <w:szCs w:val="24"/>
        </w:rPr>
        <w:t>ThermoFisher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Scientific) using the </w:t>
      </w:r>
      <w:proofErr w:type="spellStart"/>
      <w:r>
        <w:rPr>
          <w:rFonts w:ascii="Arial" w:eastAsia="Arial" w:hAnsi="Arial" w:cs="Arial"/>
          <w:sz w:val="24"/>
          <w:szCs w:val="24"/>
        </w:rPr>
        <w:t>AmpliSeq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Colon-Lung single sample workflow. QC was performed manually for each sample based on the following metrics; number of reads per sample &gt;500’000 on-target reads &gt; </w:t>
      </w:r>
      <w:proofErr w:type="gramStart"/>
      <w:r>
        <w:rPr>
          <w:rFonts w:ascii="Arial" w:eastAsia="Arial" w:hAnsi="Arial" w:cs="Arial"/>
          <w:sz w:val="24"/>
          <w:szCs w:val="24"/>
        </w:rPr>
        <w:t>90%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read uniformity &gt; 90%, mean read coverage &gt; 2000. The sequencing data of the QC passing samples </w:t>
      </w:r>
      <w:proofErr w:type="gramStart"/>
      <w:r>
        <w:rPr>
          <w:rFonts w:ascii="Arial" w:eastAsia="Arial" w:hAnsi="Arial" w:cs="Arial"/>
          <w:sz w:val="24"/>
          <w:szCs w:val="24"/>
        </w:rPr>
        <w:t>was then uploaded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BAM format to the Ion Reporter™ Analysis Server for variant calling and </w:t>
      </w:r>
      <w:proofErr w:type="spellStart"/>
      <w:r>
        <w:rPr>
          <w:rFonts w:ascii="Arial" w:eastAsia="Arial" w:hAnsi="Arial" w:cs="Arial"/>
          <w:sz w:val="24"/>
          <w:szCs w:val="24"/>
        </w:rPr>
        <w:t>annotation.Variants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were filtered based on </w:t>
      </w:r>
      <w:proofErr w:type="spellStart"/>
      <w:r>
        <w:rPr>
          <w:rFonts w:ascii="Arial" w:eastAsia="Arial" w:hAnsi="Arial" w:cs="Arial"/>
          <w:sz w:val="24"/>
          <w:szCs w:val="24"/>
        </w:rPr>
        <w:t>Phred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score &gt; 50, allele coverage &gt; 500, and a minimum allele frequency of 2%. Furthermore, polymorphisms </w:t>
      </w:r>
      <w:proofErr w:type="gramStart"/>
      <w:r>
        <w:rPr>
          <w:rFonts w:ascii="Arial" w:eastAsia="Arial" w:hAnsi="Arial" w:cs="Arial"/>
          <w:sz w:val="24"/>
          <w:szCs w:val="24"/>
        </w:rPr>
        <w:t>were filtered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against UCSC common SNP, </w:t>
      </w:r>
      <w:proofErr w:type="spellStart"/>
      <w:r>
        <w:rPr>
          <w:rFonts w:ascii="Arial" w:eastAsia="Arial" w:hAnsi="Arial" w:cs="Arial"/>
          <w:sz w:val="24"/>
          <w:szCs w:val="24"/>
        </w:rPr>
        <w:t>ExAC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1000 Genomes, and 5000Exomes databases. </w:t>
      </w:r>
    </w:p>
    <w:p w:rsidR="002F2930" w:rsidRDefault="002F2930" w:rsidP="002F2930">
      <w:pPr>
        <w:spacing w:after="0" w:line="480" w:lineRule="auto"/>
        <w:jc w:val="both"/>
        <w:rPr>
          <w:sz w:val="24"/>
          <w:szCs w:val="24"/>
        </w:rPr>
      </w:pPr>
    </w:p>
    <w:p w:rsidR="002F2930" w:rsidRDefault="002F2930" w:rsidP="002F2930">
      <w:pPr>
        <w:spacing w:after="0"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Sequencing panel </w:t>
      </w:r>
    </w:p>
    <w:p w:rsidR="002F2930" w:rsidRDefault="002F2930" w:rsidP="002F2930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Oncomine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™ Solid Tumour DNA Panel (22 Gene, exon </w:t>
      </w:r>
      <w:proofErr w:type="spellStart"/>
      <w:r>
        <w:rPr>
          <w:rFonts w:ascii="Arial" w:eastAsia="Arial" w:hAnsi="Arial" w:cs="Arial"/>
          <w:sz w:val="24"/>
          <w:szCs w:val="24"/>
        </w:rPr>
        <w:t>analyzed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bracket): AKT1(3), ALK(22,23,25), BRAF(11,15), CTNNB1(3), DDR2(5,8,12,13,14,15,17), EGFR(12,18,19,20,21), 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RBB2(19,20,21), ERBB4(3,4,6,7,8,9,15,23), FBXW7(5,8,9,10,11), FGFR1(4,7), FGFR2(7,9,12), FGFR3(7,9,14,16,18), KRAS(2,3,4), MAP2K1(2), MET(2,14,16,19), NOTCH1(26,27), NRAS(2,3,4), PIK3CA(10,14,21), PTEN(1,3,6,7,8), SMAD4(3,5,6,8,9,10,11,12), STK11(1,4,5,6), TP53(2,4,5,6,7,8,10)</w:t>
      </w:r>
    </w:p>
    <w:p w:rsidR="002F2930" w:rsidRDefault="002F2930" w:rsidP="002F2930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:rsidR="002F2930" w:rsidRDefault="002F2930" w:rsidP="002F2930">
      <w:pPr>
        <w:spacing w:after="0" w:line="48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Sanger sequencing</w:t>
      </w:r>
    </w:p>
    <w:p w:rsidR="00DA52CD" w:rsidRPr="00A9349B" w:rsidRDefault="002F2930" w:rsidP="002F2930">
      <w:pPr>
        <w:spacing w:line="480" w:lineRule="auto"/>
        <w:rPr>
          <w:rFonts w:ascii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FGFR1 </w:t>
      </w:r>
      <w:r>
        <w:rPr>
          <w:rFonts w:ascii="Arial" w:eastAsia="Arial" w:hAnsi="Arial" w:cs="Arial"/>
          <w:sz w:val="24"/>
          <w:szCs w:val="24"/>
        </w:rPr>
        <w:t xml:space="preserve">(exon 7) and </w:t>
      </w:r>
      <w:r>
        <w:rPr>
          <w:rFonts w:ascii="Arial" w:eastAsia="Arial" w:hAnsi="Arial" w:cs="Arial"/>
          <w:i/>
          <w:sz w:val="24"/>
          <w:szCs w:val="24"/>
        </w:rPr>
        <w:t>TRPV4</w:t>
      </w:r>
      <w:r>
        <w:rPr>
          <w:rFonts w:ascii="Arial" w:eastAsia="Arial" w:hAnsi="Arial" w:cs="Arial"/>
          <w:sz w:val="24"/>
          <w:szCs w:val="24"/>
        </w:rPr>
        <w:t xml:space="preserve"> (exon 12) mutations were screened by Sanger sequencing. Primers were designed using Primer3 online software (http://bioinfo.ut.ee/primer3-0.4.0/). Primer sequences used for the amplification of </w:t>
      </w:r>
      <w:r>
        <w:rPr>
          <w:rFonts w:ascii="Arial" w:eastAsia="Arial" w:hAnsi="Arial" w:cs="Arial"/>
          <w:i/>
          <w:sz w:val="24"/>
          <w:szCs w:val="24"/>
        </w:rPr>
        <w:t>FGFR1</w:t>
      </w:r>
      <w:r>
        <w:rPr>
          <w:rFonts w:ascii="Arial" w:eastAsia="Arial" w:hAnsi="Arial" w:cs="Arial"/>
          <w:sz w:val="24"/>
          <w:szCs w:val="24"/>
        </w:rPr>
        <w:t xml:space="preserve"> (exon7) and </w:t>
      </w:r>
      <w:r>
        <w:rPr>
          <w:rFonts w:ascii="Arial" w:eastAsia="Arial" w:hAnsi="Arial" w:cs="Arial"/>
          <w:i/>
          <w:sz w:val="24"/>
          <w:szCs w:val="24"/>
        </w:rPr>
        <w:t>TRPV4</w:t>
      </w:r>
      <w:r>
        <w:rPr>
          <w:rFonts w:ascii="Arial" w:eastAsia="Arial" w:hAnsi="Arial" w:cs="Arial"/>
          <w:sz w:val="24"/>
          <w:szCs w:val="24"/>
        </w:rPr>
        <w:t xml:space="preserve"> (exon 12) were respectively: (Forward) 5’ GCTTGTCCATTTTGCTTCCGT 3’, (Reverse) 5’ GCAGGACATCGAGAGGAGAA 3’ and (Forward) 5’ CGAGACCTTCAGCACCTTCC 3’, (Reverse) 5’ GCTTCCAGATGTGCTTGCTC 3’. PCR products were </w:t>
      </w:r>
      <w:proofErr w:type="spellStart"/>
      <w:r>
        <w:rPr>
          <w:rFonts w:ascii="Arial" w:eastAsia="Arial" w:hAnsi="Arial" w:cs="Arial"/>
          <w:sz w:val="24"/>
          <w:szCs w:val="24"/>
        </w:rPr>
        <w:t>bidirectionally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sequenced on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an ABI 3130XL Genetic </w:t>
      </w:r>
      <w:proofErr w:type="spellStart"/>
      <w:r>
        <w:rPr>
          <w:rFonts w:ascii="Arial" w:eastAsia="Arial" w:hAnsi="Arial" w:cs="Arial"/>
          <w:sz w:val="24"/>
          <w:szCs w:val="24"/>
        </w:rPr>
        <w:t>Analyzer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(Applied </w:t>
      </w:r>
      <w:proofErr w:type="spellStart"/>
      <w:r>
        <w:rPr>
          <w:rFonts w:ascii="Arial" w:eastAsia="Arial" w:hAnsi="Arial" w:cs="Arial"/>
          <w:sz w:val="24"/>
          <w:szCs w:val="24"/>
        </w:rPr>
        <w:t>Biosystems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USA) and resulting chromatograms were visualized using ABI Prism 3130 Genetic </w:t>
      </w:r>
      <w:proofErr w:type="spellStart"/>
      <w:r>
        <w:rPr>
          <w:rFonts w:ascii="Arial" w:eastAsia="Arial" w:hAnsi="Arial" w:cs="Arial"/>
          <w:sz w:val="24"/>
          <w:szCs w:val="24"/>
        </w:rPr>
        <w:t>Analyzer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(Applied </w:t>
      </w:r>
      <w:proofErr w:type="spellStart"/>
      <w:r>
        <w:rPr>
          <w:rFonts w:ascii="Arial" w:eastAsia="Arial" w:hAnsi="Arial" w:cs="Arial"/>
          <w:sz w:val="24"/>
          <w:szCs w:val="24"/>
        </w:rPr>
        <w:t>Biosystems</w:t>
      </w:r>
      <w:proofErr w:type="spellEnd"/>
      <w:r>
        <w:rPr>
          <w:rFonts w:ascii="Arial" w:eastAsia="Arial" w:hAnsi="Arial" w:cs="Arial"/>
          <w:sz w:val="24"/>
          <w:szCs w:val="24"/>
        </w:rPr>
        <w:t>, USA). PCR conditions are available upon request.</w:t>
      </w:r>
    </w:p>
    <w:sectPr w:rsidR="00DA52CD" w:rsidRPr="00A93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30"/>
    <w:rsid w:val="002F2930"/>
    <w:rsid w:val="0072163E"/>
    <w:rsid w:val="008145F0"/>
    <w:rsid w:val="00A9349B"/>
    <w:rsid w:val="00D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44526-982B-488C-828F-491A1E2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930"/>
    <w:rPr>
      <w:rFonts w:ascii="Calibri" w:eastAsia="Calibri" w:hAnsi="Calibri" w:cs="Calibri"/>
      <w:lang w:val="en-GB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Turek</dc:creator>
  <cp:keywords/>
  <dc:description/>
  <cp:lastModifiedBy>Daniel Turek</cp:lastModifiedBy>
  <cp:revision>1</cp:revision>
  <dcterms:created xsi:type="dcterms:W3CDTF">2022-02-04T08:45:00Z</dcterms:created>
  <dcterms:modified xsi:type="dcterms:W3CDTF">2022-02-04T08:49:00Z</dcterms:modified>
</cp:coreProperties>
</file>