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79" w:rsidRPr="00561C79" w:rsidRDefault="00561C79" w:rsidP="00561C79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61C79">
        <w:rPr>
          <w:rFonts w:ascii="Verdana" w:hAnsi="Verdana"/>
          <w:b/>
          <w:bCs/>
          <w:sz w:val="20"/>
          <w:szCs w:val="20"/>
        </w:rPr>
        <w:t>Supplementary table 2: Distribution of selected cardiac MRI imaging findings in COVID-19 patients with abnormal MRI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35"/>
        <w:gridCol w:w="2610"/>
        <w:gridCol w:w="2610"/>
      </w:tblGrid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b/>
                <w:iCs/>
                <w:sz w:val="20"/>
                <w:szCs w:val="20"/>
              </w:rPr>
              <w:t>Distribution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b/>
                <w:iCs/>
                <w:sz w:val="20"/>
                <w:szCs w:val="20"/>
              </w:rPr>
              <w:t xml:space="preserve">Number of </w:t>
            </w:r>
            <w:r>
              <w:rPr>
                <w:rFonts w:ascii="Verdana" w:hAnsi="Verdana"/>
                <w:b/>
                <w:iCs/>
                <w:sz w:val="20"/>
                <w:szCs w:val="20"/>
              </w:rPr>
              <w:t xml:space="preserve">studies where the </w:t>
            </w:r>
            <w:r w:rsidRPr="00561C79">
              <w:rPr>
                <w:rFonts w:ascii="Verdana" w:hAnsi="Verdana"/>
                <w:b/>
                <w:iCs/>
                <w:sz w:val="20"/>
                <w:szCs w:val="20"/>
              </w:rPr>
              <w:t xml:space="preserve">corresponding data has been provided 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b/>
                <w:iCs/>
                <w:sz w:val="20"/>
                <w:szCs w:val="20"/>
              </w:rPr>
              <w:t>Pooled incidence</w:t>
            </w:r>
            <w:r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Pr="00561C79">
              <w:rPr>
                <w:rFonts w:ascii="Verdana" w:hAnsi="Verdana"/>
                <w:b/>
                <w:iCs/>
                <w:sz w:val="20"/>
                <w:szCs w:val="20"/>
              </w:rPr>
              <w:t xml:space="preserve">(according to </w:t>
            </w:r>
            <w:r w:rsidRPr="00561C79">
              <w:rPr>
                <w:rFonts w:ascii="Verdana" w:hAnsi="Verdana"/>
                <w:b/>
                <w:sz w:val="20"/>
                <w:szCs w:val="20"/>
              </w:rPr>
              <w:t xml:space="preserve">abnormal </w:t>
            </w:r>
            <w:r w:rsidRPr="00561C79">
              <w:rPr>
                <w:rFonts w:ascii="Verdana" w:hAnsi="Verdana"/>
                <w:b/>
                <w:iCs/>
                <w:sz w:val="20"/>
                <w:szCs w:val="20"/>
              </w:rPr>
              <w:t>MRI)</w:t>
            </w:r>
          </w:p>
        </w:tc>
      </w:tr>
      <w:tr w:rsidR="00561C79" w:rsidRPr="00561C79" w:rsidTr="00561C79">
        <w:trPr>
          <w:trHeight w:val="288"/>
        </w:trPr>
        <w:tc>
          <w:tcPr>
            <w:tcW w:w="9355" w:type="dxa"/>
            <w:gridSpan w:val="3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1C79">
              <w:rPr>
                <w:rFonts w:ascii="Verdana" w:hAnsi="Verdana"/>
                <w:b/>
                <w:bCs/>
                <w:sz w:val="20"/>
                <w:szCs w:val="20"/>
              </w:rPr>
              <w:t>Segments with RWMA when RWMA is present: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Diffuse hypokinesia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9/13 (69.2%)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Dyskinesia of inferolateral wall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1/13 (7.6%)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 w:rsidRPr="00561C79">
              <w:rPr>
                <w:rFonts w:ascii="Verdana" w:hAnsi="Verdana"/>
                <w:iCs/>
                <w:sz w:val="20"/>
                <w:szCs w:val="20"/>
              </w:rPr>
              <w:t>Medioapical</w:t>
            </w:r>
            <w:proofErr w:type="spellEnd"/>
            <w:r w:rsidRPr="00561C79">
              <w:rPr>
                <w:rFonts w:ascii="Verdana" w:hAnsi="Verdana"/>
                <w:iCs/>
                <w:sz w:val="20"/>
                <w:szCs w:val="20"/>
              </w:rPr>
              <w:t xml:space="preserve"> segments of LV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1/13 (7.6%)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 xml:space="preserve">Inferior and </w:t>
            </w:r>
            <w:proofErr w:type="spellStart"/>
            <w:r w:rsidRPr="00561C79">
              <w:rPr>
                <w:rFonts w:ascii="Verdana" w:hAnsi="Verdana"/>
                <w:iCs/>
                <w:sz w:val="20"/>
                <w:szCs w:val="20"/>
              </w:rPr>
              <w:t>inferoseptal</w:t>
            </w:r>
            <w:proofErr w:type="spellEnd"/>
            <w:r w:rsidRPr="00561C79">
              <w:rPr>
                <w:rFonts w:ascii="Verdana" w:hAnsi="Verdana"/>
                <w:iCs/>
                <w:sz w:val="20"/>
                <w:szCs w:val="20"/>
              </w:rPr>
              <w:t xml:space="preserve"> hypokinesia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2/13 (15.3%)</w:t>
            </w:r>
          </w:p>
        </w:tc>
      </w:tr>
      <w:tr w:rsidR="00561C79" w:rsidRPr="00561C79" w:rsidTr="00561C79">
        <w:trPr>
          <w:trHeight w:val="288"/>
        </w:trPr>
        <w:tc>
          <w:tcPr>
            <w:tcW w:w="9355" w:type="dxa"/>
            <w:gridSpan w:val="3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b/>
                <w:bCs/>
                <w:sz w:val="20"/>
                <w:szCs w:val="20"/>
              </w:rPr>
              <w:t xml:space="preserve">Pattern of perfusion deficit, </w:t>
            </w:r>
            <w:r w:rsidRPr="00561C79">
              <w:rPr>
                <w:rFonts w:ascii="Verdana" w:hAnsi="Verdana"/>
                <w:b/>
                <w:bCs/>
                <w:iCs/>
                <w:sz w:val="20"/>
                <w:szCs w:val="20"/>
              </w:rPr>
              <w:t>when described</w:t>
            </w:r>
            <w:r w:rsidRPr="00561C7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Diffuse biventricular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Ischemia</w:t>
            </w:r>
          </w:p>
        </w:tc>
        <w:tc>
          <w:tcPr>
            <w:tcW w:w="2610" w:type="dxa"/>
            <w:vMerge w:val="restart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9/19 (47.4%)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Inducible ischemia</w:t>
            </w:r>
          </w:p>
        </w:tc>
        <w:tc>
          <w:tcPr>
            <w:tcW w:w="2610" w:type="dxa"/>
            <w:vMerge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8/19 (42.1%)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None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61C79" w:rsidRPr="00561C79" w:rsidTr="00561C79">
        <w:trPr>
          <w:trHeight w:val="288"/>
        </w:trPr>
        <w:tc>
          <w:tcPr>
            <w:tcW w:w="9355" w:type="dxa"/>
            <w:gridSpan w:val="3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1C79">
              <w:rPr>
                <w:rFonts w:ascii="Verdana" w:hAnsi="Verdana"/>
                <w:b/>
                <w:bCs/>
                <w:sz w:val="20"/>
                <w:szCs w:val="20"/>
              </w:rPr>
              <w:t xml:space="preserve">Segments with EGE, </w:t>
            </w:r>
            <w:r w:rsidRPr="00561C79">
              <w:rPr>
                <w:rFonts w:ascii="Verdana" w:hAnsi="Verdana"/>
                <w:b/>
                <w:bCs/>
                <w:iCs/>
                <w:sz w:val="20"/>
                <w:szCs w:val="20"/>
              </w:rPr>
              <w:t>when described</w:t>
            </w:r>
            <w:r w:rsidRPr="00561C7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Basal posterolateral wall of LV (</w:t>
            </w:r>
            <w:proofErr w:type="spellStart"/>
            <w:r w:rsidRPr="00561C79">
              <w:rPr>
                <w:rFonts w:ascii="Verdana" w:hAnsi="Verdana"/>
                <w:iCs/>
                <w:sz w:val="20"/>
                <w:szCs w:val="20"/>
              </w:rPr>
              <w:t>hyperemia</w:t>
            </w:r>
            <w:proofErr w:type="spellEnd"/>
            <w:r w:rsidRPr="00561C79">
              <w:rPr>
                <w:rFonts w:ascii="Verdana" w:hAnsi="Verdana"/>
                <w:iCs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No EGE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61C79" w:rsidRPr="00561C79" w:rsidTr="00561C79">
        <w:trPr>
          <w:trHeight w:val="288"/>
        </w:trPr>
        <w:tc>
          <w:tcPr>
            <w:tcW w:w="9355" w:type="dxa"/>
            <w:gridSpan w:val="3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1C79">
              <w:rPr>
                <w:rFonts w:ascii="Verdana" w:hAnsi="Verdana"/>
                <w:b/>
                <w:bCs/>
                <w:sz w:val="20"/>
                <w:szCs w:val="20"/>
              </w:rPr>
              <w:t>Segments of LV with LGE when clearly described: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Basal</w:t>
            </w:r>
          </w:p>
        </w:tc>
        <w:tc>
          <w:tcPr>
            <w:tcW w:w="2610" w:type="dxa"/>
            <w:vMerge w:val="restart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9/15 (60%)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Mid</w:t>
            </w:r>
          </w:p>
        </w:tc>
        <w:tc>
          <w:tcPr>
            <w:tcW w:w="2610" w:type="dxa"/>
            <w:vMerge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10/15 (66.7%)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Apical</w:t>
            </w:r>
          </w:p>
        </w:tc>
        <w:tc>
          <w:tcPr>
            <w:tcW w:w="2610" w:type="dxa"/>
            <w:vMerge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2/15 (13.3%)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Lateral, anterolateral</w:t>
            </w:r>
          </w:p>
        </w:tc>
        <w:tc>
          <w:tcPr>
            <w:tcW w:w="2610" w:type="dxa"/>
            <w:vMerge w:val="restart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24</w:t>
            </w:r>
          </w:p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lastRenderedPageBreak/>
              <w:t>11/41 (26.8%)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lastRenderedPageBreak/>
              <w:t xml:space="preserve">Inferior, </w:t>
            </w:r>
            <w:proofErr w:type="spellStart"/>
            <w:r w:rsidRPr="00561C79">
              <w:rPr>
                <w:rFonts w:ascii="Verdana" w:hAnsi="Verdana"/>
                <w:iCs/>
                <w:sz w:val="20"/>
                <w:szCs w:val="20"/>
              </w:rPr>
              <w:t>inferoseptal</w:t>
            </w:r>
            <w:proofErr w:type="spellEnd"/>
            <w:r w:rsidRPr="00561C79">
              <w:rPr>
                <w:rFonts w:ascii="Verdana" w:hAnsi="Verdana"/>
                <w:iCs/>
                <w:sz w:val="20"/>
                <w:szCs w:val="20"/>
              </w:rPr>
              <w:t>, inferolateral</w:t>
            </w:r>
          </w:p>
        </w:tc>
        <w:tc>
          <w:tcPr>
            <w:tcW w:w="2610" w:type="dxa"/>
            <w:vMerge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26/41 (63.4%)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 xml:space="preserve">Anterior, </w:t>
            </w:r>
            <w:proofErr w:type="spellStart"/>
            <w:r w:rsidRPr="00561C79">
              <w:rPr>
                <w:rFonts w:ascii="Verdana" w:hAnsi="Verdana"/>
                <w:iCs/>
                <w:sz w:val="20"/>
                <w:szCs w:val="20"/>
              </w:rPr>
              <w:t>anteroseptal</w:t>
            </w:r>
            <w:proofErr w:type="spellEnd"/>
          </w:p>
        </w:tc>
        <w:tc>
          <w:tcPr>
            <w:tcW w:w="2610" w:type="dxa"/>
            <w:vMerge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4/41 (9.7%)</w:t>
            </w:r>
          </w:p>
        </w:tc>
      </w:tr>
      <w:tr w:rsidR="00561C79" w:rsidRPr="00561C79" w:rsidTr="00561C79">
        <w:trPr>
          <w:trHeight w:val="288"/>
        </w:trPr>
        <w:tc>
          <w:tcPr>
            <w:tcW w:w="9355" w:type="dxa"/>
            <w:gridSpan w:val="3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1C79">
              <w:rPr>
                <w:rFonts w:ascii="Verdana" w:hAnsi="Verdana"/>
                <w:b/>
                <w:bCs/>
                <w:sz w:val="20"/>
                <w:szCs w:val="20"/>
              </w:rPr>
              <w:t>Pattern of LGE in patients with positive MRI: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 w:rsidRPr="00561C79">
              <w:rPr>
                <w:rFonts w:ascii="Verdana" w:hAnsi="Verdana"/>
                <w:iCs/>
                <w:sz w:val="20"/>
                <w:szCs w:val="20"/>
              </w:rPr>
              <w:t>Subepicardial</w:t>
            </w:r>
            <w:proofErr w:type="spellEnd"/>
            <w:r w:rsidRPr="00561C79">
              <w:rPr>
                <w:rFonts w:ascii="Verdana" w:hAnsi="Verdana"/>
                <w:iCs/>
                <w:sz w:val="20"/>
                <w:szCs w:val="20"/>
              </w:rPr>
              <w:t xml:space="preserve">/Myocarditis like LGE </w:t>
            </w:r>
          </w:p>
        </w:tc>
        <w:tc>
          <w:tcPr>
            <w:tcW w:w="2610" w:type="dxa"/>
            <w:vMerge w:val="restart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43/53 (81.1%)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Ischemic pattern LGE</w:t>
            </w:r>
          </w:p>
        </w:tc>
        <w:tc>
          <w:tcPr>
            <w:tcW w:w="2610" w:type="dxa"/>
            <w:vMerge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21/ 53 (16.9%)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Mid wall/intramyocardial</w:t>
            </w:r>
          </w:p>
        </w:tc>
        <w:tc>
          <w:tcPr>
            <w:tcW w:w="2610" w:type="dxa"/>
            <w:vMerge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15/53 (33.9%)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Diffuse biventricular</w:t>
            </w:r>
          </w:p>
        </w:tc>
        <w:tc>
          <w:tcPr>
            <w:tcW w:w="2610" w:type="dxa"/>
            <w:vMerge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1/53 (1.9%)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Transmural</w:t>
            </w:r>
          </w:p>
        </w:tc>
        <w:tc>
          <w:tcPr>
            <w:tcW w:w="2610" w:type="dxa"/>
            <w:vMerge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1/53 (1.9%)</w:t>
            </w:r>
          </w:p>
        </w:tc>
      </w:tr>
      <w:tr w:rsidR="00561C79" w:rsidRPr="00561C79" w:rsidTr="00561C79">
        <w:trPr>
          <w:trHeight w:val="288"/>
        </w:trPr>
        <w:tc>
          <w:tcPr>
            <w:tcW w:w="9355" w:type="dxa"/>
            <w:gridSpan w:val="3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1C79">
              <w:rPr>
                <w:rFonts w:ascii="Verdana" w:hAnsi="Verdana"/>
                <w:b/>
                <w:bCs/>
                <w:iCs/>
                <w:sz w:val="20"/>
                <w:szCs w:val="20"/>
              </w:rPr>
              <w:t>T1 mapping values for segments (Only 1.5T included), when described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Global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Mean-1165.59ms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 w:rsidRPr="00561C79">
              <w:rPr>
                <w:rFonts w:ascii="Verdana" w:hAnsi="Verdana"/>
                <w:iCs/>
                <w:sz w:val="20"/>
                <w:szCs w:val="20"/>
              </w:rPr>
              <w:t>Anteroseptal</w:t>
            </w:r>
            <w:proofErr w:type="spellEnd"/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 xml:space="preserve">1102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Posterolateral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 xml:space="preserve">1209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Mid septum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 xml:space="preserve">1431 and 1047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Lateral wall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 xml:space="preserve">1453 and 1206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</w:p>
        </w:tc>
      </w:tr>
      <w:tr w:rsidR="00561C79" w:rsidRPr="00561C79" w:rsidTr="00561C79">
        <w:trPr>
          <w:trHeight w:val="288"/>
        </w:trPr>
        <w:tc>
          <w:tcPr>
            <w:tcW w:w="9355" w:type="dxa"/>
            <w:gridSpan w:val="3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1C79">
              <w:rPr>
                <w:rFonts w:ascii="Verdana" w:hAnsi="Verdana"/>
                <w:b/>
                <w:bCs/>
                <w:iCs/>
                <w:sz w:val="20"/>
                <w:szCs w:val="20"/>
              </w:rPr>
              <w:t>T2 mapping values for segments (Only 1.5T), when described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Global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 xml:space="preserve">Mean- 54.65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  <w:r w:rsidRPr="00561C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 w:rsidRPr="00561C79">
              <w:rPr>
                <w:rFonts w:ascii="Verdana" w:hAnsi="Verdana"/>
                <w:iCs/>
                <w:sz w:val="20"/>
                <w:szCs w:val="20"/>
              </w:rPr>
              <w:t>Anteroseptal</w:t>
            </w:r>
            <w:proofErr w:type="spellEnd"/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 xml:space="preserve">57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Posterolateral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 xml:space="preserve">69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Mid septum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 xml:space="preserve">53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Lateral wall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 xml:space="preserve">67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</w:p>
        </w:tc>
      </w:tr>
      <w:tr w:rsidR="00561C79" w:rsidRPr="00561C79" w:rsidTr="00561C79">
        <w:trPr>
          <w:trHeight w:val="288"/>
        </w:trPr>
        <w:tc>
          <w:tcPr>
            <w:tcW w:w="9355" w:type="dxa"/>
            <w:gridSpan w:val="3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1C79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ECV values </w:t>
            </w:r>
            <w:bookmarkStart w:id="0" w:name="_GoBack"/>
            <w:bookmarkEnd w:id="0"/>
            <w:r w:rsidRPr="00561C79">
              <w:rPr>
                <w:rFonts w:ascii="Verdana" w:hAnsi="Verdana"/>
                <w:b/>
                <w:bCs/>
                <w:iCs/>
                <w:sz w:val="20"/>
                <w:szCs w:val="20"/>
              </w:rPr>
              <w:t>when described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Global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 xml:space="preserve">Mean- 34.24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  <w:r w:rsidRPr="00561C79">
              <w:rPr>
                <w:rFonts w:ascii="Verdana" w:hAnsi="Verdana"/>
                <w:sz w:val="20"/>
                <w:szCs w:val="20"/>
              </w:rPr>
              <w:t xml:space="preserve"> (30 and 36, 28.2, 36, 33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  <w:r w:rsidRPr="00561C79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lastRenderedPageBreak/>
              <w:t>Mid septum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 xml:space="preserve">29.7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  <w:r w:rsidRPr="00561C79">
              <w:rPr>
                <w:rFonts w:ascii="Verdana" w:hAnsi="Verdana"/>
                <w:sz w:val="20"/>
                <w:szCs w:val="20"/>
              </w:rPr>
              <w:t xml:space="preserve"> and 29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Lateral wall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 xml:space="preserve">61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  <w:r w:rsidRPr="00561C79">
              <w:rPr>
                <w:rFonts w:ascii="Verdana" w:hAnsi="Verdana"/>
                <w:sz w:val="20"/>
                <w:szCs w:val="20"/>
              </w:rPr>
              <w:t xml:space="preserve"> and 39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 w:rsidRPr="00561C79">
              <w:rPr>
                <w:rFonts w:ascii="Verdana" w:hAnsi="Verdana"/>
                <w:iCs/>
                <w:sz w:val="20"/>
                <w:szCs w:val="20"/>
              </w:rPr>
              <w:t>Anteroseptal</w:t>
            </w:r>
            <w:proofErr w:type="spellEnd"/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 xml:space="preserve">33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</w:p>
        </w:tc>
      </w:tr>
      <w:tr w:rsidR="00561C79" w:rsidRPr="00561C79" w:rsidTr="00561C79">
        <w:trPr>
          <w:trHeight w:val="288"/>
        </w:trPr>
        <w:tc>
          <w:tcPr>
            <w:tcW w:w="4135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61C79">
              <w:rPr>
                <w:rFonts w:ascii="Verdana" w:hAnsi="Verdana"/>
                <w:iCs/>
                <w:sz w:val="20"/>
                <w:szCs w:val="20"/>
              </w:rPr>
              <w:t>Posterolateral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561C79" w:rsidRPr="00561C79" w:rsidRDefault="00561C79" w:rsidP="00561C79">
            <w:pPr>
              <w:spacing w:after="160" w:line="360" w:lineRule="auto"/>
              <w:rPr>
                <w:rFonts w:ascii="Verdana" w:hAnsi="Verdana"/>
                <w:sz w:val="20"/>
                <w:szCs w:val="20"/>
              </w:rPr>
            </w:pPr>
            <w:r w:rsidRPr="00561C79">
              <w:rPr>
                <w:rFonts w:ascii="Verdana" w:hAnsi="Verdana"/>
                <w:sz w:val="20"/>
                <w:szCs w:val="20"/>
              </w:rPr>
              <w:t xml:space="preserve">39 </w:t>
            </w:r>
            <w:proofErr w:type="spellStart"/>
            <w:r w:rsidRPr="00561C79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</w:p>
        </w:tc>
      </w:tr>
    </w:tbl>
    <w:p w:rsidR="00561C79" w:rsidRPr="00561C79" w:rsidRDefault="00561C79" w:rsidP="00561C79">
      <w:pPr>
        <w:spacing w:line="360" w:lineRule="auto"/>
        <w:rPr>
          <w:rFonts w:ascii="Verdana" w:hAnsi="Verdana"/>
          <w:sz w:val="20"/>
          <w:szCs w:val="20"/>
        </w:rPr>
      </w:pPr>
    </w:p>
    <w:sectPr w:rsidR="00561C79" w:rsidRPr="0056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79"/>
    <w:rsid w:val="00561C79"/>
    <w:rsid w:val="00B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19DEC-353F-4F26-82D7-2499AD2A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C79"/>
    <w:pPr>
      <w:spacing w:after="0" w:line="240" w:lineRule="auto"/>
    </w:pPr>
    <w:rPr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niraj</dc:creator>
  <cp:keywords/>
  <dc:description/>
  <cp:lastModifiedBy>Dr niraj</cp:lastModifiedBy>
  <cp:revision>1</cp:revision>
  <dcterms:created xsi:type="dcterms:W3CDTF">2020-08-08T17:04:00Z</dcterms:created>
  <dcterms:modified xsi:type="dcterms:W3CDTF">2020-08-08T17:06:00Z</dcterms:modified>
</cp:coreProperties>
</file>