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12" w:type="dxa"/>
        <w:tblLayout w:type="fixed"/>
        <w:tblLook w:val="04A0" w:firstRow="1" w:lastRow="0" w:firstColumn="1" w:lastColumn="0" w:noHBand="0" w:noVBand="1"/>
      </w:tblPr>
      <w:tblGrid>
        <w:gridCol w:w="7006"/>
        <w:gridCol w:w="1906"/>
      </w:tblGrid>
      <w:tr w:rsidR="00E603F0" w:rsidRPr="007F2DFE" w14:paraId="473926AC" w14:textId="77777777" w:rsidTr="00C82A90">
        <w:trPr>
          <w:trHeight w:val="547"/>
        </w:trPr>
        <w:tc>
          <w:tcPr>
            <w:tcW w:w="8912" w:type="dxa"/>
            <w:gridSpan w:val="2"/>
            <w:shd w:val="clear" w:color="auto" w:fill="auto"/>
            <w:vAlign w:val="center"/>
          </w:tcPr>
          <w:p w14:paraId="3B625A90" w14:textId="57BEC69D" w:rsidR="00E603F0" w:rsidRPr="003A7207" w:rsidRDefault="00E603F0" w:rsidP="00C82A9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SUPPLEMENTAL </w:t>
            </w:r>
            <w:r w:rsidRPr="003A7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3A7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Statements Regarding ECMO Support for Pediatric Patients with COVID-19 Related </w:t>
            </w:r>
            <w:proofErr w:type="gramStart"/>
            <w:r w:rsidRPr="003A7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Illness.*</w:t>
            </w:r>
            <w:proofErr w:type="gramEnd"/>
          </w:p>
        </w:tc>
      </w:tr>
      <w:tr w:rsidR="00E603F0" w:rsidRPr="007F2DFE" w14:paraId="4E7D9601" w14:textId="77777777" w:rsidTr="00C82A90">
        <w:trPr>
          <w:trHeight w:val="731"/>
        </w:trPr>
        <w:tc>
          <w:tcPr>
            <w:tcW w:w="8912" w:type="dxa"/>
            <w:gridSpan w:val="2"/>
            <w:shd w:val="clear" w:color="auto" w:fill="525252" w:themeFill="accent3" w:themeFillShade="80"/>
            <w:vAlign w:val="center"/>
          </w:tcPr>
          <w:p w14:paraId="768D5E96" w14:textId="77777777" w:rsidR="00E603F0" w:rsidRPr="003A7207" w:rsidRDefault="00E603F0" w:rsidP="00C82A90">
            <w:pPr>
              <w:pStyle w:val="TableStyle2"/>
              <w:spacing w:line="276" w:lineRule="auto"/>
              <w:rPr>
                <w:rFonts w:ascii="Times" w:eastAsia="Arial Unicode MS" w:hAnsi="Times" w:cs="Arial Unicode MS"/>
                <w:b/>
                <w:bCs/>
                <w:iCs/>
                <w:color w:val="FFFFFF" w:themeColor="background1"/>
              </w:rPr>
            </w:pPr>
            <w:r>
              <w:rPr>
                <w:rFonts w:ascii="Times" w:eastAsia="Arial Unicode MS" w:hAnsi="Times" w:cs="Arial Unicode MS"/>
                <w:b/>
                <w:bCs/>
                <w:iCs/>
                <w:color w:val="FFFFFF" w:themeColor="background1"/>
              </w:rPr>
              <w:t xml:space="preserve">                                                                                                                                                </w:t>
            </w:r>
            <w:r w:rsidRPr="003A7207">
              <w:rPr>
                <w:rFonts w:ascii="Times" w:eastAsia="Arial Unicode MS" w:hAnsi="Times" w:cs="Arial Unicode MS"/>
                <w:b/>
                <w:bCs/>
                <w:iCs/>
                <w:color w:val="FFFFFF" w:themeColor="background1"/>
              </w:rPr>
              <w:t xml:space="preserve">Survey Response                                                                                                                                             </w:t>
            </w:r>
          </w:p>
          <w:p w14:paraId="287292FC" w14:textId="77777777" w:rsidR="00E603F0" w:rsidRPr="003A7207" w:rsidRDefault="00E603F0" w:rsidP="00C82A90">
            <w:pPr>
              <w:pStyle w:val="TableStyle2"/>
              <w:spacing w:line="276" w:lineRule="auto"/>
              <w:rPr>
                <w:rFonts w:ascii="Times" w:hAnsi="Times"/>
                <w:b/>
                <w:bCs/>
                <w:color w:val="FFFFFF" w:themeColor="background1"/>
              </w:rPr>
            </w:pPr>
            <w:r w:rsidRPr="003A7207">
              <w:rPr>
                <w:rFonts w:ascii="Times" w:eastAsia="Arial Unicode MS" w:hAnsi="Times" w:cs="Arial Unicode MS"/>
                <w:b/>
                <w:bCs/>
                <w:iCs/>
                <w:color w:val="FFFFFF" w:themeColor="background1"/>
              </w:rPr>
              <w:t xml:space="preserve">Guidelines                                                                                                                              </w:t>
            </w:r>
            <w:r w:rsidRPr="003A7207">
              <w:rPr>
                <w:rFonts w:ascii="Times" w:eastAsia="Arial Unicode MS" w:hAnsi="Times" w:cs="Arial Unicode MS"/>
                <w:b/>
                <w:bCs/>
                <w:i/>
                <w:iCs/>
                <w:color w:val="FFFFFF" w:themeColor="background1"/>
              </w:rPr>
              <w:t xml:space="preserve"> no./total no. (%)</w:t>
            </w:r>
          </w:p>
        </w:tc>
      </w:tr>
      <w:tr w:rsidR="00E603F0" w:rsidRPr="007F2DFE" w14:paraId="26D7297E" w14:textId="77777777" w:rsidTr="00C82A90">
        <w:trPr>
          <w:trHeight w:val="534"/>
        </w:trPr>
        <w:tc>
          <w:tcPr>
            <w:tcW w:w="7006" w:type="dxa"/>
            <w:shd w:val="clear" w:color="auto" w:fill="E7E6E6" w:themeFill="background2"/>
          </w:tcPr>
          <w:p w14:paraId="42F070A4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proofErr w:type="spellStart"/>
            <w:r>
              <w:rPr>
                <w:rFonts w:ascii="Times" w:hAnsi="Times"/>
                <w:b w:val="0"/>
                <w:bCs w:val="0"/>
              </w:rPr>
              <w:t>Veno</w:t>
            </w:r>
            <w:proofErr w:type="spellEnd"/>
            <w:r>
              <w:rPr>
                <w:rFonts w:ascii="Times" w:hAnsi="Times"/>
                <w:b w:val="0"/>
                <w:bCs w:val="0"/>
              </w:rPr>
              <w:t>-venous (VV) ECMO should be offered to pediatric patients with COVID-19 related illnesses</w:t>
            </w:r>
          </w:p>
        </w:tc>
        <w:tc>
          <w:tcPr>
            <w:tcW w:w="1906" w:type="dxa"/>
            <w:shd w:val="clear" w:color="auto" w:fill="E7E6E6" w:themeFill="background2"/>
          </w:tcPr>
          <w:p w14:paraId="1D1E19F9" w14:textId="77777777" w:rsidR="00E603F0" w:rsidRPr="007F2DFE" w:rsidRDefault="00E603F0" w:rsidP="00C82A90">
            <w:pPr>
              <w:spacing w:line="276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603F0" w:rsidRPr="007F2DFE" w14:paraId="3DB9AD14" w14:textId="77777777" w:rsidTr="00C82A90">
        <w:trPr>
          <w:trHeight w:val="274"/>
        </w:trPr>
        <w:tc>
          <w:tcPr>
            <w:tcW w:w="7006" w:type="dxa"/>
            <w:shd w:val="clear" w:color="auto" w:fill="E7E6E6" w:themeFill="background2"/>
          </w:tcPr>
          <w:p w14:paraId="275F9DEB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Strongly agree</w:t>
            </w:r>
          </w:p>
        </w:tc>
        <w:tc>
          <w:tcPr>
            <w:tcW w:w="1906" w:type="dxa"/>
            <w:shd w:val="clear" w:color="auto" w:fill="E7E6E6" w:themeFill="background2"/>
          </w:tcPr>
          <w:p w14:paraId="1A39FD5E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25/34 (74%)</w:t>
            </w:r>
          </w:p>
        </w:tc>
      </w:tr>
      <w:tr w:rsidR="00E603F0" w:rsidRPr="007F2DFE" w14:paraId="642B89B8" w14:textId="77777777" w:rsidTr="00C82A90">
        <w:trPr>
          <w:trHeight w:val="259"/>
        </w:trPr>
        <w:tc>
          <w:tcPr>
            <w:tcW w:w="7006" w:type="dxa"/>
            <w:shd w:val="clear" w:color="auto" w:fill="E7E6E6" w:themeFill="background2"/>
          </w:tcPr>
          <w:p w14:paraId="1731BF5F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 w:rsidRPr="007F2DFE">
              <w:rPr>
                <w:rFonts w:ascii="Times" w:hAnsi="Times"/>
                <w:b w:val="0"/>
                <w:bCs w:val="0"/>
              </w:rPr>
              <w:t xml:space="preserve">   </w:t>
            </w:r>
            <w:r>
              <w:rPr>
                <w:rFonts w:ascii="Times" w:hAnsi="Times"/>
                <w:b w:val="0"/>
                <w:bCs w:val="0"/>
              </w:rPr>
              <w:t xml:space="preserve"> Agree</w:t>
            </w:r>
          </w:p>
        </w:tc>
        <w:tc>
          <w:tcPr>
            <w:tcW w:w="1906" w:type="dxa"/>
            <w:shd w:val="clear" w:color="auto" w:fill="E7E6E6" w:themeFill="background2"/>
          </w:tcPr>
          <w:p w14:paraId="6A875096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9/34 (26%)</w:t>
            </w:r>
          </w:p>
        </w:tc>
      </w:tr>
      <w:tr w:rsidR="00E603F0" w:rsidRPr="007F2DFE" w14:paraId="4D37EE71" w14:textId="77777777" w:rsidTr="00C82A90">
        <w:trPr>
          <w:trHeight w:val="274"/>
        </w:trPr>
        <w:tc>
          <w:tcPr>
            <w:tcW w:w="7006" w:type="dxa"/>
            <w:shd w:val="clear" w:color="auto" w:fill="E7E6E6" w:themeFill="background2"/>
          </w:tcPr>
          <w:p w14:paraId="754F4204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Disagree</w:t>
            </w:r>
          </w:p>
        </w:tc>
        <w:tc>
          <w:tcPr>
            <w:tcW w:w="1906" w:type="dxa"/>
            <w:shd w:val="clear" w:color="auto" w:fill="E7E6E6" w:themeFill="background2"/>
          </w:tcPr>
          <w:p w14:paraId="7CA47C0D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0/34 (0%)</w:t>
            </w:r>
          </w:p>
        </w:tc>
      </w:tr>
      <w:tr w:rsidR="00E603F0" w:rsidRPr="007F2DFE" w14:paraId="6976DBA9" w14:textId="77777777" w:rsidTr="00C82A90">
        <w:trPr>
          <w:trHeight w:val="274"/>
        </w:trPr>
        <w:tc>
          <w:tcPr>
            <w:tcW w:w="7006" w:type="dxa"/>
            <w:shd w:val="clear" w:color="auto" w:fill="E7E6E6" w:themeFill="background2"/>
          </w:tcPr>
          <w:p w14:paraId="75C3384B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 w:rsidRPr="007F2DFE">
              <w:rPr>
                <w:rFonts w:ascii="Times" w:hAnsi="Times"/>
                <w:b w:val="0"/>
                <w:bCs w:val="0"/>
              </w:rPr>
              <w:t xml:space="preserve">   </w:t>
            </w:r>
            <w:r>
              <w:rPr>
                <w:rFonts w:ascii="Times" w:hAnsi="Times"/>
                <w:b w:val="0"/>
                <w:bCs w:val="0"/>
              </w:rPr>
              <w:t xml:space="preserve"> Strongly disagree</w:t>
            </w:r>
          </w:p>
        </w:tc>
        <w:tc>
          <w:tcPr>
            <w:tcW w:w="1906" w:type="dxa"/>
            <w:shd w:val="clear" w:color="auto" w:fill="E7E6E6" w:themeFill="background2"/>
          </w:tcPr>
          <w:p w14:paraId="5D538DE1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0/34 (0%)</w:t>
            </w:r>
          </w:p>
        </w:tc>
      </w:tr>
      <w:tr w:rsidR="00E603F0" w:rsidRPr="007F2DFE" w14:paraId="0BB63EBA" w14:textId="77777777" w:rsidTr="00C82A90">
        <w:trPr>
          <w:trHeight w:val="549"/>
        </w:trPr>
        <w:tc>
          <w:tcPr>
            <w:tcW w:w="7006" w:type="dxa"/>
            <w:shd w:val="clear" w:color="auto" w:fill="auto"/>
          </w:tcPr>
          <w:p w14:paraId="0FD5C3F4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proofErr w:type="spellStart"/>
            <w:r>
              <w:rPr>
                <w:rFonts w:ascii="Times" w:hAnsi="Times"/>
                <w:b w:val="0"/>
                <w:bCs w:val="0"/>
              </w:rPr>
              <w:t>Veno</w:t>
            </w:r>
            <w:proofErr w:type="spellEnd"/>
            <w:r>
              <w:rPr>
                <w:rFonts w:ascii="Times" w:hAnsi="Times"/>
                <w:b w:val="0"/>
                <w:bCs w:val="0"/>
              </w:rPr>
              <w:t>-arterial (VA) ECMO should be offered to pediatric patients with COVID-19 related illnesses</w:t>
            </w:r>
          </w:p>
        </w:tc>
        <w:tc>
          <w:tcPr>
            <w:tcW w:w="1906" w:type="dxa"/>
            <w:shd w:val="clear" w:color="auto" w:fill="auto"/>
          </w:tcPr>
          <w:p w14:paraId="16CB2E27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603F0" w:rsidRPr="007F2DFE" w14:paraId="4A6433EA" w14:textId="77777777" w:rsidTr="00C82A90">
        <w:trPr>
          <w:trHeight w:val="259"/>
        </w:trPr>
        <w:tc>
          <w:tcPr>
            <w:tcW w:w="7006" w:type="dxa"/>
            <w:shd w:val="clear" w:color="auto" w:fill="auto"/>
          </w:tcPr>
          <w:p w14:paraId="69910DA8" w14:textId="77777777" w:rsidR="00E603F0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Strongly agree</w:t>
            </w:r>
          </w:p>
        </w:tc>
        <w:tc>
          <w:tcPr>
            <w:tcW w:w="1906" w:type="dxa"/>
            <w:shd w:val="clear" w:color="auto" w:fill="auto"/>
          </w:tcPr>
          <w:p w14:paraId="7CC5C6AF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18/34 (53%)</w:t>
            </w:r>
          </w:p>
        </w:tc>
      </w:tr>
      <w:tr w:rsidR="00E603F0" w:rsidRPr="007F2DFE" w14:paraId="2ACBA53A" w14:textId="77777777" w:rsidTr="00C82A90">
        <w:trPr>
          <w:trHeight w:val="274"/>
        </w:trPr>
        <w:tc>
          <w:tcPr>
            <w:tcW w:w="7006" w:type="dxa"/>
            <w:shd w:val="clear" w:color="auto" w:fill="auto"/>
          </w:tcPr>
          <w:p w14:paraId="01287A18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Agree </w:t>
            </w:r>
          </w:p>
        </w:tc>
        <w:tc>
          <w:tcPr>
            <w:tcW w:w="1906" w:type="dxa"/>
            <w:shd w:val="clear" w:color="auto" w:fill="auto"/>
          </w:tcPr>
          <w:p w14:paraId="08E09548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12/34 (35%)</w:t>
            </w:r>
          </w:p>
        </w:tc>
      </w:tr>
      <w:tr w:rsidR="00E603F0" w:rsidRPr="007F2DFE" w14:paraId="590FF4DC" w14:textId="77777777" w:rsidTr="00C82A90">
        <w:trPr>
          <w:trHeight w:val="259"/>
        </w:trPr>
        <w:tc>
          <w:tcPr>
            <w:tcW w:w="7006" w:type="dxa"/>
            <w:shd w:val="clear" w:color="auto" w:fill="auto"/>
          </w:tcPr>
          <w:p w14:paraId="618E7EA4" w14:textId="77777777" w:rsidR="00E603F0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Disagree</w:t>
            </w:r>
          </w:p>
        </w:tc>
        <w:tc>
          <w:tcPr>
            <w:tcW w:w="1906" w:type="dxa"/>
            <w:shd w:val="clear" w:color="auto" w:fill="auto"/>
          </w:tcPr>
          <w:p w14:paraId="329D5699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3/34 (9%)</w:t>
            </w:r>
          </w:p>
        </w:tc>
      </w:tr>
      <w:tr w:rsidR="00E603F0" w:rsidRPr="007F2DFE" w14:paraId="46DC79E6" w14:textId="77777777" w:rsidTr="00C82A90">
        <w:trPr>
          <w:trHeight w:val="274"/>
        </w:trPr>
        <w:tc>
          <w:tcPr>
            <w:tcW w:w="7006" w:type="dxa"/>
            <w:shd w:val="clear" w:color="auto" w:fill="auto"/>
          </w:tcPr>
          <w:p w14:paraId="54318E7C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Strongly disagree </w:t>
            </w:r>
          </w:p>
        </w:tc>
        <w:tc>
          <w:tcPr>
            <w:tcW w:w="1906" w:type="dxa"/>
            <w:shd w:val="clear" w:color="auto" w:fill="auto"/>
          </w:tcPr>
          <w:p w14:paraId="0C3420D6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1/34 (3%)</w:t>
            </w:r>
          </w:p>
        </w:tc>
      </w:tr>
      <w:tr w:rsidR="00E603F0" w:rsidRPr="007F2DFE" w14:paraId="02FD6DA9" w14:textId="77777777" w:rsidTr="00C82A90">
        <w:trPr>
          <w:trHeight w:val="534"/>
        </w:trPr>
        <w:tc>
          <w:tcPr>
            <w:tcW w:w="7006" w:type="dxa"/>
            <w:shd w:val="clear" w:color="auto" w:fill="E7E6E6" w:themeFill="background2"/>
          </w:tcPr>
          <w:p w14:paraId="133D4353" w14:textId="77777777" w:rsidR="00E603F0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Indications for ECMO candidacy should be </w:t>
            </w:r>
            <w:proofErr w:type="gramStart"/>
            <w:r>
              <w:rPr>
                <w:rFonts w:ascii="Times" w:hAnsi="Times"/>
                <w:b w:val="0"/>
                <w:bCs w:val="0"/>
              </w:rPr>
              <w:t>similar to</w:t>
            </w:r>
            <w:proofErr w:type="gramEnd"/>
            <w:r>
              <w:rPr>
                <w:rFonts w:ascii="Times" w:hAnsi="Times"/>
                <w:b w:val="0"/>
                <w:bCs w:val="0"/>
              </w:rPr>
              <w:t xml:space="preserve"> other viral illnesses (RSV, Influenza)</w:t>
            </w:r>
          </w:p>
        </w:tc>
        <w:tc>
          <w:tcPr>
            <w:tcW w:w="1906" w:type="dxa"/>
            <w:shd w:val="clear" w:color="auto" w:fill="E7E6E6" w:themeFill="background2"/>
          </w:tcPr>
          <w:p w14:paraId="304C87AB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603F0" w14:paraId="120DAC5A" w14:textId="77777777" w:rsidTr="00C82A90">
        <w:trPr>
          <w:trHeight w:val="259"/>
        </w:trPr>
        <w:tc>
          <w:tcPr>
            <w:tcW w:w="7006" w:type="dxa"/>
            <w:shd w:val="clear" w:color="auto" w:fill="E7E6E6" w:themeFill="background2"/>
          </w:tcPr>
          <w:p w14:paraId="4F64AB42" w14:textId="77777777" w:rsidR="00E603F0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Strongly agree</w:t>
            </w:r>
          </w:p>
        </w:tc>
        <w:tc>
          <w:tcPr>
            <w:tcW w:w="1906" w:type="dxa"/>
            <w:shd w:val="clear" w:color="auto" w:fill="E7E6E6" w:themeFill="background2"/>
          </w:tcPr>
          <w:p w14:paraId="640AEC07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20/34 (59%)</w:t>
            </w:r>
          </w:p>
        </w:tc>
      </w:tr>
      <w:tr w:rsidR="00E603F0" w:rsidRPr="007F2DFE" w14:paraId="7CB9A27B" w14:textId="77777777" w:rsidTr="00C82A90">
        <w:trPr>
          <w:trHeight w:val="274"/>
        </w:trPr>
        <w:tc>
          <w:tcPr>
            <w:tcW w:w="7006" w:type="dxa"/>
            <w:shd w:val="clear" w:color="auto" w:fill="E7E6E6" w:themeFill="background2"/>
          </w:tcPr>
          <w:p w14:paraId="3199AA13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Agree </w:t>
            </w:r>
          </w:p>
        </w:tc>
        <w:tc>
          <w:tcPr>
            <w:tcW w:w="1906" w:type="dxa"/>
            <w:shd w:val="clear" w:color="auto" w:fill="E7E6E6" w:themeFill="background2"/>
          </w:tcPr>
          <w:p w14:paraId="6F1E6946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14/34 (41%)</w:t>
            </w:r>
          </w:p>
        </w:tc>
      </w:tr>
      <w:tr w:rsidR="00E603F0" w:rsidRPr="007F2DFE" w14:paraId="5812A232" w14:textId="77777777" w:rsidTr="00C82A90">
        <w:trPr>
          <w:trHeight w:val="274"/>
        </w:trPr>
        <w:tc>
          <w:tcPr>
            <w:tcW w:w="7006" w:type="dxa"/>
            <w:shd w:val="clear" w:color="auto" w:fill="E7E6E6" w:themeFill="background2"/>
          </w:tcPr>
          <w:p w14:paraId="789B32DB" w14:textId="77777777" w:rsidR="00E603F0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Disagree</w:t>
            </w:r>
          </w:p>
        </w:tc>
        <w:tc>
          <w:tcPr>
            <w:tcW w:w="1906" w:type="dxa"/>
            <w:shd w:val="clear" w:color="auto" w:fill="E7E6E6" w:themeFill="background2"/>
          </w:tcPr>
          <w:p w14:paraId="74FAE43B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0/34 (0%)</w:t>
            </w:r>
          </w:p>
        </w:tc>
      </w:tr>
      <w:tr w:rsidR="00E603F0" w:rsidRPr="007F2DFE" w14:paraId="0EB1DE21" w14:textId="77777777" w:rsidTr="00C82A90">
        <w:trPr>
          <w:trHeight w:val="259"/>
        </w:trPr>
        <w:tc>
          <w:tcPr>
            <w:tcW w:w="7006" w:type="dxa"/>
            <w:shd w:val="clear" w:color="auto" w:fill="E7E6E6" w:themeFill="background2"/>
          </w:tcPr>
          <w:p w14:paraId="5DE52E41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Strongly disagree </w:t>
            </w:r>
          </w:p>
        </w:tc>
        <w:tc>
          <w:tcPr>
            <w:tcW w:w="1906" w:type="dxa"/>
            <w:shd w:val="clear" w:color="auto" w:fill="E7E6E6" w:themeFill="background2"/>
          </w:tcPr>
          <w:p w14:paraId="3C2C6881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0/34 (0%)</w:t>
            </w:r>
          </w:p>
        </w:tc>
      </w:tr>
      <w:tr w:rsidR="00E603F0" w:rsidRPr="007F2DFE" w14:paraId="34F8EA9C" w14:textId="77777777" w:rsidTr="00C82A90">
        <w:trPr>
          <w:trHeight w:val="274"/>
        </w:trPr>
        <w:tc>
          <w:tcPr>
            <w:tcW w:w="7006" w:type="dxa"/>
            <w:shd w:val="clear" w:color="auto" w:fill="auto"/>
          </w:tcPr>
          <w:p w14:paraId="58A3537B" w14:textId="77777777" w:rsidR="00E603F0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Guideline restrictions that should be enacted for use of ECMO</w:t>
            </w:r>
          </w:p>
        </w:tc>
        <w:tc>
          <w:tcPr>
            <w:tcW w:w="1906" w:type="dxa"/>
            <w:shd w:val="clear" w:color="auto" w:fill="auto"/>
          </w:tcPr>
          <w:p w14:paraId="0CC67811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603F0" w:rsidRPr="007F2DFE" w14:paraId="1C942D2A" w14:textId="77777777" w:rsidTr="00C82A90">
        <w:trPr>
          <w:trHeight w:val="259"/>
        </w:trPr>
        <w:tc>
          <w:tcPr>
            <w:tcW w:w="7006" w:type="dxa"/>
            <w:shd w:val="clear" w:color="auto" w:fill="auto"/>
          </w:tcPr>
          <w:p w14:paraId="4C4D329F" w14:textId="77777777" w:rsidR="00E603F0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Terminal disease</w:t>
            </w:r>
          </w:p>
        </w:tc>
        <w:tc>
          <w:tcPr>
            <w:tcW w:w="1906" w:type="dxa"/>
            <w:shd w:val="clear" w:color="auto" w:fill="auto"/>
          </w:tcPr>
          <w:p w14:paraId="489BD055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33/34 (97%)</w:t>
            </w:r>
          </w:p>
        </w:tc>
      </w:tr>
      <w:tr w:rsidR="00E603F0" w:rsidRPr="007F2DFE" w14:paraId="489CAEB5" w14:textId="77777777" w:rsidTr="00C82A90">
        <w:trPr>
          <w:trHeight w:val="274"/>
        </w:trPr>
        <w:tc>
          <w:tcPr>
            <w:tcW w:w="7006" w:type="dxa"/>
            <w:shd w:val="clear" w:color="auto" w:fill="auto"/>
          </w:tcPr>
          <w:p w14:paraId="7B956764" w14:textId="77777777" w:rsidR="00E603F0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Severe CNS damage</w:t>
            </w:r>
          </w:p>
        </w:tc>
        <w:tc>
          <w:tcPr>
            <w:tcW w:w="1906" w:type="dxa"/>
            <w:shd w:val="clear" w:color="auto" w:fill="auto"/>
          </w:tcPr>
          <w:p w14:paraId="2DAC5DF1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31/34 (91%)</w:t>
            </w:r>
          </w:p>
        </w:tc>
      </w:tr>
      <w:tr w:rsidR="00E603F0" w:rsidRPr="007F2DFE" w14:paraId="6F9D2DB3" w14:textId="77777777" w:rsidTr="00C82A90">
        <w:trPr>
          <w:trHeight w:val="259"/>
        </w:trPr>
        <w:tc>
          <w:tcPr>
            <w:tcW w:w="7006" w:type="dxa"/>
            <w:shd w:val="clear" w:color="auto" w:fill="auto"/>
          </w:tcPr>
          <w:p w14:paraId="3DE72C85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Renal failure </w:t>
            </w:r>
          </w:p>
        </w:tc>
        <w:tc>
          <w:tcPr>
            <w:tcW w:w="1906" w:type="dxa"/>
            <w:shd w:val="clear" w:color="auto" w:fill="auto"/>
          </w:tcPr>
          <w:p w14:paraId="68A3D131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4/34 (12%)</w:t>
            </w:r>
          </w:p>
        </w:tc>
      </w:tr>
      <w:tr w:rsidR="00E603F0" w:rsidRPr="007F2DFE" w14:paraId="4C48CD81" w14:textId="77777777" w:rsidTr="00C82A90">
        <w:trPr>
          <w:trHeight w:val="274"/>
        </w:trPr>
        <w:tc>
          <w:tcPr>
            <w:tcW w:w="7006" w:type="dxa"/>
            <w:shd w:val="clear" w:color="auto" w:fill="auto"/>
          </w:tcPr>
          <w:p w14:paraId="7BEF1141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 w:rsidRPr="007F2DFE">
              <w:rPr>
                <w:rFonts w:ascii="Times" w:hAnsi="Times"/>
                <w:b w:val="0"/>
                <w:bCs w:val="0"/>
              </w:rPr>
              <w:t xml:space="preserve">   </w:t>
            </w:r>
            <w:r>
              <w:rPr>
                <w:rFonts w:ascii="Times" w:hAnsi="Times"/>
                <w:b w:val="0"/>
                <w:bCs w:val="0"/>
              </w:rPr>
              <w:t xml:space="preserve"> Multisystem organ failure</w:t>
            </w:r>
          </w:p>
        </w:tc>
        <w:tc>
          <w:tcPr>
            <w:tcW w:w="1906" w:type="dxa"/>
            <w:shd w:val="clear" w:color="auto" w:fill="auto"/>
          </w:tcPr>
          <w:p w14:paraId="1D75D3BD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24/34 (71%)</w:t>
            </w:r>
          </w:p>
        </w:tc>
      </w:tr>
      <w:tr w:rsidR="00E603F0" w:rsidRPr="007F2DFE" w14:paraId="037C4CE2" w14:textId="77777777" w:rsidTr="00C82A90">
        <w:trPr>
          <w:trHeight w:val="274"/>
        </w:trPr>
        <w:tc>
          <w:tcPr>
            <w:tcW w:w="7006" w:type="dxa"/>
            <w:shd w:val="clear" w:color="auto" w:fill="auto"/>
          </w:tcPr>
          <w:p w14:paraId="2000B185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 w:rsidRPr="007F2DFE">
              <w:rPr>
                <w:rFonts w:ascii="Times" w:hAnsi="Times"/>
                <w:b w:val="0"/>
                <w:bCs w:val="0"/>
              </w:rPr>
              <w:t xml:space="preserve">   </w:t>
            </w:r>
            <w:r>
              <w:rPr>
                <w:rFonts w:ascii="Times" w:hAnsi="Times"/>
                <w:b w:val="0"/>
                <w:bCs w:val="0"/>
              </w:rPr>
              <w:t xml:space="preserve"> Mechanical ventilation for more than 7 days</w:t>
            </w:r>
          </w:p>
        </w:tc>
        <w:tc>
          <w:tcPr>
            <w:tcW w:w="1906" w:type="dxa"/>
            <w:shd w:val="clear" w:color="auto" w:fill="auto"/>
          </w:tcPr>
          <w:p w14:paraId="55A7051F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4/34 (12%)</w:t>
            </w:r>
          </w:p>
        </w:tc>
      </w:tr>
      <w:tr w:rsidR="00E603F0" w:rsidRPr="007F2DFE" w14:paraId="35CBA364" w14:textId="77777777" w:rsidTr="00C82A90">
        <w:trPr>
          <w:trHeight w:val="259"/>
        </w:trPr>
        <w:tc>
          <w:tcPr>
            <w:tcW w:w="7006" w:type="dxa"/>
            <w:shd w:val="clear" w:color="auto" w:fill="auto"/>
          </w:tcPr>
          <w:p w14:paraId="529E2CAD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 w:rsidRPr="007F2DFE">
              <w:rPr>
                <w:rFonts w:ascii="Times" w:hAnsi="Times"/>
                <w:b w:val="0"/>
                <w:bCs w:val="0"/>
              </w:rPr>
              <w:t xml:space="preserve">  </w:t>
            </w:r>
            <w:r>
              <w:rPr>
                <w:rFonts w:ascii="Times" w:hAnsi="Times"/>
                <w:b w:val="0"/>
                <w:bCs w:val="0"/>
              </w:rPr>
              <w:t xml:space="preserve"> </w:t>
            </w:r>
            <w:r w:rsidRPr="007F2DFE">
              <w:rPr>
                <w:rFonts w:ascii="Times" w:hAnsi="Times"/>
                <w:b w:val="0"/>
                <w:bCs w:val="0"/>
              </w:rPr>
              <w:t xml:space="preserve"> </w:t>
            </w:r>
            <w:r>
              <w:rPr>
                <w:rFonts w:ascii="Times" w:hAnsi="Times"/>
                <w:b w:val="0"/>
                <w:bCs w:val="0"/>
              </w:rPr>
              <w:t>Do not resuscitate status</w:t>
            </w:r>
          </w:p>
        </w:tc>
        <w:tc>
          <w:tcPr>
            <w:tcW w:w="1906" w:type="dxa"/>
            <w:shd w:val="clear" w:color="auto" w:fill="auto"/>
          </w:tcPr>
          <w:p w14:paraId="1924D9FE" w14:textId="77777777" w:rsidR="00E603F0" w:rsidRPr="007F2DFE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32/34 (94%)</w:t>
            </w:r>
          </w:p>
        </w:tc>
      </w:tr>
      <w:tr w:rsidR="00E603F0" w14:paraId="2D11B425" w14:textId="77777777" w:rsidTr="00C82A90">
        <w:trPr>
          <w:trHeight w:val="274"/>
        </w:trPr>
        <w:tc>
          <w:tcPr>
            <w:tcW w:w="7006" w:type="dxa"/>
            <w:shd w:val="clear" w:color="auto" w:fill="E7E6E6" w:themeFill="background2"/>
          </w:tcPr>
          <w:p w14:paraId="6047FD0E" w14:textId="77777777" w:rsidR="00E603F0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>Guideline precautions that should be enacted for use of ECMO</w:t>
            </w:r>
          </w:p>
        </w:tc>
        <w:tc>
          <w:tcPr>
            <w:tcW w:w="1906" w:type="dxa"/>
            <w:shd w:val="clear" w:color="auto" w:fill="E7E6E6" w:themeFill="background2"/>
          </w:tcPr>
          <w:p w14:paraId="44C3F819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E603F0" w14:paraId="7A1388ED" w14:textId="77777777" w:rsidTr="00C82A90">
        <w:trPr>
          <w:trHeight w:val="259"/>
        </w:trPr>
        <w:tc>
          <w:tcPr>
            <w:tcW w:w="7006" w:type="dxa"/>
            <w:shd w:val="clear" w:color="auto" w:fill="E7E6E6" w:themeFill="background2"/>
          </w:tcPr>
          <w:p w14:paraId="1B38B9D9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Limitation to only essential personnel</w:t>
            </w:r>
          </w:p>
        </w:tc>
        <w:tc>
          <w:tcPr>
            <w:tcW w:w="1906" w:type="dxa"/>
            <w:shd w:val="clear" w:color="auto" w:fill="E7E6E6" w:themeFill="background2"/>
          </w:tcPr>
          <w:p w14:paraId="6A3E7B78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33/34 (97%)</w:t>
            </w:r>
          </w:p>
        </w:tc>
      </w:tr>
      <w:tr w:rsidR="00E603F0" w14:paraId="196B15AE" w14:textId="77777777" w:rsidTr="00C82A90">
        <w:trPr>
          <w:trHeight w:val="274"/>
        </w:trPr>
        <w:tc>
          <w:tcPr>
            <w:tcW w:w="7006" w:type="dxa"/>
            <w:shd w:val="clear" w:color="auto" w:fill="E7E6E6" w:themeFill="background2"/>
          </w:tcPr>
          <w:p w14:paraId="5A78E03C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Use of proper PPE (</w:t>
            </w:r>
            <w:proofErr w:type="spellStart"/>
            <w:r>
              <w:rPr>
                <w:rFonts w:ascii="Times" w:hAnsi="Times"/>
                <w:b w:val="0"/>
                <w:bCs w:val="0"/>
              </w:rPr>
              <w:t>ie</w:t>
            </w:r>
            <w:proofErr w:type="spellEnd"/>
            <w:r>
              <w:rPr>
                <w:rFonts w:ascii="Times" w:hAnsi="Times"/>
                <w:b w:val="0"/>
                <w:bCs w:val="0"/>
              </w:rPr>
              <w:t xml:space="preserve"> N95 masks)</w:t>
            </w:r>
          </w:p>
        </w:tc>
        <w:tc>
          <w:tcPr>
            <w:tcW w:w="1906" w:type="dxa"/>
            <w:shd w:val="clear" w:color="auto" w:fill="E7E6E6" w:themeFill="background2"/>
          </w:tcPr>
          <w:p w14:paraId="6A3F4C9D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34/34 (100%)</w:t>
            </w:r>
          </w:p>
        </w:tc>
      </w:tr>
      <w:tr w:rsidR="00E603F0" w14:paraId="1B1EDF18" w14:textId="77777777" w:rsidTr="00C82A90">
        <w:trPr>
          <w:trHeight w:val="259"/>
        </w:trPr>
        <w:tc>
          <w:tcPr>
            <w:tcW w:w="7006" w:type="dxa"/>
            <w:shd w:val="clear" w:color="auto" w:fill="E7E6E6" w:themeFill="background2"/>
          </w:tcPr>
          <w:p w14:paraId="3C2B643E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Separation of OR team from ECMO circuit</w:t>
            </w:r>
          </w:p>
        </w:tc>
        <w:tc>
          <w:tcPr>
            <w:tcW w:w="1906" w:type="dxa"/>
            <w:shd w:val="clear" w:color="auto" w:fill="E7E6E6" w:themeFill="background2"/>
          </w:tcPr>
          <w:p w14:paraId="67B1628E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6/34 (18%)</w:t>
            </w:r>
          </w:p>
        </w:tc>
      </w:tr>
      <w:tr w:rsidR="00E603F0" w14:paraId="18F02D40" w14:textId="77777777" w:rsidTr="00C82A90">
        <w:trPr>
          <w:trHeight w:val="274"/>
        </w:trPr>
        <w:tc>
          <w:tcPr>
            <w:tcW w:w="7006" w:type="dxa"/>
            <w:shd w:val="clear" w:color="auto" w:fill="E7E6E6" w:themeFill="background2"/>
          </w:tcPr>
          <w:p w14:paraId="0A6158B7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Supplies prepared outside the room</w:t>
            </w:r>
          </w:p>
        </w:tc>
        <w:tc>
          <w:tcPr>
            <w:tcW w:w="1906" w:type="dxa"/>
            <w:shd w:val="clear" w:color="auto" w:fill="E7E6E6" w:themeFill="background2"/>
          </w:tcPr>
          <w:p w14:paraId="53951269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23/34 (67%)</w:t>
            </w:r>
          </w:p>
        </w:tc>
      </w:tr>
      <w:tr w:rsidR="00E603F0" w14:paraId="60522F69" w14:textId="77777777" w:rsidTr="00C82A90">
        <w:trPr>
          <w:trHeight w:val="274"/>
        </w:trPr>
        <w:tc>
          <w:tcPr>
            <w:tcW w:w="7006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5104A154" w14:textId="77777777" w:rsidR="00E603F0" w:rsidRPr="007F2DFE" w:rsidRDefault="00E603F0" w:rsidP="00C82A90">
            <w:pPr>
              <w:pStyle w:val="TableStyle1"/>
              <w:spacing w:line="276" w:lineRule="auto"/>
              <w:rPr>
                <w:rFonts w:ascii="Times" w:hAnsi="Times"/>
                <w:b w:val="0"/>
                <w:bCs w:val="0"/>
              </w:rPr>
            </w:pPr>
            <w:r>
              <w:rPr>
                <w:rFonts w:ascii="Times" w:hAnsi="Times"/>
                <w:b w:val="0"/>
                <w:bCs w:val="0"/>
              </w:rPr>
              <w:t xml:space="preserve">    Cannulation only in the ICU to minimize patient transport</w:t>
            </w:r>
          </w:p>
        </w:tc>
        <w:tc>
          <w:tcPr>
            <w:tcW w:w="1906" w:type="dxa"/>
            <w:tcBorders>
              <w:bottom w:val="single" w:sz="8" w:space="0" w:color="auto"/>
            </w:tcBorders>
            <w:shd w:val="clear" w:color="auto" w:fill="E7E6E6" w:themeFill="background2"/>
          </w:tcPr>
          <w:p w14:paraId="39ADEC62" w14:textId="77777777" w:rsidR="00E603F0" w:rsidRDefault="00E603F0" w:rsidP="00C82A90">
            <w:pPr>
              <w:spacing w:line="276" w:lineRule="auto"/>
              <w:ind w:firstLine="225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30/34 (88%)</w:t>
            </w:r>
          </w:p>
        </w:tc>
      </w:tr>
    </w:tbl>
    <w:p w14:paraId="4BF1B7BE" w14:textId="77777777" w:rsidR="00E603F0" w:rsidRPr="003E4AAB" w:rsidRDefault="00E603F0" w:rsidP="00E603F0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/>
          <w:sz w:val="20"/>
          <w:szCs w:val="20"/>
        </w:rPr>
      </w:pPr>
      <w:r w:rsidRPr="003E4AAB">
        <w:rPr>
          <w:sz w:val="20"/>
          <w:szCs w:val="20"/>
        </w:rPr>
        <w:t>*</w:t>
      </w:r>
      <w:r w:rsidRPr="003E4AAB">
        <w:rPr>
          <w:rFonts w:ascii="Times" w:hAnsi="Times" w:cs="Times"/>
          <w:sz w:val="20"/>
          <w:szCs w:val="20"/>
        </w:rPr>
        <w:t xml:space="preserve"> Percentages may not total 100 because of rounding. </w:t>
      </w:r>
    </w:p>
    <w:p w14:paraId="4F631795" w14:textId="77777777" w:rsidR="00B42549" w:rsidRDefault="00E603F0"/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F0"/>
    <w:rsid w:val="00657CF7"/>
    <w:rsid w:val="00742FE5"/>
    <w:rsid w:val="00E6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CAF67"/>
  <w15:chartTrackingRefBased/>
  <w15:docId w15:val="{63CAE1A8-F69D-41FC-9082-F5341BC8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3F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tyle2">
    <w:name w:val="Table Style 2"/>
    <w:rsid w:val="00E60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customStyle="1" w:styleId="TableStyle1">
    <w:name w:val="Table Style 1"/>
    <w:rsid w:val="00E60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b/>
      <w:bCs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C471F-E465-4E72-A130-D2B941DD1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D7386-CF01-4455-BBE8-651D4368F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91181-2558-4617-8511-381947F3F0EF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176a5d19-4356-4fd8-a5bf-970fe0582d74"/>
    <ds:schemaRef ds:uri="http://schemas.microsoft.com/office/2006/metadata/properties"/>
    <ds:schemaRef ds:uri="http://purl.org/dc/elements/1.1/"/>
    <ds:schemaRef ds:uri="bfa70139-ae42-4297-a792-66046dc8781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2020-05-07T16:10:00Z</dcterms:created>
  <dcterms:modified xsi:type="dcterms:W3CDTF">2020-05-07T16:12:00Z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