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3F0D" w14:textId="77777777" w:rsidR="00EA75D8" w:rsidRPr="00541786" w:rsidRDefault="00EA75D8" w:rsidP="00A33633">
      <w:pPr>
        <w:spacing w:line="480" w:lineRule="auto"/>
        <w:rPr>
          <w:rFonts w:ascii="Arial" w:hAnsi="Arial" w:cs="Arial"/>
          <w:sz w:val="20"/>
          <w:szCs w:val="20"/>
          <w:lang w:val="en-US"/>
        </w:rPr>
      </w:pPr>
      <w:r w:rsidRPr="00541786">
        <w:rPr>
          <w:rFonts w:ascii="Arial" w:hAnsi="Arial" w:cs="Arial"/>
          <w:sz w:val="20"/>
          <w:szCs w:val="20"/>
          <w:lang w:val="en-US"/>
        </w:rPr>
        <w:t>Supplemental Content to:</w:t>
      </w:r>
    </w:p>
    <w:p w14:paraId="095BD3FB" w14:textId="77777777" w:rsidR="00EA75D8" w:rsidRPr="00541786" w:rsidRDefault="00EA75D8" w:rsidP="00A33633">
      <w:pPr>
        <w:pStyle w:val="BodyText3"/>
      </w:pPr>
      <w:r w:rsidRPr="00541786">
        <w:t xml:space="preserve">The Local and Systemic Exposure to Oxygen in Children </w:t>
      </w:r>
      <w:proofErr w:type="gramStart"/>
      <w:r w:rsidRPr="00541786">
        <w:t>With</w:t>
      </w:r>
      <w:proofErr w:type="gramEnd"/>
      <w:r w:rsidRPr="00541786">
        <w:t xml:space="preserve"> Severe Bronchiolitis on Invasive Mechanical Ventilation: a Retrospective Cohort Study</w:t>
      </w:r>
    </w:p>
    <w:p w14:paraId="22DFFA36" w14:textId="77777777" w:rsidR="00EA75D8" w:rsidRPr="00541786" w:rsidRDefault="00EA75D8" w:rsidP="00A33633">
      <w:pPr>
        <w:spacing w:line="480" w:lineRule="auto"/>
        <w:rPr>
          <w:rFonts w:ascii="Arial" w:hAnsi="Arial" w:cs="Arial"/>
          <w:sz w:val="20"/>
          <w:szCs w:val="20"/>
        </w:rPr>
      </w:pPr>
      <w:r w:rsidRPr="00541786">
        <w:rPr>
          <w:rFonts w:ascii="Arial" w:hAnsi="Arial" w:cs="Arial"/>
          <w:sz w:val="20"/>
          <w:szCs w:val="20"/>
        </w:rPr>
        <w:t>Thijs A. Lilien</w:t>
      </w:r>
      <w:r w:rsidRPr="00541786">
        <w:rPr>
          <w:rFonts w:ascii="Arial" w:hAnsi="Arial" w:cs="Arial"/>
          <w:sz w:val="20"/>
          <w:szCs w:val="20"/>
          <w:vertAlign w:val="superscript"/>
        </w:rPr>
        <w:t>1</w:t>
      </w:r>
      <w:r w:rsidRPr="00541786">
        <w:rPr>
          <w:rFonts w:ascii="Arial" w:hAnsi="Arial" w:cs="Arial"/>
          <w:sz w:val="20"/>
          <w:szCs w:val="20"/>
          <w:vertAlign w:val="subscript"/>
        </w:rPr>
        <w:t xml:space="preserve"> </w:t>
      </w:r>
      <w:r w:rsidRPr="00541786">
        <w:rPr>
          <w:rFonts w:ascii="Arial" w:hAnsi="Arial" w:cs="Arial"/>
          <w:sz w:val="20"/>
          <w:szCs w:val="20"/>
        </w:rPr>
        <w:t>MD, Eleonore S.V. de Sonnaville</w:t>
      </w:r>
      <w:r w:rsidRPr="00541786">
        <w:rPr>
          <w:rFonts w:ascii="Arial" w:hAnsi="Arial" w:cs="Arial"/>
          <w:sz w:val="20"/>
          <w:szCs w:val="20"/>
          <w:vertAlign w:val="superscript"/>
        </w:rPr>
        <w:t xml:space="preserve">1 </w:t>
      </w:r>
      <w:r w:rsidRPr="00541786">
        <w:rPr>
          <w:rFonts w:ascii="Arial" w:hAnsi="Arial" w:cs="Arial"/>
          <w:sz w:val="20"/>
          <w:szCs w:val="20"/>
        </w:rPr>
        <w:t>MD, Job B.M. van Woensel</w:t>
      </w:r>
      <w:r w:rsidRPr="00541786">
        <w:rPr>
          <w:rFonts w:ascii="Arial" w:hAnsi="Arial" w:cs="Arial"/>
          <w:sz w:val="20"/>
          <w:szCs w:val="20"/>
          <w:vertAlign w:val="superscript"/>
        </w:rPr>
        <w:t>1</w:t>
      </w:r>
      <w:r w:rsidRPr="00541786">
        <w:rPr>
          <w:rFonts w:ascii="Arial" w:hAnsi="Arial" w:cs="Arial"/>
          <w:sz w:val="20"/>
          <w:szCs w:val="20"/>
        </w:rPr>
        <w:t xml:space="preserve"> MD PhD, Reinout A. Bem</w:t>
      </w:r>
      <w:r w:rsidRPr="00541786">
        <w:rPr>
          <w:rFonts w:ascii="Arial" w:hAnsi="Arial" w:cs="Arial"/>
          <w:sz w:val="20"/>
          <w:szCs w:val="20"/>
          <w:vertAlign w:val="superscript"/>
        </w:rPr>
        <w:t>1</w:t>
      </w:r>
      <w:r w:rsidRPr="00541786">
        <w:rPr>
          <w:rFonts w:ascii="Arial" w:hAnsi="Arial" w:cs="Arial"/>
          <w:sz w:val="20"/>
          <w:szCs w:val="20"/>
        </w:rPr>
        <w:t xml:space="preserve"> MD PhD</w:t>
      </w:r>
    </w:p>
    <w:p w14:paraId="058E9BAC" w14:textId="77777777" w:rsidR="00EA75D8" w:rsidRPr="00541786" w:rsidRDefault="00EA75D8" w:rsidP="00A33633">
      <w:pPr>
        <w:spacing w:line="480" w:lineRule="auto"/>
        <w:rPr>
          <w:rFonts w:ascii="Arial" w:hAnsi="Arial" w:cs="Arial"/>
          <w:sz w:val="20"/>
          <w:szCs w:val="20"/>
          <w:lang w:val="en-US"/>
        </w:rPr>
      </w:pPr>
      <w:r w:rsidRPr="00541786">
        <w:rPr>
          <w:rFonts w:ascii="Arial" w:hAnsi="Arial" w:cs="Arial"/>
          <w:sz w:val="20"/>
          <w:szCs w:val="20"/>
          <w:lang w:val="en-US"/>
        </w:rPr>
        <w:t xml:space="preserve">1. Amsterdam UMC location University of Amsterdam, Emma Children’s Hospital, Pediatric Intensive Care Unit, </w:t>
      </w:r>
      <w:proofErr w:type="spellStart"/>
      <w:r w:rsidRPr="00541786">
        <w:rPr>
          <w:rFonts w:ascii="Arial" w:hAnsi="Arial" w:cs="Arial"/>
          <w:sz w:val="20"/>
          <w:szCs w:val="20"/>
          <w:lang w:val="en-US"/>
        </w:rPr>
        <w:t>Meibergdreef</w:t>
      </w:r>
      <w:proofErr w:type="spellEnd"/>
      <w:r w:rsidRPr="00541786">
        <w:rPr>
          <w:rFonts w:ascii="Arial" w:hAnsi="Arial" w:cs="Arial"/>
          <w:sz w:val="20"/>
          <w:szCs w:val="20"/>
          <w:lang w:val="en-US"/>
        </w:rPr>
        <w:t xml:space="preserve"> 9, Amsterdam, The </w:t>
      </w:r>
      <w:proofErr w:type="gramStart"/>
      <w:r w:rsidRPr="00541786">
        <w:rPr>
          <w:rFonts w:ascii="Arial" w:hAnsi="Arial" w:cs="Arial"/>
          <w:sz w:val="20"/>
          <w:szCs w:val="20"/>
          <w:lang w:val="en-US"/>
        </w:rPr>
        <w:t>Netherlands;</w:t>
      </w:r>
      <w:proofErr w:type="gramEnd"/>
    </w:p>
    <w:p w14:paraId="4AF6D5D9" w14:textId="77777777" w:rsidR="00EA75D8" w:rsidRPr="00541786" w:rsidRDefault="00EA75D8" w:rsidP="00A33633">
      <w:pPr>
        <w:spacing w:line="480" w:lineRule="auto"/>
        <w:rPr>
          <w:rFonts w:ascii="Arial" w:hAnsi="Arial" w:cs="Arial"/>
          <w:sz w:val="20"/>
          <w:szCs w:val="20"/>
          <w:lang w:val="en-US"/>
        </w:rPr>
      </w:pPr>
    </w:p>
    <w:p w14:paraId="7A76C0CB" w14:textId="77777777" w:rsidR="00EA75D8" w:rsidRPr="00541786" w:rsidRDefault="00EA75D8" w:rsidP="00A33633">
      <w:pPr>
        <w:spacing w:line="480" w:lineRule="auto"/>
        <w:rPr>
          <w:rFonts w:ascii="Arial" w:hAnsi="Arial" w:cs="Arial"/>
          <w:sz w:val="20"/>
          <w:szCs w:val="20"/>
          <w:lang w:val="en-US"/>
        </w:rPr>
      </w:pPr>
      <w:r w:rsidRPr="00541786">
        <w:rPr>
          <w:rFonts w:ascii="Arial" w:hAnsi="Arial" w:cs="Arial"/>
          <w:sz w:val="20"/>
          <w:szCs w:val="20"/>
          <w:lang w:val="en-US"/>
        </w:rPr>
        <w:t>Index</w:t>
      </w:r>
    </w:p>
    <w:tbl>
      <w:tblPr>
        <w:tblStyle w:val="TableGrid"/>
        <w:tblW w:w="0" w:type="auto"/>
        <w:tblLook w:val="04A0" w:firstRow="1" w:lastRow="0" w:firstColumn="1" w:lastColumn="0" w:noHBand="0" w:noVBand="1"/>
      </w:tblPr>
      <w:tblGrid>
        <w:gridCol w:w="7225"/>
        <w:gridCol w:w="1837"/>
      </w:tblGrid>
      <w:tr w:rsidR="00EA75D8" w:rsidRPr="00541786" w14:paraId="3C7CECDF" w14:textId="77777777" w:rsidTr="000E2246">
        <w:tc>
          <w:tcPr>
            <w:tcW w:w="7225" w:type="dxa"/>
            <w:tcBorders>
              <w:bottom w:val="single" w:sz="4" w:space="0" w:color="auto"/>
            </w:tcBorders>
          </w:tcPr>
          <w:p w14:paraId="38CF1938" w14:textId="77777777" w:rsidR="00EA75D8" w:rsidRPr="00541786" w:rsidRDefault="00EA75D8" w:rsidP="00A33633">
            <w:pPr>
              <w:spacing w:line="480" w:lineRule="auto"/>
              <w:rPr>
                <w:rFonts w:ascii="Arial" w:hAnsi="Arial" w:cs="Arial"/>
                <w:sz w:val="20"/>
                <w:szCs w:val="20"/>
                <w:lang w:val="en-US"/>
              </w:rPr>
            </w:pPr>
            <w:r w:rsidRPr="00541786">
              <w:rPr>
                <w:rFonts w:ascii="Arial" w:hAnsi="Arial" w:cs="Arial"/>
                <w:sz w:val="20"/>
                <w:szCs w:val="20"/>
                <w:lang w:val="en-US"/>
              </w:rPr>
              <w:t>Content</w:t>
            </w:r>
          </w:p>
        </w:tc>
        <w:tc>
          <w:tcPr>
            <w:tcW w:w="1837" w:type="dxa"/>
            <w:tcBorders>
              <w:bottom w:val="single" w:sz="4" w:space="0" w:color="auto"/>
            </w:tcBorders>
          </w:tcPr>
          <w:p w14:paraId="7C073B5A" w14:textId="77777777" w:rsidR="00EA75D8" w:rsidRPr="00541786" w:rsidRDefault="00EA75D8" w:rsidP="00A33633">
            <w:pPr>
              <w:spacing w:line="480" w:lineRule="auto"/>
              <w:rPr>
                <w:rFonts w:ascii="Arial" w:hAnsi="Arial" w:cs="Arial"/>
                <w:sz w:val="20"/>
                <w:szCs w:val="20"/>
                <w:lang w:val="en-US"/>
              </w:rPr>
            </w:pPr>
            <w:r w:rsidRPr="00541786">
              <w:rPr>
                <w:rFonts w:ascii="Arial" w:hAnsi="Arial" w:cs="Arial"/>
                <w:sz w:val="20"/>
                <w:szCs w:val="20"/>
                <w:lang w:val="en-US"/>
              </w:rPr>
              <w:t>Page number</w:t>
            </w:r>
          </w:p>
        </w:tc>
      </w:tr>
      <w:tr w:rsidR="00EA75D8" w:rsidRPr="00541786" w14:paraId="7E5B99BA" w14:textId="77777777" w:rsidTr="000E2246">
        <w:tc>
          <w:tcPr>
            <w:tcW w:w="7225" w:type="dxa"/>
            <w:tcBorders>
              <w:top w:val="single" w:sz="4" w:space="0" w:color="auto"/>
              <w:left w:val="nil"/>
              <w:bottom w:val="nil"/>
              <w:right w:val="nil"/>
            </w:tcBorders>
          </w:tcPr>
          <w:p w14:paraId="1F98068C"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eMethods</w:t>
            </w:r>
            <w:proofErr w:type="spellEnd"/>
            <w:r w:rsidRPr="00541786">
              <w:rPr>
                <w:rFonts w:ascii="Arial" w:hAnsi="Arial" w:cs="Arial"/>
                <w:sz w:val="20"/>
                <w:szCs w:val="20"/>
                <w:lang w:val="en-US"/>
              </w:rPr>
              <w:t xml:space="preserve"> and statistical analysis</w:t>
            </w:r>
          </w:p>
        </w:tc>
        <w:tc>
          <w:tcPr>
            <w:tcW w:w="1837" w:type="dxa"/>
            <w:tcBorders>
              <w:top w:val="single" w:sz="4" w:space="0" w:color="auto"/>
              <w:left w:val="nil"/>
              <w:bottom w:val="nil"/>
              <w:right w:val="nil"/>
            </w:tcBorders>
          </w:tcPr>
          <w:p w14:paraId="263FF30A" w14:textId="77777777" w:rsidR="00EA75D8" w:rsidRPr="00541786" w:rsidRDefault="00521998" w:rsidP="00A33633">
            <w:pPr>
              <w:spacing w:line="480" w:lineRule="auto"/>
              <w:rPr>
                <w:rFonts w:ascii="Arial" w:hAnsi="Arial" w:cs="Arial"/>
                <w:sz w:val="20"/>
                <w:szCs w:val="20"/>
                <w:lang w:val="en-US"/>
              </w:rPr>
            </w:pPr>
            <w:r w:rsidRPr="00541786">
              <w:rPr>
                <w:rFonts w:ascii="Arial" w:hAnsi="Arial" w:cs="Arial"/>
                <w:sz w:val="20"/>
                <w:szCs w:val="20"/>
                <w:lang w:val="en-US"/>
              </w:rPr>
              <w:t>2-3</w:t>
            </w:r>
          </w:p>
        </w:tc>
      </w:tr>
      <w:tr w:rsidR="00EA75D8" w:rsidRPr="00541786" w14:paraId="2A3CB3B7" w14:textId="77777777" w:rsidTr="000E2246">
        <w:tc>
          <w:tcPr>
            <w:tcW w:w="7225" w:type="dxa"/>
            <w:tcBorders>
              <w:top w:val="nil"/>
              <w:left w:val="nil"/>
              <w:bottom w:val="nil"/>
              <w:right w:val="nil"/>
            </w:tcBorders>
          </w:tcPr>
          <w:p w14:paraId="1B255F45"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eTable</w:t>
            </w:r>
            <w:proofErr w:type="spellEnd"/>
            <w:r w:rsidRPr="00541786">
              <w:rPr>
                <w:rFonts w:ascii="Arial" w:hAnsi="Arial" w:cs="Arial"/>
                <w:sz w:val="20"/>
                <w:szCs w:val="20"/>
                <w:lang w:val="en-US"/>
              </w:rPr>
              <w:t xml:space="preserve"> 1. Admission diagnosis codes used for record selection from the electronic patient database</w:t>
            </w:r>
          </w:p>
        </w:tc>
        <w:tc>
          <w:tcPr>
            <w:tcW w:w="1837" w:type="dxa"/>
            <w:tcBorders>
              <w:top w:val="nil"/>
              <w:left w:val="nil"/>
              <w:bottom w:val="nil"/>
              <w:right w:val="nil"/>
            </w:tcBorders>
          </w:tcPr>
          <w:p w14:paraId="03C4A6B9" w14:textId="77777777" w:rsidR="00EA75D8" w:rsidRPr="00541786" w:rsidRDefault="00521998" w:rsidP="00A33633">
            <w:pPr>
              <w:spacing w:line="480" w:lineRule="auto"/>
              <w:rPr>
                <w:rFonts w:ascii="Arial" w:hAnsi="Arial" w:cs="Arial"/>
                <w:sz w:val="20"/>
                <w:szCs w:val="20"/>
                <w:lang w:val="en-US"/>
              </w:rPr>
            </w:pPr>
            <w:r w:rsidRPr="00541786">
              <w:rPr>
                <w:rFonts w:ascii="Arial" w:hAnsi="Arial" w:cs="Arial"/>
                <w:sz w:val="20"/>
                <w:szCs w:val="20"/>
                <w:lang w:val="en-US"/>
              </w:rPr>
              <w:t>4</w:t>
            </w:r>
          </w:p>
        </w:tc>
      </w:tr>
      <w:tr w:rsidR="00EA75D8" w:rsidRPr="00541786" w14:paraId="7AB97628" w14:textId="77777777" w:rsidTr="000E2246">
        <w:tc>
          <w:tcPr>
            <w:tcW w:w="7225" w:type="dxa"/>
            <w:tcBorders>
              <w:top w:val="nil"/>
              <w:left w:val="nil"/>
              <w:bottom w:val="nil"/>
              <w:right w:val="nil"/>
            </w:tcBorders>
          </w:tcPr>
          <w:p w14:paraId="75C74945"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eTable</w:t>
            </w:r>
            <w:proofErr w:type="spellEnd"/>
            <w:r w:rsidRPr="00541786">
              <w:rPr>
                <w:rFonts w:ascii="Arial" w:hAnsi="Arial" w:cs="Arial"/>
                <w:sz w:val="20"/>
                <w:szCs w:val="20"/>
                <w:lang w:val="en-US"/>
              </w:rPr>
              <w:t xml:space="preserve"> 2. Descriptive statistics of included patients</w:t>
            </w:r>
          </w:p>
        </w:tc>
        <w:tc>
          <w:tcPr>
            <w:tcW w:w="1837" w:type="dxa"/>
            <w:tcBorders>
              <w:top w:val="nil"/>
              <w:left w:val="nil"/>
              <w:bottom w:val="nil"/>
              <w:right w:val="nil"/>
            </w:tcBorders>
          </w:tcPr>
          <w:p w14:paraId="7952DB71" w14:textId="77777777" w:rsidR="00EA75D8" w:rsidRPr="00541786" w:rsidRDefault="00521998" w:rsidP="00521998">
            <w:pPr>
              <w:pStyle w:val="CommentText"/>
              <w:spacing w:line="480" w:lineRule="auto"/>
              <w:rPr>
                <w:rFonts w:ascii="Arial" w:hAnsi="Arial" w:cs="Arial"/>
                <w:lang w:val="en-US"/>
              </w:rPr>
            </w:pPr>
            <w:r w:rsidRPr="00541786">
              <w:rPr>
                <w:rFonts w:ascii="Arial" w:hAnsi="Arial" w:cs="Arial"/>
                <w:lang w:val="en-US"/>
              </w:rPr>
              <w:t>5</w:t>
            </w:r>
          </w:p>
        </w:tc>
      </w:tr>
      <w:tr w:rsidR="00EA75D8" w:rsidRPr="00541786" w14:paraId="4C19EEBB" w14:textId="77777777" w:rsidTr="000E2246">
        <w:tc>
          <w:tcPr>
            <w:tcW w:w="7225" w:type="dxa"/>
            <w:tcBorders>
              <w:top w:val="nil"/>
              <w:left w:val="nil"/>
              <w:bottom w:val="nil"/>
              <w:right w:val="nil"/>
            </w:tcBorders>
          </w:tcPr>
          <w:p w14:paraId="37F6E354"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eTable</w:t>
            </w:r>
            <w:proofErr w:type="spellEnd"/>
            <w:r w:rsidRPr="00541786">
              <w:rPr>
                <w:rFonts w:ascii="Arial" w:hAnsi="Arial" w:cs="Arial"/>
                <w:sz w:val="20"/>
                <w:szCs w:val="20"/>
                <w:lang w:val="en-US"/>
              </w:rPr>
              <w:t xml:space="preserve"> 3. Exploratory analys</w:t>
            </w:r>
            <w:r w:rsidR="00A33633" w:rsidRPr="00541786">
              <w:rPr>
                <w:rFonts w:ascii="Arial" w:hAnsi="Arial" w:cs="Arial"/>
                <w:sz w:val="20"/>
                <w:szCs w:val="20"/>
                <w:lang w:val="en-US"/>
              </w:rPr>
              <w:t>is of</w:t>
            </w:r>
            <w:r w:rsidRPr="00541786">
              <w:rPr>
                <w:rFonts w:ascii="Arial" w:hAnsi="Arial" w:cs="Arial"/>
                <w:sz w:val="20"/>
                <w:szCs w:val="20"/>
                <w:lang w:val="en-US"/>
              </w:rPr>
              <w:t xml:space="preserve"> the association </w:t>
            </w:r>
            <w:r w:rsidR="00A33633" w:rsidRPr="00541786">
              <w:rPr>
                <w:rFonts w:ascii="Arial" w:hAnsi="Arial" w:cs="Arial"/>
                <w:sz w:val="20"/>
                <w:szCs w:val="20"/>
                <w:lang w:val="en-US"/>
              </w:rPr>
              <w:t xml:space="preserve">of </w:t>
            </w:r>
            <w:r w:rsidRPr="00541786">
              <w:rPr>
                <w:rFonts w:ascii="Arial" w:hAnsi="Arial" w:cs="Arial"/>
                <w:sz w:val="20"/>
                <w:szCs w:val="20"/>
                <w:lang w:val="en-US"/>
              </w:rPr>
              <w:t>oxygen exposure</w:t>
            </w:r>
            <w:r w:rsidR="00A33633" w:rsidRPr="00541786">
              <w:rPr>
                <w:rFonts w:ascii="Arial" w:hAnsi="Arial" w:cs="Arial"/>
                <w:sz w:val="20"/>
                <w:szCs w:val="20"/>
                <w:lang w:val="en-US"/>
              </w:rPr>
              <w:t xml:space="preserve"> with outcome</w:t>
            </w:r>
            <w:r w:rsidR="00521998" w:rsidRPr="00541786">
              <w:rPr>
                <w:rFonts w:ascii="Arial" w:hAnsi="Arial" w:cs="Arial"/>
                <w:sz w:val="20"/>
                <w:szCs w:val="20"/>
                <w:lang w:val="en-US"/>
              </w:rPr>
              <w:t xml:space="preserve"> using quantile regression of the median</w:t>
            </w:r>
          </w:p>
        </w:tc>
        <w:tc>
          <w:tcPr>
            <w:tcW w:w="1837" w:type="dxa"/>
            <w:tcBorders>
              <w:top w:val="nil"/>
              <w:left w:val="nil"/>
              <w:bottom w:val="nil"/>
              <w:right w:val="nil"/>
            </w:tcBorders>
          </w:tcPr>
          <w:p w14:paraId="157BDEAA" w14:textId="77777777" w:rsidR="00EA75D8" w:rsidRPr="00541786" w:rsidRDefault="00521998" w:rsidP="00521998">
            <w:pPr>
              <w:pStyle w:val="CommentText"/>
              <w:spacing w:line="480" w:lineRule="auto"/>
              <w:rPr>
                <w:rFonts w:ascii="Arial" w:hAnsi="Arial" w:cs="Arial"/>
                <w:lang w:val="en-US"/>
              </w:rPr>
            </w:pPr>
            <w:r w:rsidRPr="00541786">
              <w:rPr>
                <w:rFonts w:ascii="Arial" w:hAnsi="Arial" w:cs="Arial"/>
                <w:lang w:val="en-US"/>
              </w:rPr>
              <w:t>6</w:t>
            </w:r>
          </w:p>
        </w:tc>
      </w:tr>
      <w:tr w:rsidR="00EA75D8" w:rsidRPr="00541786" w14:paraId="24903630" w14:textId="77777777" w:rsidTr="000E2246">
        <w:tc>
          <w:tcPr>
            <w:tcW w:w="7225" w:type="dxa"/>
            <w:tcBorders>
              <w:top w:val="nil"/>
              <w:left w:val="nil"/>
              <w:bottom w:val="nil"/>
              <w:right w:val="nil"/>
            </w:tcBorders>
          </w:tcPr>
          <w:p w14:paraId="19E86702"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1. Flow diagram of the selection process of included records</w:t>
            </w:r>
          </w:p>
        </w:tc>
        <w:tc>
          <w:tcPr>
            <w:tcW w:w="1837" w:type="dxa"/>
            <w:tcBorders>
              <w:top w:val="nil"/>
              <w:left w:val="nil"/>
              <w:bottom w:val="nil"/>
              <w:right w:val="nil"/>
            </w:tcBorders>
          </w:tcPr>
          <w:p w14:paraId="03C480DC" w14:textId="77777777" w:rsidR="00EA75D8" w:rsidRPr="00541786" w:rsidRDefault="00CA3378" w:rsidP="00A33633">
            <w:pPr>
              <w:spacing w:line="480" w:lineRule="auto"/>
              <w:rPr>
                <w:rFonts w:ascii="Arial" w:hAnsi="Arial" w:cs="Arial"/>
                <w:sz w:val="20"/>
                <w:szCs w:val="20"/>
                <w:lang w:val="en-US"/>
              </w:rPr>
            </w:pPr>
            <w:r w:rsidRPr="00541786">
              <w:rPr>
                <w:rFonts w:ascii="Arial" w:hAnsi="Arial" w:cs="Arial"/>
                <w:sz w:val="20"/>
                <w:szCs w:val="20"/>
                <w:lang w:val="en-US"/>
              </w:rPr>
              <w:t>7</w:t>
            </w:r>
          </w:p>
        </w:tc>
      </w:tr>
      <w:tr w:rsidR="00EA75D8" w:rsidRPr="00541786" w14:paraId="16E4E1CB" w14:textId="77777777" w:rsidTr="000E2246">
        <w:tc>
          <w:tcPr>
            <w:tcW w:w="7225" w:type="dxa"/>
            <w:tcBorders>
              <w:top w:val="nil"/>
              <w:left w:val="nil"/>
              <w:bottom w:val="nil"/>
              <w:right w:val="nil"/>
            </w:tcBorders>
          </w:tcPr>
          <w:p w14:paraId="4B7BA71A"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2. Prevalence and proportion of arterial line use categorized by admission year</w:t>
            </w:r>
          </w:p>
        </w:tc>
        <w:tc>
          <w:tcPr>
            <w:tcW w:w="1837" w:type="dxa"/>
            <w:tcBorders>
              <w:top w:val="nil"/>
              <w:left w:val="nil"/>
              <w:bottom w:val="nil"/>
              <w:right w:val="nil"/>
            </w:tcBorders>
          </w:tcPr>
          <w:p w14:paraId="61C67E37" w14:textId="77777777" w:rsidR="00EA75D8" w:rsidRPr="00541786" w:rsidRDefault="00CA3378" w:rsidP="00A33633">
            <w:pPr>
              <w:spacing w:line="480" w:lineRule="auto"/>
              <w:rPr>
                <w:rFonts w:ascii="Arial" w:hAnsi="Arial" w:cs="Arial"/>
                <w:sz w:val="20"/>
                <w:szCs w:val="20"/>
                <w:lang w:val="en-US"/>
              </w:rPr>
            </w:pPr>
            <w:r w:rsidRPr="00541786">
              <w:rPr>
                <w:rFonts w:ascii="Arial" w:hAnsi="Arial" w:cs="Arial"/>
                <w:sz w:val="20"/>
                <w:szCs w:val="20"/>
                <w:lang w:val="en-US"/>
              </w:rPr>
              <w:t>8</w:t>
            </w:r>
          </w:p>
        </w:tc>
      </w:tr>
      <w:tr w:rsidR="00EA75D8" w:rsidRPr="00541786" w14:paraId="70D43B72" w14:textId="77777777" w:rsidTr="000E2246">
        <w:tc>
          <w:tcPr>
            <w:tcW w:w="7225" w:type="dxa"/>
            <w:tcBorders>
              <w:top w:val="nil"/>
              <w:left w:val="nil"/>
              <w:bottom w:val="nil"/>
              <w:right w:val="nil"/>
            </w:tcBorders>
          </w:tcPr>
          <w:p w14:paraId="65B6EC1B"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3. Repeated measures correlation plot</w:t>
            </w:r>
          </w:p>
        </w:tc>
        <w:tc>
          <w:tcPr>
            <w:tcW w:w="1837" w:type="dxa"/>
            <w:tcBorders>
              <w:top w:val="nil"/>
              <w:left w:val="nil"/>
              <w:bottom w:val="nil"/>
              <w:right w:val="nil"/>
            </w:tcBorders>
          </w:tcPr>
          <w:p w14:paraId="358CACF6" w14:textId="77777777" w:rsidR="00EA75D8" w:rsidRPr="00541786" w:rsidRDefault="00CA3378" w:rsidP="00A33633">
            <w:pPr>
              <w:spacing w:line="480" w:lineRule="auto"/>
              <w:rPr>
                <w:rFonts w:ascii="Arial" w:hAnsi="Arial" w:cs="Arial"/>
                <w:sz w:val="20"/>
                <w:szCs w:val="20"/>
                <w:lang w:val="en-US"/>
              </w:rPr>
            </w:pPr>
            <w:r w:rsidRPr="00541786">
              <w:rPr>
                <w:rFonts w:ascii="Arial" w:hAnsi="Arial" w:cs="Arial"/>
                <w:sz w:val="20"/>
                <w:szCs w:val="20"/>
                <w:lang w:val="en-US"/>
              </w:rPr>
              <w:t>9</w:t>
            </w:r>
          </w:p>
        </w:tc>
      </w:tr>
      <w:tr w:rsidR="00EA75D8" w:rsidRPr="00541786" w14:paraId="6DCD19F0" w14:textId="77777777" w:rsidTr="000E2246">
        <w:tc>
          <w:tcPr>
            <w:tcW w:w="7225" w:type="dxa"/>
            <w:tcBorders>
              <w:top w:val="nil"/>
              <w:left w:val="nil"/>
              <w:bottom w:val="nil"/>
              <w:right w:val="nil"/>
            </w:tcBorders>
          </w:tcPr>
          <w:p w14:paraId="18F97BB4" w14:textId="77777777" w:rsidR="00EA75D8" w:rsidRPr="00541786" w:rsidRDefault="00EA75D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4. Healthcare worker’s response on fraction of inspired oxygen setting</w:t>
            </w:r>
          </w:p>
        </w:tc>
        <w:tc>
          <w:tcPr>
            <w:tcW w:w="1837" w:type="dxa"/>
            <w:tcBorders>
              <w:top w:val="nil"/>
              <w:left w:val="nil"/>
              <w:bottom w:val="nil"/>
              <w:right w:val="nil"/>
            </w:tcBorders>
          </w:tcPr>
          <w:p w14:paraId="360B6276" w14:textId="77777777" w:rsidR="00EA75D8" w:rsidRPr="00541786" w:rsidRDefault="000E2246" w:rsidP="00A33633">
            <w:pPr>
              <w:spacing w:line="480" w:lineRule="auto"/>
              <w:rPr>
                <w:rFonts w:ascii="Arial" w:hAnsi="Arial" w:cs="Arial"/>
                <w:sz w:val="20"/>
                <w:szCs w:val="20"/>
                <w:lang w:val="en-US"/>
              </w:rPr>
            </w:pPr>
            <w:r w:rsidRPr="00541786">
              <w:rPr>
                <w:rFonts w:ascii="Arial" w:hAnsi="Arial" w:cs="Arial"/>
                <w:sz w:val="20"/>
                <w:szCs w:val="20"/>
                <w:lang w:val="en-US"/>
              </w:rPr>
              <w:t>10</w:t>
            </w:r>
          </w:p>
        </w:tc>
      </w:tr>
      <w:tr w:rsidR="00521998" w:rsidRPr="00541786" w14:paraId="539D895B" w14:textId="77777777" w:rsidTr="000E2246">
        <w:tc>
          <w:tcPr>
            <w:tcW w:w="7225" w:type="dxa"/>
            <w:tcBorders>
              <w:top w:val="nil"/>
              <w:left w:val="nil"/>
              <w:bottom w:val="single" w:sz="4" w:space="0" w:color="auto"/>
              <w:right w:val="nil"/>
            </w:tcBorders>
          </w:tcPr>
          <w:p w14:paraId="7068FA8E" w14:textId="77777777" w:rsidR="00521998" w:rsidRPr="00541786" w:rsidRDefault="00521998" w:rsidP="00A33633">
            <w:pPr>
              <w:spacing w:line="480" w:lineRule="auto"/>
              <w:rPr>
                <w:rFonts w:ascii="Arial" w:hAnsi="Arial" w:cs="Arial"/>
                <w:sz w:val="20"/>
                <w:szCs w:val="20"/>
                <w:lang w:val="en-US"/>
              </w:rPr>
            </w:pPr>
            <w:proofErr w:type="spellStart"/>
            <w:r w:rsidRPr="00541786">
              <w:rPr>
                <w:rFonts w:ascii="Arial" w:hAnsi="Arial" w:cs="Arial"/>
                <w:sz w:val="20"/>
                <w:szCs w:val="20"/>
                <w:lang w:val="en-US"/>
              </w:rPr>
              <w:t>eReferences</w:t>
            </w:r>
            <w:proofErr w:type="spellEnd"/>
          </w:p>
        </w:tc>
        <w:tc>
          <w:tcPr>
            <w:tcW w:w="1837" w:type="dxa"/>
            <w:tcBorders>
              <w:top w:val="nil"/>
              <w:left w:val="nil"/>
              <w:bottom w:val="single" w:sz="4" w:space="0" w:color="auto"/>
              <w:right w:val="nil"/>
            </w:tcBorders>
          </w:tcPr>
          <w:p w14:paraId="066108DC" w14:textId="77777777" w:rsidR="00521998" w:rsidRPr="00541786" w:rsidRDefault="000E2246" w:rsidP="00A33633">
            <w:pPr>
              <w:spacing w:line="480" w:lineRule="auto"/>
              <w:rPr>
                <w:rFonts w:ascii="Arial" w:hAnsi="Arial" w:cs="Arial"/>
                <w:sz w:val="20"/>
                <w:szCs w:val="20"/>
                <w:lang w:val="en-US"/>
              </w:rPr>
            </w:pPr>
            <w:r w:rsidRPr="00541786">
              <w:rPr>
                <w:rFonts w:ascii="Arial" w:hAnsi="Arial" w:cs="Arial"/>
                <w:sz w:val="20"/>
                <w:szCs w:val="20"/>
                <w:lang w:val="en-US"/>
              </w:rPr>
              <w:t>11</w:t>
            </w:r>
          </w:p>
        </w:tc>
      </w:tr>
    </w:tbl>
    <w:p w14:paraId="5DAB530E" w14:textId="77777777" w:rsidR="00EA75D8" w:rsidRPr="00541786" w:rsidRDefault="00EA75D8" w:rsidP="00A33633">
      <w:pPr>
        <w:spacing w:line="480" w:lineRule="auto"/>
        <w:rPr>
          <w:rFonts w:ascii="Arial" w:hAnsi="Arial" w:cs="Arial"/>
          <w:sz w:val="20"/>
          <w:szCs w:val="20"/>
          <w:lang w:val="en-US"/>
        </w:rPr>
      </w:pPr>
      <w:r w:rsidRPr="00541786">
        <w:rPr>
          <w:rFonts w:ascii="Arial" w:hAnsi="Arial" w:cs="Arial"/>
          <w:sz w:val="20"/>
          <w:szCs w:val="20"/>
          <w:lang w:val="en-US"/>
        </w:rPr>
        <w:br w:type="page"/>
      </w:r>
    </w:p>
    <w:p w14:paraId="109E289D" w14:textId="77777777" w:rsidR="002A14CD" w:rsidRPr="00541786" w:rsidRDefault="001169CC" w:rsidP="00A33633">
      <w:pPr>
        <w:spacing w:line="480" w:lineRule="auto"/>
        <w:rPr>
          <w:rFonts w:ascii="Arial" w:hAnsi="Arial" w:cs="Arial"/>
          <w:sz w:val="20"/>
          <w:szCs w:val="20"/>
          <w:lang w:val="en-US"/>
        </w:rPr>
      </w:pPr>
      <w:proofErr w:type="spellStart"/>
      <w:r w:rsidRPr="00541786">
        <w:rPr>
          <w:rFonts w:ascii="Arial" w:hAnsi="Arial" w:cs="Arial"/>
          <w:b/>
          <w:sz w:val="20"/>
          <w:szCs w:val="20"/>
          <w:lang w:val="en-US"/>
        </w:rPr>
        <w:lastRenderedPageBreak/>
        <w:t>eMethods</w:t>
      </w:r>
      <w:proofErr w:type="spellEnd"/>
    </w:p>
    <w:p w14:paraId="1E88D16D" w14:textId="77777777" w:rsidR="00221819" w:rsidRPr="00541786" w:rsidRDefault="00221819" w:rsidP="00A33633">
      <w:pPr>
        <w:spacing w:line="480" w:lineRule="auto"/>
        <w:rPr>
          <w:rFonts w:ascii="Arial" w:hAnsi="Arial" w:cs="Arial"/>
          <w:sz w:val="20"/>
          <w:szCs w:val="20"/>
          <w:lang w:val="en-US"/>
        </w:rPr>
      </w:pPr>
      <w:r w:rsidRPr="00541786">
        <w:rPr>
          <w:rFonts w:ascii="Arial" w:hAnsi="Arial" w:cs="Arial"/>
          <w:sz w:val="20"/>
          <w:szCs w:val="20"/>
          <w:lang w:val="en-US"/>
        </w:rPr>
        <w:t>This study is reported in accordance with the Reporting of Studies Conducted Using Observational Routinely Collected Health Data (RECORD) guideline.</w:t>
      </w:r>
    </w:p>
    <w:p w14:paraId="01D6F388" w14:textId="77777777" w:rsidR="00221819" w:rsidRPr="00541786" w:rsidRDefault="00221819" w:rsidP="00A33633">
      <w:pPr>
        <w:spacing w:line="480" w:lineRule="auto"/>
        <w:rPr>
          <w:rFonts w:ascii="Arial" w:hAnsi="Arial" w:cs="Arial"/>
          <w:sz w:val="20"/>
          <w:szCs w:val="20"/>
          <w:lang w:val="en-US"/>
        </w:rPr>
      </w:pPr>
      <w:r w:rsidRPr="00541786">
        <w:rPr>
          <w:rFonts w:ascii="Arial" w:hAnsi="Arial" w:cs="Arial"/>
          <w:sz w:val="20"/>
          <w:szCs w:val="20"/>
          <w:lang w:val="en-US"/>
        </w:rPr>
        <w:t>Admission codes for patient record retrieval were based on the International Classification of Diseases 10</w:t>
      </w:r>
      <w:r w:rsidRPr="00541786">
        <w:rPr>
          <w:rFonts w:ascii="Arial" w:hAnsi="Arial" w:cs="Arial"/>
          <w:sz w:val="20"/>
          <w:szCs w:val="20"/>
          <w:vertAlign w:val="superscript"/>
          <w:lang w:val="en-US"/>
        </w:rPr>
        <w:t>th</w:t>
      </w:r>
      <w:r w:rsidRPr="00541786">
        <w:rPr>
          <w:rFonts w:ascii="Arial" w:hAnsi="Arial" w:cs="Arial"/>
          <w:sz w:val="20"/>
          <w:szCs w:val="20"/>
          <w:lang w:val="en-US"/>
        </w:rPr>
        <w:t xml:space="preserve"> Revision (</w:t>
      </w:r>
      <w:proofErr w:type="spellStart"/>
      <w:r w:rsidRPr="00541786">
        <w:rPr>
          <w:rFonts w:ascii="Arial" w:hAnsi="Arial" w:cs="Arial"/>
          <w:sz w:val="20"/>
          <w:szCs w:val="20"/>
          <w:lang w:val="en-US"/>
        </w:rPr>
        <w:t>eTable</w:t>
      </w:r>
      <w:proofErr w:type="spellEnd"/>
      <w:r w:rsidRPr="00541786">
        <w:rPr>
          <w:rFonts w:ascii="Arial" w:hAnsi="Arial" w:cs="Arial"/>
          <w:sz w:val="20"/>
          <w:szCs w:val="20"/>
          <w:lang w:val="en-US"/>
        </w:rPr>
        <w:t xml:space="preserve"> 1). Extracted data included: (baseline) patient characteristics; presence of bacterial superinfection defined as a positive sputum culture and treatment with antibiotics; outcome data, including duration of invasive mechanical ventilation (IMV) and length of stay in the pediatric intensive care unit (PICU) in days (derived from total hours); ventilator data, including fraction of inspired oxygen (FiO</w:t>
      </w:r>
      <w:r w:rsidRPr="00541786">
        <w:rPr>
          <w:rFonts w:ascii="Arial" w:hAnsi="Arial" w:cs="Arial"/>
          <w:sz w:val="20"/>
          <w:szCs w:val="20"/>
          <w:vertAlign w:val="subscript"/>
          <w:lang w:val="en-US"/>
        </w:rPr>
        <w:t>2</w:t>
      </w:r>
      <w:r w:rsidRPr="00541786">
        <w:rPr>
          <w:rFonts w:ascii="Arial" w:hAnsi="Arial" w:cs="Arial"/>
          <w:sz w:val="20"/>
          <w:szCs w:val="20"/>
          <w:lang w:val="en-US"/>
        </w:rPr>
        <w:t>), and peripheral oxygen saturation (SpO</w:t>
      </w:r>
      <w:r w:rsidRPr="00541786">
        <w:rPr>
          <w:rFonts w:ascii="Arial" w:hAnsi="Arial" w:cs="Arial"/>
          <w:sz w:val="20"/>
          <w:szCs w:val="20"/>
          <w:vertAlign w:val="subscript"/>
          <w:lang w:val="en-US"/>
        </w:rPr>
        <w:t>2</w:t>
      </w:r>
      <w:r w:rsidRPr="00541786">
        <w:rPr>
          <w:rFonts w:ascii="Arial" w:hAnsi="Arial" w:cs="Arial"/>
          <w:sz w:val="20"/>
          <w:szCs w:val="20"/>
          <w:lang w:val="en-US"/>
        </w:rPr>
        <w:t>) at every hour up to the 10</w:t>
      </w:r>
      <w:r w:rsidRPr="00541786">
        <w:rPr>
          <w:rFonts w:ascii="Arial" w:hAnsi="Arial" w:cs="Arial"/>
          <w:sz w:val="20"/>
          <w:szCs w:val="20"/>
          <w:vertAlign w:val="superscript"/>
          <w:lang w:val="en-US"/>
        </w:rPr>
        <w:t>th</w:t>
      </w:r>
      <w:r w:rsidRPr="00541786">
        <w:rPr>
          <w:rFonts w:ascii="Arial" w:hAnsi="Arial" w:cs="Arial"/>
          <w:sz w:val="20"/>
          <w:szCs w:val="20"/>
          <w:lang w:val="en-US"/>
        </w:rPr>
        <w:t xml:space="preserve"> day of IMV, and any partial pressure of arterial oxygen (PaO</w:t>
      </w:r>
      <w:r w:rsidRPr="00541786">
        <w:rPr>
          <w:rFonts w:ascii="Arial" w:hAnsi="Arial" w:cs="Arial"/>
          <w:sz w:val="20"/>
          <w:szCs w:val="20"/>
          <w:vertAlign w:val="subscript"/>
          <w:lang w:val="en-US"/>
        </w:rPr>
        <w:t>2</w:t>
      </w:r>
      <w:r w:rsidRPr="00541786">
        <w:rPr>
          <w:rFonts w:ascii="Arial" w:hAnsi="Arial" w:cs="Arial"/>
          <w:sz w:val="20"/>
          <w:szCs w:val="20"/>
          <w:lang w:val="en-US"/>
        </w:rPr>
        <w:t>) from arterial blood gas analyses. The PaO</w:t>
      </w:r>
      <w:r w:rsidRPr="00541786">
        <w:rPr>
          <w:rFonts w:ascii="Arial" w:hAnsi="Arial" w:cs="Arial"/>
          <w:sz w:val="20"/>
          <w:szCs w:val="20"/>
          <w:vertAlign w:val="subscript"/>
          <w:lang w:val="en-US"/>
        </w:rPr>
        <w:t>2</w:t>
      </w:r>
      <w:r w:rsidRPr="00541786">
        <w:rPr>
          <w:rFonts w:ascii="Arial" w:hAnsi="Arial" w:cs="Arial"/>
          <w:sz w:val="20"/>
          <w:szCs w:val="20"/>
          <w:lang w:val="en-US"/>
        </w:rPr>
        <w:t xml:space="preserve"> was only extracted at times patients had an intra-arterial line. In our center, routinely collected health data are validated every hour by the attending nurse. In case of a reintubation due to bronchiolitis-related respiratory insufficiency the additional days of IMV were extracted up to the 10</w:t>
      </w:r>
      <w:r w:rsidRPr="00541786">
        <w:rPr>
          <w:rFonts w:ascii="Arial" w:hAnsi="Arial" w:cs="Arial"/>
          <w:sz w:val="20"/>
          <w:szCs w:val="20"/>
          <w:vertAlign w:val="superscript"/>
          <w:lang w:val="en-US"/>
        </w:rPr>
        <w:t>th</w:t>
      </w:r>
      <w:r w:rsidRPr="00541786">
        <w:rPr>
          <w:rFonts w:ascii="Arial" w:hAnsi="Arial" w:cs="Arial"/>
          <w:sz w:val="20"/>
          <w:szCs w:val="20"/>
          <w:lang w:val="en-US"/>
        </w:rPr>
        <w:t xml:space="preserve"> cumulative day of IMV.</w:t>
      </w:r>
    </w:p>
    <w:p w14:paraId="2E494CF9" w14:textId="77777777" w:rsidR="00955AEA" w:rsidRPr="00541786" w:rsidRDefault="00221819" w:rsidP="00A33633">
      <w:pPr>
        <w:spacing w:line="480" w:lineRule="auto"/>
        <w:rPr>
          <w:rFonts w:ascii="Arial" w:eastAsia="Times New Roman" w:hAnsi="Arial" w:cs="Arial"/>
          <w:color w:val="000000"/>
          <w:sz w:val="20"/>
          <w:szCs w:val="20"/>
          <w:lang w:val="en-US"/>
        </w:rPr>
      </w:pPr>
      <w:r w:rsidRPr="00541786">
        <w:rPr>
          <w:rFonts w:ascii="Arial" w:eastAsia="Times New Roman" w:hAnsi="Arial" w:cs="Arial"/>
          <w:color w:val="000000"/>
          <w:sz w:val="20"/>
          <w:szCs w:val="20"/>
          <w:lang w:val="en-US"/>
        </w:rPr>
        <w:t>According to local guidelines, oxygen therapy is started in our PICU at SpO</w:t>
      </w:r>
      <w:r w:rsidRPr="00541786">
        <w:rPr>
          <w:rFonts w:ascii="Arial" w:eastAsia="Times New Roman" w:hAnsi="Arial" w:cs="Arial"/>
          <w:color w:val="000000"/>
          <w:sz w:val="20"/>
          <w:szCs w:val="20"/>
          <w:vertAlign w:val="subscript"/>
          <w:lang w:val="en-US"/>
        </w:rPr>
        <w:t>2</w:t>
      </w:r>
      <w:r w:rsidRPr="00541786">
        <w:rPr>
          <w:rFonts w:ascii="Arial" w:eastAsia="Times New Roman" w:hAnsi="Arial" w:cs="Arial"/>
          <w:color w:val="000000"/>
          <w:sz w:val="20"/>
          <w:szCs w:val="20"/>
          <w:lang w:val="en-US"/>
        </w:rPr>
        <w:t xml:space="preserve"> levels of ≤92% and dosed in accordance with protective ventilation principles. In addition to the attending physicians, PICU nurses titrate oxygen in our unit. No ventilator integrated automated feedback on oxygen titration was available.</w:t>
      </w:r>
    </w:p>
    <w:p w14:paraId="4D1AB883" w14:textId="77777777" w:rsidR="00896F3F" w:rsidRPr="00541786" w:rsidRDefault="00221819" w:rsidP="00A33633">
      <w:pPr>
        <w:spacing w:line="480" w:lineRule="auto"/>
        <w:rPr>
          <w:rFonts w:ascii="Arial" w:hAnsi="Arial" w:cs="Arial"/>
          <w:sz w:val="20"/>
          <w:szCs w:val="20"/>
          <w:lang w:val="en-US"/>
        </w:rPr>
      </w:pPr>
      <w:r w:rsidRPr="00541786">
        <w:rPr>
          <w:rFonts w:ascii="Arial" w:eastAsia="Times New Roman" w:hAnsi="Arial" w:cs="Arial"/>
          <w:color w:val="000000"/>
          <w:sz w:val="20"/>
          <w:szCs w:val="20"/>
          <w:lang w:val="en-US"/>
        </w:rPr>
        <w:t xml:space="preserve">The used </w:t>
      </w:r>
      <w:r w:rsidRPr="00541786">
        <w:rPr>
          <w:rFonts w:ascii="Arial" w:hAnsi="Arial" w:cs="Arial"/>
          <w:sz w:val="20"/>
          <w:szCs w:val="20"/>
          <w:lang w:val="en-US"/>
        </w:rPr>
        <w:t>cumulative excessive oxygen exposure score (CEE) was adapted from a prior study</w:t>
      </w:r>
      <w:r w:rsidR="00853410" w:rsidRPr="00541786">
        <w:rPr>
          <w:rFonts w:ascii="Arial" w:hAnsi="Arial" w:cs="Arial"/>
          <w:sz w:val="20"/>
          <w:szCs w:val="20"/>
          <w:lang w:val="en-US"/>
        </w:rPr>
        <w:t xml:space="preserve"> </w:t>
      </w:r>
      <w:r w:rsidR="00853410" w:rsidRPr="00541786">
        <w:rPr>
          <w:rFonts w:ascii="Arial" w:hAnsi="Arial" w:cs="Arial"/>
          <w:sz w:val="20"/>
          <w:szCs w:val="20"/>
          <w:lang w:val="en-US"/>
        </w:rPr>
        <w:fldChar w:fldCharType="begin">
          <w:fldData xml:space="preserve">PEVuZE5vdGU+PENpdGU+PEF1dGhvcj5CYWxjYXJjZWw8L0F1dGhvcj48WWVhcj4yMDIyPC9ZZWFy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=
</w:fldData>
        </w:fldChar>
      </w:r>
      <w:r w:rsidR="00853410" w:rsidRPr="00541786">
        <w:rPr>
          <w:rFonts w:ascii="Arial" w:hAnsi="Arial" w:cs="Arial"/>
          <w:sz w:val="20"/>
          <w:szCs w:val="20"/>
          <w:lang w:val="en-US"/>
        </w:rPr>
        <w:instrText xml:space="preserve"> ADDIN EN.CITE </w:instrText>
      </w:r>
      <w:r w:rsidR="00853410" w:rsidRPr="00541786">
        <w:rPr>
          <w:rFonts w:ascii="Arial" w:hAnsi="Arial" w:cs="Arial"/>
          <w:sz w:val="20"/>
          <w:szCs w:val="20"/>
          <w:lang w:val="en-US"/>
        </w:rPr>
        <w:fldChar w:fldCharType="begin">
          <w:fldData xml:space="preserve">PEVuZE5vdGU+PENpdGU+PEF1dGhvcj5CYWxjYXJjZWw8L0F1dGhvcj48WWVhcj4yMDIyPC9ZZWFy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=
</w:fldData>
        </w:fldChar>
      </w:r>
      <w:r w:rsidR="00853410" w:rsidRPr="00541786">
        <w:rPr>
          <w:rFonts w:ascii="Arial" w:hAnsi="Arial" w:cs="Arial"/>
          <w:sz w:val="20"/>
          <w:szCs w:val="20"/>
          <w:lang w:val="en-US"/>
        </w:rPr>
        <w:instrText xml:space="preserve"> ADDIN EN.CITE.DATA </w:instrText>
      </w:r>
      <w:r w:rsidR="00853410" w:rsidRPr="00541786">
        <w:rPr>
          <w:rFonts w:ascii="Arial" w:hAnsi="Arial" w:cs="Arial"/>
          <w:sz w:val="20"/>
          <w:szCs w:val="20"/>
          <w:lang w:val="en-US"/>
        </w:rPr>
      </w:r>
      <w:r w:rsidR="00853410" w:rsidRPr="00541786">
        <w:rPr>
          <w:rFonts w:ascii="Arial" w:hAnsi="Arial" w:cs="Arial"/>
          <w:sz w:val="20"/>
          <w:szCs w:val="20"/>
          <w:lang w:val="en-US"/>
        </w:rPr>
        <w:fldChar w:fldCharType="end"/>
      </w:r>
      <w:r w:rsidR="00853410" w:rsidRPr="00541786">
        <w:rPr>
          <w:rFonts w:ascii="Arial" w:hAnsi="Arial" w:cs="Arial"/>
          <w:sz w:val="20"/>
          <w:szCs w:val="20"/>
          <w:lang w:val="en-US"/>
        </w:rPr>
      </w:r>
      <w:r w:rsidR="00853410" w:rsidRPr="00541786">
        <w:rPr>
          <w:rFonts w:ascii="Arial" w:hAnsi="Arial" w:cs="Arial"/>
          <w:sz w:val="20"/>
          <w:szCs w:val="20"/>
          <w:lang w:val="en-US"/>
        </w:rPr>
        <w:fldChar w:fldCharType="separate"/>
      </w:r>
      <w:r w:rsidR="00853410" w:rsidRPr="00541786">
        <w:rPr>
          <w:rFonts w:ascii="Arial" w:hAnsi="Arial" w:cs="Arial"/>
          <w:noProof/>
          <w:sz w:val="20"/>
          <w:szCs w:val="20"/>
          <w:lang w:val="en-US"/>
        </w:rPr>
        <w:t>(1)</w:t>
      </w:r>
      <w:r w:rsidR="00853410" w:rsidRPr="00541786">
        <w:rPr>
          <w:rFonts w:ascii="Arial" w:hAnsi="Arial" w:cs="Arial"/>
          <w:sz w:val="20"/>
          <w:szCs w:val="20"/>
          <w:lang w:val="en-US"/>
        </w:rPr>
        <w:fldChar w:fldCharType="end"/>
      </w:r>
      <w:r w:rsidRPr="00541786">
        <w:rPr>
          <w:rFonts w:ascii="Arial" w:hAnsi="Arial" w:cs="Arial"/>
          <w:sz w:val="20"/>
          <w:szCs w:val="20"/>
          <w:lang w:val="en-US"/>
        </w:rPr>
        <w:t>. Based on normative data of SpO</w:t>
      </w:r>
      <w:r w:rsidRPr="00541786">
        <w:rPr>
          <w:rFonts w:ascii="Arial" w:hAnsi="Arial" w:cs="Arial"/>
          <w:sz w:val="20"/>
          <w:szCs w:val="20"/>
          <w:vertAlign w:val="subscript"/>
          <w:lang w:val="en-US"/>
        </w:rPr>
        <w:t>2</w:t>
      </w:r>
      <w:r w:rsidRPr="00541786">
        <w:rPr>
          <w:rFonts w:ascii="Arial" w:hAnsi="Arial" w:cs="Arial"/>
          <w:sz w:val="20"/>
          <w:szCs w:val="20"/>
          <w:lang w:val="en-US"/>
        </w:rPr>
        <w:t xml:space="preserve"> of healthy children at sea-level and the pediatric acute respiratory distress syndrome (ARDS) guideline which advises to maintain SpO</w:t>
      </w:r>
      <w:r w:rsidRPr="00541786">
        <w:rPr>
          <w:rFonts w:ascii="Arial" w:hAnsi="Arial" w:cs="Arial"/>
          <w:sz w:val="20"/>
          <w:szCs w:val="20"/>
          <w:vertAlign w:val="subscript"/>
          <w:lang w:val="en-US"/>
        </w:rPr>
        <w:t>2</w:t>
      </w:r>
      <w:r w:rsidRPr="00541786">
        <w:rPr>
          <w:rFonts w:ascii="Arial" w:hAnsi="Arial" w:cs="Arial"/>
          <w:sz w:val="20"/>
          <w:szCs w:val="20"/>
          <w:lang w:val="en-US"/>
        </w:rPr>
        <w:t xml:space="preserve"> at 92-97%</w:t>
      </w:r>
      <w:r w:rsidR="00853410" w:rsidRPr="00541786">
        <w:rPr>
          <w:rFonts w:ascii="Arial" w:hAnsi="Arial" w:cs="Arial"/>
          <w:sz w:val="20"/>
          <w:szCs w:val="20"/>
          <w:lang w:val="en-US"/>
        </w:rPr>
        <w:t xml:space="preserve"> </w:t>
      </w:r>
      <w:r w:rsidR="00853410" w:rsidRPr="00541786">
        <w:rPr>
          <w:rFonts w:ascii="Arial" w:hAnsi="Arial" w:cs="Arial"/>
          <w:sz w:val="20"/>
          <w:szCs w:val="20"/>
          <w:lang w:val="en-US"/>
        </w:rPr>
        <w:fldChar w:fldCharType="begin">
          <w:fldData xml:space="preserve">PEVuZE5vdGU+PENpdGU+PEF1dGhvcj5CYWxhc3VicmFtYW5pYW48L0F1dGhvcj48WWVhcj4yMDA2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=
</w:fldData>
        </w:fldChar>
      </w:r>
      <w:r w:rsidR="00853410" w:rsidRPr="00541786">
        <w:rPr>
          <w:rFonts w:ascii="Arial" w:hAnsi="Arial" w:cs="Arial"/>
          <w:sz w:val="20"/>
          <w:szCs w:val="20"/>
          <w:lang w:val="en-US"/>
        </w:rPr>
        <w:instrText xml:space="preserve"> ADDIN EN.CITE </w:instrText>
      </w:r>
      <w:r w:rsidR="00853410" w:rsidRPr="00541786">
        <w:rPr>
          <w:rFonts w:ascii="Arial" w:hAnsi="Arial" w:cs="Arial"/>
          <w:sz w:val="20"/>
          <w:szCs w:val="20"/>
          <w:lang w:val="en-US"/>
        </w:rPr>
        <w:fldChar w:fldCharType="begin">
          <w:fldData xml:space="preserve">PEVuZE5vdGU+PENpdGU+PEF1dGhvcj5CYWxhc3VicmFtYW5pYW48L0F1dGhvcj48WWVhcj4yMDA2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=
</w:fldData>
        </w:fldChar>
      </w:r>
      <w:r w:rsidR="00853410" w:rsidRPr="00541786">
        <w:rPr>
          <w:rFonts w:ascii="Arial" w:hAnsi="Arial" w:cs="Arial"/>
          <w:sz w:val="20"/>
          <w:szCs w:val="20"/>
          <w:lang w:val="en-US"/>
        </w:rPr>
        <w:instrText xml:space="preserve"> ADDIN EN.CITE.DATA </w:instrText>
      </w:r>
      <w:r w:rsidR="00853410" w:rsidRPr="00541786">
        <w:rPr>
          <w:rFonts w:ascii="Arial" w:hAnsi="Arial" w:cs="Arial"/>
          <w:sz w:val="20"/>
          <w:szCs w:val="20"/>
          <w:lang w:val="en-US"/>
        </w:rPr>
      </w:r>
      <w:r w:rsidR="00853410" w:rsidRPr="00541786">
        <w:rPr>
          <w:rFonts w:ascii="Arial" w:hAnsi="Arial" w:cs="Arial"/>
          <w:sz w:val="20"/>
          <w:szCs w:val="20"/>
          <w:lang w:val="en-US"/>
        </w:rPr>
        <w:fldChar w:fldCharType="end"/>
      </w:r>
      <w:r w:rsidR="00853410" w:rsidRPr="00541786">
        <w:rPr>
          <w:rFonts w:ascii="Arial" w:hAnsi="Arial" w:cs="Arial"/>
          <w:sz w:val="20"/>
          <w:szCs w:val="20"/>
          <w:lang w:val="en-US"/>
        </w:rPr>
      </w:r>
      <w:r w:rsidR="00853410" w:rsidRPr="00541786">
        <w:rPr>
          <w:rFonts w:ascii="Arial" w:hAnsi="Arial" w:cs="Arial"/>
          <w:sz w:val="20"/>
          <w:szCs w:val="20"/>
          <w:lang w:val="en-US"/>
        </w:rPr>
        <w:fldChar w:fldCharType="separate"/>
      </w:r>
      <w:r w:rsidR="00853410" w:rsidRPr="00541786">
        <w:rPr>
          <w:rFonts w:ascii="Arial" w:hAnsi="Arial" w:cs="Arial"/>
          <w:noProof/>
          <w:sz w:val="20"/>
          <w:szCs w:val="20"/>
          <w:lang w:val="en-US"/>
        </w:rPr>
        <w:t>(2, 3)</w:t>
      </w:r>
      <w:r w:rsidR="00853410" w:rsidRPr="00541786">
        <w:rPr>
          <w:rFonts w:ascii="Arial" w:hAnsi="Arial" w:cs="Arial"/>
          <w:sz w:val="20"/>
          <w:szCs w:val="20"/>
          <w:lang w:val="en-US"/>
        </w:rPr>
        <w:fldChar w:fldCharType="end"/>
      </w:r>
      <w:r w:rsidRPr="00541786">
        <w:rPr>
          <w:rFonts w:ascii="Arial" w:hAnsi="Arial" w:cs="Arial"/>
          <w:sz w:val="20"/>
          <w:szCs w:val="20"/>
          <w:lang w:val="en-US"/>
        </w:rPr>
        <w:t>, the threshold of 97% was chosen to score excessive oxygen use. Given the arbitrary definition of oxygen overuse, a sensitivity analysis was included with SpO</w:t>
      </w:r>
      <w:r w:rsidRPr="00541786">
        <w:rPr>
          <w:rFonts w:ascii="Arial" w:hAnsi="Arial" w:cs="Arial"/>
          <w:sz w:val="20"/>
          <w:szCs w:val="20"/>
          <w:vertAlign w:val="subscript"/>
          <w:lang w:val="en-US"/>
        </w:rPr>
        <w:t>2</w:t>
      </w:r>
      <w:r w:rsidRPr="00541786">
        <w:rPr>
          <w:rFonts w:ascii="Arial" w:hAnsi="Arial" w:cs="Arial"/>
          <w:sz w:val="20"/>
          <w:szCs w:val="20"/>
          <w:lang w:val="en-US"/>
        </w:rPr>
        <w:t xml:space="preserve"> ≥95% based on the prior study from which the score was adapted and to analyze a less conservative definition of oxygen overuse. </w:t>
      </w:r>
      <w:r w:rsidR="00896F3F" w:rsidRPr="00541786">
        <w:rPr>
          <w:rFonts w:ascii="Arial" w:hAnsi="Arial" w:cs="Arial"/>
          <w:sz w:val="20"/>
          <w:szCs w:val="20"/>
          <w:lang w:val="en-US"/>
        </w:rPr>
        <w:t>To exemplify</w:t>
      </w:r>
      <w:r w:rsidRPr="00541786">
        <w:rPr>
          <w:rFonts w:ascii="Arial" w:hAnsi="Arial" w:cs="Arial"/>
          <w:sz w:val="20"/>
          <w:szCs w:val="20"/>
          <w:lang w:val="en-US"/>
        </w:rPr>
        <w:t xml:space="preserve"> the calculation of CEE</w:t>
      </w:r>
      <w:r w:rsidR="00DE1939" w:rsidRPr="00541786">
        <w:rPr>
          <w:rFonts w:ascii="Arial" w:hAnsi="Arial" w:cs="Arial"/>
          <w:sz w:val="20"/>
          <w:szCs w:val="20"/>
          <w:lang w:val="en-US"/>
        </w:rPr>
        <w:t>:</w:t>
      </w:r>
      <w:r w:rsidR="00896F3F" w:rsidRPr="00541786">
        <w:rPr>
          <w:rFonts w:ascii="Arial" w:hAnsi="Arial" w:cs="Arial"/>
          <w:sz w:val="20"/>
          <w:szCs w:val="20"/>
          <w:lang w:val="en-US"/>
        </w:rPr>
        <w:t xml:space="preserve"> if a patient is treated with a FiO</w:t>
      </w:r>
      <w:r w:rsidR="00896F3F" w:rsidRPr="00541786">
        <w:rPr>
          <w:rFonts w:ascii="Arial" w:hAnsi="Arial" w:cs="Arial"/>
          <w:sz w:val="20"/>
          <w:szCs w:val="20"/>
          <w:vertAlign w:val="subscript"/>
          <w:lang w:val="en-US"/>
        </w:rPr>
        <w:t>2</w:t>
      </w:r>
      <w:r w:rsidR="00896F3F" w:rsidRPr="00541786">
        <w:rPr>
          <w:rFonts w:ascii="Arial" w:hAnsi="Arial" w:cs="Arial"/>
          <w:sz w:val="20"/>
          <w:szCs w:val="20"/>
          <w:lang w:val="en-US"/>
        </w:rPr>
        <w:t xml:space="preserve"> of 0.50 when SpO</w:t>
      </w:r>
      <w:r w:rsidR="00896F3F" w:rsidRPr="00541786">
        <w:rPr>
          <w:rFonts w:ascii="Arial" w:hAnsi="Arial" w:cs="Arial"/>
          <w:sz w:val="20"/>
          <w:szCs w:val="20"/>
          <w:vertAlign w:val="subscript"/>
          <w:lang w:val="en-US"/>
        </w:rPr>
        <w:t>2</w:t>
      </w:r>
      <w:r w:rsidR="00896F3F" w:rsidRPr="00541786">
        <w:rPr>
          <w:rFonts w:ascii="Arial" w:hAnsi="Arial" w:cs="Arial"/>
          <w:sz w:val="20"/>
          <w:szCs w:val="20"/>
          <w:lang w:val="en-US"/>
        </w:rPr>
        <w:t xml:space="preserve"> is 99%, the score is 0.29 (</w:t>
      </w:r>
      <w:proofErr w:type="gramStart"/>
      <w:r w:rsidR="00896F3F" w:rsidRPr="00541786">
        <w:rPr>
          <w:rFonts w:ascii="Arial" w:hAnsi="Arial" w:cs="Arial"/>
          <w:sz w:val="20"/>
          <w:szCs w:val="20"/>
          <w:lang w:val="en-US"/>
        </w:rPr>
        <w:t>i.e.</w:t>
      </w:r>
      <w:proofErr w:type="gramEnd"/>
      <w:r w:rsidR="00896F3F" w:rsidRPr="00541786">
        <w:rPr>
          <w:rFonts w:ascii="Arial" w:hAnsi="Arial" w:cs="Arial"/>
          <w:sz w:val="20"/>
          <w:szCs w:val="20"/>
          <w:lang w:val="en-US"/>
        </w:rPr>
        <w:t xml:space="preserve"> 29 percentage point of excessively administered oxygen). If SpO</w:t>
      </w:r>
      <w:r w:rsidR="00896F3F" w:rsidRPr="00541786">
        <w:rPr>
          <w:rFonts w:ascii="Arial" w:hAnsi="Arial" w:cs="Arial"/>
          <w:sz w:val="20"/>
          <w:szCs w:val="20"/>
          <w:vertAlign w:val="subscript"/>
          <w:lang w:val="en-US"/>
        </w:rPr>
        <w:t>2</w:t>
      </w:r>
      <w:r w:rsidR="00896F3F" w:rsidRPr="00541786">
        <w:rPr>
          <w:rFonts w:ascii="Arial" w:hAnsi="Arial" w:cs="Arial"/>
          <w:sz w:val="20"/>
          <w:szCs w:val="20"/>
          <w:lang w:val="en-US"/>
        </w:rPr>
        <w:t xml:space="preserve"> is below 97%</w:t>
      </w:r>
      <w:r w:rsidR="00DE1939" w:rsidRPr="00541786">
        <w:rPr>
          <w:rFonts w:ascii="Arial" w:hAnsi="Arial" w:cs="Arial"/>
          <w:sz w:val="20"/>
          <w:szCs w:val="20"/>
          <w:lang w:val="en-US"/>
        </w:rPr>
        <w:t xml:space="preserve"> (or 95% in the sensitivity analysis)</w:t>
      </w:r>
      <w:r w:rsidR="00896F3F" w:rsidRPr="00541786">
        <w:rPr>
          <w:rFonts w:ascii="Arial" w:hAnsi="Arial" w:cs="Arial"/>
          <w:sz w:val="20"/>
          <w:szCs w:val="20"/>
          <w:lang w:val="en-US"/>
        </w:rPr>
        <w:t>, the CEE is always 0, regardless of the oxygen administered.</w:t>
      </w:r>
    </w:p>
    <w:p w14:paraId="15255215" w14:textId="77777777" w:rsidR="00DE1939" w:rsidRPr="00541786" w:rsidRDefault="00CB6C5B" w:rsidP="00A33633">
      <w:pPr>
        <w:pStyle w:val="Heading1"/>
        <w:spacing w:line="480" w:lineRule="auto"/>
      </w:pPr>
      <w:r w:rsidRPr="00541786">
        <w:lastRenderedPageBreak/>
        <w:t>S</w:t>
      </w:r>
      <w:r w:rsidR="00DE1939" w:rsidRPr="00541786">
        <w:t>tatistical analysis</w:t>
      </w:r>
    </w:p>
    <w:p w14:paraId="53CAB6F6" w14:textId="77777777" w:rsidR="00287F35" w:rsidRPr="00541786" w:rsidRDefault="001B5035" w:rsidP="00A33633">
      <w:pPr>
        <w:spacing w:line="480" w:lineRule="auto"/>
        <w:rPr>
          <w:rFonts w:ascii="Arial" w:hAnsi="Arial" w:cs="Arial"/>
          <w:sz w:val="20"/>
          <w:szCs w:val="20"/>
          <w:lang w:val="en-US"/>
        </w:rPr>
      </w:pPr>
      <w:r w:rsidRPr="00541786">
        <w:rPr>
          <w:rFonts w:ascii="Arial" w:hAnsi="Arial" w:cs="Arial"/>
          <w:sz w:val="20"/>
          <w:szCs w:val="20"/>
          <w:lang w:val="en-US"/>
        </w:rPr>
        <w:t>Descriptive statistics were reported as mean and standard deviation (SD) when normally distributed or otherwise as median with interquartile range (IQR).</w:t>
      </w:r>
      <w:r w:rsidR="00DE1939" w:rsidRPr="00541786">
        <w:rPr>
          <w:rFonts w:ascii="Arial" w:hAnsi="Arial" w:cs="Arial"/>
          <w:sz w:val="20"/>
          <w:szCs w:val="20"/>
          <w:lang w:val="en-US"/>
        </w:rPr>
        <w:t xml:space="preserve"> To address the longitudinal nature of the data, the cumulative exposure over a certain </w:t>
      </w:r>
      <w:proofErr w:type="gramStart"/>
      <w:r w:rsidR="00DE1939" w:rsidRPr="00541786">
        <w:rPr>
          <w:rFonts w:ascii="Arial" w:hAnsi="Arial" w:cs="Arial"/>
          <w:sz w:val="20"/>
          <w:szCs w:val="20"/>
          <w:lang w:val="en-US"/>
        </w:rPr>
        <w:t>period of time</w:t>
      </w:r>
      <w:proofErr w:type="gramEnd"/>
      <w:r w:rsidR="00DE1939" w:rsidRPr="00541786">
        <w:rPr>
          <w:rFonts w:ascii="Arial" w:hAnsi="Arial" w:cs="Arial"/>
          <w:sz w:val="20"/>
          <w:szCs w:val="20"/>
          <w:lang w:val="en-US"/>
        </w:rPr>
        <w:t xml:space="preserve"> was calculated by the area under the curve (AUC) of each variable using a trapezoid model. Subsequently, this cumulative dose was divided by the observed </w:t>
      </w:r>
      <w:proofErr w:type="gramStart"/>
      <w:r w:rsidR="00DE1939" w:rsidRPr="00541786">
        <w:rPr>
          <w:rFonts w:ascii="Arial" w:hAnsi="Arial" w:cs="Arial"/>
          <w:sz w:val="20"/>
          <w:szCs w:val="20"/>
          <w:lang w:val="en-US"/>
        </w:rPr>
        <w:t>time period</w:t>
      </w:r>
      <w:proofErr w:type="gramEnd"/>
      <w:r w:rsidR="00DE1939" w:rsidRPr="00541786">
        <w:rPr>
          <w:rFonts w:ascii="Arial" w:hAnsi="Arial" w:cs="Arial"/>
          <w:sz w:val="20"/>
          <w:szCs w:val="20"/>
          <w:lang w:val="en-US"/>
        </w:rPr>
        <w:t xml:space="preserve"> to acquire a time-weighted average (TWA). For calculation of the TWA of each consecutive day on IMV (</w:t>
      </w:r>
      <w:proofErr w:type="gramStart"/>
      <w:r w:rsidR="00DE1939" w:rsidRPr="00541786">
        <w:rPr>
          <w:rFonts w:ascii="Arial" w:hAnsi="Arial" w:cs="Arial"/>
          <w:sz w:val="20"/>
          <w:szCs w:val="20"/>
          <w:lang w:val="en-US"/>
        </w:rPr>
        <w:t>i.e.</w:t>
      </w:r>
      <w:proofErr w:type="gramEnd"/>
      <w:r w:rsidR="00DE1939" w:rsidRPr="00541786">
        <w:rPr>
          <w:rFonts w:ascii="Arial" w:hAnsi="Arial" w:cs="Arial"/>
          <w:sz w:val="20"/>
          <w:szCs w:val="20"/>
          <w:lang w:val="en-US"/>
        </w:rPr>
        <w:t xml:space="preserve"> per 24h window; TWA</w:t>
      </w:r>
      <w:r w:rsidR="00DE1939" w:rsidRPr="00541786">
        <w:rPr>
          <w:rFonts w:ascii="Arial" w:hAnsi="Arial" w:cs="Arial"/>
          <w:sz w:val="20"/>
          <w:szCs w:val="20"/>
          <w:vertAlign w:val="subscript"/>
          <w:lang w:val="en-US"/>
        </w:rPr>
        <w:t>24h</w:t>
      </w:r>
      <w:r w:rsidR="00DE1939" w:rsidRPr="00541786">
        <w:rPr>
          <w:rFonts w:ascii="Arial" w:hAnsi="Arial" w:cs="Arial"/>
          <w:sz w:val="20"/>
          <w:szCs w:val="20"/>
          <w:lang w:val="en-US"/>
        </w:rPr>
        <w:t xml:space="preserve">) a minimum of 16h of IMV were required to calculate a TWA. </w:t>
      </w:r>
      <w:r w:rsidR="00E16C0D" w:rsidRPr="00541786">
        <w:rPr>
          <w:rFonts w:ascii="Arial" w:hAnsi="Arial" w:cs="Arial"/>
          <w:sz w:val="20"/>
          <w:szCs w:val="20"/>
          <w:lang w:val="en-US"/>
        </w:rPr>
        <w:t>TWA</w:t>
      </w:r>
      <w:r w:rsidR="00E16C0D" w:rsidRPr="00541786">
        <w:rPr>
          <w:rFonts w:ascii="Arial" w:hAnsi="Arial" w:cs="Arial"/>
          <w:sz w:val="20"/>
          <w:szCs w:val="20"/>
          <w:vertAlign w:val="subscript"/>
          <w:lang w:val="en-US"/>
        </w:rPr>
        <w:t>24h</w:t>
      </w:r>
      <w:r w:rsidR="00E16C0D" w:rsidRPr="00541786">
        <w:rPr>
          <w:rFonts w:ascii="Arial" w:hAnsi="Arial" w:cs="Arial"/>
          <w:sz w:val="20"/>
          <w:szCs w:val="20"/>
          <w:lang w:val="en-US"/>
        </w:rPr>
        <w:t>-PaO</w:t>
      </w:r>
      <w:r w:rsidR="00E16C0D" w:rsidRPr="00541786">
        <w:rPr>
          <w:rFonts w:ascii="Arial" w:hAnsi="Arial" w:cs="Arial"/>
          <w:sz w:val="20"/>
          <w:szCs w:val="20"/>
          <w:vertAlign w:val="subscript"/>
          <w:lang w:val="en-US"/>
        </w:rPr>
        <w:t xml:space="preserve">2 </w:t>
      </w:r>
      <w:r w:rsidR="00E16C0D" w:rsidRPr="00541786">
        <w:rPr>
          <w:rFonts w:ascii="Arial" w:hAnsi="Arial" w:cs="Arial"/>
          <w:sz w:val="20"/>
          <w:szCs w:val="20"/>
          <w:lang w:val="en-US"/>
        </w:rPr>
        <w:t>was only calculated if patients had at least 3 measurements over a period of 12h or more.</w:t>
      </w:r>
      <w:r w:rsidR="00DE1939" w:rsidRPr="00541786">
        <w:rPr>
          <w:rFonts w:ascii="Arial" w:hAnsi="Arial" w:cs="Arial"/>
          <w:sz w:val="20"/>
          <w:szCs w:val="20"/>
          <w:lang w:val="en-US"/>
        </w:rPr>
        <w:t xml:space="preserve"> </w:t>
      </w:r>
      <w:r w:rsidRPr="00541786">
        <w:rPr>
          <w:rFonts w:ascii="Arial" w:hAnsi="Arial" w:cs="Arial"/>
          <w:sz w:val="20"/>
          <w:szCs w:val="20"/>
          <w:lang w:val="en-US"/>
        </w:rPr>
        <w:t>Missing ventilator-related data were not imputed since the AUC approach interpolates between missing time points.</w:t>
      </w:r>
      <w:r w:rsidR="00DE1939" w:rsidRPr="00541786">
        <w:rPr>
          <w:rFonts w:ascii="Arial" w:hAnsi="Arial" w:cs="Arial"/>
          <w:sz w:val="20"/>
          <w:szCs w:val="20"/>
          <w:lang w:val="en-US"/>
        </w:rPr>
        <w:t xml:space="preserve"> However, individual cases with substantial missing data (</w:t>
      </w:r>
      <w:proofErr w:type="gramStart"/>
      <w:r w:rsidR="00DE1939" w:rsidRPr="00541786">
        <w:rPr>
          <w:rFonts w:ascii="Arial" w:hAnsi="Arial" w:cs="Arial"/>
          <w:sz w:val="20"/>
          <w:szCs w:val="20"/>
          <w:lang w:val="en-US"/>
        </w:rPr>
        <w:t>i.e.</w:t>
      </w:r>
      <w:proofErr w:type="gramEnd"/>
      <w:r w:rsidR="00DE1939" w:rsidRPr="00541786">
        <w:rPr>
          <w:rFonts w:ascii="Arial" w:hAnsi="Arial" w:cs="Arial"/>
          <w:sz w:val="20"/>
          <w:szCs w:val="20"/>
          <w:lang w:val="en-US"/>
        </w:rPr>
        <w:t xml:space="preserve"> &gt;30% of observed time points) were omitted from the analysis. In the mixed-effects model used to assess changes over time in ventilator-related data</w:t>
      </w:r>
      <w:r w:rsidR="00315709">
        <w:rPr>
          <w:rFonts w:ascii="Arial" w:hAnsi="Arial" w:cs="Arial"/>
          <w:sz w:val="20"/>
          <w:szCs w:val="20"/>
          <w:lang w:val="en-US"/>
        </w:rPr>
        <w:t>,</w:t>
      </w:r>
      <w:r w:rsidR="00DE1939" w:rsidRPr="00541786">
        <w:rPr>
          <w:rFonts w:ascii="Arial" w:hAnsi="Arial" w:cs="Arial"/>
          <w:sz w:val="20"/>
          <w:szCs w:val="20"/>
          <w:lang w:val="en-US"/>
        </w:rPr>
        <w:t xml:space="preserve"> each subject was used as a random effect. </w:t>
      </w:r>
      <w:r w:rsidR="00853410" w:rsidRPr="00541786">
        <w:rPr>
          <w:rFonts w:ascii="Arial" w:hAnsi="Arial" w:cs="Arial"/>
          <w:sz w:val="20"/>
          <w:szCs w:val="20"/>
          <w:lang w:val="en-US"/>
        </w:rPr>
        <w:t>In the first exploratory analysis on the prevalence of arterial line use over the past years, each two consecutive calendar years were grouped as a categorical variable. We used Fisher’s exact test for bivariate analysis and logistic regression to assess differences between grouped years. Secondly, in the second exploratory analysis on outcome, we assessed if oxygen exposure on the first day of IMV, defined as local exposure (TWA</w:t>
      </w:r>
      <w:r w:rsidR="00853410" w:rsidRPr="00541786">
        <w:rPr>
          <w:rFonts w:ascii="Arial" w:hAnsi="Arial" w:cs="Arial"/>
          <w:sz w:val="20"/>
          <w:szCs w:val="20"/>
          <w:vertAlign w:val="subscript"/>
          <w:lang w:val="en-US"/>
        </w:rPr>
        <w:t>24h</w:t>
      </w:r>
      <w:r w:rsidR="00853410" w:rsidRPr="00541786">
        <w:rPr>
          <w:rFonts w:ascii="Arial" w:hAnsi="Arial" w:cs="Arial"/>
          <w:sz w:val="20"/>
          <w:szCs w:val="20"/>
          <w:lang w:val="en-US"/>
        </w:rPr>
        <w:t>-FiO</w:t>
      </w:r>
      <w:r w:rsidR="00853410" w:rsidRPr="00541786">
        <w:rPr>
          <w:rFonts w:ascii="Arial" w:hAnsi="Arial" w:cs="Arial"/>
          <w:sz w:val="20"/>
          <w:szCs w:val="20"/>
          <w:vertAlign w:val="subscript"/>
          <w:lang w:val="en-US"/>
        </w:rPr>
        <w:t>2</w:t>
      </w:r>
      <w:r w:rsidR="00853410" w:rsidRPr="00541786">
        <w:rPr>
          <w:rFonts w:ascii="Arial" w:hAnsi="Arial" w:cs="Arial"/>
          <w:sz w:val="20"/>
          <w:szCs w:val="20"/>
          <w:lang w:val="en-US"/>
        </w:rPr>
        <w:t>) and excessive exposure (TWA</w:t>
      </w:r>
      <w:r w:rsidR="00853410" w:rsidRPr="00541786">
        <w:rPr>
          <w:rFonts w:ascii="Arial" w:hAnsi="Arial" w:cs="Arial"/>
          <w:sz w:val="20"/>
          <w:szCs w:val="20"/>
          <w:vertAlign w:val="subscript"/>
          <w:lang w:val="en-US"/>
        </w:rPr>
        <w:t>24h</w:t>
      </w:r>
      <w:r w:rsidR="00853410" w:rsidRPr="00541786">
        <w:rPr>
          <w:rFonts w:ascii="Arial" w:hAnsi="Arial" w:cs="Arial"/>
          <w:sz w:val="20"/>
          <w:szCs w:val="20"/>
          <w:lang w:val="en-US"/>
        </w:rPr>
        <w:t>-CEE), was associated with a change in median duration of IMV and length of stay in the PICU. In this analysis TWA</w:t>
      </w:r>
      <w:r w:rsidR="00853410" w:rsidRPr="00541786">
        <w:rPr>
          <w:rFonts w:ascii="Arial" w:hAnsi="Arial" w:cs="Arial"/>
          <w:sz w:val="20"/>
          <w:szCs w:val="20"/>
          <w:vertAlign w:val="subscript"/>
          <w:lang w:val="en-US"/>
        </w:rPr>
        <w:t>24h</w:t>
      </w:r>
      <w:r w:rsidR="00853410" w:rsidRPr="00541786">
        <w:rPr>
          <w:rFonts w:ascii="Arial" w:hAnsi="Arial" w:cs="Arial"/>
          <w:sz w:val="20"/>
          <w:szCs w:val="20"/>
          <w:lang w:val="en-US"/>
        </w:rPr>
        <w:t>-CEE was defined using both the primary threshold (97%) and that of the sensitivity analysis (95%).</w:t>
      </w:r>
      <w:r w:rsidR="00A33633" w:rsidRPr="00541786">
        <w:rPr>
          <w:rFonts w:ascii="Arial" w:hAnsi="Arial" w:cs="Arial"/>
          <w:sz w:val="20"/>
          <w:szCs w:val="20"/>
          <w:lang w:val="en-US"/>
        </w:rPr>
        <w:t xml:space="preserve"> We used univariate quantile regression of the median </w:t>
      </w:r>
      <w:r w:rsidR="00A33633" w:rsidRPr="00541786">
        <w:rPr>
          <w:rFonts w:ascii="Arial" w:hAnsi="Arial" w:cs="Arial"/>
          <w:sz w:val="20"/>
          <w:szCs w:val="20"/>
        </w:rPr>
        <w:fldChar w:fldCharType="begin"/>
      </w:r>
      <w:r w:rsidR="00A33633" w:rsidRPr="00541786">
        <w:rPr>
          <w:rFonts w:ascii="Arial" w:hAnsi="Arial" w:cs="Arial"/>
          <w:sz w:val="20"/>
          <w:szCs w:val="20"/>
          <w:lang w:val="en-US"/>
        </w:rPr>
        <w:instrText xml:space="preserve"> ADDIN EN.CITE &lt;EndNote&gt;&lt;Cite&gt;&lt;Author&gt;Koenker&lt;/Author&gt;&lt;Year&gt;1978&lt;/Year&gt;&lt;RecNum&gt;208&lt;/RecNum&gt;&lt;DisplayText&gt;(4)&lt;/DisplayText&gt;&lt;record&gt;&lt;rec-number&gt;208&lt;/rec-number&gt;&lt;foreign-keys&gt;&lt;key app="EN" db-id="0sxta0t5dr02enew0f8x9vs2w50rvpssdze5" timestamp="1654768388"&gt;208&lt;/key&gt;&lt;/foreign-keys&gt;&lt;ref-type name="Journal Article"&gt;17&lt;/ref-type&gt;&lt;contributors&gt;&lt;authors&gt;&lt;author&gt;Koenker, R. &amp;amp; Bassett, G.&lt;/author&gt;&lt;/authors&gt;&lt;/contributors&gt;&lt;titles&gt;&lt;title&gt;Regression Quantiles&lt;/title&gt;&lt;secondary-title&gt;Econometrica&lt;/secondary-title&gt;&lt;/titles&gt;&lt;periodical&gt;&lt;full-title&gt;Econometrica&lt;/full-title&gt;&lt;/periodical&gt;&lt;pages&gt;33-50&lt;/pages&gt;&lt;volume&gt;46&lt;/volume&gt;&lt;number&gt;1&lt;/number&gt;&lt;dates&gt;&lt;year&gt;1978&lt;/year&gt;&lt;/dates&gt;&lt;urls&gt;&lt;/urls&gt;&lt;electronic-resource-num&gt;10.2307/1913643&lt;/electronic-resource-num&gt;&lt;/record&gt;&lt;/Cite&gt;&lt;/EndNote&gt;</w:instrText>
      </w:r>
      <w:r w:rsidR="00A33633" w:rsidRPr="00541786">
        <w:rPr>
          <w:rFonts w:ascii="Arial" w:hAnsi="Arial" w:cs="Arial"/>
          <w:sz w:val="20"/>
          <w:szCs w:val="20"/>
        </w:rPr>
        <w:fldChar w:fldCharType="separate"/>
      </w:r>
      <w:r w:rsidR="00A33633" w:rsidRPr="00541786">
        <w:rPr>
          <w:rFonts w:ascii="Arial" w:hAnsi="Arial" w:cs="Arial"/>
          <w:noProof/>
          <w:sz w:val="20"/>
          <w:szCs w:val="20"/>
          <w:lang w:val="en-US"/>
        </w:rPr>
        <w:t>(4)</w:t>
      </w:r>
      <w:r w:rsidR="00A33633" w:rsidRPr="00541786">
        <w:rPr>
          <w:rFonts w:ascii="Arial" w:hAnsi="Arial" w:cs="Arial"/>
          <w:sz w:val="20"/>
          <w:szCs w:val="20"/>
        </w:rPr>
        <w:fldChar w:fldCharType="end"/>
      </w:r>
      <w:r w:rsidR="00A33633" w:rsidRPr="00541786">
        <w:rPr>
          <w:rFonts w:ascii="Arial" w:hAnsi="Arial" w:cs="Arial"/>
          <w:sz w:val="20"/>
          <w:szCs w:val="20"/>
          <w:lang w:val="en-US"/>
        </w:rPr>
        <w:t>, as the outcome variable was not normally distributed and data transformation did not sufficiently solve this issue.</w:t>
      </w:r>
    </w:p>
    <w:p w14:paraId="22D9D236" w14:textId="77777777" w:rsidR="00287F35" w:rsidRPr="00541786" w:rsidRDefault="00287F35" w:rsidP="00A33633">
      <w:pPr>
        <w:spacing w:line="480" w:lineRule="auto"/>
        <w:rPr>
          <w:rFonts w:ascii="Arial" w:hAnsi="Arial" w:cs="Arial"/>
          <w:sz w:val="20"/>
          <w:szCs w:val="20"/>
          <w:lang w:val="en-US"/>
        </w:rPr>
      </w:pPr>
      <w:r w:rsidRPr="00541786">
        <w:rPr>
          <w:rFonts w:ascii="Arial" w:hAnsi="Arial" w:cs="Arial"/>
          <w:sz w:val="20"/>
          <w:szCs w:val="20"/>
          <w:lang w:val="en-US"/>
        </w:rPr>
        <w:br w:type="page"/>
      </w:r>
    </w:p>
    <w:p w14:paraId="1962291A" w14:textId="77777777" w:rsidR="00521998" w:rsidRPr="00541786" w:rsidRDefault="00521998" w:rsidP="00521998">
      <w:pPr>
        <w:spacing w:line="480" w:lineRule="auto"/>
        <w:rPr>
          <w:rFonts w:ascii="Arial" w:hAnsi="Arial" w:cs="Arial"/>
          <w:b/>
          <w:sz w:val="20"/>
          <w:szCs w:val="20"/>
          <w:lang w:val="en-US"/>
        </w:rPr>
      </w:pPr>
      <w:proofErr w:type="spellStart"/>
      <w:r w:rsidRPr="00541786">
        <w:rPr>
          <w:rFonts w:ascii="Arial" w:hAnsi="Arial" w:cs="Arial"/>
          <w:b/>
          <w:sz w:val="20"/>
          <w:szCs w:val="20"/>
          <w:lang w:val="en-US"/>
        </w:rPr>
        <w:lastRenderedPageBreak/>
        <w:t>eTable</w:t>
      </w:r>
      <w:proofErr w:type="spellEnd"/>
      <w:r w:rsidRPr="00541786">
        <w:rPr>
          <w:rFonts w:ascii="Arial" w:hAnsi="Arial" w:cs="Arial"/>
          <w:b/>
          <w:sz w:val="20"/>
          <w:szCs w:val="20"/>
          <w:lang w:val="en-US"/>
        </w:rPr>
        <w:t xml:space="preserve"> 1. Admission diagnosis codes used for records selection from the electronic patient database</w:t>
      </w:r>
    </w:p>
    <w:tbl>
      <w:tblPr>
        <w:tblStyle w:val="TableGrid"/>
        <w:tblW w:w="0" w:type="auto"/>
        <w:tblLook w:val="04A0" w:firstRow="1" w:lastRow="0" w:firstColumn="1" w:lastColumn="0" w:noHBand="0" w:noVBand="1"/>
      </w:tblPr>
      <w:tblGrid>
        <w:gridCol w:w="9062"/>
      </w:tblGrid>
      <w:tr w:rsidR="00521998" w:rsidRPr="00315709" w14:paraId="65C24586" w14:textId="77777777" w:rsidTr="000E2246">
        <w:tc>
          <w:tcPr>
            <w:tcW w:w="9212" w:type="dxa"/>
            <w:tcBorders>
              <w:bottom w:val="single" w:sz="4" w:space="0" w:color="auto"/>
            </w:tcBorders>
          </w:tcPr>
          <w:p w14:paraId="65CF88DC" w14:textId="77777777" w:rsidR="00521998" w:rsidRPr="00541786" w:rsidRDefault="00521998" w:rsidP="00DA1AB9">
            <w:pPr>
              <w:spacing w:line="480" w:lineRule="auto"/>
              <w:rPr>
                <w:rFonts w:ascii="Arial" w:hAnsi="Arial" w:cs="Arial"/>
                <w:b/>
                <w:sz w:val="20"/>
                <w:szCs w:val="20"/>
                <w:lang w:val="en-US"/>
              </w:rPr>
            </w:pPr>
            <w:r w:rsidRPr="00541786">
              <w:rPr>
                <w:rFonts w:ascii="Arial" w:hAnsi="Arial" w:cs="Arial"/>
                <w:b/>
                <w:sz w:val="20"/>
                <w:szCs w:val="20"/>
                <w:lang w:val="en-US"/>
              </w:rPr>
              <w:t>International Classification of Diseases 10</w:t>
            </w:r>
            <w:r w:rsidRPr="00541786">
              <w:rPr>
                <w:rFonts w:ascii="Arial" w:hAnsi="Arial" w:cs="Arial"/>
                <w:b/>
                <w:sz w:val="20"/>
                <w:szCs w:val="20"/>
                <w:vertAlign w:val="superscript"/>
                <w:lang w:val="en-US"/>
              </w:rPr>
              <w:t>th</w:t>
            </w:r>
            <w:r w:rsidRPr="00541786">
              <w:rPr>
                <w:rFonts w:ascii="Arial" w:hAnsi="Arial" w:cs="Arial"/>
                <w:b/>
                <w:sz w:val="20"/>
                <w:szCs w:val="20"/>
                <w:lang w:val="en-US"/>
              </w:rPr>
              <w:t xml:space="preserve"> Revision-codes used for patient identification:</w:t>
            </w:r>
          </w:p>
        </w:tc>
      </w:tr>
      <w:tr w:rsidR="00521998" w:rsidRPr="00315709" w14:paraId="28A4CED1" w14:textId="77777777" w:rsidTr="000E2246">
        <w:tc>
          <w:tcPr>
            <w:tcW w:w="9212" w:type="dxa"/>
            <w:tcBorders>
              <w:top w:val="single" w:sz="4" w:space="0" w:color="auto"/>
              <w:left w:val="nil"/>
              <w:bottom w:val="nil"/>
              <w:right w:val="nil"/>
            </w:tcBorders>
          </w:tcPr>
          <w:p w14:paraId="68F20B35"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Acute bronchiolitis, unspecified (code J21.9);</w:t>
            </w:r>
          </w:p>
        </w:tc>
      </w:tr>
      <w:tr w:rsidR="00521998" w:rsidRPr="00315709" w14:paraId="4BA700D4" w14:textId="77777777" w:rsidTr="000E2246">
        <w:tc>
          <w:tcPr>
            <w:tcW w:w="9212" w:type="dxa"/>
            <w:tcBorders>
              <w:top w:val="nil"/>
              <w:left w:val="nil"/>
              <w:bottom w:val="nil"/>
              <w:right w:val="nil"/>
            </w:tcBorders>
          </w:tcPr>
          <w:p w14:paraId="559EE43E" w14:textId="77777777" w:rsidR="00521998" w:rsidRPr="00541786" w:rsidRDefault="00521998" w:rsidP="00DA1AB9">
            <w:pPr>
              <w:spacing w:line="480" w:lineRule="auto"/>
              <w:rPr>
                <w:rFonts w:ascii="Arial" w:hAnsi="Arial" w:cs="Arial"/>
                <w:sz w:val="20"/>
                <w:szCs w:val="20"/>
                <w:lang w:val="en-US"/>
              </w:rPr>
            </w:pPr>
            <w:r w:rsidRPr="00541786">
              <w:rPr>
                <w:rFonts w:ascii="Arial" w:eastAsia="Calibri" w:hAnsi="Arial" w:cs="Arial"/>
                <w:sz w:val="20"/>
                <w:szCs w:val="20"/>
                <w:lang w:val="en-US"/>
              </w:rPr>
              <w:t>Acute bronchiolitis due to respiratory syncytial virus (code J21.0);</w:t>
            </w:r>
          </w:p>
        </w:tc>
      </w:tr>
      <w:tr w:rsidR="00521998" w:rsidRPr="00315709" w14:paraId="4CC1F48A" w14:textId="77777777" w:rsidTr="000E2246">
        <w:tc>
          <w:tcPr>
            <w:tcW w:w="9212" w:type="dxa"/>
            <w:tcBorders>
              <w:top w:val="nil"/>
              <w:left w:val="nil"/>
              <w:bottom w:val="nil"/>
              <w:right w:val="nil"/>
            </w:tcBorders>
          </w:tcPr>
          <w:p w14:paraId="60D7AAD7" w14:textId="77777777" w:rsidR="00521998" w:rsidRPr="00541786" w:rsidRDefault="00521998" w:rsidP="00DA1AB9">
            <w:pPr>
              <w:spacing w:line="480" w:lineRule="auto"/>
              <w:rPr>
                <w:rFonts w:ascii="Arial" w:hAnsi="Arial" w:cs="Arial"/>
                <w:sz w:val="20"/>
                <w:szCs w:val="20"/>
                <w:lang w:val="en-US"/>
              </w:rPr>
            </w:pPr>
            <w:r w:rsidRPr="00541786">
              <w:rPr>
                <w:rFonts w:ascii="Arial" w:eastAsia="Calibri" w:hAnsi="Arial" w:cs="Arial"/>
                <w:sz w:val="20"/>
                <w:szCs w:val="20"/>
                <w:lang w:val="en-US"/>
              </w:rPr>
              <w:t>Respiratory syncytial virus pneumonia (code J12.1);</w:t>
            </w:r>
          </w:p>
        </w:tc>
      </w:tr>
      <w:tr w:rsidR="00521998" w:rsidRPr="00315709" w14:paraId="70B18E51" w14:textId="77777777" w:rsidTr="000E2246">
        <w:tc>
          <w:tcPr>
            <w:tcW w:w="9212" w:type="dxa"/>
            <w:tcBorders>
              <w:top w:val="nil"/>
              <w:left w:val="nil"/>
              <w:bottom w:val="single" w:sz="4" w:space="0" w:color="auto"/>
              <w:right w:val="nil"/>
            </w:tcBorders>
          </w:tcPr>
          <w:p w14:paraId="47CF2454" w14:textId="77777777" w:rsidR="00521998" w:rsidRPr="00541786" w:rsidRDefault="00521998" w:rsidP="00DA1AB9">
            <w:pPr>
              <w:spacing w:line="480" w:lineRule="auto"/>
              <w:rPr>
                <w:rFonts w:ascii="Arial" w:hAnsi="Arial" w:cs="Arial"/>
                <w:sz w:val="20"/>
                <w:szCs w:val="20"/>
                <w:lang w:val="en-US"/>
              </w:rPr>
            </w:pPr>
            <w:r w:rsidRPr="00541786">
              <w:rPr>
                <w:rFonts w:ascii="Arial" w:eastAsia="Calibri" w:hAnsi="Arial" w:cs="Arial"/>
                <w:sz w:val="20"/>
                <w:szCs w:val="20"/>
                <w:lang w:val="en-US"/>
              </w:rPr>
              <w:t>Unspecified acute lower respiratory infection (code J22).</w:t>
            </w:r>
          </w:p>
        </w:tc>
      </w:tr>
    </w:tbl>
    <w:p w14:paraId="66ADB787" w14:textId="77777777" w:rsidR="00CB6C5B" w:rsidRPr="00541786" w:rsidRDefault="00CB6C5B" w:rsidP="00A33633">
      <w:pPr>
        <w:pStyle w:val="EndNoteBibliography"/>
        <w:spacing w:line="480" w:lineRule="auto"/>
        <w:rPr>
          <w:rFonts w:ascii="Arial" w:hAnsi="Arial" w:cs="Arial"/>
          <w:noProof w:val="0"/>
          <w:sz w:val="20"/>
          <w:szCs w:val="20"/>
        </w:rPr>
      </w:pPr>
    </w:p>
    <w:p w14:paraId="3166AADB" w14:textId="77777777" w:rsidR="00853410" w:rsidRPr="00541786" w:rsidRDefault="00853410" w:rsidP="00A33633">
      <w:pPr>
        <w:pStyle w:val="EndNoteBibliography"/>
        <w:spacing w:line="480" w:lineRule="auto"/>
        <w:rPr>
          <w:rFonts w:ascii="Arial" w:hAnsi="Arial" w:cs="Arial"/>
          <w:noProof w:val="0"/>
          <w:sz w:val="20"/>
          <w:szCs w:val="20"/>
        </w:rPr>
      </w:pPr>
      <w:r w:rsidRPr="00541786">
        <w:rPr>
          <w:rFonts w:ascii="Arial" w:hAnsi="Arial" w:cs="Arial"/>
          <w:noProof w:val="0"/>
          <w:sz w:val="20"/>
          <w:szCs w:val="20"/>
        </w:rPr>
        <w:br w:type="page"/>
      </w:r>
    </w:p>
    <w:p w14:paraId="4AB57437" w14:textId="77777777" w:rsidR="00521998" w:rsidRPr="00541786" w:rsidRDefault="00521998" w:rsidP="00521998">
      <w:pPr>
        <w:keepNext/>
        <w:spacing w:line="480" w:lineRule="auto"/>
        <w:outlineLvl w:val="0"/>
        <w:rPr>
          <w:rFonts w:ascii="Arial" w:hAnsi="Arial" w:cs="Arial"/>
          <w:b/>
          <w:sz w:val="20"/>
          <w:szCs w:val="20"/>
          <w:lang w:val="en-US"/>
        </w:rPr>
      </w:pPr>
      <w:proofErr w:type="spellStart"/>
      <w:r w:rsidRPr="00541786">
        <w:rPr>
          <w:rFonts w:ascii="Arial" w:hAnsi="Arial" w:cs="Arial"/>
          <w:b/>
          <w:sz w:val="20"/>
          <w:szCs w:val="20"/>
          <w:lang w:val="en-US"/>
        </w:rPr>
        <w:lastRenderedPageBreak/>
        <w:t>eTable</w:t>
      </w:r>
      <w:proofErr w:type="spellEnd"/>
      <w:r w:rsidRPr="00541786">
        <w:rPr>
          <w:rFonts w:ascii="Arial" w:hAnsi="Arial" w:cs="Arial"/>
          <w:b/>
          <w:sz w:val="20"/>
          <w:szCs w:val="20"/>
          <w:lang w:val="en-US"/>
        </w:rPr>
        <w:t xml:space="preserve"> 2. </w:t>
      </w:r>
      <w:r w:rsidR="000E2246" w:rsidRPr="00541786">
        <w:rPr>
          <w:rFonts w:ascii="Arial" w:hAnsi="Arial" w:cs="Arial"/>
          <w:b/>
          <w:sz w:val="20"/>
          <w:szCs w:val="20"/>
          <w:lang w:val="en-US"/>
        </w:rPr>
        <w:t>Descriptive statistics of included patients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19"/>
      </w:tblGrid>
      <w:tr w:rsidR="00521998" w:rsidRPr="00541786" w14:paraId="2862910C" w14:textId="77777777" w:rsidTr="00DA1AB9">
        <w:tc>
          <w:tcPr>
            <w:tcW w:w="4538" w:type="dxa"/>
            <w:tcBorders>
              <w:top w:val="single" w:sz="4" w:space="0" w:color="auto"/>
              <w:left w:val="single" w:sz="4" w:space="0" w:color="auto"/>
              <w:bottom w:val="single" w:sz="4" w:space="0" w:color="auto"/>
              <w:right w:val="single" w:sz="4" w:space="0" w:color="auto"/>
            </w:tcBorders>
          </w:tcPr>
          <w:p w14:paraId="2E3847F6" w14:textId="77777777" w:rsidR="00521998" w:rsidRPr="00541786" w:rsidRDefault="00521998" w:rsidP="00DA1AB9">
            <w:pPr>
              <w:keepNext/>
              <w:spacing w:line="480" w:lineRule="auto"/>
              <w:outlineLvl w:val="0"/>
              <w:rPr>
                <w:rFonts w:ascii="Arial" w:hAnsi="Arial" w:cs="Arial"/>
                <w:b/>
                <w:sz w:val="20"/>
                <w:szCs w:val="20"/>
                <w:lang w:val="en-US"/>
              </w:rPr>
            </w:pPr>
            <w:r w:rsidRPr="00541786">
              <w:rPr>
                <w:rFonts w:ascii="Arial" w:hAnsi="Arial" w:cs="Arial"/>
                <w:b/>
                <w:sz w:val="20"/>
                <w:szCs w:val="20"/>
                <w:lang w:val="en-US"/>
              </w:rPr>
              <w:t>Variable</w:t>
            </w:r>
          </w:p>
        </w:tc>
        <w:tc>
          <w:tcPr>
            <w:tcW w:w="4519" w:type="dxa"/>
            <w:tcBorders>
              <w:top w:val="single" w:sz="4" w:space="0" w:color="auto"/>
              <w:left w:val="single" w:sz="4" w:space="0" w:color="auto"/>
              <w:bottom w:val="single" w:sz="4" w:space="0" w:color="auto"/>
              <w:right w:val="single" w:sz="4" w:space="0" w:color="auto"/>
            </w:tcBorders>
          </w:tcPr>
          <w:p w14:paraId="402D6403" w14:textId="77777777" w:rsidR="00521998" w:rsidRPr="00541786" w:rsidRDefault="00521998" w:rsidP="00DA1AB9">
            <w:pPr>
              <w:spacing w:line="480" w:lineRule="auto"/>
              <w:rPr>
                <w:rFonts w:ascii="Arial" w:hAnsi="Arial" w:cs="Arial"/>
                <w:b/>
                <w:sz w:val="20"/>
                <w:szCs w:val="20"/>
                <w:lang w:val="en-US"/>
              </w:rPr>
            </w:pPr>
            <w:r w:rsidRPr="00541786">
              <w:rPr>
                <w:rFonts w:ascii="Arial" w:hAnsi="Arial" w:cs="Arial"/>
                <w:b/>
                <w:sz w:val="20"/>
                <w:szCs w:val="20"/>
                <w:lang w:val="en-US"/>
              </w:rPr>
              <w:t>Included patients</w:t>
            </w:r>
            <w:r w:rsidRPr="00541786">
              <w:rPr>
                <w:rFonts w:ascii="Arial" w:hAnsi="Arial" w:cs="Arial"/>
                <w:sz w:val="20"/>
                <w:szCs w:val="20"/>
                <w:lang w:val="en-US"/>
              </w:rPr>
              <w:t xml:space="preserve"> (N=176)</w:t>
            </w:r>
          </w:p>
        </w:tc>
      </w:tr>
      <w:tr w:rsidR="00521998" w:rsidRPr="00541786" w14:paraId="3ECBE543" w14:textId="77777777" w:rsidTr="00DA1AB9">
        <w:tc>
          <w:tcPr>
            <w:tcW w:w="4538" w:type="dxa"/>
            <w:tcBorders>
              <w:top w:val="single" w:sz="4" w:space="0" w:color="auto"/>
            </w:tcBorders>
          </w:tcPr>
          <w:p w14:paraId="6863378C" w14:textId="77777777" w:rsidR="00521998" w:rsidRPr="00541786" w:rsidRDefault="00521998" w:rsidP="00DA1AB9">
            <w:pPr>
              <w:keepNext/>
              <w:spacing w:line="480" w:lineRule="auto"/>
              <w:outlineLvl w:val="0"/>
              <w:rPr>
                <w:rFonts w:ascii="Arial" w:hAnsi="Arial" w:cs="Arial"/>
                <w:b/>
                <w:sz w:val="20"/>
                <w:szCs w:val="20"/>
                <w:lang w:val="en-US"/>
              </w:rPr>
            </w:pPr>
            <w:r w:rsidRPr="00541786">
              <w:rPr>
                <w:rFonts w:ascii="Arial" w:hAnsi="Arial" w:cs="Arial"/>
                <w:b/>
                <w:sz w:val="20"/>
                <w:szCs w:val="20"/>
                <w:lang w:val="en-US"/>
              </w:rPr>
              <w:t>Baseline</w:t>
            </w:r>
          </w:p>
        </w:tc>
        <w:tc>
          <w:tcPr>
            <w:tcW w:w="4519" w:type="dxa"/>
            <w:tcBorders>
              <w:top w:val="single" w:sz="4" w:space="0" w:color="auto"/>
            </w:tcBorders>
          </w:tcPr>
          <w:p w14:paraId="4156ECEC" w14:textId="77777777" w:rsidR="00521998" w:rsidRPr="00541786" w:rsidRDefault="00521998" w:rsidP="00DA1AB9">
            <w:pPr>
              <w:spacing w:line="480" w:lineRule="auto"/>
              <w:rPr>
                <w:rFonts w:ascii="Arial" w:hAnsi="Arial" w:cs="Arial"/>
                <w:sz w:val="20"/>
                <w:szCs w:val="20"/>
                <w:lang w:val="en-US"/>
              </w:rPr>
            </w:pPr>
          </w:p>
        </w:tc>
      </w:tr>
      <w:tr w:rsidR="00521998" w:rsidRPr="00541786" w14:paraId="16ACFEBF" w14:textId="77777777" w:rsidTr="00DA1AB9">
        <w:tc>
          <w:tcPr>
            <w:tcW w:w="4538" w:type="dxa"/>
          </w:tcPr>
          <w:p w14:paraId="2F2718C7"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Age (</w:t>
            </w:r>
            <w:proofErr w:type="spellStart"/>
            <w:r w:rsidRPr="00541786">
              <w:rPr>
                <w:rFonts w:ascii="Arial" w:hAnsi="Arial" w:cs="Arial"/>
                <w:sz w:val="20"/>
                <w:szCs w:val="20"/>
                <w:lang w:val="en-US"/>
              </w:rPr>
              <w:t>mo</w:t>
            </w:r>
            <w:proofErr w:type="spellEnd"/>
            <w:r w:rsidRPr="00541786">
              <w:rPr>
                <w:rFonts w:ascii="Arial" w:hAnsi="Arial" w:cs="Arial"/>
                <w:sz w:val="20"/>
                <w:szCs w:val="20"/>
                <w:lang w:val="en-US"/>
              </w:rPr>
              <w:t>), median [IQR]</w:t>
            </w:r>
          </w:p>
        </w:tc>
        <w:tc>
          <w:tcPr>
            <w:tcW w:w="4519" w:type="dxa"/>
          </w:tcPr>
          <w:p w14:paraId="09EE512E"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1.0 [1.0-2.25]</w:t>
            </w:r>
          </w:p>
        </w:tc>
      </w:tr>
      <w:tr w:rsidR="00521998" w:rsidRPr="00541786" w14:paraId="5E88E419" w14:textId="77777777" w:rsidTr="00DA1AB9">
        <w:tc>
          <w:tcPr>
            <w:tcW w:w="4538" w:type="dxa"/>
          </w:tcPr>
          <w:p w14:paraId="05B59F3C"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Weight (kg), median [IQR]</w:t>
            </w:r>
          </w:p>
        </w:tc>
        <w:tc>
          <w:tcPr>
            <w:tcW w:w="4519" w:type="dxa"/>
          </w:tcPr>
          <w:p w14:paraId="23AA7CF7"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4.6 [3.7-5.6]</w:t>
            </w:r>
          </w:p>
        </w:tc>
      </w:tr>
      <w:tr w:rsidR="00521998" w:rsidRPr="00541786" w14:paraId="0FE6FCA7" w14:textId="77777777" w:rsidTr="00DA1AB9">
        <w:tc>
          <w:tcPr>
            <w:tcW w:w="4538" w:type="dxa"/>
          </w:tcPr>
          <w:p w14:paraId="44A38127"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Sex (female), N (%)</w:t>
            </w:r>
          </w:p>
        </w:tc>
        <w:tc>
          <w:tcPr>
            <w:tcW w:w="4519" w:type="dxa"/>
          </w:tcPr>
          <w:p w14:paraId="4F9E887D"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75 (42.6)</w:t>
            </w:r>
          </w:p>
        </w:tc>
      </w:tr>
      <w:tr w:rsidR="00521998" w:rsidRPr="00541786" w14:paraId="3CE7AC3B" w14:textId="77777777" w:rsidTr="00DA1AB9">
        <w:tc>
          <w:tcPr>
            <w:tcW w:w="4538" w:type="dxa"/>
          </w:tcPr>
          <w:p w14:paraId="2B7752F5"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Comorbidity, N (%)</w:t>
            </w:r>
          </w:p>
        </w:tc>
        <w:tc>
          <w:tcPr>
            <w:tcW w:w="4519" w:type="dxa"/>
          </w:tcPr>
          <w:p w14:paraId="1BB65500"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56 (31.8)</w:t>
            </w:r>
          </w:p>
        </w:tc>
      </w:tr>
      <w:tr w:rsidR="00521998" w:rsidRPr="00541786" w14:paraId="20BFC243" w14:textId="77777777" w:rsidTr="00DA1AB9">
        <w:tc>
          <w:tcPr>
            <w:tcW w:w="4538" w:type="dxa"/>
          </w:tcPr>
          <w:p w14:paraId="1EC71500"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Premature, N (%)</w:t>
            </w:r>
          </w:p>
        </w:tc>
        <w:tc>
          <w:tcPr>
            <w:tcW w:w="4519" w:type="dxa"/>
          </w:tcPr>
          <w:p w14:paraId="567D5201"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43 (24.4)</w:t>
            </w:r>
          </w:p>
        </w:tc>
      </w:tr>
      <w:tr w:rsidR="00521998" w:rsidRPr="00541786" w14:paraId="0B279933" w14:textId="77777777" w:rsidTr="00DA1AB9">
        <w:tc>
          <w:tcPr>
            <w:tcW w:w="4538" w:type="dxa"/>
          </w:tcPr>
          <w:p w14:paraId="778C4C45"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BPD, N (%)</w:t>
            </w:r>
          </w:p>
        </w:tc>
        <w:tc>
          <w:tcPr>
            <w:tcW w:w="4519" w:type="dxa"/>
          </w:tcPr>
          <w:p w14:paraId="5C56DB4A"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6 (3.4)</w:t>
            </w:r>
          </w:p>
        </w:tc>
      </w:tr>
      <w:tr w:rsidR="00521998" w:rsidRPr="00541786" w14:paraId="3C90C728" w14:textId="77777777" w:rsidTr="00DA1AB9">
        <w:tc>
          <w:tcPr>
            <w:tcW w:w="4538" w:type="dxa"/>
          </w:tcPr>
          <w:p w14:paraId="092D01E9"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Down syndrome, N (%)</w:t>
            </w:r>
          </w:p>
        </w:tc>
        <w:tc>
          <w:tcPr>
            <w:tcW w:w="4519" w:type="dxa"/>
          </w:tcPr>
          <w:p w14:paraId="1EAF0CF5"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2 (1.1)</w:t>
            </w:r>
          </w:p>
        </w:tc>
      </w:tr>
      <w:tr w:rsidR="00521998" w:rsidRPr="00541786" w14:paraId="192105D4" w14:textId="77777777" w:rsidTr="00DA1AB9">
        <w:tc>
          <w:tcPr>
            <w:tcW w:w="4538" w:type="dxa"/>
          </w:tcPr>
          <w:p w14:paraId="19350D32"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Congenital heart disease, N (%)</w:t>
            </w:r>
          </w:p>
        </w:tc>
        <w:tc>
          <w:tcPr>
            <w:tcW w:w="4519" w:type="dxa"/>
          </w:tcPr>
          <w:p w14:paraId="2347EB77"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9 (5.1)</w:t>
            </w:r>
          </w:p>
        </w:tc>
      </w:tr>
      <w:tr w:rsidR="00521998" w:rsidRPr="00541786" w14:paraId="2CDC1BA6" w14:textId="77777777" w:rsidTr="00DA1AB9">
        <w:tc>
          <w:tcPr>
            <w:tcW w:w="4538" w:type="dxa"/>
          </w:tcPr>
          <w:p w14:paraId="22E96870"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Hemoglobin (mmol/l), mean (SD)</w:t>
            </w:r>
          </w:p>
        </w:tc>
        <w:tc>
          <w:tcPr>
            <w:tcW w:w="4519" w:type="dxa"/>
          </w:tcPr>
          <w:p w14:paraId="6F586308"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7.0 (1.5)</w:t>
            </w:r>
          </w:p>
        </w:tc>
      </w:tr>
      <w:tr w:rsidR="00521998" w:rsidRPr="00541786" w14:paraId="1C784ACC" w14:textId="77777777" w:rsidTr="00DA1AB9">
        <w:tc>
          <w:tcPr>
            <w:tcW w:w="4538" w:type="dxa"/>
          </w:tcPr>
          <w:p w14:paraId="131D7EF5" w14:textId="77777777" w:rsidR="00521998" w:rsidRPr="00541786" w:rsidRDefault="00521998" w:rsidP="00DA1AB9">
            <w:pPr>
              <w:keepNext/>
              <w:spacing w:line="480" w:lineRule="auto"/>
              <w:outlineLvl w:val="0"/>
              <w:rPr>
                <w:rFonts w:ascii="Arial" w:hAnsi="Arial" w:cs="Arial"/>
                <w:b/>
                <w:sz w:val="20"/>
                <w:szCs w:val="20"/>
                <w:lang w:val="en-US"/>
              </w:rPr>
            </w:pPr>
            <w:r w:rsidRPr="00541786">
              <w:rPr>
                <w:rFonts w:ascii="Arial" w:hAnsi="Arial" w:cs="Arial"/>
                <w:b/>
                <w:sz w:val="20"/>
                <w:szCs w:val="20"/>
                <w:lang w:val="en-US"/>
              </w:rPr>
              <w:t>Ventilator-related parameters</w:t>
            </w:r>
          </w:p>
        </w:tc>
        <w:tc>
          <w:tcPr>
            <w:tcW w:w="4519" w:type="dxa"/>
          </w:tcPr>
          <w:p w14:paraId="6D9C33B3" w14:textId="77777777" w:rsidR="00521998" w:rsidRPr="00541786" w:rsidRDefault="00521998" w:rsidP="00DA1AB9">
            <w:pPr>
              <w:spacing w:line="480" w:lineRule="auto"/>
              <w:rPr>
                <w:rFonts w:ascii="Arial" w:hAnsi="Arial" w:cs="Arial"/>
                <w:sz w:val="20"/>
                <w:szCs w:val="20"/>
                <w:lang w:val="en-US"/>
              </w:rPr>
            </w:pPr>
          </w:p>
        </w:tc>
      </w:tr>
      <w:tr w:rsidR="00521998" w:rsidRPr="00541786" w14:paraId="5483F6DF" w14:textId="77777777" w:rsidTr="00DA1AB9">
        <w:tc>
          <w:tcPr>
            <w:tcW w:w="4538" w:type="dxa"/>
          </w:tcPr>
          <w:p w14:paraId="4DDA35D2"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RSV positive, N (%)</w:t>
            </w:r>
          </w:p>
        </w:tc>
        <w:tc>
          <w:tcPr>
            <w:tcW w:w="4519" w:type="dxa"/>
          </w:tcPr>
          <w:p w14:paraId="474F9E98"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135 (76.7)</w:t>
            </w:r>
          </w:p>
        </w:tc>
      </w:tr>
      <w:tr w:rsidR="00521998" w:rsidRPr="00541786" w14:paraId="5F3E6B18" w14:textId="77777777" w:rsidTr="00DA1AB9">
        <w:tc>
          <w:tcPr>
            <w:tcW w:w="4538" w:type="dxa"/>
          </w:tcPr>
          <w:p w14:paraId="65A2B80E"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Bacterial superinfection, N (%)</w:t>
            </w:r>
          </w:p>
        </w:tc>
        <w:tc>
          <w:tcPr>
            <w:tcW w:w="4519" w:type="dxa"/>
          </w:tcPr>
          <w:p w14:paraId="2E7BD245"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92 (52.3)</w:t>
            </w:r>
          </w:p>
        </w:tc>
      </w:tr>
      <w:tr w:rsidR="00521998" w:rsidRPr="00541786" w14:paraId="77BCC77F" w14:textId="77777777" w:rsidTr="00DA1AB9">
        <w:tc>
          <w:tcPr>
            <w:tcW w:w="4538" w:type="dxa"/>
          </w:tcPr>
          <w:p w14:paraId="789F633D"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Arterial line at any time during IMV, N (%)</w:t>
            </w:r>
          </w:p>
        </w:tc>
        <w:tc>
          <w:tcPr>
            <w:tcW w:w="4519" w:type="dxa"/>
          </w:tcPr>
          <w:p w14:paraId="15AF0E1A"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140 (79.5)</w:t>
            </w:r>
          </w:p>
        </w:tc>
      </w:tr>
      <w:tr w:rsidR="00521998" w:rsidRPr="00541786" w14:paraId="0BD58876" w14:textId="77777777" w:rsidTr="00DA1AB9">
        <w:tc>
          <w:tcPr>
            <w:tcW w:w="4538" w:type="dxa"/>
          </w:tcPr>
          <w:p w14:paraId="203E3AFD"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Duration of IMV (days), median [IQR]</w:t>
            </w:r>
          </w:p>
        </w:tc>
        <w:tc>
          <w:tcPr>
            <w:tcW w:w="4519" w:type="dxa"/>
          </w:tcPr>
          <w:p w14:paraId="0E69CC76"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5.5 [4.5-7.5]</w:t>
            </w:r>
          </w:p>
        </w:tc>
      </w:tr>
      <w:tr w:rsidR="00521998" w:rsidRPr="00541786" w14:paraId="5BD3BEB1" w14:textId="77777777" w:rsidTr="00DA1AB9">
        <w:tc>
          <w:tcPr>
            <w:tcW w:w="4538" w:type="dxa"/>
          </w:tcPr>
          <w:p w14:paraId="19E0D62F"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Reintubation, N (%)</w:t>
            </w:r>
          </w:p>
        </w:tc>
        <w:tc>
          <w:tcPr>
            <w:tcW w:w="4519" w:type="dxa"/>
          </w:tcPr>
          <w:p w14:paraId="61858F35"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6 (3.4)</w:t>
            </w:r>
          </w:p>
        </w:tc>
      </w:tr>
      <w:tr w:rsidR="00521998" w:rsidRPr="00541786" w14:paraId="75FD33B0" w14:textId="77777777" w:rsidTr="00DA1AB9">
        <w:tc>
          <w:tcPr>
            <w:tcW w:w="4538" w:type="dxa"/>
          </w:tcPr>
          <w:p w14:paraId="65476F5B" w14:textId="77777777" w:rsidR="00521998" w:rsidRPr="00541786" w:rsidRDefault="00521998" w:rsidP="00DA1AB9">
            <w:pPr>
              <w:keepNext/>
              <w:spacing w:line="480" w:lineRule="auto"/>
              <w:outlineLvl w:val="0"/>
              <w:rPr>
                <w:rFonts w:ascii="Arial" w:hAnsi="Arial" w:cs="Arial"/>
                <w:b/>
                <w:sz w:val="20"/>
                <w:szCs w:val="20"/>
                <w:lang w:val="en-US"/>
              </w:rPr>
            </w:pPr>
            <w:r w:rsidRPr="00541786">
              <w:rPr>
                <w:rFonts w:ascii="Arial" w:hAnsi="Arial" w:cs="Arial"/>
                <w:b/>
                <w:sz w:val="20"/>
                <w:szCs w:val="20"/>
                <w:lang w:val="en-US"/>
              </w:rPr>
              <w:t>Outcome</w:t>
            </w:r>
          </w:p>
        </w:tc>
        <w:tc>
          <w:tcPr>
            <w:tcW w:w="4519" w:type="dxa"/>
          </w:tcPr>
          <w:p w14:paraId="0087D4D9" w14:textId="77777777" w:rsidR="00521998" w:rsidRPr="00541786" w:rsidRDefault="00521998" w:rsidP="00DA1AB9">
            <w:pPr>
              <w:spacing w:line="480" w:lineRule="auto"/>
              <w:rPr>
                <w:rFonts w:ascii="Arial" w:hAnsi="Arial" w:cs="Arial"/>
                <w:sz w:val="20"/>
                <w:szCs w:val="20"/>
                <w:lang w:val="en-US"/>
              </w:rPr>
            </w:pPr>
          </w:p>
        </w:tc>
      </w:tr>
      <w:tr w:rsidR="00521998" w:rsidRPr="00541786" w14:paraId="6ACFA5C7" w14:textId="77777777" w:rsidTr="00DA1AB9">
        <w:tc>
          <w:tcPr>
            <w:tcW w:w="4538" w:type="dxa"/>
          </w:tcPr>
          <w:p w14:paraId="0DB4E340"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Mortality, N (%)</w:t>
            </w:r>
          </w:p>
        </w:tc>
        <w:tc>
          <w:tcPr>
            <w:tcW w:w="4519" w:type="dxa"/>
          </w:tcPr>
          <w:p w14:paraId="6F7EB416"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1 (0.6)</w:t>
            </w:r>
          </w:p>
        </w:tc>
      </w:tr>
      <w:tr w:rsidR="00521998" w:rsidRPr="00541786" w14:paraId="74AC1043" w14:textId="77777777" w:rsidTr="00DA1AB9">
        <w:tc>
          <w:tcPr>
            <w:tcW w:w="4538" w:type="dxa"/>
          </w:tcPr>
          <w:p w14:paraId="3B17B1D0"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Use of NO, N (%)</w:t>
            </w:r>
          </w:p>
        </w:tc>
        <w:tc>
          <w:tcPr>
            <w:tcW w:w="4519" w:type="dxa"/>
          </w:tcPr>
          <w:p w14:paraId="170D4F68"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5 (2.8)</w:t>
            </w:r>
          </w:p>
        </w:tc>
      </w:tr>
      <w:tr w:rsidR="00521998" w:rsidRPr="00541786" w14:paraId="6D9D3EE5" w14:textId="77777777" w:rsidTr="00DA1AB9">
        <w:tc>
          <w:tcPr>
            <w:tcW w:w="4538" w:type="dxa"/>
          </w:tcPr>
          <w:p w14:paraId="07F8BF1F"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Need for ECMO, N (%)</w:t>
            </w:r>
          </w:p>
        </w:tc>
        <w:tc>
          <w:tcPr>
            <w:tcW w:w="4519" w:type="dxa"/>
          </w:tcPr>
          <w:p w14:paraId="6CC8C793"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1 (0.6)</w:t>
            </w:r>
          </w:p>
        </w:tc>
      </w:tr>
      <w:tr w:rsidR="00521998" w:rsidRPr="00541786" w14:paraId="59266B2B" w14:textId="77777777" w:rsidTr="006672C0">
        <w:tc>
          <w:tcPr>
            <w:tcW w:w="4538" w:type="dxa"/>
          </w:tcPr>
          <w:p w14:paraId="4482D7FE"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Need for CVVH, N (%)</w:t>
            </w:r>
          </w:p>
        </w:tc>
        <w:tc>
          <w:tcPr>
            <w:tcW w:w="4519" w:type="dxa"/>
          </w:tcPr>
          <w:p w14:paraId="6AA50E67"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0</w:t>
            </w:r>
          </w:p>
        </w:tc>
      </w:tr>
      <w:tr w:rsidR="00521998" w:rsidRPr="00541786" w14:paraId="36247821" w14:textId="77777777" w:rsidTr="006672C0">
        <w:tc>
          <w:tcPr>
            <w:tcW w:w="4538" w:type="dxa"/>
            <w:tcBorders>
              <w:bottom w:val="single" w:sz="4" w:space="0" w:color="auto"/>
            </w:tcBorders>
          </w:tcPr>
          <w:p w14:paraId="31EA4416"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Readmission, N (%)</w:t>
            </w:r>
          </w:p>
        </w:tc>
        <w:tc>
          <w:tcPr>
            <w:tcW w:w="4519" w:type="dxa"/>
            <w:tcBorders>
              <w:bottom w:val="single" w:sz="4" w:space="0" w:color="auto"/>
            </w:tcBorders>
          </w:tcPr>
          <w:p w14:paraId="0342D650" w14:textId="77777777" w:rsidR="00521998" w:rsidRPr="00541786" w:rsidRDefault="00521998" w:rsidP="00DA1AB9">
            <w:pPr>
              <w:spacing w:line="480" w:lineRule="auto"/>
              <w:rPr>
                <w:rFonts w:ascii="Arial" w:hAnsi="Arial" w:cs="Arial"/>
                <w:sz w:val="20"/>
                <w:szCs w:val="20"/>
                <w:lang w:val="en-US"/>
              </w:rPr>
            </w:pPr>
            <w:r w:rsidRPr="00541786">
              <w:rPr>
                <w:rFonts w:ascii="Arial" w:hAnsi="Arial" w:cs="Arial"/>
                <w:sz w:val="20"/>
                <w:szCs w:val="20"/>
                <w:lang w:val="en-US"/>
              </w:rPr>
              <w:t>8 (4.5)</w:t>
            </w:r>
          </w:p>
        </w:tc>
      </w:tr>
    </w:tbl>
    <w:p w14:paraId="30216541" w14:textId="77777777" w:rsidR="00521998" w:rsidRPr="00541786" w:rsidRDefault="00521998" w:rsidP="00CA3378">
      <w:pPr>
        <w:spacing w:line="480" w:lineRule="auto"/>
        <w:rPr>
          <w:rFonts w:ascii="Arial" w:hAnsi="Arial" w:cs="Arial"/>
          <w:b/>
          <w:sz w:val="20"/>
          <w:szCs w:val="20"/>
          <w:lang w:val="en-US"/>
        </w:rPr>
      </w:pPr>
      <w:r w:rsidRPr="00541786">
        <w:rPr>
          <w:rFonts w:ascii="Arial" w:hAnsi="Arial" w:cs="Arial"/>
          <w:sz w:val="20"/>
          <w:szCs w:val="20"/>
          <w:lang w:val="en-US"/>
        </w:rPr>
        <w:t xml:space="preserve">Legend </w:t>
      </w:r>
      <w:proofErr w:type="spellStart"/>
      <w:r w:rsidRPr="00541786">
        <w:rPr>
          <w:rFonts w:ascii="Arial" w:hAnsi="Arial" w:cs="Arial"/>
          <w:sz w:val="20"/>
          <w:szCs w:val="20"/>
          <w:lang w:val="en-US"/>
        </w:rPr>
        <w:t>eTable</w:t>
      </w:r>
      <w:proofErr w:type="spellEnd"/>
      <w:r w:rsidRPr="00541786">
        <w:rPr>
          <w:rFonts w:ascii="Arial" w:hAnsi="Arial" w:cs="Arial"/>
          <w:sz w:val="20"/>
          <w:szCs w:val="20"/>
          <w:lang w:val="en-US"/>
        </w:rPr>
        <w:t xml:space="preserve"> 2. Descriptive statistics of patients included in the analysis. IQR, Interquartile range; BPD, Bronchopulmonary dysplasia; SD, Standard deviation; RSV, Respiratory syncytial virus; IMV, Invasive mechanical ventilation; NO, Nitric oxide; ECMO, Extracorporeal membrane oxygenation; CVVH, Continuous </w:t>
      </w:r>
      <w:proofErr w:type="spellStart"/>
      <w:r w:rsidRPr="00541786">
        <w:rPr>
          <w:rFonts w:ascii="Arial" w:hAnsi="Arial" w:cs="Arial"/>
          <w:sz w:val="20"/>
          <w:szCs w:val="20"/>
          <w:lang w:val="en-US"/>
        </w:rPr>
        <w:t>veno</w:t>
      </w:r>
      <w:proofErr w:type="spellEnd"/>
      <w:r w:rsidRPr="00541786">
        <w:rPr>
          <w:rFonts w:ascii="Arial" w:hAnsi="Arial" w:cs="Arial"/>
          <w:sz w:val="20"/>
          <w:szCs w:val="20"/>
          <w:lang w:val="en-US"/>
        </w:rPr>
        <w:t>-venous hemofiltration.</w:t>
      </w:r>
      <w:r w:rsidRPr="00541786">
        <w:rPr>
          <w:rFonts w:ascii="Arial" w:hAnsi="Arial" w:cs="Arial"/>
          <w:b/>
          <w:sz w:val="20"/>
          <w:szCs w:val="20"/>
          <w:lang w:val="en-US"/>
        </w:rPr>
        <w:br w:type="page"/>
      </w:r>
    </w:p>
    <w:p w14:paraId="0C36423D" w14:textId="77777777" w:rsidR="00521998" w:rsidRPr="00541786" w:rsidRDefault="00521998" w:rsidP="00521998">
      <w:pPr>
        <w:pStyle w:val="BodyText"/>
        <w:rPr>
          <w:rFonts w:ascii="Arial" w:hAnsi="Arial" w:cs="Arial"/>
          <w:b/>
          <w:sz w:val="20"/>
          <w:szCs w:val="20"/>
          <w:lang w:val="en-US"/>
        </w:rPr>
      </w:pPr>
      <w:proofErr w:type="spellStart"/>
      <w:r w:rsidRPr="00541786">
        <w:rPr>
          <w:rFonts w:ascii="Arial" w:hAnsi="Arial" w:cs="Arial"/>
          <w:b/>
          <w:sz w:val="20"/>
          <w:szCs w:val="20"/>
          <w:lang w:val="en-US"/>
        </w:rPr>
        <w:lastRenderedPageBreak/>
        <w:t>eTable</w:t>
      </w:r>
      <w:proofErr w:type="spellEnd"/>
      <w:r w:rsidRPr="00541786">
        <w:rPr>
          <w:rFonts w:ascii="Arial" w:hAnsi="Arial" w:cs="Arial"/>
          <w:b/>
          <w:sz w:val="20"/>
          <w:szCs w:val="20"/>
          <w:lang w:val="en-US"/>
        </w:rPr>
        <w:t xml:space="preserve"> 3. </w:t>
      </w:r>
      <w:r w:rsidR="00CA3378" w:rsidRPr="00541786">
        <w:rPr>
          <w:rFonts w:ascii="Arial" w:hAnsi="Arial" w:cs="Arial"/>
          <w:b/>
          <w:sz w:val="20"/>
          <w:szCs w:val="20"/>
          <w:lang w:val="en-US"/>
        </w:rPr>
        <w:t>Exploratory analysis of the association of oxygen exposure with outcome using quantile regression of the median</w:t>
      </w:r>
    </w:p>
    <w:tbl>
      <w:tblPr>
        <w:tblStyle w:val="TableGrid"/>
        <w:tblW w:w="0" w:type="auto"/>
        <w:tblLook w:val="04A0" w:firstRow="1" w:lastRow="0" w:firstColumn="1" w:lastColumn="0" w:noHBand="0" w:noVBand="1"/>
      </w:tblPr>
      <w:tblGrid>
        <w:gridCol w:w="3022"/>
        <w:gridCol w:w="3013"/>
        <w:gridCol w:w="3027"/>
      </w:tblGrid>
      <w:tr w:rsidR="00521998" w:rsidRPr="00541786" w14:paraId="72264DC6" w14:textId="77777777" w:rsidTr="000E2246">
        <w:tc>
          <w:tcPr>
            <w:tcW w:w="3070" w:type="dxa"/>
            <w:tcBorders>
              <w:bottom w:val="single" w:sz="4" w:space="0" w:color="auto"/>
            </w:tcBorders>
          </w:tcPr>
          <w:p w14:paraId="1897C68D" w14:textId="77777777" w:rsidR="00521998" w:rsidRPr="00541786" w:rsidRDefault="00521998" w:rsidP="000E2246">
            <w:pPr>
              <w:pStyle w:val="Heading1"/>
              <w:spacing w:line="480" w:lineRule="auto"/>
              <w:outlineLvl w:val="0"/>
            </w:pPr>
            <w:r w:rsidRPr="00541786">
              <w:t>Outcome</w:t>
            </w:r>
          </w:p>
        </w:tc>
        <w:tc>
          <w:tcPr>
            <w:tcW w:w="3071" w:type="dxa"/>
            <w:tcBorders>
              <w:bottom w:val="single" w:sz="4" w:space="0" w:color="auto"/>
            </w:tcBorders>
          </w:tcPr>
          <w:p w14:paraId="11A8BF08" w14:textId="77777777" w:rsidR="00521998" w:rsidRPr="00541786" w:rsidRDefault="00521998" w:rsidP="000E2246">
            <w:pPr>
              <w:spacing w:line="480" w:lineRule="auto"/>
              <w:rPr>
                <w:rFonts w:ascii="Arial" w:hAnsi="Arial" w:cs="Arial"/>
                <w:b/>
                <w:sz w:val="20"/>
                <w:szCs w:val="20"/>
              </w:rPr>
            </w:pPr>
            <w:r w:rsidRPr="00541786">
              <w:rPr>
                <w:rFonts w:ascii="Arial" w:hAnsi="Arial" w:cs="Arial"/>
                <w:b/>
                <w:sz w:val="20"/>
                <w:szCs w:val="20"/>
              </w:rPr>
              <w:t>β</w:t>
            </w:r>
          </w:p>
        </w:tc>
        <w:tc>
          <w:tcPr>
            <w:tcW w:w="3071" w:type="dxa"/>
            <w:tcBorders>
              <w:bottom w:val="single" w:sz="4" w:space="0" w:color="auto"/>
            </w:tcBorders>
          </w:tcPr>
          <w:p w14:paraId="11B5450A" w14:textId="77777777" w:rsidR="00521998" w:rsidRPr="00541786" w:rsidRDefault="00521998" w:rsidP="000E2246">
            <w:pPr>
              <w:spacing w:line="480" w:lineRule="auto"/>
              <w:rPr>
                <w:rFonts w:ascii="Arial" w:hAnsi="Arial" w:cs="Arial"/>
                <w:b/>
                <w:sz w:val="20"/>
                <w:szCs w:val="20"/>
              </w:rPr>
            </w:pPr>
            <w:r w:rsidRPr="00541786">
              <w:rPr>
                <w:rFonts w:ascii="Arial" w:hAnsi="Arial" w:cs="Arial"/>
                <w:b/>
                <w:sz w:val="20"/>
                <w:szCs w:val="20"/>
              </w:rPr>
              <w:t>95% confidence interval</w:t>
            </w:r>
          </w:p>
        </w:tc>
      </w:tr>
      <w:tr w:rsidR="00521998" w:rsidRPr="00541786" w14:paraId="2DCC1E0D" w14:textId="77777777" w:rsidTr="000E2246">
        <w:tc>
          <w:tcPr>
            <w:tcW w:w="3070" w:type="dxa"/>
            <w:tcBorders>
              <w:top w:val="single" w:sz="4" w:space="0" w:color="auto"/>
              <w:left w:val="nil"/>
              <w:bottom w:val="nil"/>
              <w:right w:val="nil"/>
            </w:tcBorders>
          </w:tcPr>
          <w:p w14:paraId="42828729" w14:textId="77777777" w:rsidR="00521998" w:rsidRPr="00541786" w:rsidRDefault="00521998" w:rsidP="000E2246">
            <w:pPr>
              <w:pStyle w:val="Heading1"/>
              <w:spacing w:line="480" w:lineRule="auto"/>
              <w:outlineLvl w:val="0"/>
            </w:pPr>
            <w:r w:rsidRPr="00541786">
              <w:t>Duration of IMV (days)</w:t>
            </w:r>
          </w:p>
        </w:tc>
        <w:tc>
          <w:tcPr>
            <w:tcW w:w="3071" w:type="dxa"/>
            <w:tcBorders>
              <w:top w:val="single" w:sz="4" w:space="0" w:color="auto"/>
              <w:left w:val="nil"/>
              <w:bottom w:val="nil"/>
              <w:right w:val="nil"/>
            </w:tcBorders>
          </w:tcPr>
          <w:p w14:paraId="24880ED5" w14:textId="77777777" w:rsidR="00521998" w:rsidRPr="00541786" w:rsidRDefault="00521998" w:rsidP="000E2246">
            <w:pPr>
              <w:spacing w:line="480" w:lineRule="auto"/>
              <w:rPr>
                <w:rFonts w:ascii="Arial" w:hAnsi="Arial" w:cs="Arial"/>
                <w:sz w:val="20"/>
                <w:szCs w:val="20"/>
              </w:rPr>
            </w:pPr>
          </w:p>
        </w:tc>
        <w:tc>
          <w:tcPr>
            <w:tcW w:w="3071" w:type="dxa"/>
            <w:tcBorders>
              <w:top w:val="single" w:sz="4" w:space="0" w:color="auto"/>
              <w:left w:val="nil"/>
              <w:bottom w:val="nil"/>
              <w:right w:val="nil"/>
            </w:tcBorders>
          </w:tcPr>
          <w:p w14:paraId="12ADBA2D" w14:textId="77777777" w:rsidR="00521998" w:rsidRPr="00541786" w:rsidRDefault="00521998" w:rsidP="000E2246">
            <w:pPr>
              <w:spacing w:line="480" w:lineRule="auto"/>
              <w:rPr>
                <w:rFonts w:ascii="Arial" w:hAnsi="Arial" w:cs="Arial"/>
                <w:sz w:val="20"/>
                <w:szCs w:val="20"/>
              </w:rPr>
            </w:pPr>
          </w:p>
        </w:tc>
      </w:tr>
      <w:tr w:rsidR="00521998" w:rsidRPr="00541786" w14:paraId="5533C61B" w14:textId="77777777" w:rsidTr="000E2246">
        <w:tc>
          <w:tcPr>
            <w:tcW w:w="3070" w:type="dxa"/>
            <w:tcBorders>
              <w:top w:val="nil"/>
              <w:left w:val="nil"/>
              <w:bottom w:val="nil"/>
              <w:right w:val="nil"/>
            </w:tcBorders>
          </w:tcPr>
          <w:p w14:paraId="0AA99A10"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TWA</w:t>
            </w:r>
            <w:r w:rsidRPr="00541786">
              <w:rPr>
                <w:rFonts w:ascii="Arial" w:hAnsi="Arial" w:cs="Arial"/>
                <w:sz w:val="20"/>
                <w:szCs w:val="20"/>
                <w:vertAlign w:val="subscript"/>
              </w:rPr>
              <w:t>24h</w:t>
            </w:r>
            <w:r w:rsidRPr="00541786">
              <w:rPr>
                <w:rFonts w:ascii="Arial" w:hAnsi="Arial" w:cs="Arial"/>
                <w:sz w:val="20"/>
                <w:szCs w:val="20"/>
              </w:rPr>
              <w:t>-FiO</w:t>
            </w:r>
            <w:r w:rsidRPr="00541786">
              <w:rPr>
                <w:rFonts w:ascii="Arial" w:hAnsi="Arial" w:cs="Arial"/>
                <w:sz w:val="20"/>
                <w:szCs w:val="20"/>
                <w:vertAlign w:val="subscript"/>
              </w:rPr>
              <w:t>2</w:t>
            </w:r>
            <w:r w:rsidRPr="00541786">
              <w:rPr>
                <w:rFonts w:ascii="Arial" w:hAnsi="Arial" w:cs="Arial"/>
                <w:sz w:val="20"/>
                <w:szCs w:val="20"/>
                <w:vertAlign w:val="superscript"/>
              </w:rPr>
              <w:t>a</w:t>
            </w:r>
            <w:r w:rsidRPr="00541786">
              <w:rPr>
                <w:rFonts w:ascii="Arial" w:hAnsi="Arial" w:cs="Arial"/>
                <w:sz w:val="20"/>
                <w:szCs w:val="20"/>
              </w:rPr>
              <w:t xml:space="preserve"> (%)</w:t>
            </w:r>
          </w:p>
        </w:tc>
        <w:tc>
          <w:tcPr>
            <w:tcW w:w="3071" w:type="dxa"/>
            <w:tcBorders>
              <w:top w:val="nil"/>
              <w:left w:val="nil"/>
              <w:bottom w:val="nil"/>
              <w:right w:val="nil"/>
            </w:tcBorders>
          </w:tcPr>
          <w:p w14:paraId="27881A47" w14:textId="77777777" w:rsidR="00521998" w:rsidRPr="00541786" w:rsidRDefault="00521998" w:rsidP="000E2246">
            <w:pPr>
              <w:pStyle w:val="EndNoteBibliography"/>
              <w:spacing w:line="480" w:lineRule="auto"/>
              <w:rPr>
                <w:rFonts w:ascii="Arial" w:hAnsi="Arial" w:cs="Arial"/>
                <w:noProof w:val="0"/>
                <w:sz w:val="20"/>
                <w:szCs w:val="20"/>
                <w:lang w:val="nl-NL"/>
              </w:rPr>
            </w:pPr>
            <w:r w:rsidRPr="00541786">
              <w:rPr>
                <w:rFonts w:ascii="Arial" w:hAnsi="Arial" w:cs="Arial"/>
                <w:noProof w:val="0"/>
                <w:sz w:val="20"/>
                <w:szCs w:val="20"/>
                <w:lang w:val="nl-NL"/>
              </w:rPr>
              <w:t>0.080</w:t>
            </w:r>
          </w:p>
        </w:tc>
        <w:tc>
          <w:tcPr>
            <w:tcW w:w="3071" w:type="dxa"/>
            <w:tcBorders>
              <w:top w:val="nil"/>
              <w:left w:val="nil"/>
              <w:bottom w:val="nil"/>
              <w:right w:val="nil"/>
            </w:tcBorders>
          </w:tcPr>
          <w:p w14:paraId="2B64CDB1"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0.037 – 0.123</w:t>
            </w:r>
          </w:p>
        </w:tc>
      </w:tr>
      <w:tr w:rsidR="00521998" w:rsidRPr="00541786" w14:paraId="0EF0615E" w14:textId="77777777" w:rsidTr="000E2246">
        <w:tc>
          <w:tcPr>
            <w:tcW w:w="3070" w:type="dxa"/>
            <w:tcBorders>
              <w:top w:val="nil"/>
              <w:left w:val="nil"/>
              <w:bottom w:val="nil"/>
              <w:right w:val="nil"/>
            </w:tcBorders>
          </w:tcPr>
          <w:p w14:paraId="3E43EC99"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TWA</w:t>
            </w:r>
            <w:r w:rsidRPr="00541786">
              <w:rPr>
                <w:rFonts w:ascii="Arial" w:hAnsi="Arial" w:cs="Arial"/>
                <w:sz w:val="20"/>
                <w:szCs w:val="20"/>
                <w:vertAlign w:val="subscript"/>
              </w:rPr>
              <w:t>24h</w:t>
            </w:r>
            <w:r w:rsidRPr="00541786">
              <w:rPr>
                <w:rFonts w:ascii="Arial" w:hAnsi="Arial" w:cs="Arial"/>
                <w:sz w:val="20"/>
                <w:szCs w:val="20"/>
              </w:rPr>
              <w:t>-CEE (≥97% SpO</w:t>
            </w:r>
            <w:r w:rsidRPr="00541786">
              <w:rPr>
                <w:rFonts w:ascii="Arial" w:hAnsi="Arial" w:cs="Arial"/>
                <w:sz w:val="20"/>
                <w:szCs w:val="20"/>
                <w:vertAlign w:val="subscript"/>
              </w:rPr>
              <w:t>2</w:t>
            </w:r>
            <w:r w:rsidRPr="00541786">
              <w:rPr>
                <w:rFonts w:ascii="Arial" w:hAnsi="Arial" w:cs="Arial"/>
                <w:sz w:val="20"/>
                <w:szCs w:val="20"/>
              </w:rPr>
              <w:t>)</w:t>
            </w:r>
            <w:r w:rsidRPr="00541786">
              <w:rPr>
                <w:rFonts w:ascii="Arial" w:hAnsi="Arial" w:cs="Arial"/>
                <w:sz w:val="20"/>
                <w:szCs w:val="20"/>
                <w:vertAlign w:val="superscript"/>
              </w:rPr>
              <w:t>b</w:t>
            </w:r>
            <w:r w:rsidRPr="00541786">
              <w:rPr>
                <w:rFonts w:ascii="Arial" w:hAnsi="Arial" w:cs="Arial"/>
                <w:sz w:val="20"/>
                <w:szCs w:val="20"/>
              </w:rPr>
              <w:t xml:space="preserve"> (%)</w:t>
            </w:r>
          </w:p>
        </w:tc>
        <w:tc>
          <w:tcPr>
            <w:tcW w:w="3071" w:type="dxa"/>
            <w:tcBorders>
              <w:top w:val="nil"/>
              <w:left w:val="nil"/>
              <w:bottom w:val="nil"/>
              <w:right w:val="nil"/>
            </w:tcBorders>
          </w:tcPr>
          <w:p w14:paraId="4ED88DE9"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0.032</w:t>
            </w:r>
          </w:p>
        </w:tc>
        <w:tc>
          <w:tcPr>
            <w:tcW w:w="3071" w:type="dxa"/>
            <w:tcBorders>
              <w:top w:val="nil"/>
              <w:left w:val="nil"/>
              <w:bottom w:val="nil"/>
              <w:right w:val="nil"/>
            </w:tcBorders>
          </w:tcPr>
          <w:p w14:paraId="64C905CC"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-0.043 – 0.106</w:t>
            </w:r>
          </w:p>
        </w:tc>
      </w:tr>
      <w:tr w:rsidR="00521998" w:rsidRPr="00541786" w14:paraId="7034B390" w14:textId="77777777" w:rsidTr="000E2246">
        <w:tc>
          <w:tcPr>
            <w:tcW w:w="3070" w:type="dxa"/>
            <w:tcBorders>
              <w:top w:val="nil"/>
              <w:left w:val="nil"/>
              <w:bottom w:val="nil"/>
              <w:right w:val="nil"/>
            </w:tcBorders>
          </w:tcPr>
          <w:p w14:paraId="36D40919"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TWA</w:t>
            </w:r>
            <w:r w:rsidRPr="00541786">
              <w:rPr>
                <w:rFonts w:ascii="Arial" w:hAnsi="Arial" w:cs="Arial"/>
                <w:sz w:val="20"/>
                <w:szCs w:val="20"/>
                <w:vertAlign w:val="subscript"/>
              </w:rPr>
              <w:t>24h</w:t>
            </w:r>
            <w:r w:rsidRPr="00541786">
              <w:rPr>
                <w:rFonts w:ascii="Arial" w:hAnsi="Arial" w:cs="Arial"/>
                <w:sz w:val="20"/>
                <w:szCs w:val="20"/>
              </w:rPr>
              <w:t>-CEE (≥95% SpO</w:t>
            </w:r>
            <w:r w:rsidRPr="00541786">
              <w:rPr>
                <w:rFonts w:ascii="Arial" w:hAnsi="Arial" w:cs="Arial"/>
                <w:sz w:val="20"/>
                <w:szCs w:val="20"/>
                <w:vertAlign w:val="subscript"/>
              </w:rPr>
              <w:t>2</w:t>
            </w:r>
            <w:r w:rsidRPr="00541786">
              <w:rPr>
                <w:rFonts w:ascii="Arial" w:hAnsi="Arial" w:cs="Arial"/>
                <w:sz w:val="20"/>
                <w:szCs w:val="20"/>
              </w:rPr>
              <w:t>)</w:t>
            </w:r>
            <w:r w:rsidRPr="00541786">
              <w:rPr>
                <w:rFonts w:ascii="Arial" w:hAnsi="Arial" w:cs="Arial"/>
                <w:sz w:val="20"/>
                <w:szCs w:val="20"/>
                <w:vertAlign w:val="superscript"/>
              </w:rPr>
              <w:t>c</w:t>
            </w:r>
            <w:r w:rsidRPr="00541786">
              <w:rPr>
                <w:rFonts w:ascii="Arial" w:hAnsi="Arial" w:cs="Arial"/>
                <w:sz w:val="20"/>
                <w:szCs w:val="20"/>
              </w:rPr>
              <w:t xml:space="preserve"> (%)</w:t>
            </w:r>
          </w:p>
        </w:tc>
        <w:tc>
          <w:tcPr>
            <w:tcW w:w="3071" w:type="dxa"/>
            <w:tcBorders>
              <w:top w:val="nil"/>
              <w:left w:val="nil"/>
              <w:bottom w:val="nil"/>
              <w:right w:val="nil"/>
            </w:tcBorders>
          </w:tcPr>
          <w:p w14:paraId="7F6DD587"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0.044</w:t>
            </w:r>
          </w:p>
        </w:tc>
        <w:tc>
          <w:tcPr>
            <w:tcW w:w="3071" w:type="dxa"/>
            <w:tcBorders>
              <w:top w:val="nil"/>
              <w:left w:val="nil"/>
              <w:bottom w:val="nil"/>
              <w:right w:val="nil"/>
            </w:tcBorders>
          </w:tcPr>
          <w:p w14:paraId="33A586E4"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-0.014 – 0.103</w:t>
            </w:r>
          </w:p>
        </w:tc>
      </w:tr>
      <w:tr w:rsidR="00521998" w:rsidRPr="00315709" w14:paraId="4E33E583" w14:textId="77777777" w:rsidTr="000E2246">
        <w:tc>
          <w:tcPr>
            <w:tcW w:w="3070" w:type="dxa"/>
            <w:tcBorders>
              <w:top w:val="nil"/>
              <w:left w:val="nil"/>
              <w:bottom w:val="nil"/>
              <w:right w:val="nil"/>
            </w:tcBorders>
          </w:tcPr>
          <w:p w14:paraId="30D99A3E" w14:textId="77777777" w:rsidR="00521998" w:rsidRPr="00541786" w:rsidRDefault="00521998" w:rsidP="000E2246">
            <w:pPr>
              <w:pStyle w:val="Heading1"/>
              <w:spacing w:line="480" w:lineRule="auto"/>
              <w:outlineLvl w:val="0"/>
            </w:pPr>
            <w:r w:rsidRPr="00541786">
              <w:t>Length of stay PICU (days)</w:t>
            </w:r>
          </w:p>
        </w:tc>
        <w:tc>
          <w:tcPr>
            <w:tcW w:w="3071" w:type="dxa"/>
            <w:tcBorders>
              <w:top w:val="nil"/>
              <w:left w:val="nil"/>
              <w:bottom w:val="nil"/>
              <w:right w:val="nil"/>
            </w:tcBorders>
          </w:tcPr>
          <w:p w14:paraId="26FF0AFA" w14:textId="77777777" w:rsidR="00521998" w:rsidRPr="00541786" w:rsidRDefault="00521998" w:rsidP="000E2246">
            <w:pPr>
              <w:spacing w:line="480" w:lineRule="auto"/>
              <w:rPr>
                <w:rFonts w:ascii="Arial" w:hAnsi="Arial" w:cs="Arial"/>
                <w:sz w:val="20"/>
                <w:szCs w:val="20"/>
                <w:lang w:val="en-US"/>
              </w:rPr>
            </w:pPr>
          </w:p>
        </w:tc>
        <w:tc>
          <w:tcPr>
            <w:tcW w:w="3071" w:type="dxa"/>
            <w:tcBorders>
              <w:top w:val="nil"/>
              <w:left w:val="nil"/>
              <w:bottom w:val="nil"/>
              <w:right w:val="nil"/>
            </w:tcBorders>
          </w:tcPr>
          <w:p w14:paraId="2154D31E" w14:textId="77777777" w:rsidR="00521998" w:rsidRPr="00541786" w:rsidRDefault="00521998" w:rsidP="000E2246">
            <w:pPr>
              <w:spacing w:line="480" w:lineRule="auto"/>
              <w:rPr>
                <w:rFonts w:ascii="Arial" w:hAnsi="Arial" w:cs="Arial"/>
                <w:sz w:val="20"/>
                <w:szCs w:val="20"/>
                <w:lang w:val="en-US"/>
              </w:rPr>
            </w:pPr>
          </w:p>
        </w:tc>
      </w:tr>
      <w:tr w:rsidR="00521998" w:rsidRPr="00541786" w14:paraId="62E6AFD9" w14:textId="77777777" w:rsidTr="000E2246">
        <w:tc>
          <w:tcPr>
            <w:tcW w:w="3070" w:type="dxa"/>
            <w:tcBorders>
              <w:top w:val="nil"/>
              <w:left w:val="nil"/>
              <w:bottom w:val="nil"/>
              <w:right w:val="nil"/>
            </w:tcBorders>
          </w:tcPr>
          <w:p w14:paraId="37F8B499"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TWA</w:t>
            </w:r>
            <w:r w:rsidRPr="00541786">
              <w:rPr>
                <w:rFonts w:ascii="Arial" w:hAnsi="Arial" w:cs="Arial"/>
                <w:sz w:val="20"/>
                <w:szCs w:val="20"/>
                <w:vertAlign w:val="subscript"/>
              </w:rPr>
              <w:t>24h</w:t>
            </w:r>
            <w:r w:rsidRPr="00541786">
              <w:rPr>
                <w:rFonts w:ascii="Arial" w:hAnsi="Arial" w:cs="Arial"/>
                <w:sz w:val="20"/>
                <w:szCs w:val="20"/>
              </w:rPr>
              <w:t>-FiO</w:t>
            </w:r>
            <w:r w:rsidRPr="00541786">
              <w:rPr>
                <w:rFonts w:ascii="Arial" w:hAnsi="Arial" w:cs="Arial"/>
                <w:sz w:val="20"/>
                <w:szCs w:val="20"/>
                <w:vertAlign w:val="subscript"/>
              </w:rPr>
              <w:t>2</w:t>
            </w:r>
            <w:r w:rsidRPr="00541786">
              <w:rPr>
                <w:rFonts w:ascii="Arial" w:hAnsi="Arial" w:cs="Arial"/>
                <w:sz w:val="20"/>
                <w:szCs w:val="20"/>
                <w:vertAlign w:val="superscript"/>
              </w:rPr>
              <w:t>a</w:t>
            </w:r>
            <w:r w:rsidRPr="00541786">
              <w:rPr>
                <w:rFonts w:ascii="Arial" w:hAnsi="Arial" w:cs="Arial"/>
                <w:sz w:val="20"/>
                <w:szCs w:val="20"/>
              </w:rPr>
              <w:t xml:space="preserve"> (%)</w:t>
            </w:r>
          </w:p>
        </w:tc>
        <w:tc>
          <w:tcPr>
            <w:tcW w:w="3071" w:type="dxa"/>
            <w:tcBorders>
              <w:top w:val="nil"/>
              <w:left w:val="nil"/>
              <w:bottom w:val="nil"/>
              <w:right w:val="nil"/>
            </w:tcBorders>
          </w:tcPr>
          <w:p w14:paraId="5B351B89"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0.070</w:t>
            </w:r>
          </w:p>
        </w:tc>
        <w:tc>
          <w:tcPr>
            <w:tcW w:w="3071" w:type="dxa"/>
            <w:tcBorders>
              <w:top w:val="nil"/>
              <w:left w:val="nil"/>
              <w:bottom w:val="nil"/>
              <w:right w:val="nil"/>
            </w:tcBorders>
          </w:tcPr>
          <w:p w14:paraId="1F6E3B53"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0.021 – 0.118</w:t>
            </w:r>
          </w:p>
        </w:tc>
      </w:tr>
      <w:tr w:rsidR="00521998" w:rsidRPr="00541786" w14:paraId="7938E50B" w14:textId="77777777" w:rsidTr="000E2246">
        <w:tc>
          <w:tcPr>
            <w:tcW w:w="3070" w:type="dxa"/>
            <w:tcBorders>
              <w:top w:val="nil"/>
              <w:left w:val="nil"/>
              <w:bottom w:val="nil"/>
              <w:right w:val="nil"/>
            </w:tcBorders>
          </w:tcPr>
          <w:p w14:paraId="46F509B9"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TWA</w:t>
            </w:r>
            <w:r w:rsidRPr="00541786">
              <w:rPr>
                <w:rFonts w:ascii="Arial" w:hAnsi="Arial" w:cs="Arial"/>
                <w:sz w:val="20"/>
                <w:szCs w:val="20"/>
                <w:vertAlign w:val="subscript"/>
              </w:rPr>
              <w:t>24h</w:t>
            </w:r>
            <w:r w:rsidRPr="00541786">
              <w:rPr>
                <w:rFonts w:ascii="Arial" w:hAnsi="Arial" w:cs="Arial"/>
                <w:sz w:val="20"/>
                <w:szCs w:val="20"/>
              </w:rPr>
              <w:t>-CEE (≥97% SpO</w:t>
            </w:r>
            <w:r w:rsidRPr="00541786">
              <w:rPr>
                <w:rFonts w:ascii="Arial" w:hAnsi="Arial" w:cs="Arial"/>
                <w:sz w:val="20"/>
                <w:szCs w:val="20"/>
                <w:vertAlign w:val="subscript"/>
              </w:rPr>
              <w:t>2</w:t>
            </w:r>
            <w:r w:rsidRPr="00541786">
              <w:rPr>
                <w:rFonts w:ascii="Arial" w:hAnsi="Arial" w:cs="Arial"/>
                <w:sz w:val="20"/>
                <w:szCs w:val="20"/>
              </w:rPr>
              <w:t>)</w:t>
            </w:r>
            <w:r w:rsidRPr="00541786">
              <w:rPr>
                <w:rFonts w:ascii="Arial" w:hAnsi="Arial" w:cs="Arial"/>
                <w:sz w:val="20"/>
                <w:szCs w:val="20"/>
                <w:vertAlign w:val="superscript"/>
              </w:rPr>
              <w:t>b</w:t>
            </w:r>
            <w:r w:rsidRPr="00541786">
              <w:rPr>
                <w:rFonts w:ascii="Arial" w:hAnsi="Arial" w:cs="Arial"/>
                <w:sz w:val="20"/>
                <w:szCs w:val="20"/>
              </w:rPr>
              <w:t xml:space="preserve"> (%)</w:t>
            </w:r>
          </w:p>
        </w:tc>
        <w:tc>
          <w:tcPr>
            <w:tcW w:w="3071" w:type="dxa"/>
            <w:tcBorders>
              <w:top w:val="nil"/>
              <w:left w:val="nil"/>
              <w:bottom w:val="nil"/>
              <w:right w:val="nil"/>
            </w:tcBorders>
          </w:tcPr>
          <w:p w14:paraId="4182DBA5"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0.067</w:t>
            </w:r>
          </w:p>
        </w:tc>
        <w:tc>
          <w:tcPr>
            <w:tcW w:w="3071" w:type="dxa"/>
            <w:tcBorders>
              <w:top w:val="nil"/>
              <w:left w:val="nil"/>
              <w:bottom w:val="nil"/>
              <w:right w:val="nil"/>
            </w:tcBorders>
          </w:tcPr>
          <w:p w14:paraId="54310FD3"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-0.025 – 0.158</w:t>
            </w:r>
          </w:p>
        </w:tc>
      </w:tr>
      <w:tr w:rsidR="00521998" w:rsidRPr="00541786" w14:paraId="4343E8D5" w14:textId="77777777" w:rsidTr="000E2246">
        <w:tc>
          <w:tcPr>
            <w:tcW w:w="3070" w:type="dxa"/>
            <w:tcBorders>
              <w:top w:val="nil"/>
              <w:left w:val="nil"/>
              <w:bottom w:val="single" w:sz="4" w:space="0" w:color="auto"/>
              <w:right w:val="nil"/>
            </w:tcBorders>
          </w:tcPr>
          <w:p w14:paraId="16B7DD92"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TWA</w:t>
            </w:r>
            <w:r w:rsidRPr="00541786">
              <w:rPr>
                <w:rFonts w:ascii="Arial" w:hAnsi="Arial" w:cs="Arial"/>
                <w:sz w:val="20"/>
                <w:szCs w:val="20"/>
                <w:vertAlign w:val="subscript"/>
              </w:rPr>
              <w:t>24h</w:t>
            </w:r>
            <w:r w:rsidRPr="00541786">
              <w:rPr>
                <w:rFonts w:ascii="Arial" w:hAnsi="Arial" w:cs="Arial"/>
                <w:sz w:val="20"/>
                <w:szCs w:val="20"/>
              </w:rPr>
              <w:t>-CEE (≥95% SpO</w:t>
            </w:r>
            <w:r w:rsidRPr="00541786">
              <w:rPr>
                <w:rFonts w:ascii="Arial" w:hAnsi="Arial" w:cs="Arial"/>
                <w:sz w:val="20"/>
                <w:szCs w:val="20"/>
                <w:vertAlign w:val="subscript"/>
              </w:rPr>
              <w:t>2</w:t>
            </w:r>
            <w:r w:rsidRPr="00541786">
              <w:rPr>
                <w:rFonts w:ascii="Arial" w:hAnsi="Arial" w:cs="Arial"/>
                <w:sz w:val="20"/>
                <w:szCs w:val="20"/>
              </w:rPr>
              <w:t>)</w:t>
            </w:r>
            <w:r w:rsidRPr="00541786">
              <w:rPr>
                <w:rFonts w:ascii="Arial" w:hAnsi="Arial" w:cs="Arial"/>
                <w:sz w:val="20"/>
                <w:szCs w:val="20"/>
                <w:vertAlign w:val="superscript"/>
              </w:rPr>
              <w:t>c</w:t>
            </w:r>
            <w:r w:rsidRPr="00541786">
              <w:rPr>
                <w:rFonts w:ascii="Arial" w:hAnsi="Arial" w:cs="Arial"/>
                <w:sz w:val="20"/>
                <w:szCs w:val="20"/>
              </w:rPr>
              <w:t xml:space="preserve"> (%)</w:t>
            </w:r>
          </w:p>
        </w:tc>
        <w:tc>
          <w:tcPr>
            <w:tcW w:w="3071" w:type="dxa"/>
            <w:tcBorders>
              <w:top w:val="nil"/>
              <w:left w:val="nil"/>
              <w:bottom w:val="single" w:sz="4" w:space="0" w:color="auto"/>
              <w:right w:val="nil"/>
            </w:tcBorders>
          </w:tcPr>
          <w:p w14:paraId="26BBE635"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0.082</w:t>
            </w:r>
          </w:p>
        </w:tc>
        <w:tc>
          <w:tcPr>
            <w:tcW w:w="3071" w:type="dxa"/>
            <w:tcBorders>
              <w:top w:val="nil"/>
              <w:left w:val="nil"/>
              <w:bottom w:val="single" w:sz="4" w:space="0" w:color="auto"/>
              <w:right w:val="nil"/>
            </w:tcBorders>
          </w:tcPr>
          <w:p w14:paraId="117B53A0" w14:textId="77777777" w:rsidR="00521998" w:rsidRPr="00541786" w:rsidRDefault="00521998" w:rsidP="000E2246">
            <w:pPr>
              <w:spacing w:line="480" w:lineRule="auto"/>
              <w:rPr>
                <w:rFonts w:ascii="Arial" w:hAnsi="Arial" w:cs="Arial"/>
                <w:sz w:val="20"/>
                <w:szCs w:val="20"/>
              </w:rPr>
            </w:pPr>
            <w:r w:rsidRPr="00541786">
              <w:rPr>
                <w:rFonts w:ascii="Arial" w:hAnsi="Arial" w:cs="Arial"/>
                <w:sz w:val="20"/>
                <w:szCs w:val="20"/>
              </w:rPr>
              <w:t>0.009 – 0.156</w:t>
            </w:r>
          </w:p>
        </w:tc>
      </w:tr>
    </w:tbl>
    <w:p w14:paraId="1F4806B4" w14:textId="77777777" w:rsidR="00521998" w:rsidRPr="00541786" w:rsidRDefault="00521998" w:rsidP="000E2246">
      <w:pPr>
        <w:spacing w:line="480" w:lineRule="auto"/>
        <w:rPr>
          <w:rFonts w:ascii="Arial" w:hAnsi="Arial" w:cs="Arial"/>
          <w:b/>
          <w:sz w:val="20"/>
          <w:szCs w:val="20"/>
          <w:lang w:val="en-US"/>
        </w:rPr>
      </w:pPr>
      <w:r w:rsidRPr="00541786">
        <w:rPr>
          <w:rFonts w:ascii="Arial" w:hAnsi="Arial" w:cs="Arial"/>
          <w:sz w:val="20"/>
          <w:szCs w:val="20"/>
          <w:lang w:val="en-US"/>
        </w:rPr>
        <w:t xml:space="preserve">Legend </w:t>
      </w:r>
      <w:proofErr w:type="spellStart"/>
      <w:r w:rsidR="00CA3378" w:rsidRPr="00541786">
        <w:rPr>
          <w:rFonts w:ascii="Arial" w:hAnsi="Arial" w:cs="Arial"/>
          <w:sz w:val="20"/>
          <w:szCs w:val="20"/>
          <w:lang w:val="en-US"/>
        </w:rPr>
        <w:t>eT</w:t>
      </w:r>
      <w:r w:rsidRPr="00541786">
        <w:rPr>
          <w:rFonts w:ascii="Arial" w:hAnsi="Arial" w:cs="Arial"/>
          <w:sz w:val="20"/>
          <w:szCs w:val="20"/>
          <w:lang w:val="en-US"/>
        </w:rPr>
        <w:t>able</w:t>
      </w:r>
      <w:proofErr w:type="spellEnd"/>
      <w:r w:rsidR="00CA3378" w:rsidRPr="00541786">
        <w:rPr>
          <w:rFonts w:ascii="Arial" w:hAnsi="Arial" w:cs="Arial"/>
          <w:sz w:val="20"/>
          <w:szCs w:val="20"/>
          <w:lang w:val="en-US"/>
        </w:rPr>
        <w:t xml:space="preserve"> 3</w:t>
      </w:r>
      <w:r w:rsidRPr="00541786">
        <w:rPr>
          <w:rFonts w:ascii="Arial" w:hAnsi="Arial" w:cs="Arial"/>
          <w:sz w:val="20"/>
          <w:szCs w:val="20"/>
          <w:lang w:val="en-US"/>
        </w:rPr>
        <w:t xml:space="preserve">. Univariate quantile regression of the median using the time-weighted average over the first 24 hours of IMV as the predictor variable. </w:t>
      </w:r>
      <w:proofErr w:type="spellStart"/>
      <w:r w:rsidRPr="00541786">
        <w:rPr>
          <w:rFonts w:ascii="Arial" w:hAnsi="Arial" w:cs="Arial"/>
          <w:sz w:val="20"/>
          <w:szCs w:val="20"/>
          <w:vertAlign w:val="superscript"/>
          <w:lang w:val="en-US"/>
        </w:rPr>
        <w:t>a</w:t>
      </w:r>
      <w:r w:rsidRPr="00541786">
        <w:rPr>
          <w:rFonts w:ascii="Arial" w:hAnsi="Arial" w:cs="Arial"/>
          <w:sz w:val="20"/>
          <w:szCs w:val="20"/>
          <w:lang w:val="en-US"/>
        </w:rPr>
        <w:t>Intercept</w:t>
      </w:r>
      <w:proofErr w:type="spellEnd"/>
      <w:r w:rsidRPr="00541786">
        <w:rPr>
          <w:rFonts w:ascii="Arial" w:hAnsi="Arial" w:cs="Arial"/>
          <w:sz w:val="20"/>
          <w:szCs w:val="20"/>
          <w:lang w:val="en-US"/>
        </w:rPr>
        <w:t xml:space="preserve"> was set to FiO</w:t>
      </w:r>
      <w:r w:rsidRPr="00541786">
        <w:rPr>
          <w:rFonts w:ascii="Arial" w:hAnsi="Arial" w:cs="Arial"/>
          <w:sz w:val="20"/>
          <w:szCs w:val="20"/>
          <w:vertAlign w:val="subscript"/>
          <w:lang w:val="en-US"/>
        </w:rPr>
        <w:t>2</w:t>
      </w:r>
      <w:r w:rsidRPr="00541786">
        <w:rPr>
          <w:rFonts w:ascii="Arial" w:hAnsi="Arial" w:cs="Arial"/>
          <w:sz w:val="20"/>
          <w:szCs w:val="20"/>
          <w:lang w:val="en-US"/>
        </w:rPr>
        <w:t xml:space="preserve"> = 21% for a more interpretable result; </w:t>
      </w:r>
      <w:proofErr w:type="spellStart"/>
      <w:r w:rsidRPr="00541786">
        <w:rPr>
          <w:rFonts w:ascii="Arial" w:hAnsi="Arial" w:cs="Arial"/>
          <w:sz w:val="20"/>
          <w:szCs w:val="20"/>
          <w:vertAlign w:val="superscript"/>
          <w:lang w:val="en-US"/>
        </w:rPr>
        <w:t>b</w:t>
      </w:r>
      <w:r w:rsidRPr="00541786">
        <w:rPr>
          <w:rFonts w:ascii="Arial" w:hAnsi="Arial" w:cs="Arial"/>
          <w:sz w:val="20"/>
          <w:szCs w:val="20"/>
          <w:lang w:val="en-US"/>
        </w:rPr>
        <w:t>Primary</w:t>
      </w:r>
      <w:proofErr w:type="spellEnd"/>
      <w:r w:rsidRPr="00541786">
        <w:rPr>
          <w:rFonts w:ascii="Arial" w:hAnsi="Arial" w:cs="Arial"/>
          <w:sz w:val="20"/>
          <w:szCs w:val="20"/>
          <w:lang w:val="en-US"/>
        </w:rPr>
        <w:t xml:space="preserve"> threshold used to define overuse of oxygen; </w:t>
      </w:r>
      <w:proofErr w:type="spellStart"/>
      <w:r w:rsidRPr="00541786">
        <w:rPr>
          <w:rFonts w:ascii="Arial" w:hAnsi="Arial" w:cs="Arial"/>
          <w:sz w:val="20"/>
          <w:szCs w:val="20"/>
          <w:vertAlign w:val="superscript"/>
          <w:lang w:val="en-US"/>
        </w:rPr>
        <w:t>c</w:t>
      </w:r>
      <w:r w:rsidR="00CA3378" w:rsidRPr="00541786">
        <w:rPr>
          <w:rFonts w:ascii="Arial" w:hAnsi="Arial" w:cs="Arial"/>
          <w:sz w:val="20"/>
          <w:szCs w:val="20"/>
          <w:lang w:val="en-US"/>
        </w:rPr>
        <w:t>Threshold</w:t>
      </w:r>
      <w:proofErr w:type="spellEnd"/>
      <w:r w:rsidR="00CA3378" w:rsidRPr="00541786">
        <w:rPr>
          <w:rFonts w:ascii="Arial" w:hAnsi="Arial" w:cs="Arial"/>
          <w:sz w:val="20"/>
          <w:szCs w:val="20"/>
          <w:lang w:val="en-US"/>
        </w:rPr>
        <w:t xml:space="preserve"> of s</w:t>
      </w:r>
      <w:r w:rsidRPr="00541786">
        <w:rPr>
          <w:rFonts w:ascii="Arial" w:hAnsi="Arial" w:cs="Arial"/>
          <w:sz w:val="20"/>
          <w:szCs w:val="20"/>
          <w:lang w:val="en-US"/>
        </w:rPr>
        <w:t>ensitivity analysis</w:t>
      </w:r>
      <w:r w:rsidR="00CA3378" w:rsidRPr="00541786">
        <w:rPr>
          <w:rFonts w:ascii="Arial" w:hAnsi="Arial" w:cs="Arial"/>
          <w:sz w:val="20"/>
          <w:szCs w:val="20"/>
          <w:lang w:val="en-US"/>
        </w:rPr>
        <w:t xml:space="preserve"> to define overuse of oxygen</w:t>
      </w:r>
      <w:r w:rsidRPr="00541786">
        <w:rPr>
          <w:rFonts w:ascii="Arial" w:hAnsi="Arial" w:cs="Arial"/>
          <w:sz w:val="20"/>
          <w:szCs w:val="20"/>
          <w:lang w:val="en-US"/>
        </w:rPr>
        <w:t xml:space="preserve">. </w:t>
      </w:r>
      <w:r w:rsidRPr="00541786">
        <w:rPr>
          <w:rFonts w:ascii="Arial" w:hAnsi="Arial" w:cs="Arial"/>
          <w:sz w:val="20"/>
          <w:szCs w:val="20"/>
        </w:rPr>
        <w:t>β</w:t>
      </w:r>
      <w:r w:rsidRPr="00541786">
        <w:rPr>
          <w:rFonts w:ascii="Arial" w:hAnsi="Arial" w:cs="Arial"/>
          <w:sz w:val="20"/>
          <w:szCs w:val="20"/>
          <w:lang w:val="en-US"/>
        </w:rPr>
        <w:t>, regression coefficient; IMV, invasive mechanical ventilation; TWA</w:t>
      </w:r>
      <w:r w:rsidRPr="00541786">
        <w:rPr>
          <w:rFonts w:ascii="Arial" w:hAnsi="Arial" w:cs="Arial"/>
          <w:sz w:val="20"/>
          <w:szCs w:val="20"/>
          <w:vertAlign w:val="subscript"/>
          <w:lang w:val="en-US"/>
        </w:rPr>
        <w:t>24h</w:t>
      </w:r>
      <w:r w:rsidRPr="00541786">
        <w:rPr>
          <w:rFonts w:ascii="Arial" w:hAnsi="Arial" w:cs="Arial"/>
          <w:sz w:val="20"/>
          <w:szCs w:val="20"/>
          <w:lang w:val="en-US"/>
        </w:rPr>
        <w:t>, time-weighted average over 24 hours; FiO</w:t>
      </w:r>
      <w:r w:rsidRPr="00541786">
        <w:rPr>
          <w:rFonts w:ascii="Arial" w:hAnsi="Arial" w:cs="Arial"/>
          <w:sz w:val="20"/>
          <w:szCs w:val="20"/>
          <w:vertAlign w:val="subscript"/>
          <w:lang w:val="en-US"/>
        </w:rPr>
        <w:t>2</w:t>
      </w:r>
      <w:r w:rsidRPr="00541786">
        <w:rPr>
          <w:rFonts w:ascii="Arial" w:hAnsi="Arial" w:cs="Arial"/>
          <w:sz w:val="20"/>
          <w:szCs w:val="20"/>
          <w:lang w:val="en-US"/>
        </w:rPr>
        <w:t>, fraction of inspired oxygen; CEE, cumulative oxygen exposure score; SpO</w:t>
      </w:r>
      <w:r w:rsidRPr="00541786">
        <w:rPr>
          <w:rFonts w:ascii="Arial" w:hAnsi="Arial" w:cs="Arial"/>
          <w:sz w:val="20"/>
          <w:szCs w:val="20"/>
          <w:vertAlign w:val="subscript"/>
          <w:lang w:val="en-US"/>
        </w:rPr>
        <w:t>2</w:t>
      </w:r>
      <w:r w:rsidRPr="00541786">
        <w:rPr>
          <w:rFonts w:ascii="Arial" w:hAnsi="Arial" w:cs="Arial"/>
          <w:sz w:val="20"/>
          <w:szCs w:val="20"/>
          <w:lang w:val="en-US"/>
        </w:rPr>
        <w:t>, peripheral oxygen saturation; PICU, pediatric intensive care unit.</w:t>
      </w:r>
    </w:p>
    <w:p w14:paraId="2935DA45" w14:textId="77777777" w:rsidR="00521998" w:rsidRPr="00541786" w:rsidRDefault="00521998">
      <w:pPr>
        <w:rPr>
          <w:rFonts w:ascii="Arial" w:hAnsi="Arial" w:cs="Arial"/>
          <w:b/>
          <w:sz w:val="20"/>
          <w:szCs w:val="20"/>
          <w:lang w:val="en-US"/>
        </w:rPr>
      </w:pPr>
      <w:r w:rsidRPr="00541786">
        <w:rPr>
          <w:rFonts w:ascii="Arial" w:hAnsi="Arial" w:cs="Arial"/>
          <w:b/>
          <w:sz w:val="20"/>
          <w:szCs w:val="20"/>
          <w:lang w:val="en-US"/>
        </w:rPr>
        <w:br w:type="page"/>
      </w:r>
    </w:p>
    <w:p w14:paraId="1203495C" w14:textId="77777777" w:rsidR="00CA3378" w:rsidRPr="00541786" w:rsidRDefault="00CA3378" w:rsidP="00CA3378">
      <w:pPr>
        <w:spacing w:line="480" w:lineRule="auto"/>
        <w:rPr>
          <w:rFonts w:ascii="Arial" w:hAnsi="Arial" w:cs="Arial"/>
          <w:b/>
          <w:sz w:val="20"/>
          <w:szCs w:val="20"/>
          <w:lang w:val="en-US"/>
        </w:rPr>
      </w:pPr>
      <w:proofErr w:type="spellStart"/>
      <w:r w:rsidRPr="00541786">
        <w:rPr>
          <w:rFonts w:ascii="Arial" w:hAnsi="Arial" w:cs="Arial"/>
          <w:b/>
          <w:sz w:val="20"/>
          <w:szCs w:val="20"/>
          <w:lang w:val="en-US"/>
        </w:rPr>
        <w:lastRenderedPageBreak/>
        <w:t>eFigure</w:t>
      </w:r>
      <w:proofErr w:type="spellEnd"/>
      <w:r w:rsidRPr="00541786">
        <w:rPr>
          <w:rFonts w:ascii="Arial" w:hAnsi="Arial" w:cs="Arial"/>
          <w:b/>
          <w:sz w:val="20"/>
          <w:szCs w:val="20"/>
          <w:lang w:val="en-US"/>
        </w:rPr>
        <w:t xml:space="preserve"> 1. Flow diagram of the selection process of included records</w:t>
      </w:r>
    </w:p>
    <w:p w14:paraId="2321FC0E" w14:textId="77777777" w:rsidR="00CA3378" w:rsidRPr="00541786" w:rsidRDefault="00CA3378" w:rsidP="00CA3378">
      <w:pPr>
        <w:rPr>
          <w:rFonts w:ascii="Arial" w:hAnsi="Arial" w:cs="Arial"/>
          <w:b/>
          <w:sz w:val="20"/>
          <w:szCs w:val="20"/>
          <w:lang w:val="en-US"/>
        </w:rPr>
      </w:pPr>
      <w:r w:rsidRPr="00541786">
        <w:rPr>
          <w:rFonts w:ascii="Arial" w:hAnsi="Arial" w:cs="Arial"/>
          <w:noProof/>
          <w:sz w:val="20"/>
          <w:szCs w:val="20"/>
          <w:lang w:eastAsia="nl-NL"/>
        </w:rPr>
        <w:drawing>
          <wp:inline distT="0" distB="0" distL="0" distR="0" wp14:anchorId="496D2AC6" wp14:editId="7C0EC2E5">
            <wp:extent cx="4629150" cy="4905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chart inclusion.jpg"/>
                    <pic:cNvPicPr/>
                  </pic:nvPicPr>
                  <pic:blipFill>
                    <a:blip r:embed="rId6">
                      <a:extLst>
                        <a:ext uri="{28A0092B-C50C-407E-A947-70E740481C1C}">
                          <a14:useLocalDpi xmlns:a14="http://schemas.microsoft.com/office/drawing/2010/main" val="0"/>
                        </a:ext>
                      </a:extLst>
                    </a:blip>
                    <a:stretch>
                      <a:fillRect/>
                    </a:stretch>
                  </pic:blipFill>
                  <pic:spPr>
                    <a:xfrm>
                      <a:off x="0" y="0"/>
                      <a:ext cx="4629150" cy="4905375"/>
                    </a:xfrm>
                    <a:prstGeom prst="rect">
                      <a:avLst/>
                    </a:prstGeom>
                  </pic:spPr>
                </pic:pic>
              </a:graphicData>
            </a:graphic>
          </wp:inline>
        </w:drawing>
      </w:r>
      <w:r w:rsidRPr="00541786">
        <w:rPr>
          <w:rFonts w:ascii="Arial" w:hAnsi="Arial" w:cs="Arial"/>
          <w:b/>
          <w:sz w:val="20"/>
          <w:szCs w:val="20"/>
          <w:lang w:val="en-US"/>
        </w:rPr>
        <w:br w:type="page"/>
      </w:r>
    </w:p>
    <w:p w14:paraId="69CF7050" w14:textId="77777777" w:rsidR="00CA3378" w:rsidRPr="00541786" w:rsidRDefault="00CA3378" w:rsidP="00CA3378">
      <w:pPr>
        <w:spacing w:line="480" w:lineRule="auto"/>
        <w:rPr>
          <w:rFonts w:ascii="Arial" w:hAnsi="Arial" w:cs="Arial"/>
          <w:b/>
          <w:sz w:val="20"/>
          <w:szCs w:val="20"/>
          <w:lang w:val="en-US"/>
        </w:rPr>
      </w:pPr>
      <w:proofErr w:type="spellStart"/>
      <w:r w:rsidRPr="00541786">
        <w:rPr>
          <w:rFonts w:ascii="Arial" w:hAnsi="Arial" w:cs="Arial"/>
          <w:b/>
          <w:sz w:val="20"/>
          <w:szCs w:val="20"/>
          <w:lang w:val="en-US"/>
        </w:rPr>
        <w:lastRenderedPageBreak/>
        <w:t>eFigure</w:t>
      </w:r>
      <w:proofErr w:type="spellEnd"/>
      <w:r w:rsidRPr="00541786">
        <w:rPr>
          <w:rFonts w:ascii="Arial" w:hAnsi="Arial" w:cs="Arial"/>
          <w:b/>
          <w:sz w:val="20"/>
          <w:szCs w:val="20"/>
          <w:lang w:val="en-US"/>
        </w:rPr>
        <w:t xml:space="preserve"> 2. Prevalence and proportion of arterial line use categorized by admission year</w:t>
      </w:r>
    </w:p>
    <w:p w14:paraId="561494FD" w14:textId="77777777" w:rsidR="00CA3378" w:rsidRPr="00541786" w:rsidRDefault="00CA3378" w:rsidP="00CA3378">
      <w:pPr>
        <w:rPr>
          <w:rFonts w:ascii="Arial" w:hAnsi="Arial" w:cs="Arial"/>
          <w:sz w:val="20"/>
          <w:szCs w:val="20"/>
          <w:lang w:val="en-US"/>
        </w:rPr>
      </w:pPr>
      <w:r w:rsidRPr="00541786">
        <w:rPr>
          <w:rFonts w:ascii="Arial" w:hAnsi="Arial" w:cs="Arial"/>
          <w:noProof/>
          <w:sz w:val="20"/>
          <w:szCs w:val="20"/>
          <w:lang w:eastAsia="nl-NL"/>
        </w:rPr>
        <w:drawing>
          <wp:inline distT="0" distB="0" distL="0" distR="0" wp14:anchorId="5D57CAA5" wp14:editId="0C05F4BC">
            <wp:extent cx="5760720" cy="4091876"/>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91876"/>
                    </a:xfrm>
                    <a:prstGeom prst="rect">
                      <a:avLst/>
                    </a:prstGeom>
                  </pic:spPr>
                </pic:pic>
              </a:graphicData>
            </a:graphic>
          </wp:inline>
        </w:drawing>
      </w:r>
    </w:p>
    <w:p w14:paraId="6EA48546" w14:textId="77777777" w:rsidR="00CA3378" w:rsidRPr="00541786" w:rsidRDefault="00CA3378" w:rsidP="000E2246">
      <w:pPr>
        <w:spacing w:line="480" w:lineRule="auto"/>
        <w:rPr>
          <w:rFonts w:ascii="Arial" w:hAnsi="Arial" w:cs="Arial"/>
          <w:b/>
          <w:sz w:val="20"/>
          <w:szCs w:val="20"/>
          <w:lang w:val="en-US"/>
        </w:rPr>
      </w:pPr>
      <w:r w:rsidRPr="00541786">
        <w:rPr>
          <w:rFonts w:ascii="Arial" w:hAnsi="Arial" w:cs="Arial"/>
          <w:sz w:val="20"/>
          <w:szCs w:val="20"/>
          <w:lang w:val="en-US"/>
        </w:rPr>
        <w:t xml:space="preserve">Legend </w:t>
      </w: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2. Proportion of arterial line use per admission year, categorized per two consecutive years, is shown. Dash and whiskers represent the observed proportion with its 95% CI respectively. *, </w:t>
      </w:r>
      <w:r w:rsidRPr="00541786">
        <w:rPr>
          <w:rFonts w:ascii="Arial" w:hAnsi="Arial" w:cs="Arial"/>
          <w:i/>
          <w:sz w:val="20"/>
          <w:szCs w:val="20"/>
          <w:lang w:val="en-US"/>
        </w:rPr>
        <w:t>P</w:t>
      </w:r>
      <w:r w:rsidRPr="00541786">
        <w:rPr>
          <w:rFonts w:ascii="Arial" w:hAnsi="Arial" w:cs="Arial"/>
          <w:sz w:val="20"/>
          <w:szCs w:val="20"/>
          <w:lang w:val="en-US"/>
        </w:rPr>
        <w:t>-value &lt; 0.05 vs. admission years May 2008 – April 2010, using univariate logistic regression.</w:t>
      </w:r>
      <w:r w:rsidRPr="00541786">
        <w:rPr>
          <w:rFonts w:ascii="Arial" w:hAnsi="Arial" w:cs="Arial"/>
          <w:b/>
          <w:sz w:val="20"/>
          <w:szCs w:val="20"/>
          <w:lang w:val="en-US"/>
        </w:rPr>
        <w:br w:type="page"/>
      </w:r>
    </w:p>
    <w:p w14:paraId="3899C6B1" w14:textId="77777777" w:rsidR="00CA3378" w:rsidRPr="00541786" w:rsidRDefault="00CA3378" w:rsidP="00CA3378">
      <w:pPr>
        <w:spacing w:line="480" w:lineRule="auto"/>
        <w:rPr>
          <w:rFonts w:ascii="Arial" w:hAnsi="Arial" w:cs="Arial"/>
          <w:b/>
          <w:sz w:val="20"/>
          <w:szCs w:val="20"/>
          <w:lang w:val="en-US"/>
        </w:rPr>
      </w:pPr>
      <w:proofErr w:type="spellStart"/>
      <w:r w:rsidRPr="00541786">
        <w:rPr>
          <w:rFonts w:ascii="Arial" w:hAnsi="Arial" w:cs="Arial"/>
          <w:b/>
          <w:sz w:val="20"/>
          <w:szCs w:val="20"/>
          <w:lang w:val="en-US"/>
        </w:rPr>
        <w:lastRenderedPageBreak/>
        <w:t>eFigure</w:t>
      </w:r>
      <w:proofErr w:type="spellEnd"/>
      <w:r w:rsidRPr="00541786">
        <w:rPr>
          <w:rFonts w:ascii="Arial" w:hAnsi="Arial" w:cs="Arial"/>
          <w:b/>
          <w:sz w:val="20"/>
          <w:szCs w:val="20"/>
          <w:lang w:val="en-US"/>
        </w:rPr>
        <w:t xml:space="preserve"> 3. Repeated measures correlation plot</w:t>
      </w:r>
    </w:p>
    <w:p w14:paraId="7E683C4E" w14:textId="77777777" w:rsidR="00CA3378" w:rsidRPr="00541786" w:rsidRDefault="00CA3378" w:rsidP="000E2246">
      <w:pPr>
        <w:spacing w:line="480" w:lineRule="auto"/>
        <w:rPr>
          <w:rFonts w:ascii="Arial" w:hAnsi="Arial" w:cs="Arial"/>
          <w:sz w:val="20"/>
          <w:szCs w:val="20"/>
          <w:lang w:val="en-US"/>
        </w:rPr>
      </w:pPr>
      <w:r w:rsidRPr="00541786">
        <w:rPr>
          <w:rFonts w:ascii="Arial" w:hAnsi="Arial" w:cs="Arial"/>
          <w:noProof/>
          <w:sz w:val="20"/>
          <w:szCs w:val="20"/>
          <w:lang w:eastAsia="nl-NL"/>
        </w:rPr>
        <w:drawing>
          <wp:inline distT="0" distB="0" distL="0" distR="0" wp14:anchorId="5B8A8D23" wp14:editId="6D55646F">
            <wp:extent cx="5760720" cy="4074655"/>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Cont_rmcorr_pl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4655"/>
                    </a:xfrm>
                    <a:prstGeom prst="rect">
                      <a:avLst/>
                    </a:prstGeom>
                  </pic:spPr>
                </pic:pic>
              </a:graphicData>
            </a:graphic>
          </wp:inline>
        </w:drawing>
      </w:r>
      <w:r w:rsidRPr="00541786">
        <w:rPr>
          <w:rFonts w:ascii="Arial" w:hAnsi="Arial" w:cs="Arial"/>
          <w:sz w:val="20"/>
          <w:szCs w:val="20"/>
          <w:lang w:val="en-US"/>
        </w:rPr>
        <w:br/>
        <w:t xml:space="preserve">Legend </w:t>
      </w: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3. Repeated measures correlation plot of the time-weighted average per 24 hours of the fraction of inspired oxygen and the cumulative excessive oxygen score. Colored lines represent intra-individual correlation between repeated measures. Dashed grey line represent the overall inter-individual correlation if data were to be defined as independent identically distributed data. The correlation value (</w:t>
      </w:r>
      <w:proofErr w:type="spellStart"/>
      <w:r w:rsidRPr="00541786">
        <w:rPr>
          <w:rFonts w:ascii="Arial" w:hAnsi="Arial" w:cs="Arial"/>
          <w:sz w:val="20"/>
          <w:szCs w:val="20"/>
          <w:lang w:val="en-US"/>
        </w:rPr>
        <w:t>r</w:t>
      </w:r>
      <w:r w:rsidRPr="00541786">
        <w:rPr>
          <w:rFonts w:ascii="Arial" w:hAnsi="Arial" w:cs="Arial"/>
          <w:sz w:val="20"/>
          <w:szCs w:val="20"/>
          <w:vertAlign w:val="subscript"/>
          <w:lang w:val="en-US"/>
        </w:rPr>
        <w:t>rm</w:t>
      </w:r>
      <w:proofErr w:type="spellEnd"/>
      <w:r w:rsidRPr="00541786">
        <w:rPr>
          <w:rFonts w:ascii="Arial" w:hAnsi="Arial" w:cs="Arial"/>
          <w:sz w:val="20"/>
          <w:szCs w:val="20"/>
          <w:lang w:val="en-US"/>
        </w:rPr>
        <w:t>) is calculated based on intra-individual correlation.</w:t>
      </w:r>
    </w:p>
    <w:p w14:paraId="7FDE6B87" w14:textId="77777777" w:rsidR="00CA3378" w:rsidRPr="00541786" w:rsidRDefault="00CA3378">
      <w:pPr>
        <w:rPr>
          <w:rFonts w:ascii="Arial" w:hAnsi="Arial" w:cs="Arial"/>
          <w:b/>
          <w:sz w:val="20"/>
          <w:szCs w:val="20"/>
          <w:lang w:val="en-US"/>
        </w:rPr>
      </w:pPr>
      <w:r w:rsidRPr="00541786">
        <w:rPr>
          <w:rFonts w:ascii="Arial" w:hAnsi="Arial" w:cs="Arial"/>
          <w:b/>
          <w:sz w:val="20"/>
          <w:szCs w:val="20"/>
          <w:lang w:val="en-US"/>
        </w:rPr>
        <w:br w:type="page"/>
      </w:r>
    </w:p>
    <w:p w14:paraId="12D0092A" w14:textId="77777777" w:rsidR="00CA3378" w:rsidRPr="00541786" w:rsidRDefault="00CA3378">
      <w:pPr>
        <w:rPr>
          <w:rFonts w:ascii="Arial" w:hAnsi="Arial" w:cs="Arial"/>
          <w:b/>
          <w:sz w:val="20"/>
          <w:szCs w:val="20"/>
          <w:lang w:val="en-US"/>
        </w:rPr>
      </w:pPr>
      <w:proofErr w:type="spellStart"/>
      <w:r w:rsidRPr="00541786">
        <w:rPr>
          <w:rFonts w:ascii="Arial" w:hAnsi="Arial" w:cs="Arial"/>
          <w:b/>
          <w:sz w:val="20"/>
          <w:szCs w:val="20"/>
          <w:lang w:val="en-US"/>
        </w:rPr>
        <w:lastRenderedPageBreak/>
        <w:t>eFigure</w:t>
      </w:r>
      <w:proofErr w:type="spellEnd"/>
      <w:r w:rsidRPr="00541786">
        <w:rPr>
          <w:rFonts w:ascii="Arial" w:hAnsi="Arial" w:cs="Arial"/>
          <w:b/>
          <w:sz w:val="20"/>
          <w:szCs w:val="20"/>
          <w:lang w:val="en-US"/>
        </w:rPr>
        <w:t xml:space="preserve"> 4. Healthcare worker’s response on fraction of inspired oxygen setting </w:t>
      </w:r>
    </w:p>
    <w:p w14:paraId="51FC521E" w14:textId="77777777" w:rsidR="00CA3378" w:rsidRPr="00541786" w:rsidRDefault="00465D61">
      <w:pPr>
        <w:rPr>
          <w:rFonts w:ascii="Arial" w:hAnsi="Arial" w:cs="Arial"/>
          <w:b/>
          <w:sz w:val="20"/>
          <w:szCs w:val="20"/>
          <w:lang w:val="en-US"/>
        </w:rPr>
      </w:pPr>
      <w:r>
        <w:rPr>
          <w:rFonts w:ascii="Arial" w:hAnsi="Arial" w:cs="Arial"/>
          <w:b/>
          <w:noProof/>
          <w:sz w:val="20"/>
          <w:szCs w:val="20"/>
          <w:lang w:eastAsia="nl-NL"/>
        </w:rPr>
        <w:drawing>
          <wp:inline distT="0" distB="0" distL="0" distR="0" wp14:anchorId="7FFAE5AA" wp14:editId="5749A7F6">
            <wp:extent cx="5760720" cy="407606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onse_fio2_color.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p w14:paraId="57E73C23" w14:textId="77777777" w:rsidR="00CA3378" w:rsidRPr="00541786" w:rsidRDefault="00CA3378" w:rsidP="000E2246">
      <w:pPr>
        <w:spacing w:line="480" w:lineRule="auto"/>
        <w:rPr>
          <w:rFonts w:ascii="Arial" w:hAnsi="Arial" w:cs="Arial"/>
          <w:b/>
          <w:sz w:val="20"/>
          <w:szCs w:val="20"/>
          <w:lang w:val="en-US"/>
        </w:rPr>
      </w:pPr>
      <w:r w:rsidRPr="00541786">
        <w:rPr>
          <w:rFonts w:ascii="Arial" w:hAnsi="Arial" w:cs="Arial"/>
          <w:sz w:val="20"/>
          <w:szCs w:val="20"/>
          <w:lang w:val="en-US"/>
        </w:rPr>
        <w:t xml:space="preserve">Legend </w:t>
      </w:r>
      <w:proofErr w:type="spellStart"/>
      <w:r w:rsidRPr="00541786">
        <w:rPr>
          <w:rFonts w:ascii="Arial" w:hAnsi="Arial" w:cs="Arial"/>
          <w:sz w:val="20"/>
          <w:szCs w:val="20"/>
          <w:lang w:val="en-US"/>
        </w:rPr>
        <w:t>eFigure</w:t>
      </w:r>
      <w:proofErr w:type="spellEnd"/>
      <w:r w:rsidRPr="00541786">
        <w:rPr>
          <w:rFonts w:ascii="Arial" w:hAnsi="Arial" w:cs="Arial"/>
          <w:sz w:val="20"/>
          <w:szCs w:val="20"/>
          <w:lang w:val="en-US"/>
        </w:rPr>
        <w:t xml:space="preserve"> 4. Healthcare worker’s response on fraction of inspired oxygen setting during the next hour of invasive mechanical ventilation when oxygenation was sufficient, </w:t>
      </w:r>
      <w:proofErr w:type="gramStart"/>
      <w:r w:rsidRPr="00541786">
        <w:rPr>
          <w:rFonts w:ascii="Arial" w:hAnsi="Arial" w:cs="Arial"/>
          <w:sz w:val="20"/>
          <w:szCs w:val="20"/>
          <w:lang w:val="en-US"/>
        </w:rPr>
        <w:t>i.e.</w:t>
      </w:r>
      <w:proofErr w:type="gramEnd"/>
      <w:r w:rsidRPr="00541786">
        <w:rPr>
          <w:rFonts w:ascii="Arial" w:hAnsi="Arial" w:cs="Arial"/>
          <w:sz w:val="20"/>
          <w:szCs w:val="20"/>
          <w:lang w:val="en-US"/>
        </w:rPr>
        <w:t xml:space="preserve"> peripheral oxygen saturation ≥97%. Percentages of the total observations (N) during the next hour of invasive ventilation are shown per category of the fraction of inspired oxygen. Number of observations per category of change in fraction of inspired oxygen are shown left of every bar. FiO</w:t>
      </w:r>
      <w:r w:rsidRPr="00541786">
        <w:rPr>
          <w:rFonts w:ascii="Arial" w:hAnsi="Arial" w:cs="Arial"/>
          <w:sz w:val="20"/>
          <w:szCs w:val="20"/>
          <w:vertAlign w:val="subscript"/>
          <w:lang w:val="en-US"/>
        </w:rPr>
        <w:t>2</w:t>
      </w:r>
      <w:r w:rsidRPr="00541786">
        <w:rPr>
          <w:rFonts w:ascii="Arial" w:hAnsi="Arial" w:cs="Arial"/>
          <w:sz w:val="20"/>
          <w:szCs w:val="20"/>
          <w:lang w:val="en-US"/>
        </w:rPr>
        <w:t>, fraction of inspired oxygen; SpO</w:t>
      </w:r>
      <w:r w:rsidRPr="00541786">
        <w:rPr>
          <w:rFonts w:ascii="Arial" w:hAnsi="Arial" w:cs="Arial"/>
          <w:sz w:val="20"/>
          <w:szCs w:val="20"/>
          <w:vertAlign w:val="subscript"/>
          <w:lang w:val="en-US"/>
        </w:rPr>
        <w:t>2</w:t>
      </w:r>
      <w:r w:rsidRPr="00541786">
        <w:rPr>
          <w:rFonts w:ascii="Arial" w:hAnsi="Arial" w:cs="Arial"/>
          <w:sz w:val="20"/>
          <w:szCs w:val="20"/>
          <w:lang w:val="en-US"/>
        </w:rPr>
        <w:t>, peripheral oxygen saturation.</w:t>
      </w:r>
      <w:r w:rsidRPr="00541786">
        <w:rPr>
          <w:rFonts w:ascii="Arial" w:hAnsi="Arial" w:cs="Arial"/>
          <w:b/>
          <w:sz w:val="20"/>
          <w:szCs w:val="20"/>
          <w:lang w:val="en-US"/>
        </w:rPr>
        <w:br w:type="page"/>
      </w:r>
    </w:p>
    <w:p w14:paraId="5CFAF27D" w14:textId="77777777" w:rsidR="00853410" w:rsidRPr="00541786" w:rsidRDefault="00CA3378" w:rsidP="000E2246">
      <w:pPr>
        <w:spacing w:line="480" w:lineRule="auto"/>
        <w:rPr>
          <w:rFonts w:ascii="Arial" w:hAnsi="Arial" w:cs="Arial"/>
          <w:b/>
          <w:sz w:val="20"/>
          <w:szCs w:val="20"/>
          <w:lang w:val="en-US"/>
        </w:rPr>
      </w:pPr>
      <w:proofErr w:type="spellStart"/>
      <w:r w:rsidRPr="00541786">
        <w:rPr>
          <w:rFonts w:ascii="Arial" w:hAnsi="Arial" w:cs="Arial"/>
          <w:b/>
          <w:sz w:val="20"/>
          <w:szCs w:val="20"/>
          <w:lang w:val="en-US"/>
        </w:rPr>
        <w:lastRenderedPageBreak/>
        <w:t>e</w:t>
      </w:r>
      <w:r w:rsidR="00853410" w:rsidRPr="00541786">
        <w:rPr>
          <w:rFonts w:ascii="Arial" w:hAnsi="Arial" w:cs="Arial"/>
          <w:b/>
          <w:sz w:val="20"/>
          <w:szCs w:val="20"/>
          <w:lang w:val="en-US"/>
        </w:rPr>
        <w:t>References</w:t>
      </w:r>
      <w:proofErr w:type="spellEnd"/>
    </w:p>
    <w:p w14:paraId="22359535" w14:textId="77777777" w:rsidR="00CA3378" w:rsidRPr="00541786" w:rsidRDefault="00853410" w:rsidP="000E2246">
      <w:pPr>
        <w:pStyle w:val="EndNoteBibliography"/>
        <w:spacing w:after="0" w:line="480" w:lineRule="auto"/>
        <w:rPr>
          <w:rFonts w:ascii="Arial" w:hAnsi="Arial" w:cs="Arial"/>
          <w:sz w:val="20"/>
          <w:szCs w:val="20"/>
        </w:rPr>
      </w:pPr>
      <w:r w:rsidRPr="00541786">
        <w:rPr>
          <w:rFonts w:ascii="Arial" w:hAnsi="Arial" w:cs="Arial"/>
          <w:sz w:val="20"/>
          <w:szCs w:val="20"/>
        </w:rPr>
        <w:fldChar w:fldCharType="begin"/>
      </w:r>
      <w:r w:rsidRPr="00541786">
        <w:rPr>
          <w:rFonts w:ascii="Arial" w:hAnsi="Arial" w:cs="Arial"/>
          <w:sz w:val="20"/>
          <w:szCs w:val="20"/>
        </w:rPr>
        <w:instrText xml:space="preserve"> ADDIN EN.REFLIST </w:instrText>
      </w:r>
      <w:r w:rsidRPr="00541786">
        <w:rPr>
          <w:rFonts w:ascii="Arial" w:hAnsi="Arial" w:cs="Arial"/>
          <w:sz w:val="20"/>
          <w:szCs w:val="20"/>
        </w:rPr>
        <w:fldChar w:fldCharType="separate"/>
      </w:r>
      <w:r w:rsidR="00CA3378" w:rsidRPr="00541786">
        <w:rPr>
          <w:rFonts w:ascii="Arial" w:hAnsi="Arial" w:cs="Arial"/>
          <w:sz w:val="20"/>
          <w:szCs w:val="20"/>
        </w:rPr>
        <w:t>1.</w:t>
      </w:r>
      <w:r w:rsidR="00CA3378" w:rsidRPr="00541786">
        <w:rPr>
          <w:rFonts w:ascii="Arial" w:hAnsi="Arial" w:cs="Arial"/>
          <w:sz w:val="20"/>
          <w:szCs w:val="20"/>
        </w:rPr>
        <w:tab/>
        <w:t xml:space="preserve">Balcarcel DR, Coates BM, Chong G, et al.: Excessive Oxygen Supplementation in the First Day of Mechanical Ventilation Is Associated With Multiple Organ Dysfunction and Death in Critically Ill Children. </w:t>
      </w:r>
      <w:r w:rsidR="00CA3378" w:rsidRPr="00541786">
        <w:rPr>
          <w:rFonts w:ascii="Arial" w:hAnsi="Arial" w:cs="Arial"/>
          <w:i/>
          <w:sz w:val="20"/>
          <w:szCs w:val="20"/>
        </w:rPr>
        <w:t>Pediatr Crit Care Med</w:t>
      </w:r>
      <w:r w:rsidR="00CA3378" w:rsidRPr="00541786">
        <w:rPr>
          <w:rFonts w:ascii="Arial" w:hAnsi="Arial" w:cs="Arial"/>
          <w:sz w:val="20"/>
          <w:szCs w:val="20"/>
        </w:rPr>
        <w:t xml:space="preserve"> 2022; 23:89-98</w:t>
      </w:r>
    </w:p>
    <w:p w14:paraId="7CA9C607" w14:textId="77777777" w:rsidR="00CA3378" w:rsidRPr="00541786" w:rsidRDefault="00CA3378" w:rsidP="000E2246">
      <w:pPr>
        <w:pStyle w:val="EndNoteBibliography"/>
        <w:spacing w:after="0" w:line="480" w:lineRule="auto"/>
        <w:rPr>
          <w:rFonts w:ascii="Arial" w:hAnsi="Arial" w:cs="Arial"/>
          <w:sz w:val="20"/>
          <w:szCs w:val="20"/>
        </w:rPr>
      </w:pPr>
      <w:r w:rsidRPr="00541786">
        <w:rPr>
          <w:rFonts w:ascii="Arial" w:hAnsi="Arial" w:cs="Arial"/>
          <w:sz w:val="20"/>
          <w:szCs w:val="20"/>
        </w:rPr>
        <w:t>2.</w:t>
      </w:r>
      <w:r w:rsidRPr="00541786">
        <w:rPr>
          <w:rFonts w:ascii="Arial" w:hAnsi="Arial" w:cs="Arial"/>
          <w:sz w:val="20"/>
          <w:szCs w:val="20"/>
        </w:rPr>
        <w:tab/>
        <w:t xml:space="preserve">Balasubramanian S, Suresh N, Ravichandran C, et al.: Reference values for oxygen saturation by pulse oximetry in healthy children at sea level in Chennai. </w:t>
      </w:r>
      <w:r w:rsidRPr="00541786">
        <w:rPr>
          <w:rFonts w:ascii="Arial" w:hAnsi="Arial" w:cs="Arial"/>
          <w:i/>
          <w:sz w:val="20"/>
          <w:szCs w:val="20"/>
        </w:rPr>
        <w:t>Ann Trop Paediatr</w:t>
      </w:r>
      <w:r w:rsidRPr="00541786">
        <w:rPr>
          <w:rFonts w:ascii="Arial" w:hAnsi="Arial" w:cs="Arial"/>
          <w:sz w:val="20"/>
          <w:szCs w:val="20"/>
        </w:rPr>
        <w:t xml:space="preserve"> 2006; 26:95-99</w:t>
      </w:r>
    </w:p>
    <w:p w14:paraId="181EE817" w14:textId="77777777" w:rsidR="00CA3378" w:rsidRPr="00541786" w:rsidRDefault="00CA3378" w:rsidP="000E2246">
      <w:pPr>
        <w:pStyle w:val="EndNoteBibliography"/>
        <w:spacing w:after="0" w:line="480" w:lineRule="auto"/>
        <w:rPr>
          <w:rFonts w:ascii="Arial" w:hAnsi="Arial" w:cs="Arial"/>
          <w:sz w:val="20"/>
          <w:szCs w:val="20"/>
        </w:rPr>
      </w:pPr>
      <w:r w:rsidRPr="00541786">
        <w:rPr>
          <w:rFonts w:ascii="Arial" w:hAnsi="Arial" w:cs="Arial"/>
          <w:sz w:val="20"/>
          <w:szCs w:val="20"/>
        </w:rPr>
        <w:t>3.</w:t>
      </w:r>
      <w:r w:rsidRPr="00541786">
        <w:rPr>
          <w:rFonts w:ascii="Arial" w:hAnsi="Arial" w:cs="Arial"/>
          <w:sz w:val="20"/>
          <w:szCs w:val="20"/>
        </w:rPr>
        <w:tab/>
        <w:t xml:space="preserve">Pediatric Acute Lung Injury Consensus Conference G: Pediatric acute respiratory distress syndrome: consensus recommendations from the Pediatric Acute Lung Injury Consensus Conference. </w:t>
      </w:r>
      <w:r w:rsidRPr="00541786">
        <w:rPr>
          <w:rFonts w:ascii="Arial" w:hAnsi="Arial" w:cs="Arial"/>
          <w:i/>
          <w:sz w:val="20"/>
          <w:szCs w:val="20"/>
        </w:rPr>
        <w:t>Pediatr Crit Care Med</w:t>
      </w:r>
      <w:r w:rsidRPr="00541786">
        <w:rPr>
          <w:rFonts w:ascii="Arial" w:hAnsi="Arial" w:cs="Arial"/>
          <w:sz w:val="20"/>
          <w:szCs w:val="20"/>
        </w:rPr>
        <w:t xml:space="preserve"> 2015; 16:428-439</w:t>
      </w:r>
    </w:p>
    <w:p w14:paraId="74BA8368" w14:textId="77777777" w:rsidR="00CA3378" w:rsidRPr="00541786" w:rsidRDefault="00CA3378" w:rsidP="000E2246">
      <w:pPr>
        <w:pStyle w:val="EndNoteBibliography"/>
        <w:spacing w:line="480" w:lineRule="auto"/>
        <w:rPr>
          <w:rFonts w:ascii="Arial" w:hAnsi="Arial" w:cs="Arial"/>
          <w:sz w:val="20"/>
          <w:szCs w:val="20"/>
        </w:rPr>
      </w:pPr>
      <w:r w:rsidRPr="00541786">
        <w:rPr>
          <w:rFonts w:ascii="Arial" w:hAnsi="Arial" w:cs="Arial"/>
          <w:sz w:val="20"/>
          <w:szCs w:val="20"/>
        </w:rPr>
        <w:t>4.</w:t>
      </w:r>
      <w:r w:rsidRPr="00541786">
        <w:rPr>
          <w:rFonts w:ascii="Arial" w:hAnsi="Arial" w:cs="Arial"/>
          <w:sz w:val="20"/>
          <w:szCs w:val="20"/>
        </w:rPr>
        <w:tab/>
        <w:t xml:space="preserve">Koenker RB, G.: Regression Quantiles. </w:t>
      </w:r>
      <w:r w:rsidRPr="00541786">
        <w:rPr>
          <w:rFonts w:ascii="Arial" w:hAnsi="Arial" w:cs="Arial"/>
          <w:i/>
          <w:sz w:val="20"/>
          <w:szCs w:val="20"/>
        </w:rPr>
        <w:t>Econometrica</w:t>
      </w:r>
      <w:r w:rsidRPr="00541786">
        <w:rPr>
          <w:rFonts w:ascii="Arial" w:hAnsi="Arial" w:cs="Arial"/>
          <w:sz w:val="20"/>
          <w:szCs w:val="20"/>
        </w:rPr>
        <w:t xml:space="preserve"> 1978; 46:33-50</w:t>
      </w:r>
    </w:p>
    <w:p w14:paraId="325030CE" w14:textId="77777777" w:rsidR="00D907E3" w:rsidRPr="00541786" w:rsidRDefault="00853410" w:rsidP="000E2246">
      <w:pPr>
        <w:pStyle w:val="EndNoteBibliography"/>
        <w:spacing w:line="480" w:lineRule="auto"/>
        <w:rPr>
          <w:rFonts w:ascii="Arial" w:hAnsi="Arial" w:cs="Arial"/>
          <w:noProof w:val="0"/>
          <w:sz w:val="20"/>
          <w:szCs w:val="20"/>
        </w:rPr>
      </w:pPr>
      <w:r w:rsidRPr="00541786">
        <w:rPr>
          <w:rFonts w:ascii="Arial" w:hAnsi="Arial" w:cs="Arial"/>
          <w:noProof w:val="0"/>
          <w:sz w:val="20"/>
          <w:szCs w:val="20"/>
        </w:rPr>
        <w:fldChar w:fldCharType="end"/>
      </w:r>
    </w:p>
    <w:sectPr w:rsidR="00D907E3" w:rsidRPr="005417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45DC" w14:textId="77777777" w:rsidR="00521998" w:rsidRDefault="00521998" w:rsidP="00521998">
      <w:pPr>
        <w:spacing w:after="0" w:line="240" w:lineRule="auto"/>
      </w:pPr>
      <w:r>
        <w:separator/>
      </w:r>
    </w:p>
  </w:endnote>
  <w:endnote w:type="continuationSeparator" w:id="0">
    <w:p w14:paraId="6061B8AF" w14:textId="77777777" w:rsidR="00521998" w:rsidRDefault="00521998" w:rsidP="005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08387"/>
      <w:docPartObj>
        <w:docPartGallery w:val="Page Numbers (Bottom of Page)"/>
        <w:docPartUnique/>
      </w:docPartObj>
    </w:sdtPr>
    <w:sdtEndPr/>
    <w:sdtContent>
      <w:p w14:paraId="6301E184" w14:textId="77777777" w:rsidR="00521998" w:rsidRDefault="00521998">
        <w:pPr>
          <w:pStyle w:val="Footer"/>
          <w:jc w:val="center"/>
        </w:pPr>
        <w:r>
          <w:fldChar w:fldCharType="begin"/>
        </w:r>
        <w:r>
          <w:instrText>PAGE   \* MERGEFORMAT</w:instrText>
        </w:r>
        <w:r>
          <w:fldChar w:fldCharType="separate"/>
        </w:r>
        <w:r w:rsidR="00FE6028">
          <w:rPr>
            <w:noProof/>
          </w:rPr>
          <w:t>4</w:t>
        </w:r>
        <w:r>
          <w:fldChar w:fldCharType="end"/>
        </w:r>
      </w:p>
    </w:sdtContent>
  </w:sdt>
  <w:p w14:paraId="5A357B1D" w14:textId="77777777" w:rsidR="00521998" w:rsidRDefault="00521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764A" w14:textId="77777777" w:rsidR="00521998" w:rsidRDefault="00521998" w:rsidP="00521998">
      <w:pPr>
        <w:spacing w:after="0" w:line="240" w:lineRule="auto"/>
      </w:pPr>
      <w:r>
        <w:separator/>
      </w:r>
    </w:p>
  </w:footnote>
  <w:footnote w:type="continuationSeparator" w:id="0">
    <w:p w14:paraId="7349A42F" w14:textId="77777777" w:rsidR="00521998" w:rsidRDefault="00521998" w:rsidP="00521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 Critical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xta0t5dr02enew0f8x9vs2w50rvpssdze5&quot;&gt;10. My EndNote Library&lt;record-ids&gt;&lt;item&gt;201&lt;/item&gt;&lt;item&gt;203&lt;/item&gt;&lt;item&gt;208&lt;/item&gt;&lt;item&gt;231&lt;/item&gt;&lt;/record-ids&gt;&lt;/item&gt;&lt;/Libraries&gt;"/>
  </w:docVars>
  <w:rsids>
    <w:rsidRoot w:val="001169CC"/>
    <w:rsid w:val="000A12CC"/>
    <w:rsid w:val="000D5A75"/>
    <w:rsid w:val="000E2246"/>
    <w:rsid w:val="001169CC"/>
    <w:rsid w:val="001521F2"/>
    <w:rsid w:val="001B5035"/>
    <w:rsid w:val="00221819"/>
    <w:rsid w:val="00287F35"/>
    <w:rsid w:val="002A14CD"/>
    <w:rsid w:val="002B2601"/>
    <w:rsid w:val="00315709"/>
    <w:rsid w:val="00465D61"/>
    <w:rsid w:val="00521998"/>
    <w:rsid w:val="00541786"/>
    <w:rsid w:val="006672C0"/>
    <w:rsid w:val="00853410"/>
    <w:rsid w:val="00896F3F"/>
    <w:rsid w:val="00955AEA"/>
    <w:rsid w:val="00A33633"/>
    <w:rsid w:val="00B068E7"/>
    <w:rsid w:val="00C17E67"/>
    <w:rsid w:val="00CA3378"/>
    <w:rsid w:val="00CB6C5B"/>
    <w:rsid w:val="00D907E3"/>
    <w:rsid w:val="00DE1939"/>
    <w:rsid w:val="00E16C0D"/>
    <w:rsid w:val="00EA75D8"/>
    <w:rsid w:val="00FE6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860E8"/>
  <w15:chartTrackingRefBased/>
  <w15:docId w15:val="{10BA950B-79B2-4FD8-8041-CB7DDAE5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939"/>
    <w:pPr>
      <w:keepNext/>
      <w:outlineLvl w:val="0"/>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819"/>
    <w:rPr>
      <w:sz w:val="16"/>
      <w:szCs w:val="16"/>
    </w:rPr>
  </w:style>
  <w:style w:type="paragraph" w:styleId="CommentText">
    <w:name w:val="annotation text"/>
    <w:basedOn w:val="Normal"/>
    <w:link w:val="CommentTextChar"/>
    <w:uiPriority w:val="99"/>
    <w:unhideWhenUsed/>
    <w:rsid w:val="00221819"/>
    <w:pPr>
      <w:spacing w:line="240" w:lineRule="auto"/>
    </w:pPr>
    <w:rPr>
      <w:sz w:val="20"/>
      <w:szCs w:val="20"/>
    </w:rPr>
  </w:style>
  <w:style w:type="character" w:customStyle="1" w:styleId="CommentTextChar">
    <w:name w:val="Comment Text Char"/>
    <w:basedOn w:val="DefaultParagraphFont"/>
    <w:link w:val="CommentText"/>
    <w:uiPriority w:val="99"/>
    <w:rsid w:val="00221819"/>
    <w:rPr>
      <w:sz w:val="20"/>
      <w:szCs w:val="20"/>
    </w:rPr>
  </w:style>
  <w:style w:type="paragraph" w:styleId="CommentSubject">
    <w:name w:val="annotation subject"/>
    <w:basedOn w:val="CommentText"/>
    <w:next w:val="CommentText"/>
    <w:link w:val="CommentSubjectChar"/>
    <w:uiPriority w:val="99"/>
    <w:semiHidden/>
    <w:unhideWhenUsed/>
    <w:rsid w:val="00221819"/>
    <w:rPr>
      <w:b/>
      <w:bCs/>
    </w:rPr>
  </w:style>
  <w:style w:type="character" w:customStyle="1" w:styleId="CommentSubjectChar">
    <w:name w:val="Comment Subject Char"/>
    <w:basedOn w:val="CommentTextChar"/>
    <w:link w:val="CommentSubject"/>
    <w:uiPriority w:val="99"/>
    <w:semiHidden/>
    <w:rsid w:val="00221819"/>
    <w:rPr>
      <w:b/>
      <w:bCs/>
      <w:sz w:val="20"/>
      <w:szCs w:val="20"/>
    </w:rPr>
  </w:style>
  <w:style w:type="paragraph" w:styleId="BalloonText">
    <w:name w:val="Balloon Text"/>
    <w:basedOn w:val="Normal"/>
    <w:link w:val="BalloonTextChar"/>
    <w:uiPriority w:val="99"/>
    <w:semiHidden/>
    <w:unhideWhenUsed/>
    <w:rsid w:val="0022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819"/>
    <w:rPr>
      <w:rFonts w:ascii="Segoe UI" w:hAnsi="Segoe UI" w:cs="Segoe UI"/>
      <w:sz w:val="18"/>
      <w:szCs w:val="18"/>
    </w:rPr>
  </w:style>
  <w:style w:type="character" w:customStyle="1" w:styleId="Heading1Char">
    <w:name w:val="Heading 1 Char"/>
    <w:basedOn w:val="DefaultParagraphFont"/>
    <w:link w:val="Heading1"/>
    <w:uiPriority w:val="9"/>
    <w:rsid w:val="00DE1939"/>
    <w:rPr>
      <w:rFonts w:ascii="Arial" w:hAnsi="Arial" w:cs="Arial"/>
      <w:b/>
      <w:sz w:val="20"/>
      <w:szCs w:val="20"/>
      <w:lang w:val="en-US"/>
    </w:rPr>
  </w:style>
  <w:style w:type="paragraph" w:customStyle="1" w:styleId="EndNoteBibliographyTitle">
    <w:name w:val="EndNote Bibliography Title"/>
    <w:basedOn w:val="Normal"/>
    <w:link w:val="EndNoteBibliographyTitleChar"/>
    <w:rsid w:val="0085341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3410"/>
    <w:rPr>
      <w:rFonts w:ascii="Calibri" w:hAnsi="Calibri" w:cs="Calibri"/>
      <w:noProof/>
      <w:lang w:val="en-US"/>
    </w:rPr>
  </w:style>
  <w:style w:type="paragraph" w:customStyle="1" w:styleId="EndNoteBibliography">
    <w:name w:val="EndNote Bibliography"/>
    <w:basedOn w:val="Normal"/>
    <w:link w:val="EndNoteBibliographyChar"/>
    <w:rsid w:val="0085341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3410"/>
    <w:rPr>
      <w:rFonts w:ascii="Calibri" w:hAnsi="Calibri" w:cs="Calibri"/>
      <w:noProof/>
      <w:lang w:val="en-US"/>
    </w:rPr>
  </w:style>
  <w:style w:type="paragraph" w:styleId="BodyText3">
    <w:name w:val="Body Text 3"/>
    <w:basedOn w:val="Normal"/>
    <w:link w:val="BodyText3Char"/>
    <w:uiPriority w:val="99"/>
    <w:unhideWhenUsed/>
    <w:rsid w:val="00EA75D8"/>
    <w:pPr>
      <w:spacing w:line="480" w:lineRule="auto"/>
    </w:pPr>
    <w:rPr>
      <w:rFonts w:ascii="Arial" w:hAnsi="Arial" w:cs="Arial"/>
      <w:b/>
      <w:sz w:val="20"/>
      <w:szCs w:val="20"/>
      <w:lang w:val="en-US"/>
    </w:rPr>
  </w:style>
  <w:style w:type="character" w:customStyle="1" w:styleId="BodyText3Char">
    <w:name w:val="Body Text 3 Char"/>
    <w:basedOn w:val="DefaultParagraphFont"/>
    <w:link w:val="BodyText3"/>
    <w:uiPriority w:val="99"/>
    <w:rsid w:val="00EA75D8"/>
    <w:rPr>
      <w:rFonts w:ascii="Arial" w:hAnsi="Arial" w:cs="Arial"/>
      <w:b/>
      <w:sz w:val="20"/>
      <w:szCs w:val="20"/>
      <w:lang w:val="en-US"/>
    </w:rPr>
  </w:style>
  <w:style w:type="table" w:styleId="TableGrid">
    <w:name w:val="Table Grid"/>
    <w:basedOn w:val="TableNormal"/>
    <w:uiPriority w:val="59"/>
    <w:rsid w:val="00EA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98"/>
  </w:style>
  <w:style w:type="paragraph" w:styleId="Footer">
    <w:name w:val="footer"/>
    <w:basedOn w:val="Normal"/>
    <w:link w:val="FooterChar"/>
    <w:uiPriority w:val="99"/>
    <w:unhideWhenUsed/>
    <w:rsid w:val="0052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98"/>
  </w:style>
  <w:style w:type="paragraph" w:styleId="BodyText">
    <w:name w:val="Body Text"/>
    <w:basedOn w:val="Normal"/>
    <w:link w:val="BodyTextChar"/>
    <w:uiPriority w:val="99"/>
    <w:semiHidden/>
    <w:unhideWhenUsed/>
    <w:rsid w:val="00521998"/>
    <w:pPr>
      <w:spacing w:after="120"/>
    </w:pPr>
  </w:style>
  <w:style w:type="character" w:customStyle="1" w:styleId="BodyTextChar">
    <w:name w:val="Body Text Char"/>
    <w:basedOn w:val="DefaultParagraphFont"/>
    <w:link w:val="BodyText"/>
    <w:uiPriority w:val="99"/>
    <w:semiHidden/>
    <w:rsid w:val="0052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1686</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Lilien, T.A. (Thijs)</dc:creator>
  <cp:keywords/>
  <dc:description/>
  <cp:lastModifiedBy>Baeuerlein, Christopher</cp:lastModifiedBy>
  <cp:revision>2</cp:revision>
  <dcterms:created xsi:type="dcterms:W3CDTF">2022-11-15T15:05:00Z</dcterms:created>
  <dcterms:modified xsi:type="dcterms:W3CDTF">2022-11-15T15:05:00Z</dcterms:modified>
</cp:coreProperties>
</file>