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7409" w14:textId="77777777" w:rsidR="00D04C60" w:rsidRPr="002F7476" w:rsidRDefault="00D04C60" w:rsidP="00D04C60">
      <w:pPr>
        <w:rPr>
          <w:rFonts w:ascii="Times New Roman" w:hAnsi="Times New Roman" w:cs="Times New Roman"/>
          <w:b/>
          <w:bCs/>
        </w:rPr>
      </w:pPr>
      <w:r w:rsidRPr="002F7476">
        <w:rPr>
          <w:rFonts w:ascii="Times New Roman" w:hAnsi="Times New Roman" w:cs="Times New Roman"/>
          <w:b/>
          <w:bCs/>
        </w:rPr>
        <w:t>Supplemental Figure Legends</w:t>
      </w:r>
    </w:p>
    <w:p w14:paraId="30FA7681" w14:textId="77777777" w:rsidR="00D04C60" w:rsidRPr="002F7476" w:rsidRDefault="00D04C60" w:rsidP="00D04C60">
      <w:pPr>
        <w:rPr>
          <w:rFonts w:ascii="Times New Roman" w:hAnsi="Times New Roman" w:cs="Times New Roman"/>
        </w:rPr>
      </w:pPr>
    </w:p>
    <w:p w14:paraId="13A108CF" w14:textId="77777777" w:rsidR="00D04C60" w:rsidRPr="002F7476" w:rsidRDefault="00D04C60" w:rsidP="00D04C60">
      <w:pPr>
        <w:rPr>
          <w:rFonts w:ascii="Times New Roman" w:hAnsi="Times New Roman" w:cs="Times New Roman"/>
        </w:rPr>
      </w:pPr>
      <w:r w:rsidRPr="002F7476">
        <w:rPr>
          <w:rFonts w:ascii="Times New Roman" w:hAnsi="Times New Roman" w:cs="Times New Roman"/>
          <w:b/>
          <w:bCs/>
        </w:rPr>
        <w:t xml:space="preserve">Supplemental Figure 1. </w:t>
      </w:r>
      <w:r w:rsidRPr="002F7476">
        <w:rPr>
          <w:rFonts w:ascii="Times New Roman" w:hAnsi="Times New Roman" w:cs="Times New Roman"/>
        </w:rPr>
        <w:t xml:space="preserve">Day-by-day frequency of patients presenting mostly abnormally high (triangular marker) or mostly abnormally low (circular marker) laboratory results according to the ICU and non-ICU sub-groups. The background bar-plot indicates the proportion of patients in the ICU (red), inpatient floor/ward (yellow), and discharged (blue). Labs grouped as markers of inflammation, infection, and coagulation. </w:t>
      </w:r>
    </w:p>
    <w:p w14:paraId="23DBADCA" w14:textId="77777777" w:rsidR="00D04C60" w:rsidRPr="002F7476" w:rsidRDefault="00D04C60" w:rsidP="00D04C60">
      <w:pPr>
        <w:rPr>
          <w:rFonts w:ascii="Times New Roman" w:hAnsi="Times New Roman" w:cs="Times New Roman"/>
        </w:rPr>
      </w:pPr>
    </w:p>
    <w:p w14:paraId="3DA6E7E3" w14:textId="77777777" w:rsidR="00D04C60" w:rsidRPr="002F7476" w:rsidRDefault="00D04C60" w:rsidP="00D04C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F7476">
        <w:rPr>
          <w:rFonts w:ascii="Times New Roman" w:hAnsi="Times New Roman" w:cs="Times New Roman"/>
          <w:b/>
          <w:bCs/>
        </w:rPr>
        <w:t>Supplemental Figure 2.</w:t>
      </w:r>
      <w:r w:rsidRPr="002F7476">
        <w:rPr>
          <w:rFonts w:ascii="Times New Roman" w:hAnsi="Times New Roman" w:cs="Times New Roman"/>
        </w:rPr>
        <w:t xml:space="preserve"> Day-by-day frequency of patients presenting mostly abnormally high (triangular marker) or mostly abnormally low (circular marker) laboratory results according to the ICU and non-ICU sub-groups. The background bar-plot indicates the proportion of patients in the ICU (red), inpatient floor/ward (yellow), and discharged (blue). Labs grouped as markers of cardiac, gastrointestinal/liver, and renal involvement.</w:t>
      </w:r>
    </w:p>
    <w:p w14:paraId="471AD092" w14:textId="77777777" w:rsidR="00D04C60" w:rsidRPr="002F7476" w:rsidRDefault="00D04C60" w:rsidP="00D04C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C05A76" w14:textId="77777777" w:rsidR="00D04C60" w:rsidRPr="002F7476" w:rsidRDefault="00D04C60" w:rsidP="00D04C60">
      <w:pPr>
        <w:rPr>
          <w:rFonts w:ascii="Times New Roman" w:hAnsi="Times New Roman" w:cs="Times New Roman"/>
        </w:rPr>
      </w:pPr>
      <w:r w:rsidRPr="002F7476">
        <w:rPr>
          <w:rFonts w:ascii="Times New Roman" w:hAnsi="Times New Roman" w:cs="Times New Roman"/>
          <w:b/>
          <w:bCs/>
        </w:rPr>
        <w:t xml:space="preserve">Supplemental Figure 3. </w:t>
      </w:r>
      <w:r w:rsidRPr="002F7476">
        <w:rPr>
          <w:rFonts w:ascii="Times New Roman" w:hAnsi="Times New Roman" w:cs="Times New Roman"/>
        </w:rPr>
        <w:t xml:space="preserve">Day-by-day significant </w:t>
      </w:r>
      <w:r w:rsidRPr="002F7476">
        <w:rPr>
          <w:rFonts w:ascii="Times New Roman" w:hAnsi="Times New Roman" w:cs="Times New Roman"/>
          <w:i/>
          <w:iCs/>
        </w:rPr>
        <w:t xml:space="preserve">inflammation </w:t>
      </w:r>
      <w:r w:rsidRPr="002F7476">
        <w:rPr>
          <w:rFonts w:ascii="Times New Roman" w:hAnsi="Times New Roman" w:cs="Times New Roman"/>
        </w:rPr>
        <w:t>laboratory values for the ICU and non-ICU subgroups. The gray band denote the reference range for each lab. Asterisks on the time-axis denote a statistically significant difference between the ICU and non-ICU groups according to the non-parametric two-sided Wilcoxon rank sum test (p-value &lt; 0.05).</w:t>
      </w:r>
    </w:p>
    <w:p w14:paraId="705B5082" w14:textId="77777777" w:rsidR="00D04C60" w:rsidRPr="002F7476" w:rsidRDefault="00D04C60" w:rsidP="00D04C60">
      <w:pPr>
        <w:rPr>
          <w:rFonts w:ascii="Times New Roman" w:hAnsi="Times New Roman" w:cs="Times New Roman"/>
        </w:rPr>
      </w:pPr>
    </w:p>
    <w:p w14:paraId="7A2C7DCA" w14:textId="77777777" w:rsidR="00D04C60" w:rsidRPr="002F7476" w:rsidRDefault="00D04C60" w:rsidP="00D04C60">
      <w:pPr>
        <w:rPr>
          <w:rFonts w:ascii="Times New Roman" w:hAnsi="Times New Roman" w:cs="Times New Roman"/>
        </w:rPr>
      </w:pPr>
      <w:r w:rsidRPr="002F7476">
        <w:rPr>
          <w:rFonts w:ascii="Times New Roman" w:hAnsi="Times New Roman" w:cs="Times New Roman"/>
          <w:b/>
          <w:bCs/>
        </w:rPr>
        <w:t xml:space="preserve">Supplemental Figure 4. </w:t>
      </w:r>
      <w:r w:rsidRPr="002F7476">
        <w:rPr>
          <w:rFonts w:ascii="Times New Roman" w:hAnsi="Times New Roman" w:cs="Times New Roman"/>
        </w:rPr>
        <w:t xml:space="preserve">Day-by-day significant </w:t>
      </w:r>
      <w:r w:rsidRPr="002F7476">
        <w:rPr>
          <w:rFonts w:ascii="Times New Roman" w:hAnsi="Times New Roman" w:cs="Times New Roman"/>
          <w:i/>
          <w:iCs/>
        </w:rPr>
        <w:t>infectious</w:t>
      </w:r>
      <w:r w:rsidRPr="002F7476">
        <w:rPr>
          <w:rFonts w:ascii="Times New Roman" w:hAnsi="Times New Roman" w:cs="Times New Roman"/>
        </w:rPr>
        <w:t xml:space="preserve"> lab values for the ICU and non-ICU subgroups. The gray band denote the reference range for each lab. Asterisks on the time-axis denote a statistically significant difference between the ICU and non-ICU groups according to the non-parametric two-sided Wilcoxon rank sum test (p-value &lt; 0.05).</w:t>
      </w:r>
    </w:p>
    <w:p w14:paraId="17E2A43F" w14:textId="77777777" w:rsidR="00D04C60" w:rsidRPr="002F7476" w:rsidRDefault="00D04C60" w:rsidP="00D04C60">
      <w:pPr>
        <w:rPr>
          <w:rFonts w:ascii="Times New Roman" w:hAnsi="Times New Roman" w:cs="Times New Roman"/>
        </w:rPr>
      </w:pPr>
    </w:p>
    <w:p w14:paraId="6CC3D415" w14:textId="77777777" w:rsidR="00D04C60" w:rsidRPr="002F7476" w:rsidRDefault="00D04C60" w:rsidP="00D04C60">
      <w:pPr>
        <w:rPr>
          <w:rFonts w:ascii="Times New Roman" w:hAnsi="Times New Roman" w:cs="Times New Roman"/>
        </w:rPr>
      </w:pPr>
      <w:r w:rsidRPr="002F7476">
        <w:rPr>
          <w:rFonts w:ascii="Times New Roman" w:hAnsi="Times New Roman" w:cs="Times New Roman"/>
          <w:b/>
          <w:bCs/>
        </w:rPr>
        <w:t xml:space="preserve">Supplemental Figure 5. </w:t>
      </w:r>
      <w:r w:rsidRPr="002F7476">
        <w:rPr>
          <w:rFonts w:ascii="Times New Roman" w:hAnsi="Times New Roman" w:cs="Times New Roman"/>
        </w:rPr>
        <w:t xml:space="preserve">Day-by-day significant </w:t>
      </w:r>
      <w:r w:rsidRPr="002F7476">
        <w:rPr>
          <w:rFonts w:ascii="Times New Roman" w:hAnsi="Times New Roman" w:cs="Times New Roman"/>
          <w:i/>
          <w:iCs/>
        </w:rPr>
        <w:t>coagulation</w:t>
      </w:r>
      <w:r w:rsidRPr="002F7476">
        <w:rPr>
          <w:rFonts w:ascii="Times New Roman" w:hAnsi="Times New Roman" w:cs="Times New Roman"/>
        </w:rPr>
        <w:t xml:space="preserve"> lab values for the ICU and non-ICU subgroups. The gray band denote the reference range for each lab. Asterisks on the time-axis denote a statistically significant difference between the ICU and non-ICU groups according to the non-parametric two-sided Wilcoxon rank sum test (p-value &lt; 0.05).</w:t>
      </w:r>
    </w:p>
    <w:p w14:paraId="2FAC299C" w14:textId="77777777" w:rsidR="00D04C60" w:rsidRPr="002F7476" w:rsidRDefault="00D04C60" w:rsidP="00D04C60">
      <w:pPr>
        <w:rPr>
          <w:rFonts w:ascii="Times New Roman" w:hAnsi="Times New Roman" w:cs="Times New Roman"/>
        </w:rPr>
      </w:pPr>
    </w:p>
    <w:p w14:paraId="7AC5026F" w14:textId="77777777" w:rsidR="00D04C60" w:rsidRPr="002F7476" w:rsidRDefault="00D04C60" w:rsidP="00D04C60">
      <w:pPr>
        <w:rPr>
          <w:rFonts w:ascii="Times New Roman" w:hAnsi="Times New Roman" w:cs="Times New Roman"/>
        </w:rPr>
      </w:pPr>
      <w:r w:rsidRPr="002F7476">
        <w:rPr>
          <w:rFonts w:ascii="Times New Roman" w:hAnsi="Times New Roman" w:cs="Times New Roman"/>
          <w:b/>
          <w:bCs/>
        </w:rPr>
        <w:t xml:space="preserve">Supplemental Figure 6. </w:t>
      </w:r>
      <w:r w:rsidRPr="002F7476">
        <w:rPr>
          <w:rFonts w:ascii="Times New Roman" w:hAnsi="Times New Roman" w:cs="Times New Roman"/>
        </w:rPr>
        <w:t xml:space="preserve">Day-by-day significant </w:t>
      </w:r>
      <w:r w:rsidRPr="002F7476">
        <w:rPr>
          <w:rFonts w:ascii="Times New Roman" w:hAnsi="Times New Roman" w:cs="Times New Roman"/>
          <w:i/>
          <w:iCs/>
        </w:rPr>
        <w:t xml:space="preserve">cardiac </w:t>
      </w:r>
      <w:r w:rsidRPr="002F7476">
        <w:rPr>
          <w:rFonts w:ascii="Times New Roman" w:hAnsi="Times New Roman" w:cs="Times New Roman"/>
        </w:rPr>
        <w:t>lab values for the ICU and non-ICU subgroups. The gray band denote the reference range for each lab. Asterisks on the time-axis denote a statistically significant difference between the ICU and non-ICU groups according to the non-parametric two-sided Wilcoxon rank sum test (p-value &lt; 0.05).</w:t>
      </w:r>
    </w:p>
    <w:p w14:paraId="72FB6870" w14:textId="77777777" w:rsidR="00D04C60" w:rsidRPr="00152459" w:rsidRDefault="00D04C60" w:rsidP="00D04C60">
      <w:pPr>
        <w:rPr>
          <w:rFonts w:ascii="Times New Roman" w:hAnsi="Times New Roman" w:cs="Times New Roman"/>
        </w:rPr>
      </w:pPr>
    </w:p>
    <w:p w14:paraId="31E2844E" w14:textId="77777777" w:rsidR="00D04C60" w:rsidRPr="00152459" w:rsidRDefault="00D04C60" w:rsidP="00D04C60">
      <w:pPr>
        <w:rPr>
          <w:rFonts w:ascii="Times New Roman" w:hAnsi="Times New Roman" w:cs="Times New Roman"/>
        </w:rPr>
      </w:pPr>
      <w:r w:rsidRPr="00152459">
        <w:rPr>
          <w:rFonts w:ascii="Times New Roman" w:hAnsi="Times New Roman" w:cs="Times New Roman"/>
          <w:b/>
          <w:bCs/>
        </w:rPr>
        <w:t xml:space="preserve">Supplemental Figure </w:t>
      </w:r>
      <w:r>
        <w:rPr>
          <w:rFonts w:ascii="Times New Roman" w:hAnsi="Times New Roman" w:cs="Times New Roman"/>
          <w:b/>
          <w:bCs/>
        </w:rPr>
        <w:t>7</w:t>
      </w:r>
      <w:r w:rsidRPr="00152459">
        <w:rPr>
          <w:rFonts w:ascii="Times New Roman" w:hAnsi="Times New Roman" w:cs="Times New Roman"/>
          <w:b/>
          <w:bCs/>
        </w:rPr>
        <w:t xml:space="preserve">. </w:t>
      </w:r>
      <w:r w:rsidRPr="00152459">
        <w:rPr>
          <w:rFonts w:ascii="Times New Roman" w:hAnsi="Times New Roman" w:cs="Times New Roman"/>
        </w:rPr>
        <w:t xml:space="preserve">Day-by-day significant </w:t>
      </w:r>
      <w:r w:rsidRPr="00152459">
        <w:rPr>
          <w:rFonts w:ascii="Times New Roman" w:hAnsi="Times New Roman" w:cs="Times New Roman"/>
          <w:i/>
          <w:iCs/>
        </w:rPr>
        <w:t>gastrointestinal/liver</w:t>
      </w:r>
      <w:r w:rsidRPr="00152459">
        <w:rPr>
          <w:rFonts w:ascii="Times New Roman" w:hAnsi="Times New Roman" w:cs="Times New Roman"/>
        </w:rPr>
        <w:t xml:space="preserve"> lab values for the ICU and non-ICU subgroups. The gray band denote the reference range for each lab. Asterisks on the time-axis denote a statistically significant difference between the ICU and non-ICU groups according to the non-parametric two-sided Wilcoxon rank sum test (p-value &lt; 0.05).</w:t>
      </w:r>
    </w:p>
    <w:p w14:paraId="59FA624D" w14:textId="77777777" w:rsidR="00D04C60" w:rsidRPr="00152459" w:rsidRDefault="00D04C60" w:rsidP="00D04C60">
      <w:pPr>
        <w:rPr>
          <w:rFonts w:ascii="Times New Roman" w:hAnsi="Times New Roman" w:cs="Times New Roman"/>
        </w:rPr>
      </w:pPr>
    </w:p>
    <w:p w14:paraId="57101419" w14:textId="58C20DC7" w:rsidR="00B42549" w:rsidRPr="00D04C60" w:rsidRDefault="00D04C60">
      <w:pPr>
        <w:rPr>
          <w:rFonts w:ascii="Times New Roman" w:hAnsi="Times New Roman" w:cs="Times New Roman"/>
        </w:rPr>
      </w:pPr>
      <w:r w:rsidRPr="00152459">
        <w:rPr>
          <w:rFonts w:ascii="Times New Roman" w:hAnsi="Times New Roman" w:cs="Times New Roman"/>
          <w:b/>
          <w:bCs/>
        </w:rPr>
        <w:t xml:space="preserve">Supplemental Figure </w:t>
      </w:r>
      <w:r>
        <w:rPr>
          <w:rFonts w:ascii="Times New Roman" w:hAnsi="Times New Roman" w:cs="Times New Roman"/>
          <w:b/>
          <w:bCs/>
        </w:rPr>
        <w:t>8</w:t>
      </w:r>
      <w:r w:rsidRPr="00152459">
        <w:rPr>
          <w:rFonts w:ascii="Times New Roman" w:hAnsi="Times New Roman" w:cs="Times New Roman"/>
          <w:b/>
          <w:bCs/>
        </w:rPr>
        <w:t>: Pharmacologic Interventions</w:t>
      </w:r>
      <w:r w:rsidRPr="00152459">
        <w:rPr>
          <w:rFonts w:ascii="Times New Roman" w:hAnsi="Times New Roman" w:cs="Times New Roman"/>
        </w:rPr>
        <w:t>. Day-by-day frequency of medication administrations according to pharmacological groups, for the ICU and non-ICU sub-groups. The background bar-plot indicates the proportion of patients in the ICU (red), inpatient floor/ward (yellow), and discharged (blue).</w:t>
      </w:r>
    </w:p>
    <w:sectPr w:rsidR="00B42549" w:rsidRPr="00D04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60"/>
    <w:rsid w:val="00391ECA"/>
    <w:rsid w:val="00657CF7"/>
    <w:rsid w:val="00742FE5"/>
    <w:rsid w:val="008209C3"/>
    <w:rsid w:val="00826F32"/>
    <w:rsid w:val="00D0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09C4"/>
  <w15:chartTrackingRefBased/>
  <w15:docId w15:val="{B8EE68BF-1F25-47AC-9C01-84421B08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C6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2022-04-06T19:56:00Z</dcterms:created>
  <dcterms:modified xsi:type="dcterms:W3CDTF">2022-04-06T20:03:00Z</dcterms:modified>
</cp:coreProperties>
</file>