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CE98F3" w:rsidR="00E00880" w:rsidRDefault="005D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AJPMR RFS CARE Checklist</w:t>
      </w:r>
    </w:p>
    <w:p w14:paraId="00000002" w14:textId="27537645" w:rsidR="00E00880" w:rsidRDefault="00823B0A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Title</w:t>
      </w:r>
      <w:r w:rsidR="005D689B">
        <w:t xml:space="preserve"> – The area of focus and “clinical vignette” should appear in the title</w:t>
      </w:r>
    </w:p>
    <w:p w14:paraId="00000003" w14:textId="1BAA1ED0" w:rsidR="00E00880" w:rsidRDefault="00823B0A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Keywords</w:t>
      </w:r>
      <w:r w:rsidR="005D689B">
        <w:t xml:space="preserve"> – Two to five keywords that identify topics in this case report</w:t>
      </w:r>
    </w:p>
    <w:p w14:paraId="00000004" w14:textId="02828C7C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Patient Information</w:t>
      </w:r>
    </w:p>
    <w:p w14:paraId="00000005" w14:textId="56D0B881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De-identified demographic and other patient information</w:t>
      </w:r>
    </w:p>
    <w:p w14:paraId="00000006" w14:textId="67F85E5E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Main concerns and symptoms of the patient’s presenting illness</w:t>
      </w:r>
    </w:p>
    <w:p w14:paraId="00000007" w14:textId="728C0D8F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Pertinent medical, family, and psychosocial history</w:t>
      </w:r>
    </w:p>
    <w:p w14:paraId="00000008" w14:textId="3F9E804B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Relevant past interventions and their outcomes</w:t>
      </w:r>
    </w:p>
    <w:p w14:paraId="00000009" w14:textId="415E0457" w:rsidR="00E00880" w:rsidRDefault="00823B0A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Clinical Findings</w:t>
      </w:r>
      <w:r w:rsidR="005D689B">
        <w:t xml:space="preserve"> – Relevant physical examination (PE) and other clinical findings</w:t>
      </w:r>
    </w:p>
    <w:p w14:paraId="0000000A" w14:textId="77777777" w:rsidR="00E00880" w:rsidRDefault="005D689B">
      <w:pPr>
        <w:numPr>
          <w:ilvl w:val="0"/>
          <w:numId w:val="1"/>
        </w:numPr>
      </w:pPr>
      <w:r>
        <w:rPr>
          <w:i/>
        </w:rPr>
        <w:t>Timeline</w:t>
      </w:r>
      <w:r>
        <w:t xml:space="preserve"> (optional) – Relevant data from this episode of care organized as a timeline (figure or table). This will  not be counted towards the figure/table limit.</w:t>
      </w:r>
    </w:p>
    <w:p w14:paraId="0000000B" w14:textId="244409BC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Diagnostic Assessment</w:t>
      </w:r>
    </w:p>
    <w:p w14:paraId="0000000C" w14:textId="0A478EC1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Diagnostic Methods (PE, laboratory testing, imaging, surveys)</w:t>
      </w:r>
    </w:p>
    <w:p w14:paraId="0000000D" w14:textId="48FD04B6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Diagnostic Challenges</w:t>
      </w:r>
    </w:p>
    <w:p w14:paraId="0000000E" w14:textId="351B5B60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Diagnostic Reasoning including a Differential Diagnosis</w:t>
      </w:r>
    </w:p>
    <w:p w14:paraId="0000000F" w14:textId="3956AE59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Prognostic Characteristics when applicable</w:t>
      </w:r>
    </w:p>
    <w:p w14:paraId="00000010" w14:textId="05FF6088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Therapeutic Intervention</w:t>
      </w:r>
    </w:p>
    <w:p w14:paraId="00000011" w14:textId="4FAEADF8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Types of intervention (pharmacologic, surgical, preventive)</w:t>
      </w:r>
    </w:p>
    <w:p w14:paraId="00000012" w14:textId="129037D9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Administration of intervention (dosage, strength, duration)</w:t>
      </w:r>
    </w:p>
    <w:p w14:paraId="00000013" w14:textId="5B9C4BAA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Changes in the interventions with explanations</w:t>
      </w:r>
    </w:p>
    <w:p w14:paraId="00000014" w14:textId="54BB1F0A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Follow-up and Outcomes</w:t>
      </w:r>
    </w:p>
    <w:p w14:paraId="00000015" w14:textId="7317DAF0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Clinician and patient-assessed outcomes when appropriate</w:t>
      </w:r>
    </w:p>
    <w:p w14:paraId="00000016" w14:textId="74480997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Important follow-up diagnostic and other test results</w:t>
      </w:r>
    </w:p>
    <w:p w14:paraId="00000017" w14:textId="13D40ACB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Intervention adherence and tolerability (how was this assessed?)</w:t>
      </w:r>
    </w:p>
    <w:p w14:paraId="00000018" w14:textId="38926A1A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Adverse and unanticipated events.</w:t>
      </w:r>
    </w:p>
    <w:p w14:paraId="00000019" w14:textId="67AF9B00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Discussion</w:t>
      </w:r>
    </w:p>
    <w:p w14:paraId="0000001A" w14:textId="2DFDB629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Strengths and limitations in your approach to this case</w:t>
      </w:r>
    </w:p>
    <w:p w14:paraId="0000001B" w14:textId="6532244E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Discussion of the relevant medical literature</w:t>
      </w:r>
    </w:p>
    <w:p w14:paraId="0000001C" w14:textId="5A5652F1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The rationale for your conclusions</w:t>
      </w:r>
    </w:p>
    <w:p w14:paraId="0000001D" w14:textId="7AC46AAE" w:rsidR="00E00880" w:rsidRDefault="00823B0A">
      <w:pPr>
        <w:numPr>
          <w:ilvl w:val="1"/>
          <w:numId w:val="1"/>
        </w:numPr>
      </w:pPr>
      <w:r>
        <w:t xml:space="preserve">X </w:t>
      </w:r>
      <w:r w:rsidR="005D689B">
        <w:t>The primary “take-away” lessons from this clinical vignette</w:t>
      </w:r>
    </w:p>
    <w:p w14:paraId="0000001E" w14:textId="77777777" w:rsidR="00E00880" w:rsidRDefault="005D689B">
      <w:pPr>
        <w:numPr>
          <w:ilvl w:val="0"/>
          <w:numId w:val="1"/>
        </w:numPr>
      </w:pPr>
      <w:r>
        <w:rPr>
          <w:i/>
        </w:rPr>
        <w:t>Patient Perspective</w:t>
      </w:r>
      <w:r>
        <w:t xml:space="preserve"> (optional) – The patient can share their perspective on their case</w:t>
      </w:r>
    </w:p>
    <w:p w14:paraId="0000001F" w14:textId="4F9C1C3D" w:rsidR="00E00880" w:rsidRDefault="00823B0A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Informed Consent</w:t>
      </w:r>
      <w:r w:rsidR="005D689B">
        <w:t xml:space="preserve"> – The patient should give informed consent</w:t>
      </w:r>
    </w:p>
    <w:p w14:paraId="00000020" w14:textId="1A7DFC5A" w:rsidR="00E00880" w:rsidRDefault="00823B0A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Educational Interactivity</w:t>
      </w:r>
    </w:p>
    <w:p w14:paraId="00000021" w14:textId="156F7FEB" w:rsidR="00E00880" w:rsidRDefault="0060578B">
      <w:pPr>
        <w:numPr>
          <w:ilvl w:val="1"/>
          <w:numId w:val="1"/>
        </w:numPr>
      </w:pPr>
      <w:r>
        <w:t xml:space="preserve">X </w:t>
      </w:r>
      <w:r w:rsidR="005D689B">
        <w:t>Transitional questions aimed to prime reader’s critical thinking (e.g. What is your leading differential with the following symptoms?; How would you design a focused exam?; What laboratory/diagnostic tests would you consider?)</w:t>
      </w:r>
    </w:p>
    <w:p w14:paraId="00000022" w14:textId="40E97148" w:rsidR="00E00880" w:rsidRDefault="0060578B">
      <w:pPr>
        <w:numPr>
          <w:ilvl w:val="1"/>
          <w:numId w:val="1"/>
        </w:numPr>
      </w:pPr>
      <w:r>
        <w:t xml:space="preserve">X </w:t>
      </w:r>
      <w:r w:rsidR="005D689B">
        <w:t>Describe pathognomonic signs/symptoms, physical exam findings, and/or radiographic findings.</w:t>
      </w:r>
    </w:p>
    <w:p w14:paraId="00000023" w14:textId="54A6D6B3" w:rsidR="00E00880" w:rsidRDefault="0060578B">
      <w:pPr>
        <w:numPr>
          <w:ilvl w:val="1"/>
          <w:numId w:val="1"/>
        </w:numPr>
      </w:pPr>
      <w:r>
        <w:t xml:space="preserve">X </w:t>
      </w:r>
      <w:bookmarkStart w:id="0" w:name="_GoBack"/>
      <w:bookmarkEnd w:id="0"/>
      <w:r w:rsidR="005D689B">
        <w:t>Discuss testable features (i.e., describe how this could appear on a board exam).</w:t>
      </w:r>
    </w:p>
    <w:p w14:paraId="00000024" w14:textId="77777777" w:rsidR="00E00880" w:rsidRDefault="00E00880"/>
    <w:sectPr w:rsidR="00E00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FDA"/>
    <w:multiLevelType w:val="multilevel"/>
    <w:tmpl w:val="D69E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80"/>
    <w:rsid w:val="00187F35"/>
    <w:rsid w:val="005D689B"/>
    <w:rsid w:val="00604440"/>
    <w:rsid w:val="0060578B"/>
    <w:rsid w:val="007B6AEF"/>
    <w:rsid w:val="00823B0A"/>
    <w:rsid w:val="00E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775E"/>
  <w15:docId w15:val="{C8F0BA79-FA48-C44A-AD9E-588BB4CE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Pratt</dc:creator>
  <cp:lastModifiedBy>Mike P</cp:lastModifiedBy>
  <cp:revision>4</cp:revision>
  <dcterms:created xsi:type="dcterms:W3CDTF">2019-06-28T17:39:00Z</dcterms:created>
  <dcterms:modified xsi:type="dcterms:W3CDTF">2019-11-02T20:39:00Z</dcterms:modified>
</cp:coreProperties>
</file>