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0880" w:rsidRDefault="005D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AJPMR RFS CARE Checklist</w:t>
      </w:r>
    </w:p>
    <w:p w14:paraId="00000002" w14:textId="78D20962" w:rsidR="00E00880" w:rsidRPr="003D1D02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Title</w:t>
      </w:r>
      <w:r>
        <w:t xml:space="preserve"> – The area of focus and “clinical vignette” should appear in the title</w:t>
      </w:r>
      <w:r w:rsidR="003D1D02">
        <w:t xml:space="preserve"> </w:t>
      </w:r>
      <w:r w:rsidR="003D1D02" w:rsidRPr="003D1D02">
        <w:rPr>
          <w:i/>
          <w:color w:val="0070C0"/>
        </w:rPr>
        <w:t>(Line 1)</w:t>
      </w:r>
    </w:p>
    <w:p w14:paraId="00000003" w14:textId="75DA35A3" w:rsidR="00E00880" w:rsidRDefault="005D689B">
      <w:pPr>
        <w:numPr>
          <w:ilvl w:val="0"/>
          <w:numId w:val="1"/>
        </w:numPr>
      </w:pPr>
      <w:r>
        <w:rPr>
          <w:i/>
        </w:rPr>
        <w:t>Keywords</w:t>
      </w:r>
      <w:r>
        <w:t xml:space="preserve"> – Two to five keywords that identify topics in this case report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44-45</w:t>
      </w:r>
      <w:r w:rsidR="003D1D02" w:rsidRPr="003D1D02">
        <w:rPr>
          <w:i/>
          <w:color w:val="0070C0"/>
        </w:rPr>
        <w:t>)</w:t>
      </w:r>
    </w:p>
    <w:p w14:paraId="00000004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Patient Information</w:t>
      </w:r>
    </w:p>
    <w:p w14:paraId="00000005" w14:textId="77777777" w:rsidR="00E00880" w:rsidRDefault="005D689B">
      <w:pPr>
        <w:numPr>
          <w:ilvl w:val="1"/>
          <w:numId w:val="1"/>
        </w:numPr>
      </w:pPr>
      <w:r>
        <w:t>De-identified demographic and other patient information</w:t>
      </w:r>
    </w:p>
    <w:p w14:paraId="00000006" w14:textId="208E1DA1" w:rsidR="00E00880" w:rsidRDefault="005D689B">
      <w:pPr>
        <w:numPr>
          <w:ilvl w:val="1"/>
          <w:numId w:val="1"/>
        </w:numPr>
      </w:pPr>
      <w:r>
        <w:t>Main concerns and symptoms of the patient’s presenting illness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 xml:space="preserve">28-30, 52-55) </w:t>
      </w:r>
    </w:p>
    <w:p w14:paraId="00000007" w14:textId="45224B04" w:rsidR="00E00880" w:rsidRDefault="005D689B">
      <w:pPr>
        <w:numPr>
          <w:ilvl w:val="1"/>
          <w:numId w:val="1"/>
        </w:numPr>
      </w:pPr>
      <w:r>
        <w:t>Pertinent medical, family, and psychosocial history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28-30)</w:t>
      </w:r>
    </w:p>
    <w:p w14:paraId="00000008" w14:textId="435044F1" w:rsidR="00E00880" w:rsidRDefault="005D689B">
      <w:pPr>
        <w:numPr>
          <w:ilvl w:val="1"/>
          <w:numId w:val="1"/>
        </w:numPr>
      </w:pPr>
      <w:r>
        <w:t>Relevant past interventions and their outcomes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28-30, 52-55)</w:t>
      </w:r>
    </w:p>
    <w:p w14:paraId="00000009" w14:textId="6F5AB73C" w:rsidR="00E00880" w:rsidRDefault="005D689B">
      <w:pPr>
        <w:numPr>
          <w:ilvl w:val="0"/>
          <w:numId w:val="1"/>
        </w:numPr>
      </w:pPr>
      <w:r>
        <w:rPr>
          <w:i/>
        </w:rPr>
        <w:t>Clinical Findings</w:t>
      </w:r>
      <w:r>
        <w:t xml:space="preserve"> – Relevant physical examination (PE) and other clinical findings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55-62)</w:t>
      </w:r>
    </w:p>
    <w:p w14:paraId="0000000A" w14:textId="77777777" w:rsidR="00E00880" w:rsidRDefault="005D689B">
      <w:pPr>
        <w:numPr>
          <w:ilvl w:val="0"/>
          <w:numId w:val="1"/>
        </w:numPr>
      </w:pPr>
      <w:r>
        <w:rPr>
          <w:i/>
        </w:rPr>
        <w:t>Timeline</w:t>
      </w:r>
      <w:r>
        <w:t xml:space="preserve"> (optional) – Relevant data from this episode of care organized as a timeline (figure or table). This will  not be counted towards the figure/table limit.</w:t>
      </w:r>
    </w:p>
    <w:p w14:paraId="0000000B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Diagnostic Assessment</w:t>
      </w:r>
    </w:p>
    <w:p w14:paraId="0000000C" w14:textId="385B1705" w:rsidR="00E00880" w:rsidRDefault="005D689B" w:rsidP="003D1D02">
      <w:pPr>
        <w:numPr>
          <w:ilvl w:val="1"/>
          <w:numId w:val="1"/>
        </w:numPr>
      </w:pPr>
      <w:r>
        <w:t>Diagnostic Methods (PE, laboratory testing, imaging, surveys)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95-101)</w:t>
      </w:r>
    </w:p>
    <w:p w14:paraId="0000000D" w14:textId="2F54F131" w:rsidR="00E00880" w:rsidRDefault="005D689B">
      <w:pPr>
        <w:numPr>
          <w:ilvl w:val="1"/>
          <w:numId w:val="1"/>
        </w:numPr>
      </w:pPr>
      <w:r>
        <w:t>Diagnostic Challenges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108-192)</w:t>
      </w:r>
    </w:p>
    <w:p w14:paraId="0000000E" w14:textId="4C9C6D36" w:rsidR="00E00880" w:rsidRDefault="005D689B">
      <w:pPr>
        <w:numPr>
          <w:ilvl w:val="1"/>
          <w:numId w:val="1"/>
        </w:numPr>
      </w:pPr>
      <w:r>
        <w:t>Diagnostic Reasoning including a Differential Diagnosis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68-88)</w:t>
      </w:r>
    </w:p>
    <w:p w14:paraId="0000000F" w14:textId="77777777" w:rsidR="00E00880" w:rsidRDefault="005D689B">
      <w:pPr>
        <w:numPr>
          <w:ilvl w:val="1"/>
          <w:numId w:val="1"/>
        </w:numPr>
      </w:pPr>
      <w:r>
        <w:t>Prognostic Characteristics when applicable</w:t>
      </w:r>
    </w:p>
    <w:p w14:paraId="00000010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Therapeutic Intervention</w:t>
      </w:r>
    </w:p>
    <w:p w14:paraId="00000011" w14:textId="2311B85A" w:rsidR="00E00880" w:rsidRDefault="005D689B">
      <w:pPr>
        <w:numPr>
          <w:ilvl w:val="1"/>
          <w:numId w:val="1"/>
        </w:numPr>
      </w:pPr>
      <w:r>
        <w:t>Types of intervention (pharmacologic, surgical, preventive)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108-119)</w:t>
      </w:r>
    </w:p>
    <w:p w14:paraId="00000012" w14:textId="3022902F" w:rsidR="00E00880" w:rsidRDefault="005D689B">
      <w:pPr>
        <w:numPr>
          <w:ilvl w:val="1"/>
          <w:numId w:val="1"/>
        </w:numPr>
      </w:pPr>
      <w:r>
        <w:t>Administration of intervention (dosage, strength, duration)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108-119)</w:t>
      </w:r>
    </w:p>
    <w:p w14:paraId="00000013" w14:textId="245E8A90" w:rsidR="00E00880" w:rsidRDefault="005D689B">
      <w:pPr>
        <w:numPr>
          <w:ilvl w:val="1"/>
          <w:numId w:val="1"/>
        </w:numPr>
      </w:pPr>
      <w:r>
        <w:t>Changes in the interventions with explanations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108-119)</w:t>
      </w:r>
    </w:p>
    <w:p w14:paraId="00000014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Follow-up and Outcomes</w:t>
      </w:r>
    </w:p>
    <w:p w14:paraId="00000015" w14:textId="32B94F95" w:rsidR="00E00880" w:rsidRDefault="005D689B">
      <w:pPr>
        <w:numPr>
          <w:ilvl w:val="1"/>
          <w:numId w:val="1"/>
        </w:numPr>
      </w:pPr>
      <w:r>
        <w:t>Clinician and patient-assessed outcomes when appropriate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121-128)</w:t>
      </w:r>
    </w:p>
    <w:p w14:paraId="00000016" w14:textId="640DFB30" w:rsidR="00E00880" w:rsidRDefault="005D689B">
      <w:pPr>
        <w:numPr>
          <w:ilvl w:val="1"/>
          <w:numId w:val="1"/>
        </w:numPr>
      </w:pPr>
      <w:r>
        <w:t>Important follow-up diagnostic and other test results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121-128)</w:t>
      </w:r>
    </w:p>
    <w:p w14:paraId="00000017" w14:textId="77777777" w:rsidR="00E00880" w:rsidRDefault="005D689B">
      <w:pPr>
        <w:numPr>
          <w:ilvl w:val="1"/>
          <w:numId w:val="1"/>
        </w:numPr>
      </w:pPr>
      <w:r>
        <w:t>Intervention adherence and tolerability (how was this assessed?)</w:t>
      </w:r>
    </w:p>
    <w:p w14:paraId="00000018" w14:textId="13ADFF93" w:rsidR="00E00880" w:rsidRDefault="005D689B">
      <w:pPr>
        <w:numPr>
          <w:ilvl w:val="1"/>
          <w:numId w:val="1"/>
        </w:numPr>
      </w:pPr>
      <w:r>
        <w:t>Adverse and unanticipated events.</w:t>
      </w:r>
      <w:r w:rsidR="003D1D02">
        <w:t xml:space="preserve"> </w:t>
      </w:r>
      <w:r w:rsidR="003D1D02" w:rsidRPr="003D1D02">
        <w:rPr>
          <w:i/>
          <w:color w:val="0070C0"/>
        </w:rPr>
        <w:t>(</w:t>
      </w:r>
      <w:r w:rsidR="003D1D02">
        <w:rPr>
          <w:i/>
          <w:color w:val="0070C0"/>
        </w:rPr>
        <w:t>None)</w:t>
      </w:r>
    </w:p>
    <w:p w14:paraId="00000019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Discussion</w:t>
      </w:r>
    </w:p>
    <w:p w14:paraId="0000001A" w14:textId="32D6E1C3" w:rsidR="00E00880" w:rsidRDefault="005D689B">
      <w:pPr>
        <w:numPr>
          <w:ilvl w:val="1"/>
          <w:numId w:val="1"/>
        </w:numPr>
      </w:pPr>
      <w:r>
        <w:t>Strengths and limitations in your approach to this case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130-192)</w:t>
      </w:r>
    </w:p>
    <w:p w14:paraId="0000001B" w14:textId="5CF01632" w:rsidR="00E00880" w:rsidRDefault="005D689B">
      <w:pPr>
        <w:numPr>
          <w:ilvl w:val="1"/>
          <w:numId w:val="1"/>
        </w:numPr>
      </w:pPr>
      <w:r>
        <w:t>Discussion of the relevant medical literature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121-176)</w:t>
      </w:r>
    </w:p>
    <w:p w14:paraId="0000001C" w14:textId="706B3344" w:rsidR="00E00880" w:rsidRDefault="005D689B">
      <w:pPr>
        <w:numPr>
          <w:ilvl w:val="1"/>
          <w:numId w:val="1"/>
        </w:numPr>
      </w:pPr>
      <w:r>
        <w:t>The rationale for your conclusions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159-166)</w:t>
      </w:r>
    </w:p>
    <w:p w14:paraId="0000001D" w14:textId="41A5E7F0" w:rsidR="00E00880" w:rsidRDefault="005D689B">
      <w:pPr>
        <w:numPr>
          <w:ilvl w:val="1"/>
          <w:numId w:val="1"/>
        </w:numPr>
      </w:pPr>
      <w:r>
        <w:t>The primary “take-away” lessons from this clinical vignette</w:t>
      </w:r>
      <w:r w:rsidR="003D1D02">
        <w:t xml:space="preserve"> </w:t>
      </w:r>
      <w:r w:rsidR="003D1D02" w:rsidRPr="003D1D02">
        <w:rPr>
          <w:i/>
          <w:color w:val="0070C0"/>
        </w:rPr>
        <w:t xml:space="preserve">(Line </w:t>
      </w:r>
      <w:r w:rsidR="003D1D02">
        <w:rPr>
          <w:i/>
          <w:color w:val="0070C0"/>
        </w:rPr>
        <w:t>178-192)</w:t>
      </w:r>
    </w:p>
    <w:p w14:paraId="0000001E" w14:textId="77777777" w:rsidR="00E00880" w:rsidRDefault="005D689B">
      <w:pPr>
        <w:numPr>
          <w:ilvl w:val="0"/>
          <w:numId w:val="1"/>
        </w:numPr>
      </w:pPr>
      <w:r>
        <w:rPr>
          <w:i/>
        </w:rPr>
        <w:t>Patient Perspective</w:t>
      </w:r>
      <w:r>
        <w:t xml:space="preserve"> (optional) – The patient can share their perspective on their case</w:t>
      </w:r>
    </w:p>
    <w:p w14:paraId="0000001F" w14:textId="3D0DB174" w:rsidR="00E00880" w:rsidRDefault="005D689B">
      <w:pPr>
        <w:numPr>
          <w:ilvl w:val="0"/>
          <w:numId w:val="1"/>
        </w:numPr>
      </w:pPr>
      <w:r>
        <w:rPr>
          <w:i/>
        </w:rPr>
        <w:t>Informed Consent</w:t>
      </w:r>
      <w:r>
        <w:t xml:space="preserve"> – The patient should give informed consent</w:t>
      </w:r>
      <w:r w:rsidR="003D1D02">
        <w:t xml:space="preserve"> </w:t>
      </w:r>
      <w:r w:rsidR="003D1D02" w:rsidRPr="003D1D02">
        <w:rPr>
          <w:i/>
          <w:color w:val="0070C0"/>
        </w:rPr>
        <w:t>(Verbal consent provided)</w:t>
      </w:r>
    </w:p>
    <w:p w14:paraId="00000020" w14:textId="77777777" w:rsidR="00E00880" w:rsidRDefault="005D689B">
      <w:pPr>
        <w:numPr>
          <w:ilvl w:val="0"/>
          <w:numId w:val="1"/>
        </w:numPr>
        <w:rPr>
          <w:i/>
        </w:rPr>
      </w:pPr>
      <w:r>
        <w:rPr>
          <w:i/>
        </w:rPr>
        <w:t>Educational Interactivity</w:t>
      </w:r>
    </w:p>
    <w:p w14:paraId="00000021" w14:textId="1A3847D3" w:rsidR="00E00880" w:rsidRPr="000723D8" w:rsidRDefault="005D689B">
      <w:pPr>
        <w:numPr>
          <w:ilvl w:val="1"/>
          <w:numId w:val="1"/>
        </w:numPr>
        <w:rPr>
          <w:i/>
          <w:color w:val="0070C0"/>
        </w:rPr>
      </w:pPr>
      <w:r>
        <w:t xml:space="preserve">Transitional questions aimed to prime reader’s critical thinking (e.g. What is your leading differential with the following </w:t>
      </w:r>
      <w:proofErr w:type="gramStart"/>
      <w:r>
        <w:t>symptoms?;</w:t>
      </w:r>
      <w:proofErr w:type="gramEnd"/>
      <w:r>
        <w:t xml:space="preserve"> How would you design a focused exam?; What laboratory/diagnostic tests would you consider?)</w:t>
      </w:r>
      <w:r w:rsidR="000723D8">
        <w:t xml:space="preserve"> </w:t>
      </w:r>
      <w:r w:rsidR="000723D8" w:rsidRPr="000723D8">
        <w:rPr>
          <w:i/>
          <w:color w:val="0070C0"/>
        </w:rPr>
        <w:t xml:space="preserve">(Lines 64-65, </w:t>
      </w:r>
      <w:r w:rsidR="000723D8">
        <w:rPr>
          <w:i/>
          <w:color w:val="0070C0"/>
        </w:rPr>
        <w:t>90-92, 103-105)</w:t>
      </w:r>
    </w:p>
    <w:p w14:paraId="00000022" w14:textId="7F054F6D" w:rsidR="00E00880" w:rsidRDefault="005D689B">
      <w:pPr>
        <w:numPr>
          <w:ilvl w:val="1"/>
          <w:numId w:val="1"/>
        </w:numPr>
      </w:pPr>
      <w:r>
        <w:t>Describe pathognomonic signs/symptoms, physical exam findings, and/or radiographic findings.</w:t>
      </w:r>
      <w:r w:rsidR="000723D8">
        <w:t xml:space="preserve"> </w:t>
      </w:r>
      <w:r w:rsidR="000723D8" w:rsidRPr="000723D8">
        <w:rPr>
          <w:i/>
          <w:color w:val="0070C0"/>
        </w:rPr>
        <w:t>(Lines 69-78)</w:t>
      </w:r>
    </w:p>
    <w:p w14:paraId="00000023" w14:textId="624B2ED2" w:rsidR="00E00880" w:rsidRDefault="005D689B">
      <w:pPr>
        <w:numPr>
          <w:ilvl w:val="1"/>
          <w:numId w:val="1"/>
        </w:numPr>
      </w:pPr>
      <w:r>
        <w:t>Discuss testable features (i.e., describe how this could appear on a board exam).</w:t>
      </w:r>
      <w:r w:rsidR="000723D8">
        <w:t xml:space="preserve"> </w:t>
      </w:r>
      <w:r w:rsidR="000723D8" w:rsidRPr="000723D8">
        <w:rPr>
          <w:i/>
          <w:color w:val="0070C0"/>
        </w:rPr>
        <w:t xml:space="preserve">(Lines </w:t>
      </w:r>
      <w:r w:rsidR="000723D8">
        <w:rPr>
          <w:i/>
          <w:color w:val="0070C0"/>
        </w:rPr>
        <w:t xml:space="preserve">73-78; this case discusses a unique presentation of radiculopathy after lower extremity amputation – a rare entity in itself with limited medical literature to </w:t>
      </w:r>
      <w:r w:rsidR="000723D8">
        <w:rPr>
          <w:i/>
          <w:color w:val="0070C0"/>
        </w:rPr>
        <w:lastRenderedPageBreak/>
        <w:t>date as such it would not be appropriate to create an objective board exam/relevant test question from this report</w:t>
      </w:r>
      <w:r w:rsidR="000723D8" w:rsidRPr="000723D8">
        <w:rPr>
          <w:i/>
          <w:color w:val="0070C0"/>
        </w:rPr>
        <w:t>)</w:t>
      </w:r>
    </w:p>
    <w:p w14:paraId="00000024" w14:textId="77777777" w:rsidR="00E00880" w:rsidRDefault="00E00880"/>
    <w:sectPr w:rsidR="00E008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2FDA"/>
    <w:multiLevelType w:val="multilevel"/>
    <w:tmpl w:val="D69EF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80"/>
    <w:rsid w:val="000723D8"/>
    <w:rsid w:val="00187F35"/>
    <w:rsid w:val="003D1D02"/>
    <w:rsid w:val="005D689B"/>
    <w:rsid w:val="007B6AEF"/>
    <w:rsid w:val="00D765D9"/>
    <w:rsid w:val="00E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E90F"/>
  <w15:docId w15:val="{C8F0BA79-FA48-C44A-AD9E-588BB4CE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Annastasia Pratt</dc:creator>
  <cp:lastModifiedBy>Kemly</cp:lastModifiedBy>
  <cp:revision>2</cp:revision>
  <dcterms:created xsi:type="dcterms:W3CDTF">2020-06-26T03:04:00Z</dcterms:created>
  <dcterms:modified xsi:type="dcterms:W3CDTF">2020-06-26T03:04:00Z</dcterms:modified>
</cp:coreProperties>
</file>