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261" w:rsidRPr="005C5499" w:rsidRDefault="00170261" w:rsidP="00170261">
      <w:pPr>
        <w:pStyle w:val="Heading2"/>
      </w:pPr>
      <w:bookmarkStart w:id="0" w:name="_Toc388193207"/>
      <w:bookmarkStart w:id="1" w:name="_GoBack"/>
      <w:bookmarkEnd w:id="1"/>
      <w:r w:rsidRPr="005C5499">
        <w:t xml:space="preserve">Table </w:t>
      </w:r>
      <w:r>
        <w:t>7</w:t>
      </w:r>
      <w:r w:rsidRPr="005C5499">
        <w:t>. Studies of Long Term Follow-Up</w:t>
      </w:r>
      <w:bookmarkEnd w:id="0"/>
    </w:p>
    <w:p w:rsidR="00170261" w:rsidRPr="005C5499" w:rsidRDefault="00170261" w:rsidP="00170261">
      <w:pPr>
        <w:spacing w:line="360" w:lineRule="auto"/>
        <w:rPr>
          <w:rFonts w:ascii="Times New Roman" w:hAnsi="Times New Roman" w:cs="Times New Roman"/>
        </w:rPr>
      </w:pPr>
    </w:p>
    <w:tbl>
      <w:tblPr>
        <w:tblStyle w:val="TableGrid"/>
        <w:tblW w:w="5000" w:type="pct"/>
        <w:tblLook w:val="04A0" w:firstRow="1" w:lastRow="0" w:firstColumn="1" w:lastColumn="0" w:noHBand="0" w:noVBand="1"/>
      </w:tblPr>
      <w:tblGrid>
        <w:gridCol w:w="1305"/>
        <w:gridCol w:w="1249"/>
        <w:gridCol w:w="1963"/>
        <w:gridCol w:w="1262"/>
        <w:gridCol w:w="7397"/>
      </w:tblGrid>
      <w:tr w:rsidR="00170261" w:rsidRPr="005C5499" w:rsidTr="00365589">
        <w:trPr>
          <w:trHeight w:val="710"/>
        </w:trPr>
        <w:tc>
          <w:tcPr>
            <w:tcW w:w="495" w:type="pct"/>
            <w:hideMark/>
          </w:tcPr>
          <w:p w:rsidR="00170261" w:rsidRPr="005C5499" w:rsidRDefault="00170261" w:rsidP="00365589">
            <w:pPr>
              <w:spacing w:line="360" w:lineRule="auto"/>
              <w:jc w:val="center"/>
              <w:rPr>
                <w:rFonts w:ascii="Times New Roman" w:hAnsi="Times New Roman" w:cs="Times New Roman"/>
                <w:b/>
                <w:bCs/>
                <w:sz w:val="20"/>
                <w:szCs w:val="20"/>
              </w:rPr>
            </w:pPr>
            <w:r w:rsidRPr="005C5499">
              <w:rPr>
                <w:rFonts w:ascii="Times New Roman" w:hAnsi="Times New Roman" w:cs="Times New Roman"/>
                <w:b/>
                <w:bCs/>
                <w:sz w:val="20"/>
                <w:szCs w:val="20"/>
              </w:rPr>
              <w:t>Author, Year, Journal</w:t>
            </w:r>
          </w:p>
        </w:tc>
        <w:tc>
          <w:tcPr>
            <w:tcW w:w="474" w:type="pct"/>
            <w:hideMark/>
          </w:tcPr>
          <w:p w:rsidR="00170261" w:rsidRPr="005C5499" w:rsidRDefault="00170261" w:rsidP="00365589">
            <w:pPr>
              <w:spacing w:line="360" w:lineRule="auto"/>
              <w:jc w:val="center"/>
              <w:rPr>
                <w:rFonts w:ascii="Times New Roman" w:hAnsi="Times New Roman" w:cs="Times New Roman"/>
                <w:b/>
                <w:bCs/>
                <w:sz w:val="20"/>
                <w:szCs w:val="20"/>
              </w:rPr>
            </w:pPr>
            <w:r w:rsidRPr="005C5499">
              <w:rPr>
                <w:rFonts w:ascii="Times New Roman" w:hAnsi="Times New Roman" w:cs="Times New Roman"/>
                <w:b/>
                <w:bCs/>
                <w:sz w:val="20"/>
                <w:szCs w:val="20"/>
              </w:rPr>
              <w:t>Study Design / Level of Evidence</w:t>
            </w:r>
          </w:p>
        </w:tc>
        <w:tc>
          <w:tcPr>
            <w:tcW w:w="745" w:type="pct"/>
            <w:hideMark/>
          </w:tcPr>
          <w:p w:rsidR="00170261" w:rsidRPr="005C5499" w:rsidRDefault="00170261" w:rsidP="00365589">
            <w:pPr>
              <w:spacing w:line="360" w:lineRule="auto"/>
              <w:jc w:val="center"/>
              <w:rPr>
                <w:rFonts w:ascii="Times New Roman" w:hAnsi="Times New Roman" w:cs="Times New Roman"/>
                <w:b/>
                <w:bCs/>
                <w:sz w:val="20"/>
                <w:szCs w:val="20"/>
              </w:rPr>
            </w:pPr>
            <w:r w:rsidRPr="005C5499">
              <w:rPr>
                <w:rFonts w:ascii="Times New Roman" w:hAnsi="Times New Roman" w:cs="Times New Roman"/>
                <w:b/>
                <w:bCs/>
                <w:sz w:val="20"/>
                <w:szCs w:val="20"/>
              </w:rPr>
              <w:t>Participants</w:t>
            </w:r>
          </w:p>
        </w:tc>
        <w:tc>
          <w:tcPr>
            <w:tcW w:w="479" w:type="pct"/>
          </w:tcPr>
          <w:p w:rsidR="00170261" w:rsidRPr="005C5499" w:rsidRDefault="00170261" w:rsidP="00365589">
            <w:pPr>
              <w:spacing w:line="360" w:lineRule="auto"/>
              <w:jc w:val="center"/>
              <w:rPr>
                <w:rFonts w:ascii="Times New Roman" w:hAnsi="Times New Roman" w:cs="Times New Roman"/>
                <w:b/>
                <w:bCs/>
                <w:sz w:val="20"/>
                <w:szCs w:val="20"/>
              </w:rPr>
            </w:pPr>
            <w:r w:rsidRPr="005C5499">
              <w:rPr>
                <w:rFonts w:ascii="Times New Roman" w:hAnsi="Times New Roman" w:cs="Times New Roman"/>
                <w:b/>
                <w:bCs/>
                <w:sz w:val="20"/>
                <w:szCs w:val="20"/>
              </w:rPr>
              <w:t>Residual CMT</w:t>
            </w:r>
          </w:p>
        </w:tc>
        <w:tc>
          <w:tcPr>
            <w:tcW w:w="2807" w:type="pct"/>
            <w:hideMark/>
          </w:tcPr>
          <w:p w:rsidR="00170261" w:rsidRPr="005C5499" w:rsidRDefault="00170261" w:rsidP="00365589">
            <w:pPr>
              <w:spacing w:line="360" w:lineRule="auto"/>
              <w:jc w:val="center"/>
              <w:rPr>
                <w:rFonts w:ascii="Times New Roman" w:hAnsi="Times New Roman" w:cs="Times New Roman"/>
                <w:b/>
                <w:bCs/>
                <w:sz w:val="20"/>
                <w:szCs w:val="20"/>
              </w:rPr>
            </w:pPr>
            <w:r w:rsidRPr="005C5499">
              <w:rPr>
                <w:rFonts w:ascii="Times New Roman" w:hAnsi="Times New Roman" w:cs="Times New Roman"/>
                <w:b/>
                <w:bCs/>
                <w:sz w:val="20"/>
                <w:szCs w:val="20"/>
              </w:rPr>
              <w:t>Developmental Outcome</w:t>
            </w:r>
          </w:p>
        </w:tc>
      </w:tr>
      <w:tr w:rsidR="00170261" w:rsidRPr="005C5499" w:rsidTr="00365589">
        <w:trPr>
          <w:trHeight w:val="1250"/>
        </w:trPr>
        <w:tc>
          <w:tcPr>
            <w:tcW w:w="495" w:type="pct"/>
          </w:tcPr>
          <w:p w:rsidR="00170261" w:rsidRPr="005C5499" w:rsidRDefault="00170261" w:rsidP="00365589">
            <w:pPr>
              <w:spacing w:line="360" w:lineRule="auto"/>
              <w:rPr>
                <w:rFonts w:ascii="Times New Roman" w:hAnsi="Times New Roman" w:cs="Times New Roman"/>
                <w:iCs/>
                <w:sz w:val="20"/>
                <w:szCs w:val="20"/>
              </w:rPr>
            </w:pPr>
            <w:r w:rsidRPr="005C5499">
              <w:rPr>
                <w:rFonts w:ascii="Times New Roman" w:hAnsi="Times New Roman" w:cs="Times New Roman"/>
                <w:iCs/>
                <w:sz w:val="20"/>
                <w:szCs w:val="20"/>
              </w:rPr>
              <w:t>Cabrera-</w:t>
            </w:r>
            <w:proofErr w:type="spellStart"/>
            <w:r w:rsidRPr="005C5499">
              <w:rPr>
                <w:rFonts w:ascii="Times New Roman" w:hAnsi="Times New Roman" w:cs="Times New Roman"/>
                <w:iCs/>
                <w:sz w:val="20"/>
                <w:szCs w:val="20"/>
              </w:rPr>
              <w:t>Martos</w:t>
            </w:r>
            <w:proofErr w:type="spellEnd"/>
            <w:r w:rsidRPr="005C5499">
              <w:rPr>
                <w:rFonts w:ascii="Times New Roman" w:hAnsi="Times New Roman" w:cs="Times New Roman"/>
                <w:iCs/>
                <w:sz w:val="20"/>
                <w:szCs w:val="20"/>
              </w:rPr>
              <w:t xml:space="preserve">. 2015. </w:t>
            </w:r>
          </w:p>
        </w:tc>
        <w:tc>
          <w:tcPr>
            <w:tcW w:w="474" w:type="pct"/>
          </w:tcPr>
          <w:p w:rsidR="00170261" w:rsidRPr="005C5499" w:rsidRDefault="00170261" w:rsidP="00365589">
            <w:pPr>
              <w:spacing w:line="360" w:lineRule="auto"/>
              <w:rPr>
                <w:rFonts w:ascii="Times New Roman" w:hAnsi="Times New Roman" w:cs="Times New Roman"/>
                <w:sz w:val="20"/>
                <w:szCs w:val="20"/>
              </w:rPr>
            </w:pPr>
            <w:proofErr w:type="gramStart"/>
            <w:r w:rsidRPr="005C5499">
              <w:rPr>
                <w:rFonts w:ascii="Times New Roman" w:hAnsi="Times New Roman" w:cs="Times New Roman"/>
                <w:sz w:val="20"/>
                <w:szCs w:val="20"/>
              </w:rPr>
              <w:t>prospective</w:t>
            </w:r>
            <w:proofErr w:type="gramEnd"/>
            <w:r w:rsidRPr="005C5499">
              <w:rPr>
                <w:rFonts w:ascii="Times New Roman" w:hAnsi="Times New Roman" w:cs="Times New Roman"/>
                <w:sz w:val="20"/>
                <w:szCs w:val="20"/>
              </w:rPr>
              <w:t xml:space="preserve"> cohort</w:t>
            </w:r>
          </w:p>
        </w:tc>
        <w:tc>
          <w:tcPr>
            <w:tcW w:w="745" w:type="pct"/>
          </w:tcPr>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t xml:space="preserve">175 infants with DP with or without torticollis followed from initiation of </w:t>
            </w:r>
            <w:proofErr w:type="spellStart"/>
            <w:r w:rsidRPr="005C5499">
              <w:rPr>
                <w:rFonts w:ascii="Times New Roman" w:hAnsi="Times New Roman" w:cs="Times New Roman"/>
                <w:sz w:val="20"/>
                <w:szCs w:val="20"/>
              </w:rPr>
              <w:t>tx</w:t>
            </w:r>
            <w:proofErr w:type="spellEnd"/>
            <w:r w:rsidRPr="005C5499">
              <w:rPr>
                <w:rFonts w:ascii="Times New Roman" w:hAnsi="Times New Roman" w:cs="Times New Roman"/>
                <w:sz w:val="20"/>
                <w:szCs w:val="20"/>
              </w:rPr>
              <w:t xml:space="preserve"> for DP and/or torticollis until standing without support (Spain)</w:t>
            </w:r>
          </w:p>
        </w:tc>
        <w:tc>
          <w:tcPr>
            <w:tcW w:w="479" w:type="pct"/>
          </w:tcPr>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t>NA</w:t>
            </w:r>
          </w:p>
        </w:tc>
        <w:tc>
          <w:tcPr>
            <w:tcW w:w="2807" w:type="pct"/>
          </w:tcPr>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t xml:space="preserve">Infants with DP without torticollis acquired creeping and unsupported standing later than infants with DP and torticollis when adjusting for the severity of DP and age at referral to treatment. There was no difference in the age of acquisition of rolling and sitting. </w:t>
            </w:r>
          </w:p>
          <w:p w:rsidR="00170261" w:rsidRPr="005C5499" w:rsidRDefault="00170261" w:rsidP="00365589">
            <w:pPr>
              <w:spacing w:line="360" w:lineRule="auto"/>
              <w:rPr>
                <w:rFonts w:ascii="Times New Roman" w:hAnsi="Times New Roman" w:cs="Times New Roman"/>
                <w:sz w:val="20"/>
                <w:szCs w:val="20"/>
              </w:rPr>
            </w:pPr>
          </w:p>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t xml:space="preserve">Mean age of acquisition of skills in all infants was 7.5 </w:t>
            </w:r>
            <w:proofErr w:type="spellStart"/>
            <w:r w:rsidRPr="005C5499">
              <w:rPr>
                <w:rFonts w:ascii="Times New Roman" w:hAnsi="Times New Roman" w:cs="Times New Roman"/>
                <w:sz w:val="20"/>
                <w:szCs w:val="20"/>
              </w:rPr>
              <w:t>mo</w:t>
            </w:r>
            <w:proofErr w:type="spellEnd"/>
            <w:r w:rsidRPr="005C5499">
              <w:rPr>
                <w:rFonts w:ascii="Times New Roman" w:hAnsi="Times New Roman" w:cs="Times New Roman"/>
                <w:sz w:val="20"/>
                <w:szCs w:val="20"/>
              </w:rPr>
              <w:t xml:space="preserve"> for rolling, 8.7 </w:t>
            </w:r>
            <w:proofErr w:type="spellStart"/>
            <w:proofErr w:type="gramStart"/>
            <w:r w:rsidRPr="005C5499">
              <w:rPr>
                <w:rFonts w:ascii="Times New Roman" w:hAnsi="Times New Roman" w:cs="Times New Roman"/>
                <w:sz w:val="20"/>
                <w:szCs w:val="20"/>
              </w:rPr>
              <w:t>mo</w:t>
            </w:r>
            <w:proofErr w:type="spellEnd"/>
            <w:proofErr w:type="gramEnd"/>
            <w:r w:rsidRPr="005C5499">
              <w:rPr>
                <w:rFonts w:ascii="Times New Roman" w:hAnsi="Times New Roman" w:cs="Times New Roman"/>
                <w:sz w:val="20"/>
                <w:szCs w:val="20"/>
              </w:rPr>
              <w:t xml:space="preserve"> for sitting without support, 11.3 </w:t>
            </w:r>
            <w:proofErr w:type="spellStart"/>
            <w:r w:rsidRPr="005C5499">
              <w:rPr>
                <w:rFonts w:ascii="Times New Roman" w:hAnsi="Times New Roman" w:cs="Times New Roman"/>
                <w:sz w:val="20"/>
                <w:szCs w:val="20"/>
              </w:rPr>
              <w:t>mo</w:t>
            </w:r>
            <w:proofErr w:type="spellEnd"/>
            <w:r w:rsidRPr="005C5499">
              <w:rPr>
                <w:rFonts w:ascii="Times New Roman" w:hAnsi="Times New Roman" w:cs="Times New Roman"/>
                <w:sz w:val="20"/>
                <w:szCs w:val="20"/>
              </w:rPr>
              <w:t xml:space="preserve"> for creeping, and 12.3 </w:t>
            </w:r>
            <w:proofErr w:type="spellStart"/>
            <w:r w:rsidRPr="005C5499">
              <w:rPr>
                <w:rFonts w:ascii="Times New Roman" w:hAnsi="Times New Roman" w:cs="Times New Roman"/>
                <w:sz w:val="20"/>
                <w:szCs w:val="20"/>
              </w:rPr>
              <w:t>mo</w:t>
            </w:r>
            <w:proofErr w:type="spellEnd"/>
            <w:r w:rsidRPr="005C5499">
              <w:rPr>
                <w:rFonts w:ascii="Times New Roman" w:hAnsi="Times New Roman" w:cs="Times New Roman"/>
                <w:sz w:val="20"/>
                <w:szCs w:val="20"/>
              </w:rPr>
              <w:t xml:space="preserve"> for standing without support.</w:t>
            </w:r>
          </w:p>
          <w:p w:rsidR="00170261" w:rsidRPr="005C5499" w:rsidRDefault="00170261" w:rsidP="00365589">
            <w:pPr>
              <w:spacing w:line="360" w:lineRule="auto"/>
              <w:rPr>
                <w:rFonts w:ascii="Times New Roman" w:hAnsi="Times New Roman" w:cs="Times New Roman"/>
                <w:sz w:val="20"/>
                <w:szCs w:val="20"/>
              </w:rPr>
            </w:pPr>
          </w:p>
        </w:tc>
      </w:tr>
      <w:tr w:rsidR="00170261" w:rsidRPr="005C5499" w:rsidTr="00365589">
        <w:trPr>
          <w:trHeight w:val="800"/>
        </w:trPr>
        <w:tc>
          <w:tcPr>
            <w:tcW w:w="495" w:type="pct"/>
          </w:tcPr>
          <w:p w:rsidR="00170261" w:rsidRPr="005C5499" w:rsidRDefault="00170261" w:rsidP="00365589">
            <w:pPr>
              <w:spacing w:line="360" w:lineRule="auto"/>
              <w:rPr>
                <w:rFonts w:ascii="Times New Roman" w:hAnsi="Times New Roman" w:cs="Times New Roman"/>
                <w:iCs/>
                <w:sz w:val="20"/>
                <w:szCs w:val="20"/>
              </w:rPr>
            </w:pPr>
            <w:proofErr w:type="spellStart"/>
            <w:r w:rsidRPr="005C5499">
              <w:rPr>
                <w:rFonts w:ascii="Times New Roman" w:hAnsi="Times New Roman" w:cs="Times New Roman"/>
                <w:iCs/>
                <w:sz w:val="20"/>
                <w:szCs w:val="20"/>
              </w:rPr>
              <w:t>Ohman</w:t>
            </w:r>
            <w:proofErr w:type="spellEnd"/>
            <w:r w:rsidRPr="005C5499">
              <w:rPr>
                <w:rFonts w:ascii="Times New Roman" w:hAnsi="Times New Roman" w:cs="Times New Roman"/>
                <w:iCs/>
                <w:sz w:val="20"/>
                <w:szCs w:val="20"/>
              </w:rPr>
              <w:t>. 2013</w:t>
            </w:r>
          </w:p>
        </w:tc>
        <w:tc>
          <w:tcPr>
            <w:tcW w:w="474" w:type="pct"/>
          </w:tcPr>
          <w:p w:rsidR="00170261" w:rsidRPr="005C5499" w:rsidRDefault="00170261" w:rsidP="00365589">
            <w:pPr>
              <w:spacing w:line="360" w:lineRule="auto"/>
              <w:rPr>
                <w:rFonts w:ascii="Times New Roman" w:hAnsi="Times New Roman" w:cs="Times New Roman"/>
                <w:sz w:val="20"/>
                <w:szCs w:val="20"/>
              </w:rPr>
            </w:pPr>
            <w:proofErr w:type="gramStart"/>
            <w:r w:rsidRPr="005C5499">
              <w:rPr>
                <w:rFonts w:ascii="Times New Roman" w:hAnsi="Times New Roman" w:cs="Times New Roman"/>
                <w:sz w:val="20"/>
                <w:szCs w:val="20"/>
              </w:rPr>
              <w:t>cohort</w:t>
            </w:r>
            <w:proofErr w:type="gramEnd"/>
          </w:p>
        </w:tc>
        <w:tc>
          <w:tcPr>
            <w:tcW w:w="745" w:type="pct"/>
          </w:tcPr>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t xml:space="preserve">58 children with history of CMT followed up at 3.5-5 </w:t>
            </w:r>
            <w:proofErr w:type="spellStart"/>
            <w:r w:rsidRPr="005C5499">
              <w:rPr>
                <w:rFonts w:ascii="Times New Roman" w:hAnsi="Times New Roman" w:cs="Times New Roman"/>
                <w:sz w:val="20"/>
                <w:szCs w:val="20"/>
              </w:rPr>
              <w:t>yrs</w:t>
            </w:r>
            <w:proofErr w:type="spellEnd"/>
            <w:r w:rsidRPr="005C5499">
              <w:rPr>
                <w:rFonts w:ascii="Times New Roman" w:hAnsi="Times New Roman" w:cs="Times New Roman"/>
                <w:sz w:val="20"/>
                <w:szCs w:val="20"/>
              </w:rPr>
              <w:t xml:space="preserve"> (Sweden)</w:t>
            </w:r>
          </w:p>
        </w:tc>
        <w:tc>
          <w:tcPr>
            <w:tcW w:w="479" w:type="pct"/>
          </w:tcPr>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t xml:space="preserve">7% had a head tilt.  </w:t>
            </w:r>
          </w:p>
        </w:tc>
        <w:tc>
          <w:tcPr>
            <w:tcW w:w="2807" w:type="pct"/>
          </w:tcPr>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t xml:space="preserve">At 3.5-5 </w:t>
            </w:r>
            <w:proofErr w:type="spellStart"/>
            <w:r w:rsidRPr="005C5499">
              <w:rPr>
                <w:rFonts w:ascii="Times New Roman" w:hAnsi="Times New Roman" w:cs="Times New Roman"/>
                <w:sz w:val="20"/>
                <w:szCs w:val="20"/>
              </w:rPr>
              <w:t>yrs</w:t>
            </w:r>
            <w:proofErr w:type="spellEnd"/>
            <w:r w:rsidRPr="005C5499">
              <w:rPr>
                <w:rFonts w:ascii="Times New Roman" w:hAnsi="Times New Roman" w:cs="Times New Roman"/>
                <w:sz w:val="20"/>
                <w:szCs w:val="20"/>
              </w:rPr>
              <w:t xml:space="preserve">, 7% (3/58) had a head tilt considered to be distinct (2) or extensive (1, received surgery).  </w:t>
            </w:r>
          </w:p>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t xml:space="preserve">At 3.3-5 </w:t>
            </w:r>
            <w:proofErr w:type="spellStart"/>
            <w:r w:rsidRPr="005C5499">
              <w:rPr>
                <w:rFonts w:ascii="Times New Roman" w:hAnsi="Times New Roman" w:cs="Times New Roman"/>
                <w:sz w:val="20"/>
                <w:szCs w:val="20"/>
              </w:rPr>
              <w:t>yrs</w:t>
            </w:r>
            <w:proofErr w:type="spellEnd"/>
            <w:r w:rsidRPr="005C5499">
              <w:rPr>
                <w:rFonts w:ascii="Times New Roman" w:hAnsi="Times New Roman" w:cs="Times New Roman"/>
                <w:sz w:val="20"/>
                <w:szCs w:val="20"/>
              </w:rPr>
              <w:t xml:space="preserve">, 26% (15/58) had some degree of asymmetry in PROM. The clinical significance is uncertain because only children with CMT were followed. All had ≥ 85° of rotation PROM to each side, and 7 children had a lateral flexion PROM difference between sides of only 5-10°; it’s not clear if age matched children without CMT would present with similar results. </w:t>
            </w:r>
          </w:p>
        </w:tc>
      </w:tr>
      <w:tr w:rsidR="00170261" w:rsidRPr="005C5499" w:rsidTr="00365589">
        <w:trPr>
          <w:trHeight w:val="800"/>
        </w:trPr>
        <w:tc>
          <w:tcPr>
            <w:tcW w:w="495" w:type="pct"/>
          </w:tcPr>
          <w:p w:rsidR="00170261" w:rsidRPr="005C5499" w:rsidRDefault="00170261" w:rsidP="00365589">
            <w:pPr>
              <w:spacing w:line="360" w:lineRule="auto"/>
              <w:rPr>
                <w:rFonts w:ascii="Times New Roman" w:hAnsi="Times New Roman" w:cs="Times New Roman"/>
                <w:iCs/>
                <w:sz w:val="20"/>
                <w:szCs w:val="20"/>
              </w:rPr>
            </w:pPr>
            <w:proofErr w:type="spellStart"/>
            <w:r w:rsidRPr="005C5499">
              <w:rPr>
                <w:rFonts w:ascii="Times New Roman" w:hAnsi="Times New Roman" w:cs="Times New Roman"/>
                <w:iCs/>
                <w:sz w:val="20"/>
                <w:szCs w:val="20"/>
              </w:rPr>
              <w:t>Ohman</w:t>
            </w:r>
            <w:proofErr w:type="spellEnd"/>
            <w:r w:rsidRPr="005C5499">
              <w:rPr>
                <w:rFonts w:ascii="Times New Roman" w:hAnsi="Times New Roman" w:cs="Times New Roman"/>
                <w:iCs/>
                <w:sz w:val="20"/>
                <w:szCs w:val="20"/>
              </w:rPr>
              <w:t>, 2009</w:t>
            </w:r>
          </w:p>
        </w:tc>
        <w:tc>
          <w:tcPr>
            <w:tcW w:w="474" w:type="pct"/>
          </w:tcPr>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t>Case control</w:t>
            </w:r>
          </w:p>
        </w:tc>
        <w:tc>
          <w:tcPr>
            <w:tcW w:w="745" w:type="pct"/>
          </w:tcPr>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t xml:space="preserve">122 infants with and without CMT at 2-18 </w:t>
            </w:r>
            <w:proofErr w:type="spellStart"/>
            <w:r w:rsidRPr="005C5499">
              <w:rPr>
                <w:rFonts w:ascii="Times New Roman" w:hAnsi="Times New Roman" w:cs="Times New Roman"/>
                <w:sz w:val="20"/>
                <w:szCs w:val="20"/>
              </w:rPr>
              <w:t>mo</w:t>
            </w:r>
            <w:proofErr w:type="spellEnd"/>
            <w:r w:rsidRPr="005C5499">
              <w:rPr>
                <w:rFonts w:ascii="Times New Roman" w:hAnsi="Times New Roman" w:cs="Times New Roman"/>
                <w:sz w:val="20"/>
                <w:szCs w:val="20"/>
              </w:rPr>
              <w:t xml:space="preserve"> of age (Sweden)</w:t>
            </w:r>
          </w:p>
          <w:p w:rsidR="00170261" w:rsidRPr="005C5499" w:rsidRDefault="00170261" w:rsidP="00365589">
            <w:pPr>
              <w:spacing w:line="360" w:lineRule="auto"/>
              <w:rPr>
                <w:rFonts w:ascii="Times New Roman" w:hAnsi="Times New Roman" w:cs="Times New Roman"/>
                <w:sz w:val="20"/>
                <w:szCs w:val="20"/>
              </w:rPr>
            </w:pPr>
          </w:p>
        </w:tc>
        <w:tc>
          <w:tcPr>
            <w:tcW w:w="479" w:type="pct"/>
          </w:tcPr>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t xml:space="preserve">At 10 </w:t>
            </w:r>
            <w:proofErr w:type="spellStart"/>
            <w:proofErr w:type="gramStart"/>
            <w:r w:rsidRPr="005C5499">
              <w:rPr>
                <w:rFonts w:ascii="Times New Roman" w:hAnsi="Times New Roman" w:cs="Times New Roman"/>
                <w:sz w:val="20"/>
                <w:szCs w:val="20"/>
              </w:rPr>
              <w:t>mo</w:t>
            </w:r>
            <w:proofErr w:type="spellEnd"/>
            <w:proofErr w:type="gramEnd"/>
            <w:r w:rsidRPr="005C5499">
              <w:rPr>
                <w:rFonts w:ascii="Times New Roman" w:hAnsi="Times New Roman" w:cs="Times New Roman"/>
                <w:sz w:val="20"/>
                <w:szCs w:val="20"/>
              </w:rPr>
              <w:t xml:space="preserve">, 47% (n=27/57) had </w:t>
            </w:r>
            <w:r w:rsidRPr="005C5499">
              <w:rPr>
                <w:rFonts w:ascii="Times New Roman" w:hAnsi="Times New Roman" w:cs="Times New Roman"/>
                <w:sz w:val="20"/>
                <w:szCs w:val="20"/>
              </w:rPr>
              <w:lastRenderedPageBreak/>
              <w:t>evidence of CMT.</w:t>
            </w:r>
          </w:p>
          <w:p w:rsidR="00170261" w:rsidRPr="005C5499" w:rsidRDefault="00170261" w:rsidP="00365589">
            <w:pPr>
              <w:spacing w:line="360" w:lineRule="auto"/>
              <w:rPr>
                <w:rFonts w:ascii="Times New Roman" w:hAnsi="Times New Roman" w:cs="Times New Roman"/>
                <w:sz w:val="20"/>
                <w:szCs w:val="20"/>
              </w:rPr>
            </w:pPr>
          </w:p>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t xml:space="preserve">At 18 </w:t>
            </w:r>
            <w:proofErr w:type="spellStart"/>
            <w:proofErr w:type="gramStart"/>
            <w:r w:rsidRPr="005C5499">
              <w:rPr>
                <w:rFonts w:ascii="Times New Roman" w:hAnsi="Times New Roman" w:cs="Times New Roman"/>
                <w:sz w:val="20"/>
                <w:szCs w:val="20"/>
              </w:rPr>
              <w:t>mo</w:t>
            </w:r>
            <w:proofErr w:type="spellEnd"/>
            <w:proofErr w:type="gramEnd"/>
            <w:r w:rsidRPr="005C5499">
              <w:rPr>
                <w:rFonts w:ascii="Times New Roman" w:hAnsi="Times New Roman" w:cs="Times New Roman"/>
                <w:sz w:val="20"/>
                <w:szCs w:val="20"/>
              </w:rPr>
              <w:t>, 6 infants still had evidence of CMT.</w:t>
            </w:r>
          </w:p>
        </w:tc>
        <w:tc>
          <w:tcPr>
            <w:tcW w:w="2807" w:type="pct"/>
          </w:tcPr>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lastRenderedPageBreak/>
              <w:t xml:space="preserve">At 2 </w:t>
            </w:r>
            <w:proofErr w:type="spellStart"/>
            <w:r w:rsidRPr="005C5499">
              <w:rPr>
                <w:rFonts w:ascii="Times New Roman" w:hAnsi="Times New Roman" w:cs="Times New Roman"/>
                <w:sz w:val="20"/>
                <w:szCs w:val="20"/>
              </w:rPr>
              <w:t>mos</w:t>
            </w:r>
            <w:proofErr w:type="spellEnd"/>
            <w:r w:rsidRPr="005C5499">
              <w:rPr>
                <w:rFonts w:ascii="Times New Roman" w:hAnsi="Times New Roman" w:cs="Times New Roman"/>
                <w:sz w:val="20"/>
                <w:szCs w:val="20"/>
              </w:rPr>
              <w:t>, gross motor function of 38% (n=11/25) of infants with CMT, compared to without CMT (11%, n=4/35), was ≤ 10</w:t>
            </w:r>
            <w:r w:rsidRPr="005C5499">
              <w:rPr>
                <w:rFonts w:ascii="Times New Roman" w:hAnsi="Times New Roman" w:cs="Times New Roman"/>
                <w:sz w:val="20"/>
                <w:szCs w:val="20"/>
                <w:vertAlign w:val="superscript"/>
              </w:rPr>
              <w:t>th</w:t>
            </w:r>
            <w:r w:rsidRPr="005C5499">
              <w:rPr>
                <w:rFonts w:ascii="Times New Roman" w:hAnsi="Times New Roman" w:cs="Times New Roman"/>
                <w:sz w:val="20"/>
                <w:szCs w:val="20"/>
              </w:rPr>
              <w:t xml:space="preserve"> percentile (assessed using AIMS). – </w:t>
            </w:r>
            <w:proofErr w:type="gramStart"/>
            <w:r w:rsidRPr="005C5499">
              <w:rPr>
                <w:rFonts w:ascii="Times New Roman" w:hAnsi="Times New Roman" w:cs="Times New Roman"/>
                <w:sz w:val="20"/>
                <w:szCs w:val="20"/>
              </w:rPr>
              <w:t>significantly</w:t>
            </w:r>
            <w:proofErr w:type="gramEnd"/>
            <w:r w:rsidRPr="005C5499">
              <w:rPr>
                <w:rFonts w:ascii="Times New Roman" w:hAnsi="Times New Roman" w:cs="Times New Roman"/>
                <w:sz w:val="20"/>
                <w:szCs w:val="20"/>
              </w:rPr>
              <w:t xml:space="preserve"> different between groups</w:t>
            </w:r>
          </w:p>
          <w:p w:rsidR="00170261" w:rsidRPr="005C5499" w:rsidRDefault="00170261" w:rsidP="00365589">
            <w:pPr>
              <w:spacing w:line="360" w:lineRule="auto"/>
              <w:rPr>
                <w:rFonts w:ascii="Times New Roman" w:hAnsi="Times New Roman" w:cs="Times New Roman"/>
                <w:sz w:val="20"/>
                <w:szCs w:val="20"/>
              </w:rPr>
            </w:pPr>
          </w:p>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lastRenderedPageBreak/>
              <w:t xml:space="preserve">At 6 </w:t>
            </w:r>
            <w:proofErr w:type="spellStart"/>
            <w:r w:rsidRPr="005C5499">
              <w:rPr>
                <w:rFonts w:ascii="Times New Roman" w:hAnsi="Times New Roman" w:cs="Times New Roman"/>
                <w:sz w:val="20"/>
                <w:szCs w:val="20"/>
              </w:rPr>
              <w:t>mos</w:t>
            </w:r>
            <w:proofErr w:type="spellEnd"/>
            <w:r w:rsidRPr="005C5499">
              <w:rPr>
                <w:rFonts w:ascii="Times New Roman" w:hAnsi="Times New Roman" w:cs="Times New Roman"/>
                <w:sz w:val="20"/>
                <w:szCs w:val="20"/>
              </w:rPr>
              <w:t>, gross motor function of 19% (n=11/54) of infants with CMT, compared to without CMT (3%, n=1/39), was ≤ 10</w:t>
            </w:r>
            <w:r w:rsidRPr="005C5499">
              <w:rPr>
                <w:rFonts w:ascii="Times New Roman" w:hAnsi="Times New Roman" w:cs="Times New Roman"/>
                <w:sz w:val="20"/>
                <w:szCs w:val="20"/>
                <w:vertAlign w:val="superscript"/>
              </w:rPr>
              <w:t>th</w:t>
            </w:r>
            <w:r w:rsidRPr="005C5499">
              <w:rPr>
                <w:rFonts w:ascii="Times New Roman" w:hAnsi="Times New Roman" w:cs="Times New Roman"/>
                <w:sz w:val="20"/>
                <w:szCs w:val="20"/>
              </w:rPr>
              <w:t xml:space="preserve"> percentile (assessed using AIMS). At 6 </w:t>
            </w:r>
            <w:proofErr w:type="spellStart"/>
            <w:r w:rsidRPr="005C5499">
              <w:rPr>
                <w:rFonts w:ascii="Times New Roman" w:hAnsi="Times New Roman" w:cs="Times New Roman"/>
                <w:sz w:val="20"/>
                <w:szCs w:val="20"/>
              </w:rPr>
              <w:t>mos</w:t>
            </w:r>
            <w:proofErr w:type="spellEnd"/>
            <w:r w:rsidRPr="005C5499">
              <w:rPr>
                <w:rFonts w:ascii="Times New Roman" w:hAnsi="Times New Roman" w:cs="Times New Roman"/>
                <w:sz w:val="20"/>
                <w:szCs w:val="20"/>
              </w:rPr>
              <w:t xml:space="preserve">, infants with CMT, compared to without CMT, spent less time in prone. -  </w:t>
            </w:r>
            <w:proofErr w:type="gramStart"/>
            <w:r w:rsidRPr="005C5499">
              <w:rPr>
                <w:rFonts w:ascii="Times New Roman" w:hAnsi="Times New Roman" w:cs="Times New Roman"/>
                <w:sz w:val="20"/>
                <w:szCs w:val="20"/>
              </w:rPr>
              <w:t>both</w:t>
            </w:r>
            <w:proofErr w:type="gramEnd"/>
            <w:r w:rsidRPr="005C5499">
              <w:rPr>
                <w:rFonts w:ascii="Times New Roman" w:hAnsi="Times New Roman" w:cs="Times New Roman"/>
                <w:sz w:val="20"/>
                <w:szCs w:val="20"/>
              </w:rPr>
              <w:t xml:space="preserve"> gross motor function and time spent in prone significantly different between groups.</w:t>
            </w:r>
          </w:p>
          <w:p w:rsidR="00170261" w:rsidRPr="005C5499" w:rsidRDefault="00170261" w:rsidP="00365589">
            <w:pPr>
              <w:spacing w:line="360" w:lineRule="auto"/>
              <w:rPr>
                <w:rFonts w:ascii="Times New Roman" w:hAnsi="Times New Roman" w:cs="Times New Roman"/>
                <w:sz w:val="20"/>
                <w:szCs w:val="20"/>
              </w:rPr>
            </w:pPr>
          </w:p>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t xml:space="preserve">At 10 </w:t>
            </w:r>
            <w:proofErr w:type="spellStart"/>
            <w:r w:rsidRPr="005C5499">
              <w:rPr>
                <w:rFonts w:ascii="Times New Roman" w:hAnsi="Times New Roman" w:cs="Times New Roman"/>
                <w:sz w:val="20"/>
                <w:szCs w:val="20"/>
              </w:rPr>
              <w:t>mos</w:t>
            </w:r>
            <w:proofErr w:type="spellEnd"/>
            <w:r w:rsidRPr="005C5499">
              <w:rPr>
                <w:rFonts w:ascii="Times New Roman" w:hAnsi="Times New Roman" w:cs="Times New Roman"/>
                <w:sz w:val="20"/>
                <w:szCs w:val="20"/>
              </w:rPr>
              <w:t>, gross motor function of 23% (n=13/57) of infants with CMT, compared to without CMT (10%, n=4/39), was ≤ 10</w:t>
            </w:r>
            <w:r w:rsidRPr="005C5499">
              <w:rPr>
                <w:rFonts w:ascii="Times New Roman" w:hAnsi="Times New Roman" w:cs="Times New Roman"/>
                <w:sz w:val="20"/>
                <w:szCs w:val="20"/>
                <w:vertAlign w:val="superscript"/>
              </w:rPr>
              <w:t>th</w:t>
            </w:r>
            <w:r w:rsidRPr="005C5499">
              <w:rPr>
                <w:rFonts w:ascii="Times New Roman" w:hAnsi="Times New Roman" w:cs="Times New Roman"/>
                <w:sz w:val="20"/>
                <w:szCs w:val="20"/>
              </w:rPr>
              <w:t xml:space="preserve"> percentile (assessed using AIMS). – </w:t>
            </w:r>
            <w:proofErr w:type="gramStart"/>
            <w:r w:rsidRPr="005C5499">
              <w:rPr>
                <w:rFonts w:ascii="Times New Roman" w:hAnsi="Times New Roman" w:cs="Times New Roman"/>
                <w:sz w:val="20"/>
                <w:szCs w:val="20"/>
              </w:rPr>
              <w:t>not</w:t>
            </w:r>
            <w:proofErr w:type="gramEnd"/>
            <w:r w:rsidRPr="005C5499">
              <w:rPr>
                <w:rFonts w:ascii="Times New Roman" w:hAnsi="Times New Roman" w:cs="Times New Roman"/>
                <w:sz w:val="20"/>
                <w:szCs w:val="20"/>
              </w:rPr>
              <w:t xml:space="preserve"> significantly different between groups.</w:t>
            </w:r>
          </w:p>
          <w:p w:rsidR="00170261" w:rsidRPr="005C5499" w:rsidRDefault="00170261" w:rsidP="00365589">
            <w:pPr>
              <w:spacing w:line="360" w:lineRule="auto"/>
              <w:rPr>
                <w:rFonts w:ascii="Times New Roman" w:hAnsi="Times New Roman" w:cs="Times New Roman"/>
                <w:sz w:val="20"/>
                <w:szCs w:val="20"/>
              </w:rPr>
            </w:pPr>
          </w:p>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t xml:space="preserve">At 18 </w:t>
            </w:r>
            <w:proofErr w:type="spellStart"/>
            <w:proofErr w:type="gramStart"/>
            <w:r w:rsidRPr="005C5499">
              <w:rPr>
                <w:rFonts w:ascii="Times New Roman" w:hAnsi="Times New Roman" w:cs="Times New Roman"/>
                <w:sz w:val="20"/>
                <w:szCs w:val="20"/>
              </w:rPr>
              <w:t>mo</w:t>
            </w:r>
            <w:proofErr w:type="spellEnd"/>
            <w:proofErr w:type="gramEnd"/>
            <w:r w:rsidRPr="005C5499">
              <w:rPr>
                <w:rFonts w:ascii="Times New Roman" w:hAnsi="Times New Roman" w:cs="Times New Roman"/>
                <w:sz w:val="20"/>
                <w:szCs w:val="20"/>
              </w:rPr>
              <w:t>, all infants with and without CMT achieved the total score on the AIMS.</w:t>
            </w:r>
          </w:p>
          <w:p w:rsidR="00170261" w:rsidRPr="005C5499" w:rsidRDefault="00170261" w:rsidP="00365589">
            <w:pPr>
              <w:spacing w:line="360" w:lineRule="auto"/>
              <w:rPr>
                <w:rFonts w:ascii="Times New Roman" w:hAnsi="Times New Roman" w:cs="Times New Roman"/>
                <w:sz w:val="20"/>
                <w:szCs w:val="20"/>
              </w:rPr>
            </w:pPr>
          </w:p>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t xml:space="preserve">Both CMT and prone time had an impact on motor development at 2 and 6 months of age. Prone time had a higher impact and also had an impact at 10 </w:t>
            </w:r>
            <w:proofErr w:type="spellStart"/>
            <w:r w:rsidRPr="005C5499">
              <w:rPr>
                <w:rFonts w:ascii="Times New Roman" w:hAnsi="Times New Roman" w:cs="Times New Roman"/>
                <w:sz w:val="20"/>
                <w:szCs w:val="20"/>
              </w:rPr>
              <w:t>mo</w:t>
            </w:r>
            <w:proofErr w:type="spellEnd"/>
            <w:r w:rsidRPr="005C5499">
              <w:rPr>
                <w:rFonts w:ascii="Times New Roman" w:hAnsi="Times New Roman" w:cs="Times New Roman"/>
                <w:sz w:val="20"/>
                <w:szCs w:val="20"/>
              </w:rPr>
              <w:t xml:space="preserve"> of age.  </w:t>
            </w:r>
          </w:p>
        </w:tc>
      </w:tr>
      <w:tr w:rsidR="00170261" w:rsidRPr="005C5499" w:rsidTr="00365589">
        <w:trPr>
          <w:trHeight w:val="800"/>
        </w:trPr>
        <w:tc>
          <w:tcPr>
            <w:tcW w:w="495" w:type="pct"/>
            <w:hideMark/>
          </w:tcPr>
          <w:p w:rsidR="00170261" w:rsidRPr="005C5499" w:rsidRDefault="00170261" w:rsidP="00365589">
            <w:pPr>
              <w:spacing w:line="360" w:lineRule="auto"/>
              <w:rPr>
                <w:rFonts w:ascii="Times New Roman" w:hAnsi="Times New Roman" w:cs="Times New Roman"/>
                <w:iCs/>
                <w:sz w:val="20"/>
                <w:szCs w:val="20"/>
              </w:rPr>
            </w:pPr>
            <w:proofErr w:type="spellStart"/>
            <w:r w:rsidRPr="005C5499">
              <w:rPr>
                <w:rFonts w:ascii="Times New Roman" w:hAnsi="Times New Roman" w:cs="Times New Roman"/>
                <w:iCs/>
                <w:sz w:val="20"/>
                <w:szCs w:val="20"/>
              </w:rPr>
              <w:lastRenderedPageBreak/>
              <w:t>Ohman</w:t>
            </w:r>
            <w:proofErr w:type="spellEnd"/>
            <w:r w:rsidRPr="005C5499">
              <w:rPr>
                <w:rFonts w:ascii="Times New Roman" w:hAnsi="Times New Roman" w:cs="Times New Roman"/>
                <w:iCs/>
                <w:sz w:val="20"/>
                <w:szCs w:val="20"/>
              </w:rPr>
              <w:t>. 2013</w:t>
            </w:r>
          </w:p>
        </w:tc>
        <w:tc>
          <w:tcPr>
            <w:tcW w:w="474" w:type="pct"/>
            <w:hideMark/>
          </w:tcPr>
          <w:p w:rsidR="00170261" w:rsidRPr="005C5499" w:rsidRDefault="00170261" w:rsidP="00365589">
            <w:pPr>
              <w:spacing w:line="360" w:lineRule="auto"/>
              <w:rPr>
                <w:rFonts w:ascii="Times New Roman" w:hAnsi="Times New Roman" w:cs="Times New Roman"/>
                <w:sz w:val="20"/>
                <w:szCs w:val="20"/>
              </w:rPr>
            </w:pPr>
            <w:proofErr w:type="gramStart"/>
            <w:r w:rsidRPr="005C5499">
              <w:rPr>
                <w:rFonts w:ascii="Times New Roman" w:hAnsi="Times New Roman" w:cs="Times New Roman"/>
                <w:sz w:val="20"/>
                <w:szCs w:val="20"/>
              </w:rPr>
              <w:t>case</w:t>
            </w:r>
            <w:proofErr w:type="gramEnd"/>
            <w:r w:rsidRPr="005C5499">
              <w:rPr>
                <w:rFonts w:ascii="Times New Roman" w:hAnsi="Times New Roman" w:cs="Times New Roman"/>
                <w:sz w:val="20"/>
                <w:szCs w:val="20"/>
              </w:rPr>
              <w:t xml:space="preserve"> control</w:t>
            </w:r>
          </w:p>
        </w:tc>
        <w:tc>
          <w:tcPr>
            <w:tcW w:w="745" w:type="pct"/>
            <w:hideMark/>
          </w:tcPr>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t xml:space="preserve">81 children with and without history of CMT followed up at 3.5-5 </w:t>
            </w:r>
            <w:proofErr w:type="spellStart"/>
            <w:r w:rsidRPr="005C5499">
              <w:rPr>
                <w:rFonts w:ascii="Times New Roman" w:hAnsi="Times New Roman" w:cs="Times New Roman"/>
                <w:sz w:val="20"/>
                <w:szCs w:val="20"/>
              </w:rPr>
              <w:t>yrs</w:t>
            </w:r>
            <w:proofErr w:type="spellEnd"/>
            <w:r w:rsidRPr="005C5499">
              <w:rPr>
                <w:rFonts w:ascii="Times New Roman" w:hAnsi="Times New Roman" w:cs="Times New Roman"/>
                <w:sz w:val="20"/>
                <w:szCs w:val="20"/>
              </w:rPr>
              <w:t xml:space="preserve"> (Sweden)</w:t>
            </w:r>
          </w:p>
        </w:tc>
        <w:tc>
          <w:tcPr>
            <w:tcW w:w="479" w:type="pct"/>
          </w:tcPr>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t>NA</w:t>
            </w:r>
          </w:p>
        </w:tc>
        <w:tc>
          <w:tcPr>
            <w:tcW w:w="2807" w:type="pct"/>
            <w:hideMark/>
          </w:tcPr>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t xml:space="preserve">At 3.5-5 </w:t>
            </w:r>
            <w:proofErr w:type="spellStart"/>
            <w:r w:rsidRPr="005C5499">
              <w:rPr>
                <w:rFonts w:ascii="Times New Roman" w:hAnsi="Times New Roman" w:cs="Times New Roman"/>
                <w:sz w:val="20"/>
                <w:szCs w:val="20"/>
              </w:rPr>
              <w:t>yrs</w:t>
            </w:r>
            <w:proofErr w:type="spellEnd"/>
            <w:r w:rsidRPr="005C5499">
              <w:rPr>
                <w:rFonts w:ascii="Times New Roman" w:hAnsi="Times New Roman" w:cs="Times New Roman"/>
                <w:sz w:val="20"/>
                <w:szCs w:val="20"/>
              </w:rPr>
              <w:t>, infants with a history of CMT, as compared to without a history of CMT, are at no greater risk for motor delay (assessed using MABC-2).</w:t>
            </w:r>
          </w:p>
        </w:tc>
      </w:tr>
      <w:tr w:rsidR="00170261" w:rsidRPr="005C5499" w:rsidTr="00365589">
        <w:trPr>
          <w:trHeight w:val="800"/>
        </w:trPr>
        <w:tc>
          <w:tcPr>
            <w:tcW w:w="495" w:type="pct"/>
          </w:tcPr>
          <w:p w:rsidR="00170261" w:rsidRPr="005C5499" w:rsidRDefault="00170261" w:rsidP="00365589">
            <w:pPr>
              <w:spacing w:line="360" w:lineRule="auto"/>
              <w:rPr>
                <w:rFonts w:ascii="Times New Roman" w:hAnsi="Times New Roman" w:cs="Times New Roman"/>
                <w:iCs/>
                <w:sz w:val="20"/>
                <w:szCs w:val="20"/>
              </w:rPr>
            </w:pPr>
            <w:proofErr w:type="gramStart"/>
            <w:r w:rsidRPr="005C5499">
              <w:rPr>
                <w:rFonts w:ascii="Times New Roman" w:hAnsi="Times New Roman" w:cs="Times New Roman"/>
                <w:iCs/>
                <w:sz w:val="20"/>
                <w:szCs w:val="20"/>
              </w:rPr>
              <w:t>Schertz ,et</w:t>
            </w:r>
            <w:proofErr w:type="gramEnd"/>
            <w:r w:rsidRPr="005C5499">
              <w:rPr>
                <w:rFonts w:ascii="Times New Roman" w:hAnsi="Times New Roman" w:cs="Times New Roman"/>
                <w:iCs/>
                <w:sz w:val="20"/>
                <w:szCs w:val="20"/>
              </w:rPr>
              <w:t xml:space="preserve"> al., 2008</w:t>
            </w:r>
          </w:p>
        </w:tc>
        <w:tc>
          <w:tcPr>
            <w:tcW w:w="474" w:type="pct"/>
          </w:tcPr>
          <w:p w:rsidR="00170261" w:rsidRPr="005C5499" w:rsidRDefault="00170261" w:rsidP="00365589">
            <w:pPr>
              <w:spacing w:line="360" w:lineRule="auto"/>
              <w:rPr>
                <w:rFonts w:ascii="Times New Roman" w:hAnsi="Times New Roman" w:cs="Times New Roman"/>
                <w:sz w:val="20"/>
                <w:szCs w:val="20"/>
              </w:rPr>
            </w:pPr>
            <w:proofErr w:type="gramStart"/>
            <w:r w:rsidRPr="005C5499">
              <w:rPr>
                <w:rFonts w:ascii="Times New Roman" w:hAnsi="Times New Roman" w:cs="Times New Roman"/>
                <w:sz w:val="20"/>
                <w:szCs w:val="20"/>
              </w:rPr>
              <w:t>prospective</w:t>
            </w:r>
            <w:proofErr w:type="gramEnd"/>
            <w:r w:rsidRPr="005C5499">
              <w:rPr>
                <w:rFonts w:ascii="Times New Roman" w:hAnsi="Times New Roman" w:cs="Times New Roman"/>
                <w:sz w:val="20"/>
                <w:szCs w:val="20"/>
              </w:rPr>
              <w:t xml:space="preserve"> cohort</w:t>
            </w:r>
          </w:p>
        </w:tc>
        <w:tc>
          <w:tcPr>
            <w:tcW w:w="745" w:type="pct"/>
          </w:tcPr>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t xml:space="preserve">83 infants with history of CMT followed at 8-15 </w:t>
            </w:r>
            <w:proofErr w:type="spellStart"/>
            <w:r w:rsidRPr="005C5499">
              <w:rPr>
                <w:rFonts w:ascii="Times New Roman" w:hAnsi="Times New Roman" w:cs="Times New Roman"/>
                <w:sz w:val="20"/>
                <w:szCs w:val="20"/>
              </w:rPr>
              <w:t>mo</w:t>
            </w:r>
            <w:proofErr w:type="spellEnd"/>
            <w:r w:rsidRPr="005C5499">
              <w:rPr>
                <w:rFonts w:ascii="Times New Roman" w:hAnsi="Times New Roman" w:cs="Times New Roman"/>
                <w:sz w:val="20"/>
                <w:szCs w:val="20"/>
              </w:rPr>
              <w:t xml:space="preserve"> (Israel)</w:t>
            </w:r>
          </w:p>
        </w:tc>
        <w:tc>
          <w:tcPr>
            <w:tcW w:w="479" w:type="pct"/>
          </w:tcPr>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t>NA</w:t>
            </w:r>
          </w:p>
        </w:tc>
        <w:tc>
          <w:tcPr>
            <w:tcW w:w="2807" w:type="pct"/>
          </w:tcPr>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t xml:space="preserve">At initiation of </w:t>
            </w:r>
            <w:proofErr w:type="spellStart"/>
            <w:r w:rsidRPr="005C5499">
              <w:rPr>
                <w:rFonts w:ascii="Times New Roman" w:hAnsi="Times New Roman" w:cs="Times New Roman"/>
                <w:sz w:val="20"/>
                <w:szCs w:val="20"/>
              </w:rPr>
              <w:t>tx</w:t>
            </w:r>
            <w:proofErr w:type="spellEnd"/>
            <w:r w:rsidRPr="005C5499">
              <w:rPr>
                <w:rFonts w:ascii="Times New Roman" w:hAnsi="Times New Roman" w:cs="Times New Roman"/>
                <w:sz w:val="20"/>
                <w:szCs w:val="20"/>
              </w:rPr>
              <w:t xml:space="preserve"> for CMT (performed at 2.9 [SD 1.5] </w:t>
            </w:r>
            <w:proofErr w:type="spellStart"/>
            <w:r w:rsidRPr="005C5499">
              <w:rPr>
                <w:rFonts w:ascii="Times New Roman" w:hAnsi="Times New Roman" w:cs="Times New Roman"/>
                <w:sz w:val="20"/>
                <w:szCs w:val="20"/>
              </w:rPr>
              <w:t>mo</w:t>
            </w:r>
            <w:proofErr w:type="spellEnd"/>
            <w:r w:rsidRPr="005C5499">
              <w:rPr>
                <w:rFonts w:ascii="Times New Roman" w:hAnsi="Times New Roman" w:cs="Times New Roman"/>
                <w:sz w:val="20"/>
                <w:szCs w:val="20"/>
              </w:rPr>
              <w:t>), gross motor function of 34% (n=35/101) of infants with CMT was ≤ 10</w:t>
            </w:r>
            <w:r w:rsidRPr="005C5499">
              <w:rPr>
                <w:rFonts w:ascii="Times New Roman" w:hAnsi="Times New Roman" w:cs="Times New Roman"/>
                <w:sz w:val="20"/>
                <w:szCs w:val="20"/>
                <w:vertAlign w:val="superscript"/>
              </w:rPr>
              <w:t>th</w:t>
            </w:r>
            <w:r w:rsidRPr="005C5499">
              <w:rPr>
                <w:rFonts w:ascii="Times New Roman" w:hAnsi="Times New Roman" w:cs="Times New Roman"/>
                <w:sz w:val="20"/>
                <w:szCs w:val="20"/>
              </w:rPr>
              <w:t xml:space="preserve"> percentile (assessed using AIMS). – </w:t>
            </w:r>
            <w:proofErr w:type="gramStart"/>
            <w:r w:rsidRPr="005C5499">
              <w:rPr>
                <w:rFonts w:ascii="Times New Roman" w:hAnsi="Times New Roman" w:cs="Times New Roman"/>
                <w:sz w:val="20"/>
                <w:szCs w:val="20"/>
              </w:rPr>
              <w:t>lower</w:t>
            </w:r>
            <w:proofErr w:type="gramEnd"/>
            <w:r w:rsidRPr="005C5499">
              <w:rPr>
                <w:rFonts w:ascii="Times New Roman" w:hAnsi="Times New Roman" w:cs="Times New Roman"/>
                <w:sz w:val="20"/>
                <w:szCs w:val="20"/>
              </w:rPr>
              <w:t xml:space="preserve"> than the general population</w:t>
            </w:r>
          </w:p>
          <w:p w:rsidR="00170261" w:rsidRPr="005C5499" w:rsidRDefault="00170261" w:rsidP="00365589">
            <w:pPr>
              <w:spacing w:line="360" w:lineRule="auto"/>
              <w:rPr>
                <w:rFonts w:ascii="Times New Roman" w:hAnsi="Times New Roman" w:cs="Times New Roman"/>
                <w:sz w:val="20"/>
                <w:szCs w:val="20"/>
              </w:rPr>
            </w:pPr>
          </w:p>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t xml:space="preserve">At 8-15 </w:t>
            </w:r>
            <w:proofErr w:type="spellStart"/>
            <w:r w:rsidRPr="005C5499">
              <w:rPr>
                <w:rFonts w:ascii="Times New Roman" w:hAnsi="Times New Roman" w:cs="Times New Roman"/>
                <w:sz w:val="20"/>
                <w:szCs w:val="20"/>
              </w:rPr>
              <w:t>mos</w:t>
            </w:r>
            <w:proofErr w:type="spellEnd"/>
            <w:r w:rsidRPr="005C5499">
              <w:rPr>
                <w:rFonts w:ascii="Times New Roman" w:hAnsi="Times New Roman" w:cs="Times New Roman"/>
                <w:sz w:val="20"/>
                <w:szCs w:val="20"/>
              </w:rPr>
              <w:t>, gross motor function of 9.6% (n=8/83) of infants with history of CMT was ≤ 10</w:t>
            </w:r>
            <w:r w:rsidRPr="005C5499">
              <w:rPr>
                <w:rFonts w:ascii="Times New Roman" w:hAnsi="Times New Roman" w:cs="Times New Roman"/>
                <w:sz w:val="20"/>
                <w:szCs w:val="20"/>
                <w:vertAlign w:val="superscript"/>
              </w:rPr>
              <w:t>th</w:t>
            </w:r>
            <w:r w:rsidRPr="005C5499">
              <w:rPr>
                <w:rFonts w:ascii="Times New Roman" w:hAnsi="Times New Roman" w:cs="Times New Roman"/>
                <w:sz w:val="20"/>
                <w:szCs w:val="20"/>
              </w:rPr>
              <w:t xml:space="preserve"> percentile (assessed using AIMS). - </w:t>
            </w:r>
            <w:proofErr w:type="gramStart"/>
            <w:r w:rsidRPr="005C5499">
              <w:rPr>
                <w:rFonts w:ascii="Times New Roman" w:hAnsi="Times New Roman" w:cs="Times New Roman"/>
                <w:sz w:val="20"/>
                <w:szCs w:val="20"/>
              </w:rPr>
              <w:t>not</w:t>
            </w:r>
            <w:proofErr w:type="gramEnd"/>
            <w:r w:rsidRPr="005C5499">
              <w:rPr>
                <w:rFonts w:ascii="Times New Roman" w:hAnsi="Times New Roman" w:cs="Times New Roman"/>
                <w:sz w:val="20"/>
                <w:szCs w:val="20"/>
              </w:rPr>
              <w:t xml:space="preserve"> different from general population</w:t>
            </w:r>
          </w:p>
          <w:p w:rsidR="00170261" w:rsidRPr="005C5499" w:rsidRDefault="00170261" w:rsidP="00365589">
            <w:pPr>
              <w:spacing w:line="360" w:lineRule="auto"/>
              <w:rPr>
                <w:rFonts w:ascii="Times New Roman" w:hAnsi="Times New Roman" w:cs="Times New Roman"/>
                <w:sz w:val="20"/>
                <w:szCs w:val="20"/>
              </w:rPr>
            </w:pPr>
          </w:p>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t xml:space="preserve">At 8-15 </w:t>
            </w:r>
            <w:proofErr w:type="spellStart"/>
            <w:r w:rsidRPr="005C5499">
              <w:rPr>
                <w:rFonts w:ascii="Times New Roman" w:hAnsi="Times New Roman" w:cs="Times New Roman"/>
                <w:sz w:val="20"/>
                <w:szCs w:val="20"/>
              </w:rPr>
              <w:t>mos</w:t>
            </w:r>
            <w:proofErr w:type="spellEnd"/>
            <w:r w:rsidRPr="005C5499">
              <w:rPr>
                <w:rFonts w:ascii="Times New Roman" w:hAnsi="Times New Roman" w:cs="Times New Roman"/>
                <w:sz w:val="20"/>
                <w:szCs w:val="20"/>
              </w:rPr>
              <w:t xml:space="preserve">, cognitive function of 13.6% (n=9/66) of infants with history of CMT was classified as below normal (assessed using CAT-CLAMS). - </w:t>
            </w:r>
            <w:proofErr w:type="gramStart"/>
            <w:r w:rsidRPr="005C5499">
              <w:rPr>
                <w:rFonts w:ascii="Times New Roman" w:hAnsi="Times New Roman" w:cs="Times New Roman"/>
                <w:sz w:val="20"/>
                <w:szCs w:val="20"/>
              </w:rPr>
              <w:t>not</w:t>
            </w:r>
            <w:proofErr w:type="gramEnd"/>
            <w:r w:rsidRPr="005C5499">
              <w:rPr>
                <w:rFonts w:ascii="Times New Roman" w:hAnsi="Times New Roman" w:cs="Times New Roman"/>
                <w:sz w:val="20"/>
                <w:szCs w:val="20"/>
              </w:rPr>
              <w:t xml:space="preserve"> different from general population</w:t>
            </w:r>
          </w:p>
          <w:p w:rsidR="00170261" w:rsidRPr="005C5499" w:rsidRDefault="00170261" w:rsidP="00365589">
            <w:pPr>
              <w:spacing w:line="360" w:lineRule="auto"/>
              <w:rPr>
                <w:rFonts w:ascii="Times New Roman" w:hAnsi="Times New Roman" w:cs="Times New Roman"/>
                <w:sz w:val="20"/>
                <w:szCs w:val="20"/>
              </w:rPr>
            </w:pPr>
          </w:p>
        </w:tc>
      </w:tr>
      <w:tr w:rsidR="00170261" w:rsidRPr="005C5499" w:rsidTr="00365589">
        <w:trPr>
          <w:trHeight w:val="1250"/>
        </w:trPr>
        <w:tc>
          <w:tcPr>
            <w:tcW w:w="495" w:type="pct"/>
          </w:tcPr>
          <w:p w:rsidR="00170261" w:rsidRPr="005C5499" w:rsidRDefault="00170261" w:rsidP="00365589">
            <w:pPr>
              <w:spacing w:line="360" w:lineRule="auto"/>
              <w:rPr>
                <w:rFonts w:ascii="Times New Roman" w:hAnsi="Times New Roman" w:cs="Times New Roman"/>
                <w:iCs/>
                <w:sz w:val="20"/>
                <w:szCs w:val="20"/>
              </w:rPr>
            </w:pPr>
            <w:r w:rsidRPr="005C5499">
              <w:rPr>
                <w:rFonts w:ascii="Times New Roman" w:hAnsi="Times New Roman" w:cs="Times New Roman"/>
                <w:iCs/>
                <w:sz w:val="20"/>
                <w:szCs w:val="20"/>
              </w:rPr>
              <w:t>Schertz, et al, 2013</w:t>
            </w:r>
          </w:p>
        </w:tc>
        <w:tc>
          <w:tcPr>
            <w:tcW w:w="474" w:type="pct"/>
          </w:tcPr>
          <w:p w:rsidR="00170261" w:rsidRPr="005C5499" w:rsidRDefault="00170261" w:rsidP="00365589">
            <w:pPr>
              <w:spacing w:line="360" w:lineRule="auto"/>
              <w:rPr>
                <w:rFonts w:ascii="Times New Roman" w:hAnsi="Times New Roman" w:cs="Times New Roman"/>
                <w:sz w:val="20"/>
                <w:szCs w:val="20"/>
              </w:rPr>
            </w:pPr>
            <w:proofErr w:type="gramStart"/>
            <w:r w:rsidRPr="005C5499">
              <w:rPr>
                <w:rFonts w:ascii="Times New Roman" w:hAnsi="Times New Roman" w:cs="Times New Roman"/>
                <w:sz w:val="20"/>
                <w:szCs w:val="20"/>
              </w:rPr>
              <w:t>prospective</w:t>
            </w:r>
            <w:proofErr w:type="gramEnd"/>
            <w:r w:rsidRPr="005C5499">
              <w:rPr>
                <w:rFonts w:ascii="Times New Roman" w:hAnsi="Times New Roman" w:cs="Times New Roman"/>
                <w:sz w:val="20"/>
                <w:szCs w:val="20"/>
              </w:rPr>
              <w:t xml:space="preserve"> cohort</w:t>
            </w:r>
          </w:p>
        </w:tc>
        <w:tc>
          <w:tcPr>
            <w:tcW w:w="745" w:type="pct"/>
          </w:tcPr>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t xml:space="preserve">68 children with history of CMT followed up at 7-9 </w:t>
            </w:r>
            <w:proofErr w:type="spellStart"/>
            <w:r w:rsidRPr="005C5499">
              <w:rPr>
                <w:rFonts w:ascii="Times New Roman" w:hAnsi="Times New Roman" w:cs="Times New Roman"/>
                <w:sz w:val="20"/>
                <w:szCs w:val="20"/>
              </w:rPr>
              <w:t>yrs</w:t>
            </w:r>
            <w:proofErr w:type="spellEnd"/>
            <w:r w:rsidRPr="005C5499">
              <w:rPr>
                <w:rFonts w:ascii="Times New Roman" w:hAnsi="Times New Roman" w:cs="Times New Roman"/>
                <w:sz w:val="20"/>
                <w:szCs w:val="20"/>
              </w:rPr>
              <w:t xml:space="preserve"> (Israel)</w:t>
            </w:r>
          </w:p>
        </w:tc>
        <w:tc>
          <w:tcPr>
            <w:tcW w:w="479" w:type="pct"/>
          </w:tcPr>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t>NA</w:t>
            </w:r>
          </w:p>
        </w:tc>
        <w:tc>
          <w:tcPr>
            <w:tcW w:w="2807" w:type="pct"/>
          </w:tcPr>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t>Presence of NDD assessed via clinical assessments (n=38; DSM-IV-TR for ADHD and ASD; BOT-2 or MABC for DCD, MAASE for LI) or telephone interview (n=30; DCD-</w:t>
            </w:r>
            <w:proofErr w:type="spellStart"/>
            <w:r w:rsidRPr="005C5499">
              <w:rPr>
                <w:rFonts w:ascii="Times New Roman" w:hAnsi="Times New Roman" w:cs="Times New Roman"/>
                <w:sz w:val="20"/>
                <w:szCs w:val="20"/>
              </w:rPr>
              <w:t>hebrew</w:t>
            </w:r>
            <w:proofErr w:type="spellEnd"/>
            <w:r w:rsidRPr="005C5499">
              <w:rPr>
                <w:rFonts w:ascii="Times New Roman" w:hAnsi="Times New Roman" w:cs="Times New Roman"/>
                <w:sz w:val="20"/>
                <w:szCs w:val="20"/>
              </w:rPr>
              <w:t xml:space="preserve"> for DCD; parent report for ADHD, ASD, DCD, LI)</w:t>
            </w:r>
          </w:p>
          <w:p w:rsidR="00170261" w:rsidRPr="005C5499" w:rsidRDefault="00170261" w:rsidP="00365589">
            <w:pPr>
              <w:spacing w:line="360" w:lineRule="auto"/>
              <w:rPr>
                <w:rFonts w:ascii="Times New Roman" w:hAnsi="Times New Roman" w:cs="Times New Roman"/>
                <w:sz w:val="20"/>
                <w:szCs w:val="20"/>
              </w:rPr>
            </w:pPr>
          </w:p>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t xml:space="preserve">At 7-9 </w:t>
            </w:r>
            <w:proofErr w:type="spellStart"/>
            <w:r w:rsidRPr="005C5499">
              <w:rPr>
                <w:rFonts w:ascii="Times New Roman" w:hAnsi="Times New Roman" w:cs="Times New Roman"/>
                <w:sz w:val="20"/>
                <w:szCs w:val="20"/>
              </w:rPr>
              <w:t>yrs</w:t>
            </w:r>
            <w:proofErr w:type="spellEnd"/>
            <w:r w:rsidRPr="005C5499">
              <w:rPr>
                <w:rFonts w:ascii="Times New Roman" w:hAnsi="Times New Roman" w:cs="Times New Roman"/>
                <w:sz w:val="20"/>
                <w:szCs w:val="20"/>
              </w:rPr>
              <w:t>, 32% (n=22/68) of children with a history of CMT were diagnosed with a NDD (8.8% [n=6/68] ADHD only, 8.8% [n=6/68] ADHD + DCD, 10.3% [n=7/68] DCD only, 1.5% [n=1/68] LI, and 2.9% [n=2/68] LI + ADHD + DCD).  Prevalence of DCD and ADHD in this sample of children with a history of CMT in Israel is higher than reported in other samples, which is 4% for DCD in the general population of children in the United Kingdom and 7% for ADHD in the general population of children in the United States).</w:t>
            </w:r>
          </w:p>
        </w:tc>
      </w:tr>
      <w:tr w:rsidR="00170261" w:rsidRPr="005C5499" w:rsidTr="00365589">
        <w:trPr>
          <w:trHeight w:val="1250"/>
        </w:trPr>
        <w:tc>
          <w:tcPr>
            <w:tcW w:w="495" w:type="pct"/>
          </w:tcPr>
          <w:p w:rsidR="00170261" w:rsidRPr="005C5499" w:rsidRDefault="00170261" w:rsidP="00365589">
            <w:pPr>
              <w:spacing w:line="360" w:lineRule="auto"/>
              <w:rPr>
                <w:rFonts w:ascii="Times New Roman" w:hAnsi="Times New Roman" w:cs="Times New Roman"/>
                <w:iCs/>
                <w:sz w:val="20"/>
                <w:szCs w:val="20"/>
              </w:rPr>
            </w:pPr>
            <w:proofErr w:type="spellStart"/>
            <w:r w:rsidRPr="005C5499">
              <w:rPr>
                <w:rFonts w:ascii="Times New Roman" w:hAnsi="Times New Roman" w:cs="Times New Roman"/>
                <w:iCs/>
                <w:sz w:val="20"/>
                <w:szCs w:val="20"/>
              </w:rPr>
              <w:t>Watemberg</w:t>
            </w:r>
            <w:proofErr w:type="spellEnd"/>
            <w:r w:rsidRPr="005C5499">
              <w:rPr>
                <w:rFonts w:ascii="Times New Roman" w:hAnsi="Times New Roman" w:cs="Times New Roman"/>
                <w:iCs/>
                <w:sz w:val="20"/>
                <w:szCs w:val="20"/>
              </w:rPr>
              <w:t>. 2016</w:t>
            </w:r>
          </w:p>
        </w:tc>
        <w:tc>
          <w:tcPr>
            <w:tcW w:w="474" w:type="pct"/>
          </w:tcPr>
          <w:p w:rsidR="00170261" w:rsidRPr="005C5499" w:rsidRDefault="00170261" w:rsidP="00365589">
            <w:pPr>
              <w:spacing w:line="360" w:lineRule="auto"/>
              <w:rPr>
                <w:rFonts w:ascii="Times New Roman" w:hAnsi="Times New Roman" w:cs="Times New Roman"/>
                <w:sz w:val="20"/>
                <w:szCs w:val="20"/>
              </w:rPr>
            </w:pPr>
            <w:proofErr w:type="gramStart"/>
            <w:r w:rsidRPr="005C5499">
              <w:rPr>
                <w:rFonts w:ascii="Times New Roman" w:hAnsi="Times New Roman" w:cs="Times New Roman"/>
                <w:sz w:val="20"/>
                <w:szCs w:val="20"/>
              </w:rPr>
              <w:t>retrospective</w:t>
            </w:r>
            <w:proofErr w:type="gramEnd"/>
            <w:r w:rsidRPr="005C5499">
              <w:rPr>
                <w:rFonts w:ascii="Times New Roman" w:hAnsi="Times New Roman" w:cs="Times New Roman"/>
                <w:sz w:val="20"/>
                <w:szCs w:val="20"/>
              </w:rPr>
              <w:t xml:space="preserve"> cohort</w:t>
            </w:r>
          </w:p>
        </w:tc>
        <w:tc>
          <w:tcPr>
            <w:tcW w:w="745" w:type="pct"/>
          </w:tcPr>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t>173 infants with postural CMT followed from initiation of Rx for CMT to 2 years (Israel)</w:t>
            </w:r>
          </w:p>
        </w:tc>
        <w:tc>
          <w:tcPr>
            <w:tcW w:w="479" w:type="pct"/>
          </w:tcPr>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t xml:space="preserve">At 2 </w:t>
            </w:r>
            <w:proofErr w:type="spellStart"/>
            <w:r w:rsidRPr="005C5499">
              <w:rPr>
                <w:rFonts w:ascii="Times New Roman" w:hAnsi="Times New Roman" w:cs="Times New Roman"/>
                <w:sz w:val="20"/>
                <w:szCs w:val="20"/>
              </w:rPr>
              <w:t>yrs</w:t>
            </w:r>
            <w:proofErr w:type="spellEnd"/>
            <w:r w:rsidRPr="005C5499">
              <w:rPr>
                <w:rFonts w:ascii="Times New Roman" w:hAnsi="Times New Roman" w:cs="Times New Roman"/>
                <w:sz w:val="20"/>
                <w:szCs w:val="20"/>
              </w:rPr>
              <w:t>, 21.7% (n=26/120) had evidence of CMT.</w:t>
            </w:r>
          </w:p>
        </w:tc>
        <w:tc>
          <w:tcPr>
            <w:tcW w:w="2807" w:type="pct"/>
          </w:tcPr>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t xml:space="preserve">At initiation of </w:t>
            </w:r>
            <w:proofErr w:type="spellStart"/>
            <w:r w:rsidRPr="005C5499">
              <w:rPr>
                <w:rFonts w:ascii="Times New Roman" w:hAnsi="Times New Roman" w:cs="Times New Roman"/>
                <w:sz w:val="20"/>
                <w:szCs w:val="20"/>
              </w:rPr>
              <w:t>tx</w:t>
            </w:r>
            <w:proofErr w:type="spellEnd"/>
            <w:r w:rsidRPr="005C5499">
              <w:rPr>
                <w:rFonts w:ascii="Times New Roman" w:hAnsi="Times New Roman" w:cs="Times New Roman"/>
                <w:sz w:val="20"/>
                <w:szCs w:val="20"/>
              </w:rPr>
              <w:t xml:space="preserve"> for CMT, motor delay and DP were more common in infants with CMT and functional motor asymmetry versus CMT and no functional motor asymmetry (n=173).</w:t>
            </w:r>
          </w:p>
          <w:p w:rsidR="00170261" w:rsidRPr="005C5499" w:rsidRDefault="00170261" w:rsidP="00365589">
            <w:pPr>
              <w:spacing w:line="360" w:lineRule="auto"/>
              <w:rPr>
                <w:rFonts w:ascii="Times New Roman" w:hAnsi="Times New Roman" w:cs="Times New Roman"/>
                <w:sz w:val="20"/>
                <w:szCs w:val="20"/>
              </w:rPr>
            </w:pPr>
          </w:p>
          <w:p w:rsidR="00170261" w:rsidRPr="005C5499" w:rsidRDefault="00170261" w:rsidP="00365589">
            <w:pPr>
              <w:spacing w:line="360" w:lineRule="auto"/>
              <w:rPr>
                <w:rFonts w:ascii="Times New Roman" w:hAnsi="Times New Roman" w:cs="Times New Roman"/>
                <w:sz w:val="20"/>
                <w:szCs w:val="20"/>
              </w:rPr>
            </w:pPr>
            <w:r w:rsidRPr="005C5499">
              <w:rPr>
                <w:rFonts w:ascii="Times New Roman" w:hAnsi="Times New Roman" w:cs="Times New Roman"/>
                <w:sz w:val="20"/>
                <w:szCs w:val="20"/>
              </w:rPr>
              <w:t xml:space="preserve">At 1-2 </w:t>
            </w:r>
            <w:proofErr w:type="spellStart"/>
            <w:r w:rsidRPr="005C5499">
              <w:rPr>
                <w:rFonts w:ascii="Times New Roman" w:hAnsi="Times New Roman" w:cs="Times New Roman"/>
                <w:sz w:val="20"/>
                <w:szCs w:val="20"/>
              </w:rPr>
              <w:t>yrs</w:t>
            </w:r>
            <w:proofErr w:type="spellEnd"/>
            <w:r w:rsidRPr="005C5499">
              <w:rPr>
                <w:rFonts w:ascii="Times New Roman" w:hAnsi="Times New Roman" w:cs="Times New Roman"/>
                <w:sz w:val="20"/>
                <w:szCs w:val="20"/>
              </w:rPr>
              <w:t xml:space="preserve">, 27.2% (n=11/33) of infants with motor asymmetry at initiation of </w:t>
            </w:r>
            <w:proofErr w:type="spellStart"/>
            <w:r w:rsidRPr="005C5499">
              <w:rPr>
                <w:rFonts w:ascii="Times New Roman" w:hAnsi="Times New Roman" w:cs="Times New Roman"/>
                <w:sz w:val="20"/>
                <w:szCs w:val="20"/>
              </w:rPr>
              <w:t>tx</w:t>
            </w:r>
            <w:proofErr w:type="spellEnd"/>
            <w:r w:rsidRPr="005C5499">
              <w:rPr>
                <w:rFonts w:ascii="Times New Roman" w:hAnsi="Times New Roman" w:cs="Times New Roman"/>
                <w:sz w:val="20"/>
                <w:szCs w:val="20"/>
              </w:rPr>
              <w:t xml:space="preserve"> for </w:t>
            </w:r>
            <w:proofErr w:type="gramStart"/>
            <w:r w:rsidRPr="005C5499">
              <w:rPr>
                <w:rFonts w:ascii="Times New Roman" w:hAnsi="Times New Roman" w:cs="Times New Roman"/>
                <w:sz w:val="20"/>
                <w:szCs w:val="20"/>
              </w:rPr>
              <w:t>CMT,</w:t>
            </w:r>
            <w:proofErr w:type="gramEnd"/>
            <w:r w:rsidRPr="005C5499">
              <w:rPr>
                <w:rFonts w:ascii="Times New Roman" w:hAnsi="Times New Roman" w:cs="Times New Roman"/>
                <w:sz w:val="20"/>
                <w:szCs w:val="20"/>
              </w:rPr>
              <w:t xml:space="preserve"> continued to have motor asymmetry.</w:t>
            </w:r>
          </w:p>
        </w:tc>
      </w:tr>
    </w:tbl>
    <w:p w:rsidR="00170261" w:rsidRPr="005C5499" w:rsidRDefault="00170261" w:rsidP="00170261">
      <w:pPr>
        <w:rPr>
          <w:rFonts w:ascii="Times New Roman" w:hAnsi="Times New Roman" w:cs="Times New Roman"/>
          <w:sz w:val="20"/>
          <w:szCs w:val="20"/>
        </w:rPr>
      </w:pPr>
      <w:r w:rsidRPr="005C5499">
        <w:rPr>
          <w:rFonts w:ascii="Times New Roman" w:hAnsi="Times New Roman" w:cs="Times New Roman"/>
          <w:sz w:val="20"/>
          <w:szCs w:val="20"/>
        </w:rPr>
        <w:t xml:space="preserve">Abbreviations: ADHD, Attention deficit hyperactivity disorder; ASD, autism spectrum disorder; AIMS, Alberta Infant Motor Scale; BOT-2, </w:t>
      </w:r>
      <w:proofErr w:type="spellStart"/>
      <w:r w:rsidRPr="005C5499">
        <w:rPr>
          <w:rFonts w:ascii="Times New Roman" w:hAnsi="Times New Roman" w:cs="Times New Roman"/>
          <w:sz w:val="20"/>
          <w:szCs w:val="20"/>
        </w:rPr>
        <w:t>Bruininks-Oseretsky</w:t>
      </w:r>
      <w:proofErr w:type="spellEnd"/>
      <w:r w:rsidRPr="005C5499">
        <w:rPr>
          <w:rFonts w:ascii="Times New Roman" w:hAnsi="Times New Roman" w:cs="Times New Roman"/>
          <w:sz w:val="20"/>
          <w:szCs w:val="20"/>
        </w:rPr>
        <w:t xml:space="preserve"> Test of Motor Proficiency, 2</w:t>
      </w:r>
      <w:r w:rsidRPr="005C5499">
        <w:rPr>
          <w:rFonts w:ascii="Times New Roman" w:hAnsi="Times New Roman" w:cs="Times New Roman"/>
          <w:sz w:val="20"/>
          <w:szCs w:val="20"/>
          <w:vertAlign w:val="superscript"/>
        </w:rPr>
        <w:t>nd</w:t>
      </w:r>
      <w:r w:rsidRPr="005C5499">
        <w:rPr>
          <w:rFonts w:ascii="Times New Roman" w:hAnsi="Times New Roman" w:cs="Times New Roman"/>
          <w:sz w:val="20"/>
          <w:szCs w:val="20"/>
        </w:rPr>
        <w:t xml:space="preserve"> edition-Short Form; CAT-CLAMS, Clinical Adaptive Test/Clinical Linguistic Auditory Milestone Scale; CMT, congenital muscular torticollis; DCD, developmental coordination disorder; DSM-IV, Diagnostic and Statistical Manual of Mental Disorders, 4</w:t>
      </w:r>
      <w:r w:rsidRPr="005C5499">
        <w:rPr>
          <w:rFonts w:ascii="Times New Roman" w:hAnsi="Times New Roman" w:cs="Times New Roman"/>
          <w:sz w:val="20"/>
          <w:szCs w:val="20"/>
          <w:vertAlign w:val="superscript"/>
        </w:rPr>
        <w:t>th</w:t>
      </w:r>
      <w:r w:rsidRPr="005C5499">
        <w:rPr>
          <w:rFonts w:ascii="Times New Roman" w:hAnsi="Times New Roman" w:cs="Times New Roman"/>
          <w:sz w:val="20"/>
          <w:szCs w:val="20"/>
        </w:rPr>
        <w:t xml:space="preserve"> edition; DP, deformational </w:t>
      </w:r>
      <w:proofErr w:type="spellStart"/>
      <w:r w:rsidRPr="005C5499">
        <w:rPr>
          <w:rFonts w:ascii="Times New Roman" w:hAnsi="Times New Roman" w:cs="Times New Roman"/>
          <w:sz w:val="20"/>
          <w:szCs w:val="20"/>
        </w:rPr>
        <w:t>plagiocephaly</w:t>
      </w:r>
      <w:proofErr w:type="spellEnd"/>
      <w:r w:rsidRPr="005C5499">
        <w:rPr>
          <w:rFonts w:ascii="Times New Roman" w:hAnsi="Times New Roman" w:cs="Times New Roman"/>
          <w:sz w:val="20"/>
          <w:szCs w:val="20"/>
        </w:rPr>
        <w:t>; LI = language impairment, MABC = Movement Assessment Battery for Children 1</w:t>
      </w:r>
      <w:r w:rsidRPr="005C5499">
        <w:rPr>
          <w:rFonts w:ascii="Times New Roman" w:hAnsi="Times New Roman" w:cs="Times New Roman"/>
          <w:sz w:val="20"/>
          <w:szCs w:val="20"/>
          <w:vertAlign w:val="superscript"/>
        </w:rPr>
        <w:t>st</w:t>
      </w:r>
      <w:r w:rsidRPr="005C5499">
        <w:rPr>
          <w:rFonts w:ascii="Times New Roman" w:hAnsi="Times New Roman" w:cs="Times New Roman"/>
          <w:sz w:val="20"/>
          <w:szCs w:val="20"/>
        </w:rPr>
        <w:t>/2</w:t>
      </w:r>
      <w:r w:rsidRPr="005C5499">
        <w:rPr>
          <w:rFonts w:ascii="Times New Roman" w:hAnsi="Times New Roman" w:cs="Times New Roman"/>
          <w:sz w:val="20"/>
          <w:szCs w:val="20"/>
          <w:vertAlign w:val="superscript"/>
        </w:rPr>
        <w:t>nd</w:t>
      </w:r>
      <w:r w:rsidRPr="005C5499">
        <w:rPr>
          <w:rFonts w:ascii="Times New Roman" w:hAnsi="Times New Roman" w:cs="Times New Roman"/>
          <w:sz w:val="20"/>
          <w:szCs w:val="20"/>
        </w:rPr>
        <w:t xml:space="preserve"> editions; MAASE, A test for spoken language processing (in Hebrew); </w:t>
      </w:r>
      <w:proofErr w:type="spellStart"/>
      <w:r w:rsidRPr="005C5499">
        <w:rPr>
          <w:rFonts w:ascii="Times New Roman" w:hAnsi="Times New Roman" w:cs="Times New Roman"/>
          <w:sz w:val="20"/>
          <w:szCs w:val="20"/>
        </w:rPr>
        <w:t>mo</w:t>
      </w:r>
      <w:proofErr w:type="spellEnd"/>
      <w:r w:rsidRPr="005C5499">
        <w:rPr>
          <w:rFonts w:ascii="Times New Roman" w:hAnsi="Times New Roman" w:cs="Times New Roman"/>
          <w:sz w:val="20"/>
          <w:szCs w:val="20"/>
        </w:rPr>
        <w:t xml:space="preserve">, month; NDD, neurodevelopmental disorder; </w:t>
      </w:r>
      <w:proofErr w:type="spellStart"/>
      <w:r w:rsidRPr="005C5499">
        <w:rPr>
          <w:rFonts w:ascii="Times New Roman" w:hAnsi="Times New Roman" w:cs="Times New Roman"/>
          <w:sz w:val="20"/>
          <w:szCs w:val="20"/>
        </w:rPr>
        <w:t>tx</w:t>
      </w:r>
      <w:proofErr w:type="spellEnd"/>
      <w:r w:rsidRPr="005C5499">
        <w:rPr>
          <w:rFonts w:ascii="Times New Roman" w:hAnsi="Times New Roman" w:cs="Times New Roman"/>
          <w:sz w:val="20"/>
          <w:szCs w:val="20"/>
        </w:rPr>
        <w:t xml:space="preserve">, treatment; </w:t>
      </w:r>
      <w:proofErr w:type="spellStart"/>
      <w:r w:rsidRPr="005C5499">
        <w:rPr>
          <w:rFonts w:ascii="Times New Roman" w:hAnsi="Times New Roman" w:cs="Times New Roman"/>
          <w:sz w:val="20"/>
          <w:szCs w:val="20"/>
        </w:rPr>
        <w:t>wk</w:t>
      </w:r>
      <w:proofErr w:type="spellEnd"/>
      <w:r w:rsidRPr="005C5499">
        <w:rPr>
          <w:rFonts w:ascii="Times New Roman" w:hAnsi="Times New Roman" w:cs="Times New Roman"/>
          <w:sz w:val="20"/>
          <w:szCs w:val="20"/>
        </w:rPr>
        <w:t xml:space="preserve">, week; </w:t>
      </w:r>
      <w:proofErr w:type="spellStart"/>
      <w:r w:rsidRPr="005C5499">
        <w:rPr>
          <w:rFonts w:ascii="Times New Roman" w:hAnsi="Times New Roman" w:cs="Times New Roman"/>
          <w:sz w:val="20"/>
          <w:szCs w:val="20"/>
        </w:rPr>
        <w:t>yrs</w:t>
      </w:r>
      <w:proofErr w:type="spellEnd"/>
      <w:r w:rsidRPr="005C5499">
        <w:rPr>
          <w:rFonts w:ascii="Times New Roman" w:hAnsi="Times New Roman" w:cs="Times New Roman"/>
          <w:sz w:val="20"/>
          <w:szCs w:val="20"/>
        </w:rPr>
        <w:t>, years; /, per.</w:t>
      </w:r>
    </w:p>
    <w:p w:rsidR="00170261" w:rsidRPr="005C5499" w:rsidRDefault="00170261" w:rsidP="00170261">
      <w:pPr>
        <w:autoSpaceDE w:val="0"/>
        <w:autoSpaceDN w:val="0"/>
        <w:adjustRightInd w:val="0"/>
        <w:rPr>
          <w:rFonts w:ascii="Times New Roman" w:eastAsiaTheme="minorEastAsia" w:hAnsi="Times New Roman" w:cs="Times New Roman"/>
          <w:sz w:val="20"/>
          <w:szCs w:val="20"/>
        </w:rPr>
      </w:pPr>
    </w:p>
    <w:p w:rsidR="00D21732" w:rsidRPr="00C54182" w:rsidRDefault="00D21732" w:rsidP="00170261">
      <w:pPr>
        <w:rPr>
          <w:rFonts w:ascii="Times New Roman" w:hAnsi="Times New Roman" w:cs="Times New Roman"/>
        </w:rPr>
      </w:pPr>
    </w:p>
    <w:sectPr w:rsidR="00D21732" w:rsidRPr="00C54182" w:rsidSect="00170261">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61"/>
    <w:rsid w:val="00170261"/>
    <w:rsid w:val="00C54182"/>
    <w:rsid w:val="00D21732"/>
    <w:rsid w:val="00D50154"/>
    <w:rsid w:val="00F86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84CD7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261"/>
    <w:rPr>
      <w:rFonts w:ascii="Arial" w:eastAsia="Times New Roman" w:hAnsi="Arial" w:cs="Arial"/>
      <w:color w:val="000000"/>
      <w:sz w:val="24"/>
      <w:szCs w:val="24"/>
      <w:lang w:eastAsia="en-US"/>
    </w:rPr>
  </w:style>
  <w:style w:type="paragraph" w:styleId="Heading2">
    <w:name w:val="heading 2"/>
    <w:basedOn w:val="Normal"/>
    <w:next w:val="Normal"/>
    <w:link w:val="Heading2Char"/>
    <w:uiPriority w:val="99"/>
    <w:qFormat/>
    <w:rsid w:val="00170261"/>
    <w:pPr>
      <w:spacing w:before="240" w:after="60" w:line="360" w:lineRule="auto"/>
      <w:outlineLvl w:val="1"/>
    </w:pPr>
    <w:rPr>
      <w:rFonts w:ascii="Times New Roman" w:eastAsia="MS Gothic" w:hAnsi="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70261"/>
    <w:rPr>
      <w:rFonts w:eastAsia="MS Gothic"/>
      <w:b/>
      <w:bCs/>
      <w:iCs/>
      <w:color w:val="000000"/>
      <w:sz w:val="24"/>
      <w:szCs w:val="24"/>
      <w:lang w:eastAsia="en-US"/>
    </w:rPr>
  </w:style>
  <w:style w:type="table" w:styleId="TableGrid">
    <w:name w:val="Table Grid"/>
    <w:basedOn w:val="TableNormal"/>
    <w:uiPriority w:val="39"/>
    <w:rsid w:val="00170261"/>
    <w:rPr>
      <w:rFonts w:ascii="Cambria" w:eastAsia="MS Mincho" w:hAnsi="Cambria"/>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70261"/>
    <w:rPr>
      <w:rFonts w:asciiTheme="minorHAnsi" w:hAnsiTheme="minorHAnsi" w:cstheme="minorBidi"/>
      <w:color w:val="000000" w:themeColor="text1" w:themeShade="BF"/>
      <w:sz w:val="24"/>
      <w:szCs w:val="24"/>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261"/>
    <w:rPr>
      <w:rFonts w:ascii="Arial" w:eastAsia="Times New Roman" w:hAnsi="Arial" w:cs="Arial"/>
      <w:color w:val="000000"/>
      <w:sz w:val="24"/>
      <w:szCs w:val="24"/>
      <w:lang w:eastAsia="en-US"/>
    </w:rPr>
  </w:style>
  <w:style w:type="paragraph" w:styleId="Heading2">
    <w:name w:val="heading 2"/>
    <w:basedOn w:val="Normal"/>
    <w:next w:val="Normal"/>
    <w:link w:val="Heading2Char"/>
    <w:uiPriority w:val="99"/>
    <w:qFormat/>
    <w:rsid w:val="00170261"/>
    <w:pPr>
      <w:spacing w:before="240" w:after="60" w:line="360" w:lineRule="auto"/>
      <w:outlineLvl w:val="1"/>
    </w:pPr>
    <w:rPr>
      <w:rFonts w:ascii="Times New Roman" w:eastAsia="MS Gothic" w:hAnsi="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70261"/>
    <w:rPr>
      <w:rFonts w:eastAsia="MS Gothic"/>
      <w:b/>
      <w:bCs/>
      <w:iCs/>
      <w:color w:val="000000"/>
      <w:sz w:val="24"/>
      <w:szCs w:val="24"/>
      <w:lang w:eastAsia="en-US"/>
    </w:rPr>
  </w:style>
  <w:style w:type="table" w:styleId="TableGrid">
    <w:name w:val="Table Grid"/>
    <w:basedOn w:val="TableNormal"/>
    <w:uiPriority w:val="39"/>
    <w:rsid w:val="00170261"/>
    <w:rPr>
      <w:rFonts w:ascii="Cambria" w:eastAsia="MS Mincho" w:hAnsi="Cambria"/>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70261"/>
    <w:rPr>
      <w:rFonts w:asciiTheme="minorHAnsi" w:hAnsiTheme="minorHAnsi" w:cstheme="minorBidi"/>
      <w:color w:val="000000" w:themeColor="text1" w:themeShade="BF"/>
      <w:sz w:val="24"/>
      <w:szCs w:val="24"/>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4612</Characters>
  <Application>Microsoft Macintosh Word</Application>
  <DocSecurity>0</DocSecurity>
  <Lines>38</Lines>
  <Paragraphs>10</Paragraphs>
  <ScaleCrop>false</ScaleCrop>
  <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Kaplan</dc:creator>
  <cp:keywords/>
  <dc:description/>
  <cp:lastModifiedBy>Sandra Kaplan</cp:lastModifiedBy>
  <cp:revision>2</cp:revision>
  <dcterms:created xsi:type="dcterms:W3CDTF">2018-06-26T16:58:00Z</dcterms:created>
  <dcterms:modified xsi:type="dcterms:W3CDTF">2018-06-26T16:58:00Z</dcterms:modified>
</cp:coreProperties>
</file>