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6A" w:rsidRPr="00006E2B" w:rsidRDefault="003D68E0" w:rsidP="0050512E">
      <w:pPr>
        <w:spacing w:line="480" w:lineRule="auto"/>
      </w:pPr>
      <w:r w:rsidRPr="00006E2B">
        <w:t>Supplement</w:t>
      </w:r>
    </w:p>
    <w:p w:rsidR="00592ADA" w:rsidRPr="00006E2B" w:rsidRDefault="00592ADA" w:rsidP="00592ADA">
      <w:pPr>
        <w:spacing w:line="480" w:lineRule="auto"/>
        <w:rPr>
          <w:b/>
        </w:rPr>
      </w:pPr>
      <w:r w:rsidRPr="00006E2B">
        <w:rPr>
          <w:b/>
        </w:rPr>
        <w:t xml:space="preserve">Table S1. Correlations of demographics and health behaviors with individual physiological resting and reactivity values.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592ADA" w:rsidRPr="00006E2B" w:rsidTr="00E4775F">
        <w:tc>
          <w:tcPr>
            <w:tcW w:w="1678" w:type="dxa"/>
          </w:tcPr>
          <w:p w:rsidR="00592ADA" w:rsidRPr="00006E2B" w:rsidRDefault="00592ADA" w:rsidP="00E4775F">
            <w:pPr>
              <w:spacing w:line="480" w:lineRule="auto"/>
            </w:pPr>
          </w:p>
        </w:tc>
        <w:tc>
          <w:tcPr>
            <w:tcW w:w="1678" w:type="dxa"/>
          </w:tcPr>
          <w:p w:rsidR="00592ADA" w:rsidRPr="00006E2B" w:rsidRDefault="00592ADA" w:rsidP="00E4775F">
            <w:pPr>
              <w:spacing w:line="480" w:lineRule="auto"/>
              <w:rPr>
                <w:b/>
              </w:rPr>
            </w:pPr>
            <w:r w:rsidRPr="00006E2B">
              <w:rPr>
                <w:b/>
              </w:rPr>
              <w:t>Sex (men compared to women)</w:t>
            </w:r>
            <w:r w:rsidRPr="00006E2B">
              <w:rPr>
                <w:b/>
                <w:vertAlign w:val="superscript"/>
              </w:rPr>
              <w:t>a</w:t>
            </w:r>
          </w:p>
        </w:tc>
        <w:tc>
          <w:tcPr>
            <w:tcW w:w="1678" w:type="dxa"/>
          </w:tcPr>
          <w:p w:rsidR="00592ADA" w:rsidRPr="00006E2B" w:rsidRDefault="00592ADA" w:rsidP="00E4775F">
            <w:pPr>
              <w:spacing w:line="480" w:lineRule="auto"/>
              <w:rPr>
                <w:b/>
              </w:rPr>
            </w:pPr>
            <w:r w:rsidRPr="00006E2B">
              <w:rPr>
                <w:b/>
              </w:rPr>
              <w:t>Age</w:t>
            </w:r>
          </w:p>
        </w:tc>
        <w:tc>
          <w:tcPr>
            <w:tcW w:w="1678" w:type="dxa"/>
          </w:tcPr>
          <w:p w:rsidR="00592ADA" w:rsidRPr="00006E2B" w:rsidRDefault="00592ADA" w:rsidP="00E4775F">
            <w:pPr>
              <w:spacing w:line="480" w:lineRule="auto"/>
              <w:rPr>
                <w:b/>
              </w:rPr>
            </w:pPr>
            <w:r w:rsidRPr="00006E2B">
              <w:rPr>
                <w:b/>
              </w:rPr>
              <w:t>Habitual smoking (yes)</w:t>
            </w:r>
            <w:r w:rsidRPr="00006E2B">
              <w:rPr>
                <w:b/>
                <w:vertAlign w:val="superscript"/>
              </w:rPr>
              <w:t xml:space="preserve"> a</w:t>
            </w:r>
          </w:p>
        </w:tc>
        <w:tc>
          <w:tcPr>
            <w:tcW w:w="1679" w:type="dxa"/>
          </w:tcPr>
          <w:p w:rsidR="00592ADA" w:rsidRPr="00006E2B" w:rsidRDefault="00592ADA" w:rsidP="00E4775F">
            <w:pPr>
              <w:spacing w:line="480" w:lineRule="auto"/>
              <w:rPr>
                <w:b/>
              </w:rPr>
            </w:pPr>
            <w:r w:rsidRPr="00006E2B">
              <w:rPr>
                <w:b/>
              </w:rPr>
              <w:t>Exercise (yes)</w:t>
            </w:r>
            <w:r w:rsidRPr="00006E2B">
              <w:rPr>
                <w:b/>
                <w:vertAlign w:val="superscript"/>
              </w:rPr>
              <w:t xml:space="preserve"> a</w:t>
            </w:r>
          </w:p>
        </w:tc>
        <w:tc>
          <w:tcPr>
            <w:tcW w:w="1679" w:type="dxa"/>
          </w:tcPr>
          <w:p w:rsidR="00592ADA" w:rsidRPr="00006E2B" w:rsidRDefault="00592ADA" w:rsidP="00E4775F">
            <w:pPr>
              <w:spacing w:line="480" w:lineRule="auto"/>
              <w:rPr>
                <w:b/>
              </w:rPr>
            </w:pPr>
            <w:r w:rsidRPr="00006E2B">
              <w:rPr>
                <w:b/>
              </w:rPr>
              <w:t>BMI</w:t>
            </w:r>
          </w:p>
        </w:tc>
      </w:tr>
      <w:tr w:rsidR="00592ADA" w:rsidRPr="00006E2B" w:rsidTr="00E4775F">
        <w:tc>
          <w:tcPr>
            <w:tcW w:w="10070" w:type="dxa"/>
            <w:gridSpan w:val="6"/>
            <w:shd w:val="clear" w:color="auto" w:fill="E7E6E6" w:themeFill="background2"/>
          </w:tcPr>
          <w:p w:rsidR="00592ADA" w:rsidRPr="00006E2B" w:rsidRDefault="00592ADA" w:rsidP="00E4775F">
            <w:pPr>
              <w:spacing w:line="480" w:lineRule="auto"/>
              <w:jc w:val="center"/>
            </w:pPr>
            <w:r w:rsidRPr="00006E2B">
              <w:t>Resting levels</w:t>
            </w:r>
          </w:p>
        </w:tc>
      </w:tr>
      <w:tr w:rsidR="00592ADA" w:rsidRPr="00006E2B" w:rsidTr="00E4775F">
        <w:tc>
          <w:tcPr>
            <w:tcW w:w="1678" w:type="dxa"/>
          </w:tcPr>
          <w:p w:rsidR="00592ADA" w:rsidRPr="00006E2B" w:rsidRDefault="00592ADA" w:rsidP="00E4775F">
            <w:pPr>
              <w:spacing w:line="480" w:lineRule="auto"/>
            </w:pPr>
            <w:r w:rsidRPr="00006E2B">
              <w:t>RSA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-.10*</w:t>
            </w:r>
          </w:p>
        </w:tc>
        <w:tc>
          <w:tcPr>
            <w:tcW w:w="1678" w:type="dxa"/>
          </w:tcPr>
          <w:p w:rsidR="00592ADA" w:rsidRPr="00006E2B" w:rsidRDefault="00592ADA" w:rsidP="00E4775F">
            <w:pPr>
              <w:spacing w:line="480" w:lineRule="auto"/>
            </w:pPr>
            <w:r w:rsidRPr="00006E2B">
              <w:t>-.11**</w:t>
            </w:r>
          </w:p>
        </w:tc>
        <w:tc>
          <w:tcPr>
            <w:tcW w:w="1678" w:type="dxa"/>
          </w:tcPr>
          <w:p w:rsidR="00592ADA" w:rsidRPr="00006E2B" w:rsidRDefault="00592ADA" w:rsidP="00E4775F">
            <w:pPr>
              <w:spacing w:line="480" w:lineRule="auto"/>
            </w:pPr>
            <w:r w:rsidRPr="00006E2B">
              <w:t>-.01</w:t>
            </w:r>
          </w:p>
        </w:tc>
        <w:tc>
          <w:tcPr>
            <w:tcW w:w="1679" w:type="dxa"/>
          </w:tcPr>
          <w:p w:rsidR="00592ADA" w:rsidRPr="00006E2B" w:rsidRDefault="00592ADA" w:rsidP="00E4775F">
            <w:pPr>
              <w:spacing w:line="480" w:lineRule="auto"/>
            </w:pPr>
            <w:r w:rsidRPr="00006E2B">
              <w:t>.10*</w:t>
            </w:r>
          </w:p>
        </w:tc>
        <w:tc>
          <w:tcPr>
            <w:tcW w:w="1679" w:type="dxa"/>
          </w:tcPr>
          <w:p w:rsidR="00592ADA" w:rsidRPr="00006E2B" w:rsidRDefault="00592ADA" w:rsidP="00E4775F">
            <w:pPr>
              <w:spacing w:line="480" w:lineRule="auto"/>
            </w:pPr>
            <w:r w:rsidRPr="00006E2B">
              <w:t>.06</w:t>
            </w:r>
          </w:p>
        </w:tc>
      </w:tr>
      <w:tr w:rsidR="00592ADA" w:rsidRPr="00006E2B" w:rsidTr="00E4775F">
        <w:tc>
          <w:tcPr>
            <w:tcW w:w="1678" w:type="dxa"/>
          </w:tcPr>
          <w:p w:rsidR="00592ADA" w:rsidRPr="00006E2B" w:rsidRDefault="00592ADA" w:rsidP="00E4775F">
            <w:pPr>
              <w:spacing w:line="480" w:lineRule="auto"/>
            </w:pPr>
            <w:r w:rsidRPr="00006E2B">
              <w:t>IBI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.10*</w:t>
            </w:r>
          </w:p>
        </w:tc>
        <w:tc>
          <w:tcPr>
            <w:tcW w:w="1678" w:type="dxa"/>
          </w:tcPr>
          <w:p w:rsidR="00592ADA" w:rsidRPr="00006E2B" w:rsidRDefault="00592ADA" w:rsidP="00E4775F">
            <w:pPr>
              <w:spacing w:line="480" w:lineRule="auto"/>
            </w:pPr>
            <w:r w:rsidRPr="00006E2B">
              <w:t>.05</w:t>
            </w:r>
          </w:p>
        </w:tc>
        <w:tc>
          <w:tcPr>
            <w:tcW w:w="1678" w:type="dxa"/>
          </w:tcPr>
          <w:p w:rsidR="00592ADA" w:rsidRPr="00006E2B" w:rsidRDefault="00592ADA" w:rsidP="00E4775F">
            <w:pPr>
              <w:spacing w:line="480" w:lineRule="auto"/>
            </w:pPr>
            <w:r w:rsidRPr="00006E2B">
              <w:t>.03</w:t>
            </w:r>
          </w:p>
        </w:tc>
        <w:tc>
          <w:tcPr>
            <w:tcW w:w="1679" w:type="dxa"/>
          </w:tcPr>
          <w:p w:rsidR="00592ADA" w:rsidRPr="00006E2B" w:rsidRDefault="00592ADA" w:rsidP="00E4775F">
            <w:pPr>
              <w:spacing w:line="480" w:lineRule="auto"/>
            </w:pPr>
            <w:r w:rsidRPr="00006E2B">
              <w:t>.24**</w:t>
            </w:r>
          </w:p>
        </w:tc>
        <w:tc>
          <w:tcPr>
            <w:tcW w:w="1679" w:type="dxa"/>
          </w:tcPr>
          <w:p w:rsidR="00592ADA" w:rsidRPr="00006E2B" w:rsidRDefault="00592ADA" w:rsidP="00E4775F">
            <w:pPr>
              <w:spacing w:line="480" w:lineRule="auto"/>
            </w:pPr>
            <w:r w:rsidRPr="00006E2B">
              <w:t>.04</w:t>
            </w:r>
          </w:p>
        </w:tc>
      </w:tr>
      <w:tr w:rsidR="00592ADA" w:rsidRPr="00006E2B" w:rsidTr="00E4775F">
        <w:tc>
          <w:tcPr>
            <w:tcW w:w="1678" w:type="dxa"/>
          </w:tcPr>
          <w:p w:rsidR="00592ADA" w:rsidRPr="00006E2B" w:rsidRDefault="00592ADA" w:rsidP="00E4775F">
            <w:pPr>
              <w:spacing w:line="480" w:lineRule="auto"/>
            </w:pPr>
            <w:r w:rsidRPr="00006E2B">
              <w:t>PEP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.14*</w:t>
            </w:r>
          </w:p>
        </w:tc>
        <w:tc>
          <w:tcPr>
            <w:tcW w:w="1678" w:type="dxa"/>
          </w:tcPr>
          <w:p w:rsidR="00592ADA" w:rsidRPr="00006E2B" w:rsidRDefault="00592ADA" w:rsidP="00E4775F">
            <w:pPr>
              <w:spacing w:line="480" w:lineRule="auto"/>
            </w:pPr>
            <w:r w:rsidRPr="00006E2B">
              <w:t>-.02</w:t>
            </w:r>
          </w:p>
        </w:tc>
        <w:tc>
          <w:tcPr>
            <w:tcW w:w="1678" w:type="dxa"/>
          </w:tcPr>
          <w:p w:rsidR="00592ADA" w:rsidRPr="00006E2B" w:rsidRDefault="00592ADA" w:rsidP="00E4775F">
            <w:pPr>
              <w:spacing w:line="480" w:lineRule="auto"/>
            </w:pPr>
            <w:r w:rsidRPr="00006E2B">
              <w:t>-.06</w:t>
            </w:r>
          </w:p>
        </w:tc>
        <w:tc>
          <w:tcPr>
            <w:tcW w:w="1679" w:type="dxa"/>
          </w:tcPr>
          <w:p w:rsidR="00592ADA" w:rsidRPr="00006E2B" w:rsidRDefault="00592ADA" w:rsidP="00E4775F">
            <w:pPr>
              <w:spacing w:line="480" w:lineRule="auto"/>
            </w:pPr>
            <w:r w:rsidRPr="00006E2B">
              <w:t>.09*</w:t>
            </w:r>
          </w:p>
        </w:tc>
        <w:tc>
          <w:tcPr>
            <w:tcW w:w="1679" w:type="dxa"/>
          </w:tcPr>
          <w:p w:rsidR="00592ADA" w:rsidRPr="00006E2B" w:rsidRDefault="00592ADA" w:rsidP="00E4775F">
            <w:pPr>
              <w:spacing w:line="480" w:lineRule="auto"/>
            </w:pPr>
            <w:r w:rsidRPr="00006E2B">
              <w:t>-.05</w:t>
            </w:r>
          </w:p>
        </w:tc>
      </w:tr>
      <w:tr w:rsidR="00592ADA" w:rsidRPr="00006E2B" w:rsidTr="00E4775F">
        <w:tc>
          <w:tcPr>
            <w:tcW w:w="1678" w:type="dxa"/>
          </w:tcPr>
          <w:p w:rsidR="00592ADA" w:rsidRPr="00006E2B" w:rsidRDefault="00592ADA" w:rsidP="00E4775F">
            <w:pPr>
              <w:spacing w:line="480" w:lineRule="auto"/>
            </w:pPr>
            <w:r w:rsidRPr="00006E2B">
              <w:t>LVET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-.09*</w:t>
            </w:r>
          </w:p>
        </w:tc>
        <w:tc>
          <w:tcPr>
            <w:tcW w:w="1678" w:type="dxa"/>
          </w:tcPr>
          <w:p w:rsidR="00592ADA" w:rsidRPr="00006E2B" w:rsidRDefault="00592ADA" w:rsidP="00E4775F">
            <w:pPr>
              <w:spacing w:line="480" w:lineRule="auto"/>
            </w:pPr>
            <w:r w:rsidRPr="00006E2B">
              <w:t>.06</w:t>
            </w:r>
          </w:p>
        </w:tc>
        <w:tc>
          <w:tcPr>
            <w:tcW w:w="1678" w:type="dxa"/>
          </w:tcPr>
          <w:p w:rsidR="00592ADA" w:rsidRPr="00006E2B" w:rsidRDefault="00592ADA" w:rsidP="00E4775F">
            <w:pPr>
              <w:spacing w:line="480" w:lineRule="auto"/>
            </w:pPr>
            <w:r w:rsidRPr="00006E2B">
              <w:t>.04</w:t>
            </w:r>
          </w:p>
        </w:tc>
        <w:tc>
          <w:tcPr>
            <w:tcW w:w="1679" w:type="dxa"/>
          </w:tcPr>
          <w:p w:rsidR="00592ADA" w:rsidRPr="00006E2B" w:rsidRDefault="00592ADA" w:rsidP="00E4775F">
            <w:pPr>
              <w:spacing w:line="480" w:lineRule="auto"/>
            </w:pPr>
            <w:r w:rsidRPr="00006E2B">
              <w:t>.16**</w:t>
            </w:r>
          </w:p>
        </w:tc>
        <w:tc>
          <w:tcPr>
            <w:tcW w:w="1679" w:type="dxa"/>
          </w:tcPr>
          <w:p w:rsidR="00592ADA" w:rsidRPr="00006E2B" w:rsidRDefault="00592ADA" w:rsidP="00E4775F">
            <w:pPr>
              <w:spacing w:line="480" w:lineRule="auto"/>
            </w:pPr>
            <w:r w:rsidRPr="00006E2B">
              <w:t>.09*</w:t>
            </w:r>
          </w:p>
        </w:tc>
      </w:tr>
      <w:tr w:rsidR="00592ADA" w:rsidRPr="00006E2B" w:rsidTr="00E4775F">
        <w:tc>
          <w:tcPr>
            <w:tcW w:w="1678" w:type="dxa"/>
          </w:tcPr>
          <w:p w:rsidR="00592ADA" w:rsidRPr="00006E2B" w:rsidRDefault="00592ADA" w:rsidP="00E4775F">
            <w:pPr>
              <w:spacing w:line="480" w:lineRule="auto"/>
            </w:pPr>
            <w:r w:rsidRPr="00006E2B">
              <w:t>SBP (mmHg)</w:t>
            </w:r>
          </w:p>
        </w:tc>
        <w:tc>
          <w:tcPr>
            <w:tcW w:w="1678" w:type="dxa"/>
          </w:tcPr>
          <w:p w:rsidR="00592ADA" w:rsidRPr="00006E2B" w:rsidRDefault="00592ADA" w:rsidP="00E4775F">
            <w:pPr>
              <w:spacing w:line="480" w:lineRule="auto"/>
            </w:pPr>
            <w:r w:rsidRPr="00006E2B">
              <w:t>.27**</w:t>
            </w:r>
          </w:p>
        </w:tc>
        <w:tc>
          <w:tcPr>
            <w:tcW w:w="1678" w:type="dxa"/>
          </w:tcPr>
          <w:p w:rsidR="00592ADA" w:rsidRPr="00006E2B" w:rsidRDefault="00592ADA" w:rsidP="00E4775F">
            <w:pPr>
              <w:spacing w:line="480" w:lineRule="auto"/>
            </w:pPr>
            <w:r w:rsidRPr="00006E2B">
              <w:t>.03</w:t>
            </w:r>
          </w:p>
        </w:tc>
        <w:tc>
          <w:tcPr>
            <w:tcW w:w="1678" w:type="dxa"/>
          </w:tcPr>
          <w:p w:rsidR="00592ADA" w:rsidRPr="00006E2B" w:rsidRDefault="00592ADA" w:rsidP="00E4775F">
            <w:pPr>
              <w:spacing w:line="480" w:lineRule="auto"/>
            </w:pPr>
            <w:r w:rsidRPr="00006E2B">
              <w:t>.07</w:t>
            </w:r>
          </w:p>
        </w:tc>
        <w:tc>
          <w:tcPr>
            <w:tcW w:w="1679" w:type="dxa"/>
          </w:tcPr>
          <w:p w:rsidR="00592ADA" w:rsidRPr="00006E2B" w:rsidRDefault="00592ADA" w:rsidP="00E4775F">
            <w:pPr>
              <w:spacing w:line="480" w:lineRule="auto"/>
            </w:pPr>
            <w:r w:rsidRPr="00006E2B">
              <w:t>.04</w:t>
            </w:r>
          </w:p>
        </w:tc>
        <w:tc>
          <w:tcPr>
            <w:tcW w:w="1679" w:type="dxa"/>
          </w:tcPr>
          <w:p w:rsidR="00592ADA" w:rsidRPr="00006E2B" w:rsidRDefault="00592ADA" w:rsidP="00E4775F">
            <w:pPr>
              <w:spacing w:line="480" w:lineRule="auto"/>
            </w:pPr>
            <w:r w:rsidRPr="00006E2B">
              <w:t>.22**</w:t>
            </w:r>
          </w:p>
        </w:tc>
      </w:tr>
      <w:tr w:rsidR="00592ADA" w:rsidRPr="00006E2B" w:rsidTr="00E4775F">
        <w:tc>
          <w:tcPr>
            <w:tcW w:w="1678" w:type="dxa"/>
          </w:tcPr>
          <w:p w:rsidR="00592ADA" w:rsidRPr="00006E2B" w:rsidRDefault="00592ADA" w:rsidP="00E4775F">
            <w:pPr>
              <w:spacing w:line="480" w:lineRule="auto"/>
            </w:pPr>
            <w:r w:rsidRPr="00006E2B">
              <w:t>DBP (mmHg)</w:t>
            </w:r>
          </w:p>
        </w:tc>
        <w:tc>
          <w:tcPr>
            <w:tcW w:w="1678" w:type="dxa"/>
          </w:tcPr>
          <w:p w:rsidR="00592ADA" w:rsidRPr="00006E2B" w:rsidRDefault="00592ADA" w:rsidP="00E4775F">
            <w:pPr>
              <w:spacing w:line="480" w:lineRule="auto"/>
            </w:pPr>
            <w:r w:rsidRPr="00006E2B">
              <w:t>-.002</w:t>
            </w:r>
          </w:p>
        </w:tc>
        <w:tc>
          <w:tcPr>
            <w:tcW w:w="1678" w:type="dxa"/>
          </w:tcPr>
          <w:p w:rsidR="00592ADA" w:rsidRPr="00006E2B" w:rsidRDefault="00592ADA" w:rsidP="00E4775F">
            <w:pPr>
              <w:spacing w:line="480" w:lineRule="auto"/>
            </w:pPr>
            <w:r w:rsidRPr="00006E2B">
              <w:t>.02</w:t>
            </w:r>
          </w:p>
        </w:tc>
        <w:tc>
          <w:tcPr>
            <w:tcW w:w="1678" w:type="dxa"/>
          </w:tcPr>
          <w:p w:rsidR="00592ADA" w:rsidRPr="00006E2B" w:rsidRDefault="00592ADA" w:rsidP="00E4775F">
            <w:pPr>
              <w:spacing w:line="480" w:lineRule="auto"/>
            </w:pPr>
            <w:r w:rsidRPr="00006E2B">
              <w:t>-.06</w:t>
            </w:r>
          </w:p>
        </w:tc>
        <w:tc>
          <w:tcPr>
            <w:tcW w:w="1679" w:type="dxa"/>
          </w:tcPr>
          <w:p w:rsidR="00592ADA" w:rsidRPr="00006E2B" w:rsidRDefault="00592ADA" w:rsidP="00E4775F">
            <w:pPr>
              <w:spacing w:line="480" w:lineRule="auto"/>
            </w:pPr>
            <w:r w:rsidRPr="00006E2B">
              <w:t>-.06</w:t>
            </w:r>
          </w:p>
        </w:tc>
        <w:tc>
          <w:tcPr>
            <w:tcW w:w="1679" w:type="dxa"/>
          </w:tcPr>
          <w:p w:rsidR="00592ADA" w:rsidRPr="00006E2B" w:rsidRDefault="00592ADA" w:rsidP="00E4775F">
            <w:pPr>
              <w:spacing w:line="480" w:lineRule="auto"/>
            </w:pPr>
            <w:r w:rsidRPr="00006E2B">
              <w:t>.04</w:t>
            </w:r>
          </w:p>
        </w:tc>
      </w:tr>
      <w:tr w:rsidR="00592ADA" w:rsidRPr="00006E2B" w:rsidTr="00E4775F">
        <w:tc>
          <w:tcPr>
            <w:tcW w:w="10070" w:type="dxa"/>
            <w:gridSpan w:val="6"/>
            <w:shd w:val="clear" w:color="auto" w:fill="E7E6E6" w:themeFill="background2"/>
          </w:tcPr>
          <w:p w:rsidR="00592ADA" w:rsidRPr="00006E2B" w:rsidRDefault="00592ADA" w:rsidP="00E4775F">
            <w:pPr>
              <w:spacing w:line="480" w:lineRule="auto"/>
              <w:jc w:val="center"/>
            </w:pPr>
            <w:r w:rsidRPr="00006E2B">
              <w:t>Reactivity</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RSA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.11**</w:t>
            </w:r>
          </w:p>
        </w:tc>
        <w:tc>
          <w:tcPr>
            <w:tcW w:w="1678" w:type="dxa"/>
          </w:tcPr>
          <w:p w:rsidR="00592ADA" w:rsidRPr="00006E2B" w:rsidRDefault="00592ADA" w:rsidP="00E4775F">
            <w:pPr>
              <w:spacing w:line="480" w:lineRule="auto"/>
            </w:pPr>
            <w:r w:rsidRPr="00006E2B">
              <w:t>.12**</w:t>
            </w:r>
          </w:p>
        </w:tc>
        <w:tc>
          <w:tcPr>
            <w:tcW w:w="1678" w:type="dxa"/>
          </w:tcPr>
          <w:p w:rsidR="00592ADA" w:rsidRPr="00006E2B" w:rsidRDefault="00592ADA" w:rsidP="00E4775F">
            <w:pPr>
              <w:spacing w:line="480" w:lineRule="auto"/>
            </w:pPr>
            <w:r w:rsidRPr="00006E2B">
              <w:t>.05</w:t>
            </w:r>
          </w:p>
        </w:tc>
        <w:tc>
          <w:tcPr>
            <w:tcW w:w="1679" w:type="dxa"/>
          </w:tcPr>
          <w:p w:rsidR="00592ADA" w:rsidRPr="00006E2B" w:rsidRDefault="00592ADA" w:rsidP="00E4775F">
            <w:pPr>
              <w:spacing w:line="480" w:lineRule="auto"/>
            </w:pPr>
            <w:r w:rsidRPr="00006E2B">
              <w:t>-.01</w:t>
            </w:r>
          </w:p>
        </w:tc>
        <w:tc>
          <w:tcPr>
            <w:tcW w:w="1679" w:type="dxa"/>
          </w:tcPr>
          <w:p w:rsidR="00592ADA" w:rsidRPr="00006E2B" w:rsidRDefault="00592ADA" w:rsidP="00E4775F">
            <w:pPr>
              <w:spacing w:line="480" w:lineRule="auto"/>
            </w:pPr>
            <w:r w:rsidRPr="00006E2B">
              <w:t>-.002</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IBI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-.10*</w:t>
            </w:r>
          </w:p>
        </w:tc>
        <w:tc>
          <w:tcPr>
            <w:tcW w:w="1678" w:type="dxa"/>
          </w:tcPr>
          <w:p w:rsidR="00592ADA" w:rsidRPr="00006E2B" w:rsidRDefault="00592ADA" w:rsidP="00E4775F">
            <w:pPr>
              <w:spacing w:line="480" w:lineRule="auto"/>
              <w:rPr>
                <w:i/>
              </w:rPr>
            </w:pPr>
            <w:r w:rsidRPr="00006E2B">
              <w:rPr>
                <w:i/>
              </w:rPr>
              <w:t>.07</w:t>
            </w:r>
          </w:p>
        </w:tc>
        <w:tc>
          <w:tcPr>
            <w:tcW w:w="1678" w:type="dxa"/>
          </w:tcPr>
          <w:p w:rsidR="00592ADA" w:rsidRPr="00006E2B" w:rsidRDefault="00592ADA" w:rsidP="00E4775F">
            <w:pPr>
              <w:spacing w:line="480" w:lineRule="auto"/>
            </w:pPr>
            <w:r w:rsidRPr="00006E2B">
              <w:t>.03</w:t>
            </w:r>
          </w:p>
        </w:tc>
        <w:tc>
          <w:tcPr>
            <w:tcW w:w="1679" w:type="dxa"/>
          </w:tcPr>
          <w:p w:rsidR="00592ADA" w:rsidRPr="00006E2B" w:rsidRDefault="00592ADA" w:rsidP="00E4775F">
            <w:pPr>
              <w:spacing w:line="480" w:lineRule="auto"/>
            </w:pPr>
            <w:r w:rsidRPr="00006E2B">
              <w:t>-.04</w:t>
            </w:r>
          </w:p>
        </w:tc>
        <w:tc>
          <w:tcPr>
            <w:tcW w:w="1679" w:type="dxa"/>
          </w:tcPr>
          <w:p w:rsidR="00592ADA" w:rsidRPr="00006E2B" w:rsidRDefault="00592ADA" w:rsidP="00E4775F">
            <w:pPr>
              <w:spacing w:line="480" w:lineRule="auto"/>
            </w:pPr>
            <w:r w:rsidRPr="00006E2B">
              <w:t>.03</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PEP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.03</w:t>
            </w:r>
          </w:p>
        </w:tc>
        <w:tc>
          <w:tcPr>
            <w:tcW w:w="1678" w:type="dxa"/>
          </w:tcPr>
          <w:p w:rsidR="00592ADA" w:rsidRPr="00006E2B" w:rsidRDefault="00592ADA" w:rsidP="00E4775F">
            <w:pPr>
              <w:spacing w:line="480" w:lineRule="auto"/>
            </w:pPr>
            <w:r w:rsidRPr="00006E2B">
              <w:t>.09*</w:t>
            </w:r>
          </w:p>
        </w:tc>
        <w:tc>
          <w:tcPr>
            <w:tcW w:w="1678" w:type="dxa"/>
          </w:tcPr>
          <w:p w:rsidR="00592ADA" w:rsidRPr="00006E2B" w:rsidRDefault="00592ADA" w:rsidP="00E4775F">
            <w:pPr>
              <w:spacing w:line="480" w:lineRule="auto"/>
            </w:pPr>
            <w:r w:rsidRPr="00006E2B">
              <w:t>.09*</w:t>
            </w:r>
          </w:p>
        </w:tc>
        <w:tc>
          <w:tcPr>
            <w:tcW w:w="1679" w:type="dxa"/>
          </w:tcPr>
          <w:p w:rsidR="00592ADA" w:rsidRPr="00006E2B" w:rsidRDefault="00592ADA" w:rsidP="00E4775F">
            <w:pPr>
              <w:spacing w:line="480" w:lineRule="auto"/>
            </w:pPr>
            <w:r w:rsidRPr="00006E2B">
              <w:t>.07</w:t>
            </w:r>
          </w:p>
        </w:tc>
        <w:tc>
          <w:tcPr>
            <w:tcW w:w="1679" w:type="dxa"/>
          </w:tcPr>
          <w:p w:rsidR="00592ADA" w:rsidRPr="00006E2B" w:rsidRDefault="00592ADA" w:rsidP="00E4775F">
            <w:pPr>
              <w:spacing w:line="480" w:lineRule="auto"/>
            </w:pPr>
            <w:r w:rsidRPr="00006E2B">
              <w:t>.02</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LVET (</w:t>
            </w:r>
            <w:proofErr w:type="spellStart"/>
            <w:r w:rsidRPr="00006E2B">
              <w:t>ms</w:t>
            </w:r>
            <w:proofErr w:type="spellEnd"/>
            <w:r w:rsidRPr="00006E2B">
              <w:t>)</w:t>
            </w:r>
          </w:p>
        </w:tc>
        <w:tc>
          <w:tcPr>
            <w:tcW w:w="1678" w:type="dxa"/>
          </w:tcPr>
          <w:p w:rsidR="00592ADA" w:rsidRPr="00006E2B" w:rsidRDefault="00592ADA" w:rsidP="00E4775F">
            <w:pPr>
              <w:spacing w:line="480" w:lineRule="auto"/>
            </w:pPr>
            <w:r w:rsidRPr="00006E2B">
              <w:t>-.15**</w:t>
            </w:r>
          </w:p>
        </w:tc>
        <w:tc>
          <w:tcPr>
            <w:tcW w:w="1678" w:type="dxa"/>
          </w:tcPr>
          <w:p w:rsidR="00592ADA" w:rsidRPr="00006E2B" w:rsidRDefault="00592ADA" w:rsidP="00E4775F">
            <w:pPr>
              <w:spacing w:line="480" w:lineRule="auto"/>
            </w:pPr>
            <w:r w:rsidRPr="00006E2B">
              <w:t>.05</w:t>
            </w:r>
          </w:p>
        </w:tc>
        <w:tc>
          <w:tcPr>
            <w:tcW w:w="1678" w:type="dxa"/>
          </w:tcPr>
          <w:p w:rsidR="00592ADA" w:rsidRPr="00006E2B" w:rsidRDefault="00592ADA" w:rsidP="00E4775F">
            <w:pPr>
              <w:spacing w:line="480" w:lineRule="auto"/>
            </w:pPr>
            <w:r w:rsidRPr="00006E2B">
              <w:t>.003</w:t>
            </w:r>
          </w:p>
        </w:tc>
        <w:tc>
          <w:tcPr>
            <w:tcW w:w="1679" w:type="dxa"/>
          </w:tcPr>
          <w:p w:rsidR="00592ADA" w:rsidRPr="00006E2B" w:rsidRDefault="00592ADA" w:rsidP="00E4775F">
            <w:pPr>
              <w:spacing w:line="480" w:lineRule="auto"/>
            </w:pPr>
            <w:r w:rsidRPr="00006E2B">
              <w:t>.10*</w:t>
            </w:r>
          </w:p>
        </w:tc>
        <w:tc>
          <w:tcPr>
            <w:tcW w:w="1679" w:type="dxa"/>
          </w:tcPr>
          <w:p w:rsidR="00592ADA" w:rsidRPr="00006E2B" w:rsidRDefault="00592ADA" w:rsidP="00E4775F">
            <w:pPr>
              <w:spacing w:line="480" w:lineRule="auto"/>
            </w:pPr>
            <w:r w:rsidRPr="00006E2B">
              <w:t>.03</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SBP (mmHg)</w:t>
            </w:r>
          </w:p>
        </w:tc>
        <w:tc>
          <w:tcPr>
            <w:tcW w:w="1678" w:type="dxa"/>
          </w:tcPr>
          <w:p w:rsidR="00592ADA" w:rsidRPr="00006E2B" w:rsidRDefault="00592ADA" w:rsidP="00E4775F">
            <w:pPr>
              <w:spacing w:line="480" w:lineRule="auto"/>
            </w:pPr>
            <w:r w:rsidRPr="00006E2B">
              <w:t>.08*</w:t>
            </w:r>
          </w:p>
        </w:tc>
        <w:tc>
          <w:tcPr>
            <w:tcW w:w="1678" w:type="dxa"/>
          </w:tcPr>
          <w:p w:rsidR="00592ADA" w:rsidRPr="00006E2B" w:rsidRDefault="00592ADA" w:rsidP="00E4775F">
            <w:pPr>
              <w:spacing w:line="480" w:lineRule="auto"/>
            </w:pPr>
            <w:r w:rsidRPr="00006E2B">
              <w:t>-.06</w:t>
            </w:r>
          </w:p>
        </w:tc>
        <w:tc>
          <w:tcPr>
            <w:tcW w:w="1678" w:type="dxa"/>
          </w:tcPr>
          <w:p w:rsidR="00592ADA" w:rsidRPr="00006E2B" w:rsidRDefault="00592ADA" w:rsidP="00E4775F">
            <w:pPr>
              <w:spacing w:line="480" w:lineRule="auto"/>
            </w:pPr>
            <w:r w:rsidRPr="00006E2B">
              <w:t>-.05</w:t>
            </w:r>
          </w:p>
        </w:tc>
        <w:tc>
          <w:tcPr>
            <w:tcW w:w="1679" w:type="dxa"/>
          </w:tcPr>
          <w:p w:rsidR="00592ADA" w:rsidRPr="00006E2B" w:rsidRDefault="00592ADA" w:rsidP="00E4775F">
            <w:pPr>
              <w:spacing w:line="480" w:lineRule="auto"/>
            </w:pPr>
            <w:r w:rsidRPr="00006E2B">
              <w:t>-.03</w:t>
            </w:r>
          </w:p>
        </w:tc>
        <w:tc>
          <w:tcPr>
            <w:tcW w:w="1679" w:type="dxa"/>
          </w:tcPr>
          <w:p w:rsidR="00592ADA" w:rsidRPr="00006E2B" w:rsidRDefault="00592ADA" w:rsidP="00E4775F">
            <w:pPr>
              <w:spacing w:line="480" w:lineRule="auto"/>
            </w:pPr>
            <w:r w:rsidRPr="00006E2B">
              <w:t>-.05</w:t>
            </w:r>
          </w:p>
        </w:tc>
      </w:tr>
      <w:tr w:rsidR="00592ADA" w:rsidRPr="00006E2B" w:rsidTr="00E4775F">
        <w:tc>
          <w:tcPr>
            <w:tcW w:w="1678" w:type="dxa"/>
          </w:tcPr>
          <w:p w:rsidR="00592ADA" w:rsidRPr="00006E2B" w:rsidRDefault="00592ADA" w:rsidP="00E4775F">
            <w:pPr>
              <w:spacing w:line="480" w:lineRule="auto"/>
            </w:pPr>
            <w:r w:rsidRPr="00006E2B">
              <w:rPr>
                <w:rFonts w:cstheme="minorHAnsi"/>
              </w:rPr>
              <w:t>Δ</w:t>
            </w:r>
            <w:r w:rsidRPr="00006E2B">
              <w:t>DBP (mmHg)</w:t>
            </w:r>
          </w:p>
        </w:tc>
        <w:tc>
          <w:tcPr>
            <w:tcW w:w="1678" w:type="dxa"/>
          </w:tcPr>
          <w:p w:rsidR="00592ADA" w:rsidRPr="00006E2B" w:rsidRDefault="00592ADA" w:rsidP="00E4775F">
            <w:pPr>
              <w:spacing w:line="480" w:lineRule="auto"/>
            </w:pPr>
            <w:r w:rsidRPr="00006E2B">
              <w:t>.09*</w:t>
            </w:r>
          </w:p>
        </w:tc>
        <w:tc>
          <w:tcPr>
            <w:tcW w:w="1678" w:type="dxa"/>
          </w:tcPr>
          <w:p w:rsidR="00592ADA" w:rsidRPr="00006E2B" w:rsidRDefault="00592ADA" w:rsidP="00E4775F">
            <w:pPr>
              <w:spacing w:line="480" w:lineRule="auto"/>
            </w:pPr>
            <w:r w:rsidRPr="00006E2B">
              <w:t>-.05</w:t>
            </w:r>
          </w:p>
        </w:tc>
        <w:tc>
          <w:tcPr>
            <w:tcW w:w="1678" w:type="dxa"/>
          </w:tcPr>
          <w:p w:rsidR="00592ADA" w:rsidRPr="00006E2B" w:rsidRDefault="00592ADA" w:rsidP="00E4775F">
            <w:pPr>
              <w:spacing w:line="480" w:lineRule="auto"/>
            </w:pPr>
            <w:r w:rsidRPr="00006E2B">
              <w:t>.02</w:t>
            </w:r>
          </w:p>
        </w:tc>
        <w:tc>
          <w:tcPr>
            <w:tcW w:w="1679" w:type="dxa"/>
          </w:tcPr>
          <w:p w:rsidR="00592ADA" w:rsidRPr="00006E2B" w:rsidRDefault="00592ADA" w:rsidP="00E4775F">
            <w:pPr>
              <w:spacing w:line="480" w:lineRule="auto"/>
            </w:pPr>
            <w:r w:rsidRPr="00006E2B">
              <w:t>.06</w:t>
            </w:r>
          </w:p>
        </w:tc>
        <w:tc>
          <w:tcPr>
            <w:tcW w:w="1679" w:type="dxa"/>
          </w:tcPr>
          <w:p w:rsidR="00592ADA" w:rsidRPr="00006E2B" w:rsidRDefault="00592ADA" w:rsidP="00E4775F">
            <w:pPr>
              <w:spacing w:line="480" w:lineRule="auto"/>
              <w:rPr>
                <w:i/>
              </w:rPr>
            </w:pPr>
            <w:r w:rsidRPr="00006E2B">
              <w:rPr>
                <w:i/>
              </w:rPr>
              <w:t>-.06</w:t>
            </w:r>
          </w:p>
        </w:tc>
      </w:tr>
    </w:tbl>
    <w:p w:rsidR="00592ADA" w:rsidRPr="00006E2B" w:rsidRDefault="00592ADA" w:rsidP="00592ADA">
      <w:pPr>
        <w:spacing w:line="480" w:lineRule="auto"/>
      </w:pPr>
      <w:r w:rsidRPr="00006E2B">
        <w:t xml:space="preserve">Note: </w:t>
      </w:r>
      <w:r w:rsidRPr="00006E2B">
        <w:rPr>
          <w:b/>
          <w:vertAlign w:val="superscript"/>
        </w:rPr>
        <w:t xml:space="preserve">a </w:t>
      </w:r>
      <w:r w:rsidRPr="00006E2B">
        <w:t>Spearman correlation. * p&lt;.05, ** p&lt;.01, italic: significance trend p&lt;.10</w:t>
      </w:r>
    </w:p>
    <w:p w:rsidR="00592ADA" w:rsidRPr="00006E2B" w:rsidRDefault="00592ADA" w:rsidP="00592ADA">
      <w:pPr>
        <w:spacing w:line="480" w:lineRule="auto"/>
      </w:pPr>
    </w:p>
    <w:p w:rsidR="00592ADA" w:rsidRPr="00006E2B" w:rsidRDefault="00592ADA" w:rsidP="0050512E">
      <w:pPr>
        <w:spacing w:line="480" w:lineRule="auto"/>
      </w:pPr>
    </w:p>
    <w:p w:rsidR="003D68E0" w:rsidRPr="00006E2B" w:rsidRDefault="003D68E0" w:rsidP="0050512E">
      <w:pPr>
        <w:spacing w:line="480" w:lineRule="auto"/>
        <w:jc w:val="both"/>
        <w:rPr>
          <w:rFonts w:ascii="Calibri" w:hAnsi="Calibri"/>
          <w:b/>
        </w:rPr>
      </w:pPr>
      <w:r w:rsidRPr="00006E2B">
        <w:rPr>
          <w:rFonts w:ascii="Calibri" w:hAnsi="Calibri"/>
          <w:b/>
        </w:rPr>
        <w:lastRenderedPageBreak/>
        <w:t>Resting physiological profiles as related to subsequent stress reactivity of individual measur</w:t>
      </w:r>
      <w:r w:rsidR="0050512E" w:rsidRPr="00006E2B">
        <w:rPr>
          <w:rFonts w:ascii="Calibri" w:hAnsi="Calibri"/>
          <w:b/>
        </w:rPr>
        <w:t>e</w:t>
      </w:r>
      <w:r w:rsidRPr="00006E2B">
        <w:rPr>
          <w:rFonts w:ascii="Calibri" w:hAnsi="Calibri"/>
          <w:b/>
        </w:rPr>
        <w:t>s</w:t>
      </w:r>
    </w:p>
    <w:p w:rsidR="003D68E0" w:rsidRPr="00006E2B" w:rsidRDefault="003D68E0" w:rsidP="0050512E">
      <w:pPr>
        <w:spacing w:line="480" w:lineRule="auto"/>
        <w:jc w:val="both"/>
        <w:rPr>
          <w:rFonts w:ascii="Calibri" w:hAnsi="Calibri"/>
        </w:rPr>
      </w:pPr>
      <w:r w:rsidRPr="00006E2B">
        <w:rPr>
          <w:rFonts w:ascii="Calibri" w:hAnsi="Calibri"/>
        </w:rPr>
        <w:t>Resting state profiles were associated with specific reactivity patterns of the physiological parameters (</w:t>
      </w:r>
      <w:r w:rsidRPr="00006E2B">
        <w:rPr>
          <w:rFonts w:ascii="Calibri" w:hAnsi="Calibri"/>
          <w:u w:val="single"/>
        </w:rPr>
        <w:t>Table 5</w:t>
      </w:r>
      <w:r w:rsidRPr="00006E2B">
        <w:rPr>
          <w:rFonts w:ascii="Calibri" w:hAnsi="Calibri"/>
        </w:rPr>
        <w:t>). ANOVA analyses revealed significant associations of cluster membership during rest with subsequent</w:t>
      </w:r>
      <w:r w:rsidR="00145DFE" w:rsidRPr="00006E2B">
        <w:rPr>
          <w:rFonts w:ascii="Calibri" w:hAnsi="Calibri"/>
        </w:rPr>
        <w:t xml:space="preserve"> single-measure</w:t>
      </w:r>
      <w:r w:rsidRPr="00006E2B">
        <w:rPr>
          <w:rFonts w:ascii="Calibri" w:hAnsi="Calibri"/>
        </w:rPr>
        <w:t xml:space="preserve"> RSA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=.16)</w:t>
      </w:r>
      <w:r w:rsidRPr="00006E2B">
        <w:rPr>
          <w:rFonts w:ascii="Calibri" w:hAnsi="Calibri"/>
        </w:rPr>
        <w:t>, IBI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=.16)</w:t>
      </w:r>
      <w:r w:rsidRPr="00006E2B">
        <w:rPr>
          <w:rFonts w:ascii="Calibri" w:hAnsi="Calibri"/>
        </w:rPr>
        <w:t>, PEP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=.07)</w:t>
      </w:r>
      <w:r w:rsidRPr="00006E2B">
        <w:rPr>
          <w:rFonts w:ascii="Calibri" w:hAnsi="Calibri"/>
        </w:rPr>
        <w:t>, and LVET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=.04)</w:t>
      </w:r>
      <w:r w:rsidRPr="00006E2B">
        <w:rPr>
          <w:rFonts w:ascii="Calibri" w:hAnsi="Calibri"/>
        </w:rPr>
        <w:t>, but not for SBP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=.01)</w:t>
      </w:r>
      <w:r w:rsidRPr="00006E2B">
        <w:rPr>
          <w:rFonts w:ascii="Calibri" w:hAnsi="Calibri"/>
        </w:rPr>
        <w:t>, or DBP reactivity (</w:t>
      </w:r>
      <w:r w:rsidRPr="00006E2B">
        <w:rPr>
          <w:rFonts w:ascii="Calibri" w:hAnsi="Calibri" w:cs="Calibri"/>
        </w:rPr>
        <w:t>Ƞ</w:t>
      </w:r>
      <w:r w:rsidRPr="00006E2B">
        <w:rPr>
          <w:rFonts w:ascii="Calibri" w:hAnsi="Calibri" w:cs="Calibri"/>
          <w:sz w:val="20"/>
          <w:vertAlign w:val="superscript"/>
        </w:rPr>
        <w:t>2</w:t>
      </w:r>
      <w:r w:rsidRPr="00006E2B">
        <w:rPr>
          <w:rFonts w:ascii="Calibri" w:hAnsi="Calibri" w:cs="Calibri"/>
        </w:rPr>
        <w:t>=.02)</w:t>
      </w:r>
      <w:r w:rsidRPr="00006E2B">
        <w:rPr>
          <w:rFonts w:ascii="Calibri" w:hAnsi="Calibri"/>
        </w:rPr>
        <w:t xml:space="preserve">.  Post-hoc tests showed that the resting clusters differed in the magnitude of parasympathetic reactivity to the subsequent acute mental challenge. The resting clusters characterized by a high vagal baseline (C2) and by high resting SBP (C3) exhibited relatively large parasympathetic withdrawal responses. The low vagal resting activity profile (C4) </w:t>
      </w:r>
      <w:proofErr w:type="gramStart"/>
      <w:r w:rsidRPr="00006E2B">
        <w:rPr>
          <w:rFonts w:ascii="Calibri" w:hAnsi="Calibri"/>
        </w:rPr>
        <w:t>was characterized</w:t>
      </w:r>
      <w:proofErr w:type="gramEnd"/>
      <w:r w:rsidRPr="00006E2B">
        <w:rPr>
          <w:rFonts w:ascii="Calibri" w:hAnsi="Calibri"/>
        </w:rPr>
        <w:t xml:space="preserve"> by an absence of a parasympathetic response to stress. With respect to IBI, post-hoc tests showed a similar pattern. Sympathetic stress reactivity was similar for clusters 1, 2 and 4, while sympathetic reactivity was stronger for the cluster characterized by a high resting SBP (C3) and high resting cardiac contractility (C5). LVET showed the strongest reactivity in the high resting SBP cluster, and the smallest reactivity in the high baseline contractility cluster. With respect to blood pressure, all clusters showed similar responses. Worth noting is that, consistent with the law of initial values, the high resting SBP cluster (C3) displayed the smallest SBP and DBP stress responses. </w:t>
      </w:r>
    </w:p>
    <w:p w:rsidR="003D68E0" w:rsidRPr="00006E2B" w:rsidRDefault="003D68E0" w:rsidP="0050512E">
      <w:pPr>
        <w:spacing w:line="480" w:lineRule="auto"/>
        <w:rPr>
          <w:rFonts w:ascii="Calibri" w:hAnsi="Calibri"/>
          <w:b/>
        </w:rPr>
      </w:pPr>
      <w:r w:rsidRPr="00006E2B">
        <w:rPr>
          <w:rFonts w:ascii="Calibri" w:hAnsi="Calibri"/>
          <w:b/>
        </w:rPr>
        <w:br w:type="page"/>
      </w:r>
    </w:p>
    <w:p w:rsidR="003D68E0" w:rsidRPr="00006E2B" w:rsidRDefault="003D68E0" w:rsidP="0050512E">
      <w:pPr>
        <w:spacing w:line="480" w:lineRule="auto"/>
        <w:rPr>
          <w:rFonts w:ascii="Calibri" w:hAnsi="Calibri"/>
          <w:b/>
        </w:rPr>
      </w:pPr>
      <w:r w:rsidRPr="00006E2B">
        <w:rPr>
          <w:rFonts w:ascii="Calibri" w:hAnsi="Calibri"/>
          <w:b/>
        </w:rPr>
        <w:lastRenderedPageBreak/>
        <w:t>Table S</w:t>
      </w:r>
      <w:r w:rsidR="00592ADA" w:rsidRPr="00006E2B">
        <w:rPr>
          <w:rFonts w:ascii="Calibri" w:hAnsi="Calibri"/>
          <w:b/>
        </w:rPr>
        <w:t>2</w:t>
      </w:r>
      <w:r w:rsidRPr="00006E2B">
        <w:rPr>
          <w:rFonts w:ascii="Calibri" w:hAnsi="Calibri"/>
          <w:b/>
        </w:rPr>
        <w:t>. Prediction of stress reactivity of individual cardiovascular measures by baseline resting physiology clusters</w:t>
      </w:r>
    </w:p>
    <w:tbl>
      <w:tblPr>
        <w:tblStyle w:val="GridTable4-Accent3"/>
        <w:tblpPr w:leftFromText="180" w:rightFromText="180" w:vertAnchor="page" w:horzAnchor="margin" w:tblpX="-431" w:tblpY="2347"/>
        <w:tblW w:w="10768" w:type="dxa"/>
        <w:tblLook w:val="04A0" w:firstRow="1" w:lastRow="0" w:firstColumn="1" w:lastColumn="0" w:noHBand="0" w:noVBand="1"/>
      </w:tblPr>
      <w:tblGrid>
        <w:gridCol w:w="1696"/>
        <w:gridCol w:w="1418"/>
        <w:gridCol w:w="1417"/>
        <w:gridCol w:w="1367"/>
        <w:gridCol w:w="1468"/>
        <w:gridCol w:w="1488"/>
        <w:gridCol w:w="672"/>
        <w:gridCol w:w="772"/>
        <w:gridCol w:w="470"/>
      </w:tblGrid>
      <w:tr w:rsidR="003D68E0" w:rsidRPr="00006E2B" w:rsidTr="003D68E0">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Means (se)</w:t>
            </w:r>
          </w:p>
        </w:tc>
        <w:tc>
          <w:tcPr>
            <w:tcW w:w="1418"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szCs w:val="20"/>
              </w:rPr>
              <w:t>Cluster 1 “SV balance – Normative BP”</w:t>
            </w:r>
          </w:p>
        </w:tc>
        <w:tc>
          <w:tcPr>
            <w:tcW w:w="1417"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szCs w:val="20"/>
              </w:rPr>
              <w:t>Cluster 2 “High vagal”</w:t>
            </w:r>
          </w:p>
        </w:tc>
        <w:tc>
          <w:tcPr>
            <w:tcW w:w="1367"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szCs w:val="20"/>
              </w:rPr>
              <w:t>Cluster 3 “High SBP”</w:t>
            </w:r>
          </w:p>
        </w:tc>
        <w:tc>
          <w:tcPr>
            <w:tcW w:w="1468"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szCs w:val="20"/>
              </w:rPr>
              <w:t>Cluster 4 “Low vagal”</w:t>
            </w:r>
          </w:p>
        </w:tc>
        <w:tc>
          <w:tcPr>
            <w:tcW w:w="1488" w:type="dxa"/>
          </w:tcPr>
          <w:p w:rsidR="003D68E0" w:rsidRPr="00006E2B" w:rsidRDefault="00D45A31"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szCs w:val="20"/>
              </w:rPr>
              <w:t>Cluster 5 “</w:t>
            </w:r>
            <w:r w:rsidRPr="00006E2B">
              <w:rPr>
                <w:b w:val="0"/>
              </w:rPr>
              <w:t xml:space="preserve"> </w:t>
            </w:r>
            <w:r w:rsidR="0049261B" w:rsidRPr="00006E2B">
              <w:t xml:space="preserve"> </w:t>
            </w:r>
            <w:r w:rsidR="0049261B" w:rsidRPr="00006E2B">
              <w:rPr>
                <w:b w:val="0"/>
              </w:rPr>
              <w:t>Vagal dominance, contractility</w:t>
            </w:r>
            <w:r w:rsidR="0049261B" w:rsidRPr="00006E2B">
              <w:rPr>
                <w:rFonts w:ascii="Calibri" w:hAnsi="Calibri" w:cs="Calibri"/>
                <w:b w:val="0"/>
                <w:sz w:val="20"/>
                <w:szCs w:val="20"/>
              </w:rPr>
              <w:t xml:space="preserve"> </w:t>
            </w:r>
            <w:r w:rsidR="003D68E0" w:rsidRPr="00006E2B">
              <w:rPr>
                <w:rFonts w:ascii="Calibri" w:hAnsi="Calibri" w:cs="Calibri"/>
                <w:b w:val="0"/>
                <w:sz w:val="20"/>
                <w:szCs w:val="20"/>
              </w:rPr>
              <w:t>”</w:t>
            </w:r>
          </w:p>
        </w:tc>
        <w:tc>
          <w:tcPr>
            <w:tcW w:w="672"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rPr>
              <w:t>F</w:t>
            </w:r>
          </w:p>
        </w:tc>
        <w:tc>
          <w:tcPr>
            <w:tcW w:w="772"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rPr>
              <w:t>P value</w:t>
            </w:r>
          </w:p>
        </w:tc>
        <w:tc>
          <w:tcPr>
            <w:tcW w:w="470" w:type="dxa"/>
          </w:tcPr>
          <w:p w:rsidR="003D68E0" w:rsidRPr="00006E2B" w:rsidRDefault="003D68E0" w:rsidP="0050512E">
            <w:pPr>
              <w:spacing w:after="160"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006E2B">
              <w:rPr>
                <w:rFonts w:ascii="Calibri" w:hAnsi="Calibri" w:cs="Calibri"/>
                <w:b w:val="0"/>
                <w:sz w:val="20"/>
              </w:rPr>
              <w:t>Ƞ</w:t>
            </w:r>
            <w:r w:rsidRPr="00006E2B">
              <w:rPr>
                <w:rFonts w:ascii="Calibri" w:hAnsi="Calibri" w:cs="Calibri"/>
                <w:b w:val="0"/>
                <w:sz w:val="20"/>
                <w:vertAlign w:val="superscript"/>
              </w:rPr>
              <w:t>2</w:t>
            </w:r>
          </w:p>
        </w:tc>
      </w:tr>
      <w:tr w:rsidR="003D68E0" w:rsidRPr="00006E2B" w:rsidTr="003D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RSA reactivity (</w:t>
            </w:r>
            <w:proofErr w:type="spellStart"/>
            <w:r w:rsidRPr="00006E2B">
              <w:rPr>
                <w:rFonts w:ascii="Calibri" w:hAnsi="Calibri" w:cs="Calibri"/>
                <w:b w:val="0"/>
                <w:sz w:val="20"/>
              </w:rPr>
              <w:t>ms</w:t>
            </w:r>
            <w:proofErr w:type="spellEnd"/>
            <w:r w:rsidRPr="00006E2B">
              <w:rPr>
                <w:rFonts w:ascii="Calibri" w:hAnsi="Calibri" w:cs="Calibri"/>
                <w:b w:val="0"/>
                <w:sz w:val="20"/>
              </w:rPr>
              <w:t>)</w:t>
            </w:r>
          </w:p>
        </w:tc>
        <w:tc>
          <w:tcPr>
            <w:tcW w:w="141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-6.84 (2.2)</w:t>
            </w:r>
            <w:r w:rsidRPr="00006E2B">
              <w:rPr>
                <w:rFonts w:ascii="Calibri" w:hAnsi="Calibri" w:cs="Calibri"/>
                <w:sz w:val="20"/>
                <w:vertAlign w:val="subscript"/>
              </w:rPr>
              <w:t xml:space="preserve">a </w:t>
            </w:r>
          </w:p>
        </w:tc>
        <w:tc>
          <w:tcPr>
            <w:tcW w:w="141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-35.62 (2.7)</w:t>
            </w:r>
            <w:r w:rsidRPr="00006E2B">
              <w:rPr>
                <w:rFonts w:ascii="Calibri" w:hAnsi="Calibri" w:cs="Calibri"/>
                <w:sz w:val="20"/>
                <w:vertAlign w:val="subscript"/>
              </w:rPr>
              <w:t>b</w:t>
            </w:r>
          </w:p>
        </w:tc>
        <w:tc>
          <w:tcPr>
            <w:tcW w:w="136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-31.52 (2.7)</w:t>
            </w:r>
            <w:r w:rsidRPr="00006E2B">
              <w:rPr>
                <w:rFonts w:ascii="Calibri" w:hAnsi="Calibri" w:cs="Calibri"/>
                <w:sz w:val="20"/>
                <w:vertAlign w:val="subscript"/>
              </w:rPr>
              <w:t>b</w:t>
            </w:r>
          </w:p>
        </w:tc>
        <w:tc>
          <w:tcPr>
            <w:tcW w:w="146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-.04 (3.3)</w:t>
            </w:r>
            <w:r w:rsidRPr="00006E2B">
              <w:rPr>
                <w:rFonts w:ascii="Calibri" w:hAnsi="Calibri" w:cs="Calibri"/>
                <w:sz w:val="20"/>
                <w:vertAlign w:val="subscript"/>
              </w:rPr>
              <w:t>c</w:t>
            </w:r>
          </w:p>
        </w:tc>
        <w:tc>
          <w:tcPr>
            <w:tcW w:w="148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-12.67 (3.4)</w:t>
            </w:r>
            <w:r w:rsidRPr="00006E2B">
              <w:rPr>
                <w:rFonts w:ascii="Calibri" w:hAnsi="Calibri" w:cs="Calibri"/>
                <w:sz w:val="20"/>
                <w:vertAlign w:val="subscript"/>
              </w:rPr>
              <w:t>a</w:t>
            </w:r>
          </w:p>
        </w:tc>
        <w:tc>
          <w:tcPr>
            <w:tcW w:w="6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28.34</w:t>
            </w:r>
          </w:p>
        </w:tc>
        <w:tc>
          <w:tcPr>
            <w:tcW w:w="7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&lt;.0001</w:t>
            </w:r>
          </w:p>
        </w:tc>
        <w:tc>
          <w:tcPr>
            <w:tcW w:w="470"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.16</w:t>
            </w:r>
          </w:p>
        </w:tc>
      </w:tr>
      <w:tr w:rsidR="003D68E0" w:rsidRPr="00006E2B" w:rsidTr="003D68E0">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IBI reactivity (</w:t>
            </w:r>
            <w:proofErr w:type="spellStart"/>
            <w:r w:rsidRPr="00006E2B">
              <w:rPr>
                <w:rFonts w:ascii="Calibri" w:hAnsi="Calibri" w:cs="Calibri"/>
                <w:b w:val="0"/>
                <w:sz w:val="20"/>
              </w:rPr>
              <w:t>ms</w:t>
            </w:r>
            <w:proofErr w:type="spellEnd"/>
            <w:r w:rsidRPr="00006E2B">
              <w:rPr>
                <w:rFonts w:ascii="Calibri" w:hAnsi="Calibri" w:cs="Calibri"/>
                <w:b w:val="0"/>
                <w:sz w:val="20"/>
              </w:rPr>
              <w:t>)</w:t>
            </w:r>
          </w:p>
        </w:tc>
        <w:tc>
          <w:tcPr>
            <w:tcW w:w="141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-131.18 (5.7)</w:t>
            </w:r>
            <w:r w:rsidRPr="00006E2B">
              <w:rPr>
                <w:rFonts w:ascii="Calibri" w:hAnsi="Calibri" w:cs="Calibri"/>
                <w:sz w:val="20"/>
                <w:vertAlign w:val="subscript"/>
              </w:rPr>
              <w:t xml:space="preserve"> a</w:t>
            </w:r>
          </w:p>
        </w:tc>
        <w:tc>
          <w:tcPr>
            <w:tcW w:w="141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-198.45 (6.7)</w:t>
            </w:r>
            <w:r w:rsidRPr="00006E2B">
              <w:rPr>
                <w:rFonts w:ascii="Calibri" w:hAnsi="Calibri" w:cs="Calibri"/>
                <w:sz w:val="20"/>
                <w:vertAlign w:val="subscript"/>
              </w:rPr>
              <w:t xml:space="preserve"> b</w:t>
            </w:r>
          </w:p>
        </w:tc>
        <w:tc>
          <w:tcPr>
            <w:tcW w:w="136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-178.07 (9.4)</w:t>
            </w:r>
            <w:r w:rsidRPr="00006E2B">
              <w:rPr>
                <w:rFonts w:ascii="Calibri" w:hAnsi="Calibri" w:cs="Calibri"/>
                <w:sz w:val="20"/>
                <w:vertAlign w:val="subscript"/>
              </w:rPr>
              <w:t xml:space="preserve"> b</w:t>
            </w:r>
          </w:p>
        </w:tc>
        <w:tc>
          <w:tcPr>
            <w:tcW w:w="146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-99.05 (8.5)</w:t>
            </w:r>
            <w:r w:rsidRPr="00006E2B">
              <w:rPr>
                <w:rFonts w:ascii="Calibri" w:hAnsi="Calibri" w:cs="Calibri"/>
                <w:sz w:val="20"/>
                <w:vertAlign w:val="subscript"/>
              </w:rPr>
              <w:t xml:space="preserve"> c</w:t>
            </w:r>
          </w:p>
        </w:tc>
        <w:tc>
          <w:tcPr>
            <w:tcW w:w="148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-136.39 (9.2)</w:t>
            </w:r>
            <w:r w:rsidRPr="00006E2B">
              <w:rPr>
                <w:rFonts w:ascii="Calibri" w:hAnsi="Calibri" w:cs="Calibri"/>
                <w:sz w:val="20"/>
                <w:vertAlign w:val="subscript"/>
              </w:rPr>
              <w:t xml:space="preserve"> a</w:t>
            </w:r>
          </w:p>
        </w:tc>
        <w:tc>
          <w:tcPr>
            <w:tcW w:w="6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27.53</w:t>
            </w:r>
          </w:p>
        </w:tc>
        <w:tc>
          <w:tcPr>
            <w:tcW w:w="7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&lt;.0001</w:t>
            </w:r>
          </w:p>
        </w:tc>
        <w:tc>
          <w:tcPr>
            <w:tcW w:w="470"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.16</w:t>
            </w:r>
          </w:p>
        </w:tc>
      </w:tr>
      <w:tr w:rsidR="003D68E0" w:rsidRPr="00006E2B" w:rsidTr="003D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PEP reactivity (</w:t>
            </w:r>
            <w:proofErr w:type="spellStart"/>
            <w:r w:rsidRPr="00006E2B">
              <w:rPr>
                <w:rFonts w:ascii="Calibri" w:hAnsi="Calibri" w:cs="Calibri"/>
                <w:b w:val="0"/>
                <w:sz w:val="20"/>
              </w:rPr>
              <w:t>ms</w:t>
            </w:r>
            <w:proofErr w:type="spellEnd"/>
            <w:r w:rsidRPr="00006E2B">
              <w:rPr>
                <w:rFonts w:ascii="Calibri" w:hAnsi="Calibri" w:cs="Calibri"/>
                <w:b w:val="0"/>
                <w:sz w:val="20"/>
              </w:rPr>
              <w:t>)</w:t>
            </w:r>
          </w:p>
        </w:tc>
        <w:tc>
          <w:tcPr>
            <w:tcW w:w="141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-5.04 (.4)</w:t>
            </w:r>
            <w:r w:rsidRPr="00006E2B">
              <w:rPr>
                <w:rFonts w:ascii="Calibri" w:hAnsi="Calibri" w:cs="Calibri"/>
                <w:sz w:val="20"/>
                <w:vertAlign w:val="subscript"/>
              </w:rPr>
              <w:t xml:space="preserve"> a</w:t>
            </w:r>
          </w:p>
        </w:tc>
        <w:tc>
          <w:tcPr>
            <w:tcW w:w="141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-5.23 (.4)</w:t>
            </w:r>
            <w:r w:rsidRPr="00006E2B">
              <w:rPr>
                <w:rFonts w:ascii="Calibri" w:hAnsi="Calibri" w:cs="Calibri"/>
                <w:sz w:val="20"/>
                <w:vertAlign w:val="subscript"/>
              </w:rPr>
              <w:t xml:space="preserve"> a</w:t>
            </w:r>
          </w:p>
        </w:tc>
        <w:tc>
          <w:tcPr>
            <w:tcW w:w="136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-6.60 (.6)</w:t>
            </w:r>
            <w:r w:rsidRPr="00006E2B">
              <w:rPr>
                <w:rFonts w:ascii="Calibri" w:hAnsi="Calibri" w:cs="Calibri"/>
                <w:sz w:val="20"/>
                <w:vertAlign w:val="subscript"/>
              </w:rPr>
              <w:t xml:space="preserve"> b</w:t>
            </w:r>
          </w:p>
        </w:tc>
        <w:tc>
          <w:tcPr>
            <w:tcW w:w="146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-5.27 (.6)</w:t>
            </w:r>
            <w:r w:rsidRPr="00006E2B">
              <w:rPr>
                <w:rFonts w:ascii="Calibri" w:hAnsi="Calibri" w:cs="Calibri"/>
                <w:sz w:val="20"/>
                <w:vertAlign w:val="subscript"/>
              </w:rPr>
              <w:t xml:space="preserve"> a</w:t>
            </w:r>
          </w:p>
        </w:tc>
        <w:tc>
          <w:tcPr>
            <w:tcW w:w="148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 xml:space="preserve">-9.42 (.6) </w:t>
            </w:r>
            <w:r w:rsidRPr="00006E2B">
              <w:rPr>
                <w:rFonts w:ascii="Calibri" w:hAnsi="Calibri" w:cs="Calibri"/>
                <w:sz w:val="20"/>
                <w:vertAlign w:val="subscript"/>
              </w:rPr>
              <w:t>c</w:t>
            </w:r>
          </w:p>
        </w:tc>
        <w:tc>
          <w:tcPr>
            <w:tcW w:w="6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11.33</w:t>
            </w:r>
          </w:p>
        </w:tc>
        <w:tc>
          <w:tcPr>
            <w:tcW w:w="7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&lt;.0001</w:t>
            </w:r>
          </w:p>
        </w:tc>
        <w:tc>
          <w:tcPr>
            <w:tcW w:w="470"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.07</w:t>
            </w:r>
          </w:p>
        </w:tc>
      </w:tr>
      <w:tr w:rsidR="003D68E0" w:rsidRPr="00006E2B" w:rsidTr="003D68E0">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LVET reactivity (</w:t>
            </w:r>
            <w:proofErr w:type="spellStart"/>
            <w:r w:rsidRPr="00006E2B">
              <w:rPr>
                <w:rFonts w:ascii="Calibri" w:hAnsi="Calibri" w:cs="Calibri"/>
                <w:b w:val="0"/>
                <w:sz w:val="20"/>
              </w:rPr>
              <w:t>ms</w:t>
            </w:r>
            <w:proofErr w:type="spellEnd"/>
            <w:r w:rsidRPr="00006E2B">
              <w:rPr>
                <w:rFonts w:ascii="Calibri" w:hAnsi="Calibri" w:cs="Calibri"/>
                <w:b w:val="0"/>
                <w:sz w:val="20"/>
              </w:rPr>
              <w:t>)</w:t>
            </w:r>
          </w:p>
        </w:tc>
        <w:tc>
          <w:tcPr>
            <w:tcW w:w="141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-16.60 (1.5)</w:t>
            </w:r>
            <w:r w:rsidRPr="00006E2B">
              <w:rPr>
                <w:rFonts w:ascii="Calibri" w:hAnsi="Calibri" w:cs="Calibri"/>
                <w:sz w:val="20"/>
                <w:vertAlign w:val="subscript"/>
              </w:rPr>
              <w:t xml:space="preserve"> a</w:t>
            </w:r>
          </w:p>
        </w:tc>
        <w:tc>
          <w:tcPr>
            <w:tcW w:w="141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-16.67 (1.7)</w:t>
            </w:r>
            <w:r w:rsidRPr="00006E2B">
              <w:rPr>
                <w:rFonts w:ascii="Calibri" w:hAnsi="Calibri" w:cs="Calibri"/>
                <w:sz w:val="20"/>
                <w:vertAlign w:val="subscript"/>
              </w:rPr>
              <w:t xml:space="preserve"> a</w:t>
            </w:r>
          </w:p>
        </w:tc>
        <w:tc>
          <w:tcPr>
            <w:tcW w:w="136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-24.26 (2.4)</w:t>
            </w:r>
            <w:r w:rsidRPr="00006E2B">
              <w:rPr>
                <w:rFonts w:ascii="Calibri" w:hAnsi="Calibri" w:cs="Calibri"/>
                <w:sz w:val="20"/>
                <w:vertAlign w:val="subscript"/>
              </w:rPr>
              <w:t xml:space="preserve"> b</w:t>
            </w:r>
          </w:p>
        </w:tc>
        <w:tc>
          <w:tcPr>
            <w:tcW w:w="146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19.43 (2.15)</w:t>
            </w:r>
            <w:r w:rsidRPr="00006E2B">
              <w:rPr>
                <w:rFonts w:ascii="Calibri" w:hAnsi="Calibri" w:cs="Calibri"/>
                <w:sz w:val="20"/>
                <w:vertAlign w:val="subscript"/>
              </w:rPr>
              <w:t xml:space="preserve"> a</w:t>
            </w:r>
          </w:p>
        </w:tc>
        <w:tc>
          <w:tcPr>
            <w:tcW w:w="148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-9.56 (2.3)</w:t>
            </w:r>
            <w:r w:rsidRPr="00006E2B">
              <w:rPr>
                <w:rFonts w:ascii="Calibri" w:hAnsi="Calibri" w:cs="Calibri"/>
                <w:sz w:val="20"/>
                <w:vertAlign w:val="subscript"/>
              </w:rPr>
              <w:t xml:space="preserve"> c</w:t>
            </w:r>
          </w:p>
        </w:tc>
        <w:tc>
          <w:tcPr>
            <w:tcW w:w="6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5.27</w:t>
            </w:r>
          </w:p>
        </w:tc>
        <w:tc>
          <w:tcPr>
            <w:tcW w:w="7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&lt;.0001</w:t>
            </w:r>
          </w:p>
        </w:tc>
        <w:tc>
          <w:tcPr>
            <w:tcW w:w="470"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.04</w:t>
            </w:r>
          </w:p>
        </w:tc>
      </w:tr>
      <w:tr w:rsidR="003D68E0" w:rsidRPr="00006E2B" w:rsidTr="003D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SBP reactivity (mmHg)</w:t>
            </w:r>
          </w:p>
        </w:tc>
        <w:tc>
          <w:tcPr>
            <w:tcW w:w="141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18.17 (.6)</w:t>
            </w:r>
            <w:r w:rsidRPr="00006E2B">
              <w:rPr>
                <w:rFonts w:ascii="Calibri" w:hAnsi="Calibri" w:cs="Calibri"/>
                <w:sz w:val="20"/>
                <w:vertAlign w:val="subscript"/>
              </w:rPr>
              <w:t xml:space="preserve"> a</w:t>
            </w:r>
          </w:p>
        </w:tc>
        <w:tc>
          <w:tcPr>
            <w:tcW w:w="141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18.47 (.7)</w:t>
            </w:r>
            <w:r w:rsidRPr="00006E2B">
              <w:rPr>
                <w:rFonts w:ascii="Calibri" w:hAnsi="Calibri" w:cs="Calibri"/>
                <w:sz w:val="20"/>
                <w:vertAlign w:val="subscript"/>
              </w:rPr>
              <w:t xml:space="preserve"> a</w:t>
            </w:r>
          </w:p>
        </w:tc>
        <w:tc>
          <w:tcPr>
            <w:tcW w:w="1367"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006E2B">
              <w:rPr>
                <w:rFonts w:ascii="Calibri" w:hAnsi="Calibri" w:cs="Calibri"/>
                <w:sz w:val="20"/>
              </w:rPr>
              <w:t>15.7 (1.0)</w:t>
            </w:r>
            <w:r w:rsidRPr="00006E2B">
              <w:rPr>
                <w:rFonts w:ascii="Calibri" w:hAnsi="Calibri" w:cs="Calibri"/>
                <w:sz w:val="20"/>
                <w:vertAlign w:val="subscript"/>
              </w:rPr>
              <w:t xml:space="preserve"> b</w:t>
            </w:r>
          </w:p>
        </w:tc>
        <w:tc>
          <w:tcPr>
            <w:tcW w:w="146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19.26 (1.0)</w:t>
            </w:r>
            <w:r w:rsidRPr="00006E2B">
              <w:rPr>
                <w:rFonts w:ascii="Calibri" w:hAnsi="Calibri" w:cs="Calibri"/>
                <w:sz w:val="20"/>
                <w:vertAlign w:val="subscript"/>
              </w:rPr>
              <w:t xml:space="preserve"> a</w:t>
            </w:r>
          </w:p>
        </w:tc>
        <w:tc>
          <w:tcPr>
            <w:tcW w:w="1488"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006E2B">
              <w:rPr>
                <w:rFonts w:ascii="Calibri" w:hAnsi="Calibri" w:cs="Calibri"/>
                <w:sz w:val="20"/>
              </w:rPr>
              <w:t>17.84 (1.1)</w:t>
            </w:r>
            <w:r w:rsidRPr="00006E2B">
              <w:rPr>
                <w:rFonts w:ascii="Calibri" w:hAnsi="Calibri" w:cs="Calibri"/>
                <w:sz w:val="20"/>
                <w:vertAlign w:val="subscript"/>
              </w:rPr>
              <w:t xml:space="preserve"> </w:t>
            </w:r>
            <w:proofErr w:type="spellStart"/>
            <w:r w:rsidRPr="00006E2B">
              <w:rPr>
                <w:rFonts w:ascii="Calibri" w:hAnsi="Calibri" w:cs="Calibri"/>
                <w:sz w:val="20"/>
                <w:vertAlign w:val="subscript"/>
              </w:rPr>
              <w:t>a,b</w:t>
            </w:r>
            <w:proofErr w:type="spellEnd"/>
          </w:p>
        </w:tc>
        <w:tc>
          <w:tcPr>
            <w:tcW w:w="6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1.92</w:t>
            </w:r>
          </w:p>
        </w:tc>
        <w:tc>
          <w:tcPr>
            <w:tcW w:w="772"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.11</w:t>
            </w:r>
          </w:p>
        </w:tc>
        <w:tc>
          <w:tcPr>
            <w:tcW w:w="470" w:type="dxa"/>
          </w:tcPr>
          <w:p w:rsidR="003D68E0" w:rsidRPr="00006E2B" w:rsidRDefault="003D68E0" w:rsidP="0050512E">
            <w:pPr>
              <w:spacing w:after="160"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06E2B">
              <w:rPr>
                <w:rFonts w:ascii="Calibri" w:hAnsi="Calibri" w:cs="Calibri"/>
                <w:sz w:val="20"/>
              </w:rPr>
              <w:t>.01</w:t>
            </w:r>
          </w:p>
        </w:tc>
      </w:tr>
      <w:tr w:rsidR="003D68E0" w:rsidRPr="00006E2B" w:rsidTr="003D68E0">
        <w:tc>
          <w:tcPr>
            <w:cnfStyle w:val="001000000000" w:firstRow="0" w:lastRow="0" w:firstColumn="1" w:lastColumn="0" w:oddVBand="0" w:evenVBand="0" w:oddHBand="0" w:evenHBand="0" w:firstRowFirstColumn="0" w:firstRowLastColumn="0" w:lastRowFirstColumn="0" w:lastRowLastColumn="0"/>
            <w:tcW w:w="1696" w:type="dxa"/>
          </w:tcPr>
          <w:p w:rsidR="003D68E0" w:rsidRPr="00006E2B" w:rsidRDefault="003D68E0" w:rsidP="0050512E">
            <w:pPr>
              <w:spacing w:after="160" w:line="480" w:lineRule="auto"/>
              <w:rPr>
                <w:rFonts w:ascii="Calibri" w:hAnsi="Calibri" w:cs="Calibri"/>
                <w:b w:val="0"/>
                <w:sz w:val="20"/>
              </w:rPr>
            </w:pPr>
            <w:r w:rsidRPr="00006E2B">
              <w:rPr>
                <w:rFonts w:ascii="Calibri" w:hAnsi="Calibri" w:cs="Calibri"/>
                <w:b w:val="0"/>
                <w:sz w:val="20"/>
              </w:rPr>
              <w:t>DBP reactivity (mmHg)</w:t>
            </w:r>
          </w:p>
        </w:tc>
        <w:tc>
          <w:tcPr>
            <w:tcW w:w="141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13.76 (.5)</w:t>
            </w:r>
            <w:r w:rsidRPr="00006E2B">
              <w:rPr>
                <w:rFonts w:ascii="Calibri" w:hAnsi="Calibri" w:cs="Calibri"/>
                <w:sz w:val="20"/>
                <w:vertAlign w:val="subscript"/>
              </w:rPr>
              <w:t xml:space="preserve"> a</w:t>
            </w:r>
          </w:p>
        </w:tc>
        <w:tc>
          <w:tcPr>
            <w:tcW w:w="141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14.63 (.6)</w:t>
            </w:r>
            <w:r w:rsidRPr="00006E2B">
              <w:rPr>
                <w:rFonts w:ascii="Calibri" w:hAnsi="Calibri" w:cs="Calibri"/>
                <w:sz w:val="20"/>
                <w:vertAlign w:val="subscript"/>
              </w:rPr>
              <w:t xml:space="preserve"> a</w:t>
            </w:r>
          </w:p>
        </w:tc>
        <w:tc>
          <w:tcPr>
            <w:tcW w:w="1367"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11.95 (.7)</w:t>
            </w:r>
            <w:r w:rsidRPr="00006E2B">
              <w:rPr>
                <w:rFonts w:ascii="Calibri" w:hAnsi="Calibri" w:cs="Calibri"/>
                <w:sz w:val="20"/>
                <w:vertAlign w:val="subscript"/>
              </w:rPr>
              <w:t xml:space="preserve"> b</w:t>
            </w:r>
          </w:p>
        </w:tc>
        <w:tc>
          <w:tcPr>
            <w:tcW w:w="146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14.76 (.8)</w:t>
            </w:r>
            <w:r w:rsidRPr="00006E2B">
              <w:rPr>
                <w:rFonts w:ascii="Calibri" w:hAnsi="Calibri" w:cs="Calibri"/>
                <w:sz w:val="20"/>
                <w:vertAlign w:val="subscript"/>
              </w:rPr>
              <w:t xml:space="preserve"> a</w:t>
            </w:r>
          </w:p>
        </w:tc>
        <w:tc>
          <w:tcPr>
            <w:tcW w:w="1488"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14.20 (.9)</w:t>
            </w:r>
            <w:r w:rsidRPr="00006E2B">
              <w:rPr>
                <w:rFonts w:ascii="Calibri" w:hAnsi="Calibri" w:cs="Calibri"/>
                <w:sz w:val="20"/>
                <w:vertAlign w:val="subscript"/>
              </w:rPr>
              <w:t xml:space="preserve"> a</w:t>
            </w:r>
          </w:p>
        </w:tc>
        <w:tc>
          <w:tcPr>
            <w:tcW w:w="6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2.54</w:t>
            </w:r>
          </w:p>
        </w:tc>
        <w:tc>
          <w:tcPr>
            <w:tcW w:w="772"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.039</w:t>
            </w:r>
          </w:p>
        </w:tc>
        <w:tc>
          <w:tcPr>
            <w:tcW w:w="470" w:type="dxa"/>
          </w:tcPr>
          <w:p w:rsidR="003D68E0" w:rsidRPr="00006E2B" w:rsidRDefault="003D68E0" w:rsidP="0050512E">
            <w:pPr>
              <w:spacing w:after="160"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06E2B">
              <w:rPr>
                <w:rFonts w:ascii="Calibri" w:hAnsi="Calibri" w:cs="Calibri"/>
                <w:sz w:val="20"/>
              </w:rPr>
              <w:t>.02</w:t>
            </w:r>
          </w:p>
        </w:tc>
      </w:tr>
    </w:tbl>
    <w:p w:rsidR="003D68E0" w:rsidRPr="00006E2B" w:rsidRDefault="003D68E0" w:rsidP="0050512E">
      <w:pPr>
        <w:spacing w:line="480" w:lineRule="auto"/>
        <w:rPr>
          <w:rFonts w:ascii="Calibri" w:hAnsi="Calibri"/>
        </w:rPr>
      </w:pPr>
    </w:p>
    <w:p w:rsidR="00E2363D" w:rsidRPr="00006E2B" w:rsidRDefault="003D68E0" w:rsidP="0050512E">
      <w:pPr>
        <w:spacing w:line="480" w:lineRule="auto"/>
        <w:rPr>
          <w:rFonts w:ascii="Calibri" w:hAnsi="Calibri"/>
        </w:rPr>
      </w:pPr>
      <w:r w:rsidRPr="00006E2B">
        <w:rPr>
          <w:rFonts w:ascii="Calibri" w:hAnsi="Calibri"/>
        </w:rPr>
        <w:t xml:space="preserve">Note: se = standard error; SV = sympathovagal; BP = blood pressure; SBP = systolic blood pressure; DBP = diastolic blood pressure; mmHg = </w:t>
      </w:r>
      <w:proofErr w:type="spellStart"/>
      <w:r w:rsidRPr="00006E2B">
        <w:rPr>
          <w:rFonts w:ascii="Calibri" w:hAnsi="Calibri"/>
        </w:rPr>
        <w:t>millimetres</w:t>
      </w:r>
      <w:proofErr w:type="spellEnd"/>
      <w:r w:rsidRPr="00006E2B">
        <w:rPr>
          <w:rFonts w:ascii="Calibri" w:hAnsi="Calibri"/>
        </w:rPr>
        <w:t xml:space="preserve"> Mercury; </w:t>
      </w:r>
      <w:proofErr w:type="spellStart"/>
      <w:r w:rsidRPr="00006E2B">
        <w:rPr>
          <w:rFonts w:ascii="Calibri" w:hAnsi="Calibri"/>
        </w:rPr>
        <w:t>ms</w:t>
      </w:r>
      <w:proofErr w:type="spellEnd"/>
      <w:r w:rsidRPr="00006E2B">
        <w:rPr>
          <w:rFonts w:ascii="Calibri" w:hAnsi="Calibri"/>
        </w:rPr>
        <w:t xml:space="preserve"> = milliseconds; RSA = respiratory sinus arrhythmia; IBI = </w:t>
      </w:r>
      <w:proofErr w:type="spellStart"/>
      <w:r w:rsidRPr="00006E2B">
        <w:rPr>
          <w:rFonts w:ascii="Calibri" w:hAnsi="Calibri"/>
        </w:rPr>
        <w:t>interbeat</w:t>
      </w:r>
      <w:proofErr w:type="spellEnd"/>
      <w:r w:rsidRPr="00006E2B">
        <w:rPr>
          <w:rFonts w:ascii="Calibri" w:hAnsi="Calibri"/>
        </w:rPr>
        <w:t xml:space="preserve"> interval; PEP = pre-ejection period; LVET = left ventricular ejection time. </w:t>
      </w:r>
      <w:r w:rsidR="002C2BDB" w:rsidRPr="00006E2B">
        <w:rPr>
          <w:rFonts w:ascii="Calibri" w:hAnsi="Calibri"/>
        </w:rPr>
        <w:t xml:space="preserve">The subscripts a, b and c indicate the contrasts. Clusters with different letters are significantly different from each other, while clusters with the same letter are not.  </w:t>
      </w:r>
    </w:p>
    <w:p w:rsidR="003D68E0" w:rsidRPr="00006E2B" w:rsidRDefault="00E2363D" w:rsidP="003F67A6">
      <w:pPr>
        <w:rPr>
          <w:rFonts w:ascii="Calibri" w:hAnsi="Calibri"/>
          <w:b/>
        </w:rPr>
      </w:pPr>
      <w:r w:rsidRPr="00006E2B">
        <w:rPr>
          <w:rFonts w:ascii="Calibri" w:hAnsi="Calibri"/>
          <w:b/>
        </w:rPr>
        <w:lastRenderedPageBreak/>
        <w:t>Table S3. Pearson correlations of individual resting measures of cardiovascular functioning with individual cardiovascular reactivity measures.</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E2363D" w:rsidRPr="00006E2B" w:rsidTr="00E2363D">
        <w:tc>
          <w:tcPr>
            <w:tcW w:w="1438" w:type="dxa"/>
          </w:tcPr>
          <w:p w:rsidR="00E2363D" w:rsidRPr="00006E2B" w:rsidRDefault="00E2363D" w:rsidP="0050512E">
            <w:pPr>
              <w:spacing w:line="480" w:lineRule="auto"/>
              <w:rPr>
                <w:rFonts w:ascii="Calibri" w:hAnsi="Calibri"/>
                <w:b/>
              </w:rPr>
            </w:pPr>
          </w:p>
        </w:tc>
        <w:tc>
          <w:tcPr>
            <w:tcW w:w="1438" w:type="dxa"/>
          </w:tcPr>
          <w:p w:rsidR="00E2363D" w:rsidRPr="00006E2B" w:rsidRDefault="00E2363D" w:rsidP="0050512E">
            <w:pPr>
              <w:spacing w:line="480" w:lineRule="auto"/>
              <w:rPr>
                <w:rFonts w:ascii="Calibri" w:hAnsi="Calibri"/>
                <w:b/>
              </w:rPr>
            </w:pPr>
            <w:r w:rsidRPr="00006E2B">
              <w:rPr>
                <w:rFonts w:ascii="Calibri" w:hAnsi="Calibri"/>
                <w:b/>
              </w:rPr>
              <w:t>RSA reactivity</w:t>
            </w:r>
          </w:p>
        </w:tc>
        <w:tc>
          <w:tcPr>
            <w:tcW w:w="1438" w:type="dxa"/>
          </w:tcPr>
          <w:p w:rsidR="00E2363D" w:rsidRPr="00006E2B" w:rsidRDefault="00E2363D" w:rsidP="0050512E">
            <w:pPr>
              <w:spacing w:line="480" w:lineRule="auto"/>
              <w:rPr>
                <w:rFonts w:ascii="Calibri" w:hAnsi="Calibri"/>
                <w:b/>
              </w:rPr>
            </w:pPr>
            <w:r w:rsidRPr="00006E2B">
              <w:rPr>
                <w:rFonts w:ascii="Calibri" w:hAnsi="Calibri"/>
                <w:b/>
              </w:rPr>
              <w:t>IBI reactivity</w:t>
            </w:r>
          </w:p>
        </w:tc>
        <w:tc>
          <w:tcPr>
            <w:tcW w:w="1439" w:type="dxa"/>
          </w:tcPr>
          <w:p w:rsidR="00E2363D" w:rsidRPr="00006E2B" w:rsidRDefault="00E2363D" w:rsidP="0050512E">
            <w:pPr>
              <w:spacing w:line="480" w:lineRule="auto"/>
              <w:rPr>
                <w:rFonts w:ascii="Calibri" w:hAnsi="Calibri"/>
                <w:b/>
              </w:rPr>
            </w:pPr>
            <w:r w:rsidRPr="00006E2B">
              <w:rPr>
                <w:rFonts w:ascii="Calibri" w:hAnsi="Calibri"/>
                <w:b/>
              </w:rPr>
              <w:t>PEP reactivity</w:t>
            </w:r>
          </w:p>
        </w:tc>
        <w:tc>
          <w:tcPr>
            <w:tcW w:w="1439" w:type="dxa"/>
          </w:tcPr>
          <w:p w:rsidR="00E2363D" w:rsidRPr="00006E2B" w:rsidRDefault="00E2363D" w:rsidP="0050512E">
            <w:pPr>
              <w:spacing w:line="480" w:lineRule="auto"/>
              <w:rPr>
                <w:rFonts w:ascii="Calibri" w:hAnsi="Calibri"/>
                <w:b/>
              </w:rPr>
            </w:pPr>
            <w:r w:rsidRPr="00006E2B">
              <w:rPr>
                <w:rFonts w:ascii="Calibri" w:hAnsi="Calibri"/>
                <w:b/>
              </w:rPr>
              <w:t>LVET reactivity</w:t>
            </w:r>
          </w:p>
        </w:tc>
        <w:tc>
          <w:tcPr>
            <w:tcW w:w="1439" w:type="dxa"/>
          </w:tcPr>
          <w:p w:rsidR="00E2363D" w:rsidRPr="00006E2B" w:rsidRDefault="00E2363D" w:rsidP="0050512E">
            <w:pPr>
              <w:spacing w:line="480" w:lineRule="auto"/>
              <w:rPr>
                <w:rFonts w:ascii="Calibri" w:hAnsi="Calibri"/>
                <w:b/>
              </w:rPr>
            </w:pPr>
            <w:r w:rsidRPr="00006E2B">
              <w:rPr>
                <w:rFonts w:ascii="Calibri" w:hAnsi="Calibri"/>
                <w:b/>
              </w:rPr>
              <w:t>SBP reactivity</w:t>
            </w:r>
          </w:p>
        </w:tc>
        <w:tc>
          <w:tcPr>
            <w:tcW w:w="1439" w:type="dxa"/>
          </w:tcPr>
          <w:p w:rsidR="00E2363D" w:rsidRPr="00006E2B" w:rsidRDefault="00E2363D" w:rsidP="0050512E">
            <w:pPr>
              <w:spacing w:line="480" w:lineRule="auto"/>
              <w:rPr>
                <w:rFonts w:ascii="Calibri" w:hAnsi="Calibri"/>
                <w:b/>
              </w:rPr>
            </w:pPr>
            <w:r w:rsidRPr="00006E2B">
              <w:rPr>
                <w:rFonts w:ascii="Calibri" w:hAnsi="Calibri"/>
                <w:b/>
              </w:rPr>
              <w:t>DBP reactivity</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RSA</w:t>
            </w:r>
          </w:p>
        </w:tc>
        <w:tc>
          <w:tcPr>
            <w:tcW w:w="1438" w:type="dxa"/>
            <w:shd w:val="clear" w:color="auto" w:fill="E7E6E6" w:themeFill="background2"/>
          </w:tcPr>
          <w:p w:rsidR="00E2363D" w:rsidRPr="00006E2B" w:rsidRDefault="00E2363D" w:rsidP="0050512E">
            <w:pPr>
              <w:spacing w:line="480" w:lineRule="auto"/>
              <w:rPr>
                <w:rFonts w:ascii="Calibri" w:hAnsi="Calibri"/>
              </w:rPr>
            </w:pPr>
            <w:r w:rsidRPr="00006E2B">
              <w:rPr>
                <w:rFonts w:ascii="Calibri" w:hAnsi="Calibri"/>
              </w:rPr>
              <w:t>-.75**</w:t>
            </w:r>
          </w:p>
        </w:tc>
        <w:tc>
          <w:tcPr>
            <w:tcW w:w="1438" w:type="dxa"/>
          </w:tcPr>
          <w:p w:rsidR="00E2363D" w:rsidRPr="00006E2B" w:rsidRDefault="001F354F" w:rsidP="0050512E">
            <w:pPr>
              <w:spacing w:line="480" w:lineRule="auto"/>
              <w:rPr>
                <w:rFonts w:ascii="Calibri" w:hAnsi="Calibri"/>
              </w:rPr>
            </w:pPr>
            <w:r w:rsidRPr="00006E2B">
              <w:rPr>
                <w:rFonts w:ascii="Calibri" w:hAnsi="Calibri"/>
              </w:rPr>
              <w:t>-.32**</w:t>
            </w:r>
          </w:p>
        </w:tc>
        <w:tc>
          <w:tcPr>
            <w:tcW w:w="1439" w:type="dxa"/>
          </w:tcPr>
          <w:p w:rsidR="00E2363D" w:rsidRPr="00006E2B" w:rsidRDefault="001F354F" w:rsidP="0050512E">
            <w:pPr>
              <w:spacing w:line="480" w:lineRule="auto"/>
              <w:rPr>
                <w:rFonts w:ascii="Calibri" w:hAnsi="Calibri"/>
              </w:rPr>
            </w:pPr>
            <w:r w:rsidRPr="00006E2B">
              <w:rPr>
                <w:rFonts w:ascii="Calibri" w:hAnsi="Calibri"/>
              </w:rPr>
              <w:t>-.05</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c>
          <w:tcPr>
            <w:tcW w:w="1439" w:type="dxa"/>
          </w:tcPr>
          <w:p w:rsidR="00E2363D" w:rsidRPr="00006E2B" w:rsidRDefault="001F354F" w:rsidP="0050512E">
            <w:pPr>
              <w:spacing w:line="480" w:lineRule="auto"/>
              <w:rPr>
                <w:rFonts w:ascii="Calibri" w:hAnsi="Calibri"/>
                <w:i/>
              </w:rPr>
            </w:pPr>
            <w:r w:rsidRPr="00006E2B">
              <w:rPr>
                <w:rFonts w:ascii="Calibri" w:hAnsi="Calibri"/>
                <w:i/>
              </w:rPr>
              <w:t>-.07</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IBI</w:t>
            </w:r>
          </w:p>
        </w:tc>
        <w:tc>
          <w:tcPr>
            <w:tcW w:w="1438" w:type="dxa"/>
          </w:tcPr>
          <w:p w:rsidR="00E2363D" w:rsidRPr="00006E2B" w:rsidRDefault="00E2363D" w:rsidP="0050512E">
            <w:pPr>
              <w:spacing w:line="480" w:lineRule="auto"/>
              <w:rPr>
                <w:rFonts w:ascii="Calibri" w:hAnsi="Calibri"/>
              </w:rPr>
            </w:pPr>
            <w:r w:rsidRPr="00006E2B">
              <w:rPr>
                <w:rFonts w:ascii="Calibri" w:hAnsi="Calibri"/>
              </w:rPr>
              <w:t>-.23**</w:t>
            </w:r>
          </w:p>
        </w:tc>
        <w:tc>
          <w:tcPr>
            <w:tcW w:w="1438" w:type="dxa"/>
            <w:shd w:val="clear" w:color="auto" w:fill="E7E6E6" w:themeFill="background2"/>
          </w:tcPr>
          <w:p w:rsidR="00E2363D" w:rsidRPr="00006E2B" w:rsidRDefault="001F354F" w:rsidP="0050512E">
            <w:pPr>
              <w:spacing w:line="480" w:lineRule="auto"/>
              <w:rPr>
                <w:rFonts w:ascii="Calibri" w:hAnsi="Calibri"/>
              </w:rPr>
            </w:pPr>
            <w:r w:rsidRPr="00006E2B">
              <w:rPr>
                <w:rFonts w:ascii="Calibri" w:hAnsi="Calibri"/>
              </w:rPr>
              <w:t>-.48**</w:t>
            </w:r>
          </w:p>
        </w:tc>
        <w:tc>
          <w:tcPr>
            <w:tcW w:w="1439" w:type="dxa"/>
          </w:tcPr>
          <w:p w:rsidR="00E2363D" w:rsidRPr="00006E2B" w:rsidRDefault="001F354F" w:rsidP="0050512E">
            <w:pPr>
              <w:spacing w:line="480" w:lineRule="auto"/>
              <w:rPr>
                <w:rFonts w:ascii="Calibri" w:hAnsi="Calibri"/>
              </w:rPr>
            </w:pPr>
            <w:r w:rsidRPr="00006E2B">
              <w:rPr>
                <w:rFonts w:ascii="Calibri" w:hAnsi="Calibri"/>
              </w:rPr>
              <w:t>.04</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c>
          <w:tcPr>
            <w:tcW w:w="1439" w:type="dxa"/>
          </w:tcPr>
          <w:p w:rsidR="00E2363D" w:rsidRPr="00006E2B" w:rsidRDefault="001F354F" w:rsidP="0050512E">
            <w:pPr>
              <w:spacing w:line="480" w:lineRule="auto"/>
              <w:rPr>
                <w:rFonts w:ascii="Calibri" w:hAnsi="Calibri"/>
              </w:rPr>
            </w:pPr>
            <w:r w:rsidRPr="00006E2B">
              <w:rPr>
                <w:rFonts w:ascii="Calibri" w:hAnsi="Calibri"/>
              </w:rPr>
              <w:t>.04</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PEP</w:t>
            </w:r>
          </w:p>
        </w:tc>
        <w:tc>
          <w:tcPr>
            <w:tcW w:w="1438" w:type="dxa"/>
          </w:tcPr>
          <w:p w:rsidR="00E2363D" w:rsidRPr="00006E2B" w:rsidRDefault="00E2363D" w:rsidP="0050512E">
            <w:pPr>
              <w:spacing w:line="480" w:lineRule="auto"/>
              <w:rPr>
                <w:rFonts w:ascii="Calibri" w:hAnsi="Calibri"/>
              </w:rPr>
            </w:pPr>
            <w:r w:rsidRPr="00006E2B">
              <w:rPr>
                <w:rFonts w:ascii="Calibri" w:hAnsi="Calibri"/>
              </w:rPr>
              <w:t>-.09*</w:t>
            </w:r>
          </w:p>
        </w:tc>
        <w:tc>
          <w:tcPr>
            <w:tcW w:w="1438" w:type="dxa"/>
          </w:tcPr>
          <w:p w:rsidR="00E2363D" w:rsidRPr="00006E2B" w:rsidRDefault="001F354F" w:rsidP="0050512E">
            <w:pPr>
              <w:spacing w:line="480" w:lineRule="auto"/>
              <w:rPr>
                <w:rFonts w:ascii="Calibri" w:hAnsi="Calibri"/>
              </w:rPr>
            </w:pPr>
            <w:r w:rsidRPr="00006E2B">
              <w:rPr>
                <w:rFonts w:ascii="Calibri" w:hAnsi="Calibri"/>
              </w:rPr>
              <w:t>-.06</w:t>
            </w:r>
          </w:p>
        </w:tc>
        <w:tc>
          <w:tcPr>
            <w:tcW w:w="1439" w:type="dxa"/>
            <w:shd w:val="clear" w:color="auto" w:fill="E7E6E6" w:themeFill="background2"/>
          </w:tcPr>
          <w:p w:rsidR="00E2363D" w:rsidRPr="00006E2B" w:rsidRDefault="001F354F" w:rsidP="0050512E">
            <w:pPr>
              <w:spacing w:line="480" w:lineRule="auto"/>
              <w:rPr>
                <w:rFonts w:ascii="Calibri" w:hAnsi="Calibri"/>
              </w:rPr>
            </w:pPr>
            <w:r w:rsidRPr="00006E2B">
              <w:rPr>
                <w:rFonts w:ascii="Calibri" w:hAnsi="Calibri"/>
              </w:rPr>
              <w:t>-.36**</w:t>
            </w:r>
          </w:p>
        </w:tc>
        <w:tc>
          <w:tcPr>
            <w:tcW w:w="1439" w:type="dxa"/>
          </w:tcPr>
          <w:p w:rsidR="00E2363D" w:rsidRPr="00006E2B" w:rsidRDefault="001F354F" w:rsidP="0050512E">
            <w:pPr>
              <w:spacing w:line="480" w:lineRule="auto"/>
              <w:rPr>
                <w:rFonts w:ascii="Calibri" w:hAnsi="Calibri"/>
              </w:rPr>
            </w:pPr>
            <w:r w:rsidRPr="00006E2B">
              <w:rPr>
                <w:rFonts w:ascii="Calibri" w:hAnsi="Calibri"/>
              </w:rPr>
              <w:t>.14**</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c>
          <w:tcPr>
            <w:tcW w:w="1439" w:type="dxa"/>
          </w:tcPr>
          <w:p w:rsidR="00E2363D" w:rsidRPr="00006E2B" w:rsidRDefault="001F354F" w:rsidP="0050512E">
            <w:pPr>
              <w:spacing w:line="480" w:lineRule="auto"/>
              <w:rPr>
                <w:rFonts w:ascii="Calibri" w:hAnsi="Calibri"/>
              </w:rPr>
            </w:pPr>
            <w:r w:rsidRPr="00006E2B">
              <w:rPr>
                <w:rFonts w:ascii="Calibri" w:hAnsi="Calibri"/>
              </w:rPr>
              <w:t>-.004</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LVET</w:t>
            </w:r>
          </w:p>
        </w:tc>
        <w:tc>
          <w:tcPr>
            <w:tcW w:w="1438" w:type="dxa"/>
          </w:tcPr>
          <w:p w:rsidR="00E2363D" w:rsidRPr="00006E2B" w:rsidRDefault="00E2363D" w:rsidP="0050512E">
            <w:pPr>
              <w:spacing w:line="480" w:lineRule="auto"/>
              <w:rPr>
                <w:rFonts w:ascii="Calibri" w:hAnsi="Calibri"/>
              </w:rPr>
            </w:pPr>
            <w:r w:rsidRPr="00006E2B">
              <w:rPr>
                <w:rFonts w:ascii="Calibri" w:hAnsi="Calibri"/>
              </w:rPr>
              <w:t>-.14**</w:t>
            </w:r>
          </w:p>
        </w:tc>
        <w:tc>
          <w:tcPr>
            <w:tcW w:w="1438" w:type="dxa"/>
          </w:tcPr>
          <w:p w:rsidR="00E2363D" w:rsidRPr="00006E2B" w:rsidRDefault="001F354F" w:rsidP="0050512E">
            <w:pPr>
              <w:spacing w:line="480" w:lineRule="auto"/>
              <w:rPr>
                <w:rFonts w:ascii="Calibri" w:hAnsi="Calibri"/>
              </w:rPr>
            </w:pPr>
            <w:r w:rsidRPr="00006E2B">
              <w:rPr>
                <w:rFonts w:ascii="Calibri" w:hAnsi="Calibri"/>
              </w:rPr>
              <w:t>-.25**</w:t>
            </w:r>
          </w:p>
        </w:tc>
        <w:tc>
          <w:tcPr>
            <w:tcW w:w="1439" w:type="dxa"/>
          </w:tcPr>
          <w:p w:rsidR="00E2363D" w:rsidRPr="00006E2B" w:rsidRDefault="001F354F" w:rsidP="0050512E">
            <w:pPr>
              <w:spacing w:line="480" w:lineRule="auto"/>
              <w:rPr>
                <w:rFonts w:ascii="Calibri" w:hAnsi="Calibri"/>
              </w:rPr>
            </w:pPr>
            <w:r w:rsidRPr="00006E2B">
              <w:rPr>
                <w:rFonts w:ascii="Calibri" w:hAnsi="Calibri"/>
              </w:rPr>
              <w:t>.26**</w:t>
            </w:r>
          </w:p>
        </w:tc>
        <w:tc>
          <w:tcPr>
            <w:tcW w:w="1439" w:type="dxa"/>
            <w:shd w:val="clear" w:color="auto" w:fill="E7E6E6" w:themeFill="background2"/>
          </w:tcPr>
          <w:p w:rsidR="00E2363D" w:rsidRPr="00006E2B" w:rsidRDefault="001F354F" w:rsidP="0050512E">
            <w:pPr>
              <w:spacing w:line="480" w:lineRule="auto"/>
              <w:rPr>
                <w:rFonts w:ascii="Calibri" w:hAnsi="Calibri"/>
              </w:rPr>
            </w:pPr>
            <w:r w:rsidRPr="00006E2B">
              <w:rPr>
                <w:rFonts w:ascii="Calibri" w:hAnsi="Calibri"/>
              </w:rPr>
              <w:t>-.16**</w:t>
            </w:r>
          </w:p>
        </w:tc>
        <w:tc>
          <w:tcPr>
            <w:tcW w:w="1439" w:type="dxa"/>
          </w:tcPr>
          <w:p w:rsidR="00E2363D" w:rsidRPr="00006E2B" w:rsidRDefault="001F354F" w:rsidP="0050512E">
            <w:pPr>
              <w:spacing w:line="480" w:lineRule="auto"/>
              <w:rPr>
                <w:rFonts w:ascii="Calibri" w:hAnsi="Calibri"/>
              </w:rPr>
            </w:pPr>
            <w:r w:rsidRPr="00006E2B">
              <w:rPr>
                <w:rFonts w:ascii="Calibri" w:hAnsi="Calibri"/>
              </w:rPr>
              <w:t>.001</w:t>
            </w:r>
          </w:p>
        </w:tc>
        <w:tc>
          <w:tcPr>
            <w:tcW w:w="1439" w:type="dxa"/>
          </w:tcPr>
          <w:p w:rsidR="001F354F" w:rsidRPr="00006E2B" w:rsidRDefault="001F354F" w:rsidP="0050512E">
            <w:pPr>
              <w:spacing w:line="480" w:lineRule="auto"/>
              <w:rPr>
                <w:rFonts w:ascii="Calibri" w:hAnsi="Calibri"/>
              </w:rPr>
            </w:pPr>
            <w:r w:rsidRPr="00006E2B">
              <w:rPr>
                <w:rFonts w:ascii="Calibri" w:hAnsi="Calibri"/>
              </w:rPr>
              <w:t>.003</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SBP</w:t>
            </w:r>
          </w:p>
        </w:tc>
        <w:tc>
          <w:tcPr>
            <w:tcW w:w="1438" w:type="dxa"/>
          </w:tcPr>
          <w:p w:rsidR="00E2363D" w:rsidRPr="00006E2B" w:rsidRDefault="001F354F" w:rsidP="0050512E">
            <w:pPr>
              <w:spacing w:line="480" w:lineRule="auto"/>
              <w:rPr>
                <w:rFonts w:ascii="Calibri" w:hAnsi="Calibri"/>
              </w:rPr>
            </w:pPr>
            <w:r w:rsidRPr="00006E2B">
              <w:rPr>
                <w:rFonts w:ascii="Calibri" w:hAnsi="Calibri"/>
              </w:rPr>
              <w:t>-.03</w:t>
            </w:r>
          </w:p>
        </w:tc>
        <w:tc>
          <w:tcPr>
            <w:tcW w:w="1438" w:type="dxa"/>
          </w:tcPr>
          <w:p w:rsidR="00E2363D" w:rsidRPr="00006E2B" w:rsidRDefault="001F354F" w:rsidP="0050512E">
            <w:pPr>
              <w:spacing w:line="480" w:lineRule="auto"/>
              <w:rPr>
                <w:rFonts w:ascii="Calibri" w:hAnsi="Calibri"/>
              </w:rPr>
            </w:pPr>
            <w:r w:rsidRPr="00006E2B">
              <w:rPr>
                <w:rFonts w:ascii="Calibri" w:hAnsi="Calibri"/>
              </w:rPr>
              <w:t>-.06</w:t>
            </w:r>
          </w:p>
        </w:tc>
        <w:tc>
          <w:tcPr>
            <w:tcW w:w="1439" w:type="dxa"/>
          </w:tcPr>
          <w:p w:rsidR="00E2363D" w:rsidRPr="00006E2B" w:rsidRDefault="001F354F" w:rsidP="0050512E">
            <w:pPr>
              <w:spacing w:line="480" w:lineRule="auto"/>
              <w:rPr>
                <w:rFonts w:ascii="Calibri" w:hAnsi="Calibri"/>
              </w:rPr>
            </w:pPr>
            <w:r w:rsidRPr="00006E2B">
              <w:rPr>
                <w:rFonts w:ascii="Calibri" w:hAnsi="Calibri"/>
              </w:rPr>
              <w:t>-.04</w:t>
            </w:r>
          </w:p>
        </w:tc>
        <w:tc>
          <w:tcPr>
            <w:tcW w:w="1439" w:type="dxa"/>
          </w:tcPr>
          <w:p w:rsidR="00E2363D" w:rsidRPr="00006E2B" w:rsidRDefault="001F354F" w:rsidP="0050512E">
            <w:pPr>
              <w:spacing w:line="480" w:lineRule="auto"/>
              <w:rPr>
                <w:rFonts w:ascii="Calibri" w:hAnsi="Calibri"/>
              </w:rPr>
            </w:pPr>
            <w:r w:rsidRPr="00006E2B">
              <w:rPr>
                <w:rFonts w:ascii="Calibri" w:hAnsi="Calibri"/>
              </w:rPr>
              <w:t>-.16**</w:t>
            </w:r>
          </w:p>
        </w:tc>
        <w:tc>
          <w:tcPr>
            <w:tcW w:w="1439" w:type="dxa"/>
            <w:shd w:val="clear" w:color="auto" w:fill="E7E6E6" w:themeFill="background2"/>
          </w:tcPr>
          <w:p w:rsidR="00E2363D" w:rsidRPr="00006E2B" w:rsidRDefault="001F354F" w:rsidP="0050512E">
            <w:pPr>
              <w:spacing w:line="480" w:lineRule="auto"/>
              <w:rPr>
                <w:rFonts w:ascii="Calibri" w:hAnsi="Calibri"/>
              </w:rPr>
            </w:pPr>
            <w:r w:rsidRPr="00006E2B">
              <w:rPr>
                <w:rFonts w:ascii="Calibri" w:hAnsi="Calibri"/>
              </w:rPr>
              <w:t>-.16**</w:t>
            </w:r>
          </w:p>
        </w:tc>
        <w:tc>
          <w:tcPr>
            <w:tcW w:w="1439" w:type="dxa"/>
          </w:tcPr>
          <w:p w:rsidR="00E2363D" w:rsidRPr="00006E2B" w:rsidRDefault="001F354F" w:rsidP="0050512E">
            <w:pPr>
              <w:spacing w:line="480" w:lineRule="auto"/>
              <w:rPr>
                <w:rFonts w:ascii="Calibri" w:hAnsi="Calibri"/>
              </w:rPr>
            </w:pPr>
            <w:r w:rsidRPr="00006E2B">
              <w:rPr>
                <w:rFonts w:ascii="Calibri" w:hAnsi="Calibri"/>
              </w:rPr>
              <w:t>-.07</w:t>
            </w:r>
          </w:p>
        </w:tc>
      </w:tr>
      <w:tr w:rsidR="00E2363D" w:rsidRPr="00006E2B" w:rsidTr="00A039B5">
        <w:tc>
          <w:tcPr>
            <w:tcW w:w="1438" w:type="dxa"/>
          </w:tcPr>
          <w:p w:rsidR="00E2363D" w:rsidRPr="00006E2B" w:rsidRDefault="001F354F" w:rsidP="0050512E">
            <w:pPr>
              <w:spacing w:line="480" w:lineRule="auto"/>
              <w:rPr>
                <w:rFonts w:ascii="Calibri" w:hAnsi="Calibri"/>
                <w:b/>
              </w:rPr>
            </w:pPr>
            <w:r w:rsidRPr="00006E2B">
              <w:rPr>
                <w:rFonts w:ascii="Calibri" w:hAnsi="Calibri"/>
                <w:b/>
              </w:rPr>
              <w:t xml:space="preserve">Resting </w:t>
            </w:r>
            <w:r w:rsidR="00E2363D" w:rsidRPr="00006E2B">
              <w:rPr>
                <w:rFonts w:ascii="Calibri" w:hAnsi="Calibri"/>
                <w:b/>
              </w:rPr>
              <w:t>DBP</w:t>
            </w:r>
          </w:p>
        </w:tc>
        <w:tc>
          <w:tcPr>
            <w:tcW w:w="1438" w:type="dxa"/>
          </w:tcPr>
          <w:p w:rsidR="00E2363D" w:rsidRPr="00006E2B" w:rsidRDefault="001F354F" w:rsidP="0050512E">
            <w:pPr>
              <w:spacing w:line="480" w:lineRule="auto"/>
              <w:rPr>
                <w:rFonts w:ascii="Calibri" w:hAnsi="Calibri"/>
              </w:rPr>
            </w:pPr>
            <w:r w:rsidRPr="00006E2B">
              <w:rPr>
                <w:rFonts w:ascii="Calibri" w:hAnsi="Calibri"/>
              </w:rPr>
              <w:t>.02</w:t>
            </w:r>
          </w:p>
        </w:tc>
        <w:tc>
          <w:tcPr>
            <w:tcW w:w="1438" w:type="dxa"/>
          </w:tcPr>
          <w:p w:rsidR="00E2363D" w:rsidRPr="00006E2B" w:rsidRDefault="001F354F" w:rsidP="0050512E">
            <w:pPr>
              <w:spacing w:line="480" w:lineRule="auto"/>
              <w:rPr>
                <w:rFonts w:ascii="Calibri" w:hAnsi="Calibri"/>
                <w:i/>
              </w:rPr>
            </w:pPr>
            <w:r w:rsidRPr="00006E2B">
              <w:rPr>
                <w:rFonts w:ascii="Calibri" w:hAnsi="Calibri"/>
                <w:i/>
              </w:rPr>
              <w:t>.08</w:t>
            </w:r>
          </w:p>
        </w:tc>
        <w:tc>
          <w:tcPr>
            <w:tcW w:w="1439" w:type="dxa"/>
          </w:tcPr>
          <w:p w:rsidR="00E2363D" w:rsidRPr="00006E2B" w:rsidRDefault="001F354F" w:rsidP="0050512E">
            <w:pPr>
              <w:spacing w:line="480" w:lineRule="auto"/>
              <w:rPr>
                <w:rFonts w:ascii="Calibri" w:hAnsi="Calibri"/>
              </w:rPr>
            </w:pPr>
            <w:r w:rsidRPr="00006E2B">
              <w:rPr>
                <w:rFonts w:ascii="Calibri" w:hAnsi="Calibri"/>
              </w:rPr>
              <w:t>.01</w:t>
            </w:r>
          </w:p>
        </w:tc>
        <w:tc>
          <w:tcPr>
            <w:tcW w:w="1439" w:type="dxa"/>
          </w:tcPr>
          <w:p w:rsidR="00E2363D" w:rsidRPr="00006E2B" w:rsidRDefault="001F354F" w:rsidP="0050512E">
            <w:pPr>
              <w:spacing w:line="480" w:lineRule="auto"/>
              <w:rPr>
                <w:rFonts w:ascii="Calibri" w:hAnsi="Calibri"/>
              </w:rPr>
            </w:pPr>
            <w:r w:rsidRPr="00006E2B">
              <w:rPr>
                <w:rFonts w:ascii="Calibri" w:hAnsi="Calibri"/>
              </w:rPr>
              <w:t>-.12**</w:t>
            </w:r>
          </w:p>
        </w:tc>
        <w:tc>
          <w:tcPr>
            <w:tcW w:w="1439" w:type="dxa"/>
          </w:tcPr>
          <w:p w:rsidR="00E2363D" w:rsidRPr="00006E2B" w:rsidRDefault="001F354F" w:rsidP="0050512E">
            <w:pPr>
              <w:spacing w:line="480" w:lineRule="auto"/>
              <w:rPr>
                <w:rFonts w:ascii="Calibri" w:hAnsi="Calibri"/>
              </w:rPr>
            </w:pPr>
            <w:r w:rsidRPr="00006E2B">
              <w:rPr>
                <w:rFonts w:ascii="Calibri" w:hAnsi="Calibri"/>
              </w:rPr>
              <w:t>-</w:t>
            </w:r>
            <w:r w:rsidRPr="00006E2B">
              <w:rPr>
                <w:rFonts w:ascii="Calibri" w:hAnsi="Calibri"/>
                <w:i/>
              </w:rPr>
              <w:t>.07</w:t>
            </w:r>
          </w:p>
        </w:tc>
        <w:tc>
          <w:tcPr>
            <w:tcW w:w="1439" w:type="dxa"/>
            <w:shd w:val="clear" w:color="auto" w:fill="E7E6E6" w:themeFill="background2"/>
          </w:tcPr>
          <w:p w:rsidR="00E2363D" w:rsidRPr="00006E2B" w:rsidRDefault="001F354F" w:rsidP="0050512E">
            <w:pPr>
              <w:spacing w:line="480" w:lineRule="auto"/>
              <w:rPr>
                <w:rFonts w:ascii="Calibri" w:hAnsi="Calibri"/>
              </w:rPr>
            </w:pPr>
            <w:r w:rsidRPr="00006E2B">
              <w:rPr>
                <w:rFonts w:ascii="Calibri" w:hAnsi="Calibri"/>
              </w:rPr>
              <w:t>-.25**</w:t>
            </w:r>
          </w:p>
        </w:tc>
      </w:tr>
    </w:tbl>
    <w:p w:rsidR="00E2363D" w:rsidRPr="00006E2B" w:rsidRDefault="00E2363D" w:rsidP="0050512E">
      <w:pPr>
        <w:spacing w:line="480" w:lineRule="auto"/>
        <w:rPr>
          <w:rFonts w:ascii="Calibri" w:hAnsi="Calibri"/>
          <w:b/>
        </w:rPr>
      </w:pPr>
    </w:p>
    <w:p w:rsidR="00A039B5" w:rsidRPr="007F29DA" w:rsidRDefault="00A039B5" w:rsidP="0050512E">
      <w:pPr>
        <w:spacing w:line="480" w:lineRule="auto"/>
        <w:rPr>
          <w:rFonts w:ascii="Calibri" w:hAnsi="Calibri"/>
        </w:rPr>
      </w:pPr>
      <w:r w:rsidRPr="00006E2B">
        <w:rPr>
          <w:rFonts w:ascii="Calibri" w:hAnsi="Calibri"/>
        </w:rPr>
        <w:t>Results show an interesting pattern of relations between individual cardiovascular resting variables and cardiovascular reactivity</w:t>
      </w:r>
      <w:r w:rsidR="000F2D6D" w:rsidRPr="00006E2B">
        <w:rPr>
          <w:rFonts w:ascii="Calibri" w:hAnsi="Calibri"/>
        </w:rPr>
        <w:t xml:space="preserve"> (</w:t>
      </w:r>
      <w:r w:rsidR="000F2D6D" w:rsidRPr="00006E2B">
        <w:rPr>
          <w:rFonts w:ascii="Calibri" w:hAnsi="Calibri" w:cs="Calibri"/>
        </w:rPr>
        <w:t>∆</w:t>
      </w:r>
      <w:r w:rsidR="000F2D6D" w:rsidRPr="00006E2B">
        <w:rPr>
          <w:rFonts w:ascii="Calibri" w:hAnsi="Calibri"/>
        </w:rPr>
        <w:t>)</w:t>
      </w:r>
      <w:r w:rsidRPr="00006E2B">
        <w:rPr>
          <w:rFonts w:ascii="Calibri" w:hAnsi="Calibri"/>
        </w:rPr>
        <w:t xml:space="preserve"> variables. As expected, baseline levels are the </w:t>
      </w:r>
      <w:r w:rsidR="000F2D6D" w:rsidRPr="00006E2B">
        <w:rPr>
          <w:rFonts w:ascii="Calibri" w:hAnsi="Calibri"/>
        </w:rPr>
        <w:t xml:space="preserve">strongest correlates </w:t>
      </w:r>
      <w:r w:rsidRPr="00006E2B">
        <w:rPr>
          <w:rFonts w:ascii="Calibri" w:hAnsi="Calibri"/>
        </w:rPr>
        <w:t>of th</w:t>
      </w:r>
      <w:r w:rsidR="000F2D6D" w:rsidRPr="00006E2B">
        <w:rPr>
          <w:rFonts w:ascii="Calibri" w:hAnsi="Calibri"/>
        </w:rPr>
        <w:t xml:space="preserve">eir </w:t>
      </w:r>
      <w:r w:rsidR="000F2D6D" w:rsidRPr="007F29DA">
        <w:rPr>
          <w:rFonts w:ascii="Calibri" w:hAnsi="Calibri"/>
        </w:rPr>
        <w:t xml:space="preserve">corresponding </w:t>
      </w:r>
      <w:r w:rsidRPr="007F29DA">
        <w:rPr>
          <w:rFonts w:ascii="Calibri" w:hAnsi="Calibri"/>
        </w:rPr>
        <w:t xml:space="preserve">reactivity </w:t>
      </w:r>
      <w:r w:rsidR="000F2D6D" w:rsidRPr="007F29DA">
        <w:rPr>
          <w:rFonts w:ascii="Calibri" w:hAnsi="Calibri"/>
        </w:rPr>
        <w:t>measures</w:t>
      </w:r>
      <w:r w:rsidRPr="007F29DA">
        <w:rPr>
          <w:rFonts w:ascii="Calibri" w:hAnsi="Calibri"/>
        </w:rPr>
        <w:t xml:space="preserve">.  </w:t>
      </w:r>
    </w:p>
    <w:p w:rsidR="004B20CD" w:rsidRPr="007F29DA" w:rsidRDefault="004B20CD" w:rsidP="004B20CD">
      <w:pPr>
        <w:rPr>
          <w:b/>
        </w:rPr>
      </w:pPr>
      <w:bookmarkStart w:id="0" w:name="OLE_LINK1"/>
      <w:r w:rsidRPr="007F29DA">
        <w:rPr>
          <w:b/>
        </w:rPr>
        <w:t xml:space="preserve">Table </w:t>
      </w:r>
      <w:proofErr w:type="gramStart"/>
      <w:r w:rsidRPr="007F29DA">
        <w:rPr>
          <w:b/>
        </w:rPr>
        <w:t>S4 .</w:t>
      </w:r>
      <w:proofErr w:type="gramEnd"/>
      <w:r w:rsidRPr="007F29DA">
        <w:rPr>
          <w:b/>
        </w:rPr>
        <w:t xml:space="preserve"> Descriptive statistics (Means, SD) for the entire stress protocol</w:t>
      </w:r>
    </w:p>
    <w:tbl>
      <w:tblPr>
        <w:tblStyle w:val="PlainTable2"/>
        <w:tblW w:w="10490" w:type="dxa"/>
        <w:tblInd w:w="-567" w:type="dxa"/>
        <w:tblLook w:val="04A0" w:firstRow="1" w:lastRow="0" w:firstColumn="1" w:lastColumn="0" w:noHBand="0" w:noVBand="1"/>
      </w:tblPr>
      <w:tblGrid>
        <w:gridCol w:w="1701"/>
        <w:gridCol w:w="1560"/>
        <w:gridCol w:w="567"/>
        <w:gridCol w:w="1842"/>
        <w:gridCol w:w="1973"/>
        <w:gridCol w:w="1435"/>
        <w:gridCol w:w="1412"/>
      </w:tblGrid>
      <w:tr w:rsidR="004B20CD" w:rsidRPr="007F29DA" w:rsidTr="00EE1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tc>
        <w:tc>
          <w:tcPr>
            <w:tcW w:w="1560" w:type="dxa"/>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r w:rsidRPr="007F29DA">
              <w:t>Resting baseline</w:t>
            </w:r>
          </w:p>
        </w:tc>
        <w:tc>
          <w:tcPr>
            <w:tcW w:w="567" w:type="dxa"/>
            <w:shd w:val="clear" w:color="auto" w:fill="AEAAAA" w:themeFill="background2" w:themeFillShade="BF"/>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p>
        </w:tc>
        <w:tc>
          <w:tcPr>
            <w:tcW w:w="1842" w:type="dxa"/>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r w:rsidRPr="007F29DA">
              <w:t>Post task 2</w:t>
            </w:r>
            <w:r w:rsidRPr="007F29DA">
              <w:rPr>
                <w:vertAlign w:val="superscript"/>
              </w:rPr>
              <w:t>nd</w:t>
            </w:r>
            <w:r w:rsidRPr="007F29DA">
              <w:t xml:space="preserve"> baseline</w:t>
            </w:r>
          </w:p>
        </w:tc>
        <w:tc>
          <w:tcPr>
            <w:tcW w:w="1973" w:type="dxa"/>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r w:rsidRPr="007F29DA">
              <w:t>Preparation</w:t>
            </w:r>
          </w:p>
        </w:tc>
        <w:tc>
          <w:tcPr>
            <w:tcW w:w="1435" w:type="dxa"/>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r w:rsidRPr="007F29DA">
              <w:t>Speech</w:t>
            </w:r>
          </w:p>
        </w:tc>
        <w:tc>
          <w:tcPr>
            <w:tcW w:w="1412" w:type="dxa"/>
          </w:tcPr>
          <w:p w:rsidR="004B20CD" w:rsidRPr="007F29DA" w:rsidRDefault="004B20CD" w:rsidP="00EE1DED">
            <w:pPr>
              <w:cnfStyle w:val="100000000000" w:firstRow="1" w:lastRow="0" w:firstColumn="0" w:lastColumn="0" w:oddVBand="0" w:evenVBand="0" w:oddHBand="0" w:evenHBand="0" w:firstRowFirstColumn="0" w:firstRowLastColumn="0" w:lastRowFirstColumn="0" w:lastRowLastColumn="0"/>
            </w:pPr>
            <w:r w:rsidRPr="007F29DA">
              <w:t>Math</w:t>
            </w:r>
          </w:p>
        </w:tc>
      </w:tr>
      <w:tr w:rsidR="004B20CD" w:rsidRPr="007F29DA" w:rsidTr="00EE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SBP (mmHg)</w:t>
            </w:r>
          </w:p>
        </w:tc>
        <w:tc>
          <w:tcPr>
            <w:tcW w:w="1560"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rPr>
                <w:rFonts w:cstheme="minorHAnsi"/>
              </w:rPr>
              <w:t>123.0 ± 10.1</w:t>
            </w:r>
          </w:p>
        </w:tc>
        <w:tc>
          <w:tcPr>
            <w:tcW w:w="567" w:type="dxa"/>
            <w:shd w:val="clear" w:color="auto" w:fill="AEAAAA" w:themeFill="background2" w:themeFillShade="BF"/>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p>
        </w:tc>
        <w:tc>
          <w:tcPr>
            <w:tcW w:w="184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120.9 </w:t>
            </w:r>
            <w:r w:rsidRPr="007F29DA">
              <w:rPr>
                <w:rFonts w:cstheme="minorHAnsi"/>
              </w:rPr>
              <w:t>± 12.7</w:t>
            </w:r>
          </w:p>
        </w:tc>
        <w:tc>
          <w:tcPr>
            <w:tcW w:w="1973"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137.4 </w:t>
            </w:r>
            <w:r w:rsidRPr="007F29DA">
              <w:rPr>
                <w:rFonts w:cstheme="minorHAnsi"/>
              </w:rPr>
              <w:t>± 14.9</w:t>
            </w:r>
            <w:r w:rsidRPr="007F29DA">
              <w:t xml:space="preserve"> </w:t>
            </w:r>
          </w:p>
        </w:tc>
        <w:tc>
          <w:tcPr>
            <w:tcW w:w="1435"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142.2 </w:t>
            </w:r>
            <w:r w:rsidRPr="007F29DA">
              <w:rPr>
                <w:rFonts w:cstheme="minorHAnsi"/>
              </w:rPr>
              <w:t>±13.8</w:t>
            </w:r>
          </w:p>
        </w:tc>
        <w:tc>
          <w:tcPr>
            <w:tcW w:w="141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140.0 </w:t>
            </w:r>
            <w:r w:rsidRPr="007F29DA">
              <w:rPr>
                <w:rFonts w:cstheme="minorHAnsi"/>
              </w:rPr>
              <w:t>± 13.4</w:t>
            </w:r>
          </w:p>
        </w:tc>
      </w:tr>
      <w:tr w:rsidR="004B20CD" w:rsidRPr="007F29DA" w:rsidTr="00EE1DED">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DBP (mmHg)</w:t>
            </w:r>
          </w:p>
        </w:tc>
        <w:tc>
          <w:tcPr>
            <w:tcW w:w="1560"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rPr>
                <w:rFonts w:cstheme="minorHAnsi"/>
              </w:rPr>
              <w:t>74.9 ± 7.4</w:t>
            </w:r>
          </w:p>
        </w:tc>
        <w:tc>
          <w:tcPr>
            <w:tcW w:w="567" w:type="dxa"/>
            <w:shd w:val="clear" w:color="auto" w:fill="AEAAAA" w:themeFill="background2" w:themeFillShade="BF"/>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p>
        </w:tc>
        <w:tc>
          <w:tcPr>
            <w:tcW w:w="184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76.6 </w:t>
            </w:r>
            <w:r w:rsidRPr="007F29DA">
              <w:rPr>
                <w:rFonts w:cstheme="minorHAnsi"/>
              </w:rPr>
              <w:t>± 9.7</w:t>
            </w:r>
          </w:p>
        </w:tc>
        <w:tc>
          <w:tcPr>
            <w:tcW w:w="1973"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88.2 </w:t>
            </w:r>
            <w:r w:rsidRPr="007F29DA">
              <w:rPr>
                <w:rFonts w:cstheme="minorHAnsi"/>
              </w:rPr>
              <w:t>± 12.0</w:t>
            </w:r>
          </w:p>
        </w:tc>
        <w:tc>
          <w:tcPr>
            <w:tcW w:w="1435"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89.5 </w:t>
            </w:r>
            <w:r w:rsidRPr="007F29DA">
              <w:rPr>
                <w:rFonts w:cstheme="minorHAnsi"/>
              </w:rPr>
              <w:t>± 10.1</w:t>
            </w:r>
          </w:p>
        </w:tc>
        <w:tc>
          <w:tcPr>
            <w:tcW w:w="141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88.3 </w:t>
            </w:r>
            <w:r w:rsidRPr="007F29DA">
              <w:rPr>
                <w:rFonts w:cstheme="minorHAnsi"/>
              </w:rPr>
              <w:t>± 9.6</w:t>
            </w:r>
          </w:p>
        </w:tc>
      </w:tr>
      <w:tr w:rsidR="004B20CD" w:rsidRPr="007F29DA" w:rsidTr="00EE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RSA (</w:t>
            </w:r>
            <w:proofErr w:type="spellStart"/>
            <w:r w:rsidRPr="007F29DA">
              <w:t>ms</w:t>
            </w:r>
            <w:proofErr w:type="spellEnd"/>
            <w:r w:rsidRPr="007F29DA">
              <w:t>)</w:t>
            </w:r>
          </w:p>
        </w:tc>
        <w:tc>
          <w:tcPr>
            <w:tcW w:w="1560"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rPr>
                <w:rFonts w:cstheme="minorHAnsi"/>
              </w:rPr>
              <w:t>85.0 ± 41.5</w:t>
            </w:r>
          </w:p>
        </w:tc>
        <w:tc>
          <w:tcPr>
            <w:tcW w:w="567" w:type="dxa"/>
            <w:shd w:val="clear" w:color="auto" w:fill="AEAAAA" w:themeFill="background2" w:themeFillShade="BF"/>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p>
        </w:tc>
        <w:tc>
          <w:tcPr>
            <w:tcW w:w="184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87.1 </w:t>
            </w:r>
            <w:r w:rsidRPr="007F29DA">
              <w:rPr>
                <w:rFonts w:cstheme="minorHAnsi"/>
              </w:rPr>
              <w:t>± 42.7</w:t>
            </w:r>
          </w:p>
        </w:tc>
        <w:tc>
          <w:tcPr>
            <w:tcW w:w="1973"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74.1 </w:t>
            </w:r>
            <w:r w:rsidRPr="007F29DA">
              <w:rPr>
                <w:rFonts w:cstheme="minorHAnsi"/>
              </w:rPr>
              <w:t>± 36.6</w:t>
            </w:r>
          </w:p>
        </w:tc>
        <w:tc>
          <w:tcPr>
            <w:tcW w:w="1435"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68.0 </w:t>
            </w:r>
            <w:r w:rsidRPr="007F29DA">
              <w:rPr>
                <w:rFonts w:cstheme="minorHAnsi"/>
              </w:rPr>
              <w:t>± 29.2</w:t>
            </w:r>
          </w:p>
        </w:tc>
        <w:tc>
          <w:tcPr>
            <w:tcW w:w="141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66.1 </w:t>
            </w:r>
            <w:r w:rsidRPr="007F29DA">
              <w:rPr>
                <w:rFonts w:cstheme="minorHAnsi"/>
              </w:rPr>
              <w:t>± 27.3</w:t>
            </w:r>
          </w:p>
        </w:tc>
      </w:tr>
      <w:tr w:rsidR="004B20CD" w:rsidRPr="007F29DA" w:rsidTr="00EE1DED">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PEP (</w:t>
            </w:r>
            <w:proofErr w:type="spellStart"/>
            <w:r w:rsidRPr="007F29DA">
              <w:t>ms</w:t>
            </w:r>
            <w:proofErr w:type="spellEnd"/>
            <w:r w:rsidRPr="007F29DA">
              <w:t>)</w:t>
            </w:r>
          </w:p>
        </w:tc>
        <w:tc>
          <w:tcPr>
            <w:tcW w:w="1560"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rPr>
                <w:rFonts w:cstheme="minorHAnsi"/>
              </w:rPr>
              <w:t>90.1 ± 10.6</w:t>
            </w:r>
          </w:p>
        </w:tc>
        <w:tc>
          <w:tcPr>
            <w:tcW w:w="567" w:type="dxa"/>
            <w:shd w:val="clear" w:color="auto" w:fill="AEAAAA" w:themeFill="background2" w:themeFillShade="BF"/>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p>
        </w:tc>
        <w:tc>
          <w:tcPr>
            <w:tcW w:w="184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89.4 </w:t>
            </w:r>
            <w:r w:rsidRPr="007F29DA">
              <w:rPr>
                <w:rFonts w:cstheme="minorHAnsi"/>
              </w:rPr>
              <w:t>± 10.4</w:t>
            </w:r>
          </w:p>
        </w:tc>
        <w:tc>
          <w:tcPr>
            <w:tcW w:w="1973"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85.1 </w:t>
            </w:r>
            <w:r w:rsidRPr="007F29DA">
              <w:rPr>
                <w:rFonts w:cstheme="minorHAnsi"/>
              </w:rPr>
              <w:t>± 9.9</w:t>
            </w:r>
          </w:p>
        </w:tc>
        <w:tc>
          <w:tcPr>
            <w:tcW w:w="1435"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83.4 </w:t>
            </w:r>
            <w:r w:rsidRPr="007F29DA">
              <w:rPr>
                <w:rFonts w:cstheme="minorHAnsi"/>
              </w:rPr>
              <w:t>± 9.5</w:t>
            </w:r>
          </w:p>
        </w:tc>
        <w:tc>
          <w:tcPr>
            <w:tcW w:w="141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84.0 </w:t>
            </w:r>
            <w:r w:rsidRPr="007F29DA">
              <w:rPr>
                <w:rFonts w:cstheme="minorHAnsi"/>
              </w:rPr>
              <w:t>± 10.1</w:t>
            </w:r>
          </w:p>
        </w:tc>
      </w:tr>
      <w:tr w:rsidR="004B20CD" w:rsidRPr="007F29DA" w:rsidTr="00EE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LVET (</w:t>
            </w:r>
            <w:proofErr w:type="spellStart"/>
            <w:r w:rsidRPr="007F29DA">
              <w:t>ms</w:t>
            </w:r>
            <w:proofErr w:type="spellEnd"/>
            <w:r w:rsidRPr="007F29DA">
              <w:t>)</w:t>
            </w:r>
          </w:p>
        </w:tc>
        <w:tc>
          <w:tcPr>
            <w:tcW w:w="1560"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rPr>
                <w:rFonts w:cstheme="minorHAnsi"/>
              </w:rPr>
              <w:t>290.3 ± 22.8</w:t>
            </w:r>
          </w:p>
        </w:tc>
        <w:tc>
          <w:tcPr>
            <w:tcW w:w="567" w:type="dxa"/>
            <w:shd w:val="clear" w:color="auto" w:fill="AEAAAA" w:themeFill="background2" w:themeFillShade="BF"/>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p>
        </w:tc>
        <w:tc>
          <w:tcPr>
            <w:tcW w:w="184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292.3 </w:t>
            </w:r>
            <w:r w:rsidRPr="007F29DA">
              <w:rPr>
                <w:rFonts w:cstheme="minorHAnsi"/>
              </w:rPr>
              <w:t>± 25.0</w:t>
            </w:r>
          </w:p>
        </w:tc>
        <w:tc>
          <w:tcPr>
            <w:tcW w:w="1973"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rPr>
                <w:b/>
              </w:rPr>
            </w:pPr>
            <w:r w:rsidRPr="007F29DA">
              <w:t xml:space="preserve">278.5 </w:t>
            </w:r>
            <w:r w:rsidRPr="007F29DA">
              <w:rPr>
                <w:rFonts w:cstheme="minorHAnsi"/>
              </w:rPr>
              <w:t>± 28.1</w:t>
            </w:r>
          </w:p>
        </w:tc>
        <w:tc>
          <w:tcPr>
            <w:tcW w:w="1435"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273.4 </w:t>
            </w:r>
            <w:r w:rsidRPr="007F29DA">
              <w:rPr>
                <w:rFonts w:cstheme="minorHAnsi"/>
              </w:rPr>
              <w:t>± 30.1</w:t>
            </w:r>
          </w:p>
        </w:tc>
        <w:tc>
          <w:tcPr>
            <w:tcW w:w="1412" w:type="dxa"/>
          </w:tcPr>
          <w:p w:rsidR="004B20CD" w:rsidRPr="007F29DA" w:rsidRDefault="004B20CD" w:rsidP="00EE1DED">
            <w:pPr>
              <w:cnfStyle w:val="000000100000" w:firstRow="0" w:lastRow="0" w:firstColumn="0" w:lastColumn="0" w:oddVBand="0" w:evenVBand="0" w:oddHBand="1" w:evenHBand="0" w:firstRowFirstColumn="0" w:firstRowLastColumn="0" w:lastRowFirstColumn="0" w:lastRowLastColumn="0"/>
            </w:pPr>
            <w:r w:rsidRPr="007F29DA">
              <w:t xml:space="preserve">273.0 </w:t>
            </w:r>
            <w:r w:rsidRPr="007F29DA">
              <w:rPr>
                <w:rFonts w:cstheme="minorHAnsi"/>
              </w:rPr>
              <w:t>± 28.6</w:t>
            </w:r>
          </w:p>
        </w:tc>
      </w:tr>
      <w:tr w:rsidR="004B20CD" w:rsidRPr="007F29DA" w:rsidTr="00EE1DED">
        <w:tc>
          <w:tcPr>
            <w:cnfStyle w:val="001000000000" w:firstRow="0" w:lastRow="0" w:firstColumn="1" w:lastColumn="0" w:oddVBand="0" w:evenVBand="0" w:oddHBand="0" w:evenHBand="0" w:firstRowFirstColumn="0" w:firstRowLastColumn="0" w:lastRowFirstColumn="0" w:lastRowLastColumn="0"/>
            <w:tcW w:w="1701" w:type="dxa"/>
          </w:tcPr>
          <w:p w:rsidR="004B20CD" w:rsidRPr="007F29DA" w:rsidRDefault="004B20CD" w:rsidP="00EE1DED">
            <w:r w:rsidRPr="007F29DA">
              <w:t>IBI (</w:t>
            </w:r>
            <w:proofErr w:type="spellStart"/>
            <w:r w:rsidRPr="007F29DA">
              <w:t>ms</w:t>
            </w:r>
            <w:proofErr w:type="spellEnd"/>
            <w:r w:rsidRPr="007F29DA">
              <w:t>)</w:t>
            </w:r>
          </w:p>
        </w:tc>
        <w:tc>
          <w:tcPr>
            <w:tcW w:w="1560"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rPr>
                <w:rFonts w:cstheme="minorHAnsi"/>
              </w:rPr>
              <w:t>831.7 ± 111.9</w:t>
            </w:r>
          </w:p>
        </w:tc>
        <w:tc>
          <w:tcPr>
            <w:tcW w:w="567" w:type="dxa"/>
            <w:shd w:val="clear" w:color="auto" w:fill="AEAAAA" w:themeFill="background2" w:themeFillShade="BF"/>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p>
        </w:tc>
        <w:tc>
          <w:tcPr>
            <w:tcW w:w="184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823.22 </w:t>
            </w:r>
            <w:r w:rsidRPr="007F29DA">
              <w:rPr>
                <w:rFonts w:cstheme="minorHAnsi"/>
              </w:rPr>
              <w:t>± 107.2</w:t>
            </w:r>
          </w:p>
        </w:tc>
        <w:tc>
          <w:tcPr>
            <w:tcW w:w="1973"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723.7 </w:t>
            </w:r>
            <w:r w:rsidRPr="007F29DA">
              <w:rPr>
                <w:rFonts w:cstheme="minorHAnsi"/>
              </w:rPr>
              <w:t>± 106.7</w:t>
            </w:r>
          </w:p>
        </w:tc>
        <w:tc>
          <w:tcPr>
            <w:tcW w:w="1435"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681.2 </w:t>
            </w:r>
            <w:r w:rsidRPr="007F29DA">
              <w:rPr>
                <w:rFonts w:cstheme="minorHAnsi"/>
              </w:rPr>
              <w:t>± 107.6</w:t>
            </w:r>
          </w:p>
        </w:tc>
        <w:tc>
          <w:tcPr>
            <w:tcW w:w="1412" w:type="dxa"/>
          </w:tcPr>
          <w:p w:rsidR="004B20CD" w:rsidRPr="007F29DA" w:rsidRDefault="004B20CD" w:rsidP="00EE1DED">
            <w:pPr>
              <w:cnfStyle w:val="000000000000" w:firstRow="0" w:lastRow="0" w:firstColumn="0" w:lastColumn="0" w:oddVBand="0" w:evenVBand="0" w:oddHBand="0" w:evenHBand="0" w:firstRowFirstColumn="0" w:firstRowLastColumn="0" w:lastRowFirstColumn="0" w:lastRowLastColumn="0"/>
            </w:pPr>
            <w:r w:rsidRPr="007F29DA">
              <w:t xml:space="preserve">683.3 </w:t>
            </w:r>
            <w:r w:rsidRPr="007F29DA">
              <w:rPr>
                <w:rFonts w:cstheme="minorHAnsi"/>
              </w:rPr>
              <w:t>± 110.4</w:t>
            </w:r>
          </w:p>
        </w:tc>
      </w:tr>
    </w:tbl>
    <w:bookmarkEnd w:id="0"/>
    <w:p w:rsidR="004B20CD" w:rsidRDefault="004B20CD" w:rsidP="004B20CD">
      <w:r w:rsidRPr="007F29DA">
        <w:rPr>
          <w:b/>
        </w:rPr>
        <w:t>Note:</w:t>
      </w:r>
      <w:r w:rsidRPr="007F29DA">
        <w:t xml:space="preserve"> Resting baseline data were used for the resting cardiovascular profiles, while the average (Speech – Math) level was used for the calculation of reactivity (reactivity = stress (</w:t>
      </w:r>
      <w:proofErr w:type="gramStart"/>
      <w:r w:rsidRPr="007F29DA">
        <w:t>mean(</w:t>
      </w:r>
      <w:proofErr w:type="gramEnd"/>
      <w:r w:rsidRPr="007F29DA">
        <w:t>speech, math)) – resting baseline).</w:t>
      </w:r>
      <w:bookmarkStart w:id="1" w:name="_GoBack"/>
      <w:bookmarkEnd w:id="1"/>
    </w:p>
    <w:p w:rsidR="004B20CD" w:rsidRDefault="004B20CD" w:rsidP="0050512E">
      <w:pPr>
        <w:spacing w:line="480" w:lineRule="auto"/>
        <w:rPr>
          <w:rFonts w:ascii="Calibri" w:hAnsi="Calibri"/>
        </w:rPr>
      </w:pPr>
    </w:p>
    <w:p w:rsidR="00D412A9" w:rsidRDefault="00D412A9">
      <w:r>
        <w:br w:type="page"/>
      </w:r>
    </w:p>
    <w:p w:rsidR="00D412A9" w:rsidRDefault="00D412A9" w:rsidP="00D412A9">
      <w:r w:rsidRPr="00D11D7D">
        <w:rPr>
          <w:b/>
        </w:rPr>
        <w:lastRenderedPageBreak/>
        <w:t>Sensitivity analysis for reactivity data</w:t>
      </w:r>
      <w:r>
        <w:t xml:space="preserve"> </w:t>
      </w:r>
    </w:p>
    <w:p w:rsidR="00D412A9" w:rsidRDefault="00D412A9" w:rsidP="00D412A9">
      <w:proofErr w:type="gramStart"/>
      <w:r>
        <w:t>Table A. task order</w:t>
      </w:r>
      <w:proofErr w:type="gramEnd"/>
      <w:r>
        <w:t xml:space="preserve"> split</w:t>
      </w:r>
    </w:p>
    <w:tbl>
      <w:tblPr>
        <w:tblStyle w:val="TableGrid"/>
        <w:tblW w:w="0" w:type="auto"/>
        <w:tblLook w:val="04A0" w:firstRow="1" w:lastRow="0" w:firstColumn="1" w:lastColumn="0" w:noHBand="0" w:noVBand="1"/>
      </w:tblPr>
      <w:tblGrid>
        <w:gridCol w:w="1870"/>
        <w:gridCol w:w="1870"/>
        <w:gridCol w:w="1870"/>
        <w:gridCol w:w="3457"/>
      </w:tblGrid>
      <w:tr w:rsidR="00D412A9" w:rsidTr="00D412A9">
        <w:tc>
          <w:tcPr>
            <w:tcW w:w="1870" w:type="dxa"/>
          </w:tcPr>
          <w:p w:rsidR="00D412A9" w:rsidRDefault="00D412A9" w:rsidP="00D412A9">
            <w:r>
              <w:t>Number of clusters</w:t>
            </w:r>
          </w:p>
        </w:tc>
        <w:tc>
          <w:tcPr>
            <w:tcW w:w="3740" w:type="dxa"/>
            <w:gridSpan w:val="2"/>
          </w:tcPr>
          <w:p w:rsidR="00D412A9" w:rsidRDefault="00D412A9" w:rsidP="00D412A9">
            <w:pPr>
              <w:jc w:val="center"/>
            </w:pPr>
            <w:r>
              <w:t>Task order</w:t>
            </w:r>
          </w:p>
        </w:tc>
        <w:tc>
          <w:tcPr>
            <w:tcW w:w="3457" w:type="dxa"/>
          </w:tcPr>
          <w:p w:rsidR="00D412A9" w:rsidRDefault="00D412A9" w:rsidP="00D412A9">
            <w:r>
              <w:t>Differences for best fit</w:t>
            </w:r>
          </w:p>
        </w:tc>
      </w:tr>
      <w:tr w:rsidR="00D412A9" w:rsidTr="00D412A9">
        <w:tc>
          <w:tcPr>
            <w:tcW w:w="1870" w:type="dxa"/>
          </w:tcPr>
          <w:p w:rsidR="00D412A9" w:rsidRDefault="00D412A9" w:rsidP="00D412A9"/>
        </w:tc>
        <w:tc>
          <w:tcPr>
            <w:tcW w:w="1870" w:type="dxa"/>
          </w:tcPr>
          <w:p w:rsidR="00D412A9" w:rsidRDefault="00D412A9" w:rsidP="00D412A9">
            <w:r>
              <w:t>Math first (N=393) BIC</w:t>
            </w:r>
          </w:p>
        </w:tc>
        <w:tc>
          <w:tcPr>
            <w:tcW w:w="1870" w:type="dxa"/>
          </w:tcPr>
          <w:p w:rsidR="00D412A9" w:rsidRDefault="00D412A9" w:rsidP="00D412A9">
            <w:r>
              <w:t>Speech first (N=304) BIC</w:t>
            </w:r>
          </w:p>
        </w:tc>
        <w:tc>
          <w:tcPr>
            <w:tcW w:w="3457" w:type="dxa"/>
          </w:tcPr>
          <w:p w:rsidR="00D412A9" w:rsidRDefault="00D412A9" w:rsidP="00D412A9"/>
        </w:tc>
      </w:tr>
      <w:tr w:rsidR="00D412A9" w:rsidTr="00D412A9">
        <w:tc>
          <w:tcPr>
            <w:tcW w:w="1870" w:type="dxa"/>
          </w:tcPr>
          <w:p w:rsidR="00D412A9" w:rsidRDefault="00D412A9" w:rsidP="00D412A9">
            <w:r>
              <w:t>4-Cluster model</w:t>
            </w:r>
          </w:p>
        </w:tc>
        <w:tc>
          <w:tcPr>
            <w:tcW w:w="1870" w:type="dxa"/>
          </w:tcPr>
          <w:p w:rsidR="00D412A9" w:rsidRPr="00B600FE" w:rsidRDefault="00D412A9" w:rsidP="00D412A9">
            <w:pPr>
              <w:rPr>
                <w:b/>
              </w:rPr>
            </w:pPr>
            <w:r w:rsidRPr="00B600FE">
              <w:rPr>
                <w:b/>
              </w:rPr>
              <w:t>16550.04</w:t>
            </w:r>
          </w:p>
        </w:tc>
        <w:tc>
          <w:tcPr>
            <w:tcW w:w="1870" w:type="dxa"/>
          </w:tcPr>
          <w:p w:rsidR="00D412A9" w:rsidRPr="00733E06" w:rsidRDefault="00D412A9" w:rsidP="00D412A9">
            <w:pPr>
              <w:rPr>
                <w:b/>
              </w:rPr>
            </w:pPr>
            <w:r w:rsidRPr="00733E06">
              <w:rPr>
                <w:b/>
              </w:rPr>
              <w:t>13101.93</w:t>
            </w:r>
            <w:r>
              <w:rPr>
                <w:b/>
              </w:rPr>
              <w:t>*</w:t>
            </w:r>
          </w:p>
        </w:tc>
        <w:tc>
          <w:tcPr>
            <w:tcW w:w="3457" w:type="dxa"/>
          </w:tcPr>
          <w:p w:rsidR="00D412A9" w:rsidRDefault="00D412A9" w:rsidP="00D412A9">
            <w:r>
              <w:t>Original Cluster 2 is absent</w:t>
            </w:r>
          </w:p>
        </w:tc>
      </w:tr>
      <w:tr w:rsidR="00D412A9" w:rsidTr="00D412A9">
        <w:tc>
          <w:tcPr>
            <w:tcW w:w="1870" w:type="dxa"/>
          </w:tcPr>
          <w:p w:rsidR="00D412A9" w:rsidRDefault="00D412A9" w:rsidP="00D412A9">
            <w:r>
              <w:t>5-Cluster model</w:t>
            </w:r>
          </w:p>
        </w:tc>
        <w:tc>
          <w:tcPr>
            <w:tcW w:w="1870" w:type="dxa"/>
          </w:tcPr>
          <w:p w:rsidR="00D412A9" w:rsidRDefault="00D412A9" w:rsidP="00D412A9">
            <w:r>
              <w:t>16570.07</w:t>
            </w:r>
          </w:p>
        </w:tc>
        <w:tc>
          <w:tcPr>
            <w:tcW w:w="1870" w:type="dxa"/>
          </w:tcPr>
          <w:p w:rsidR="00D412A9" w:rsidRPr="00B600FE" w:rsidRDefault="00D412A9" w:rsidP="00D412A9">
            <w:pPr>
              <w:rPr>
                <w:b/>
              </w:rPr>
            </w:pPr>
            <w:r w:rsidRPr="00B600FE">
              <w:rPr>
                <w:b/>
              </w:rPr>
              <w:t>13101.01</w:t>
            </w:r>
            <w:r>
              <w:rPr>
                <w:b/>
              </w:rPr>
              <w:t>*</w:t>
            </w:r>
          </w:p>
        </w:tc>
        <w:tc>
          <w:tcPr>
            <w:tcW w:w="3457" w:type="dxa"/>
          </w:tcPr>
          <w:p w:rsidR="00D412A9" w:rsidRDefault="00D412A9" w:rsidP="00D412A9">
            <w:r>
              <w:t xml:space="preserve">Similar to original </w:t>
            </w:r>
          </w:p>
        </w:tc>
      </w:tr>
      <w:tr w:rsidR="00D412A9" w:rsidTr="00D412A9">
        <w:tc>
          <w:tcPr>
            <w:tcW w:w="1870" w:type="dxa"/>
          </w:tcPr>
          <w:p w:rsidR="00D412A9" w:rsidRDefault="00D412A9" w:rsidP="00D412A9">
            <w:r>
              <w:t>6-Cluster model</w:t>
            </w:r>
          </w:p>
        </w:tc>
        <w:tc>
          <w:tcPr>
            <w:tcW w:w="1870" w:type="dxa"/>
          </w:tcPr>
          <w:p w:rsidR="00D412A9" w:rsidRDefault="00D412A9" w:rsidP="00D412A9">
            <w:r>
              <w:t>16605.20</w:t>
            </w:r>
          </w:p>
        </w:tc>
        <w:tc>
          <w:tcPr>
            <w:tcW w:w="1870" w:type="dxa"/>
          </w:tcPr>
          <w:p w:rsidR="00D412A9" w:rsidRDefault="00D412A9" w:rsidP="00D412A9">
            <w:r>
              <w:t>13130.11</w:t>
            </w:r>
          </w:p>
        </w:tc>
        <w:tc>
          <w:tcPr>
            <w:tcW w:w="3457" w:type="dxa"/>
          </w:tcPr>
          <w:p w:rsidR="00D412A9" w:rsidRDefault="00D412A9" w:rsidP="00D412A9"/>
        </w:tc>
      </w:tr>
    </w:tbl>
    <w:p w:rsidR="00D412A9" w:rsidRDefault="00D412A9" w:rsidP="00D412A9">
      <w:r>
        <w:t>* Not significantly different from each other</w:t>
      </w:r>
    </w:p>
    <w:p w:rsidR="00D412A9" w:rsidRDefault="00D412A9" w:rsidP="00D412A9">
      <w:r>
        <w:t>Table B. reactivity for separate TSST components split</w:t>
      </w:r>
    </w:p>
    <w:tbl>
      <w:tblPr>
        <w:tblStyle w:val="TableGrid"/>
        <w:tblW w:w="0" w:type="auto"/>
        <w:tblLook w:val="04A0" w:firstRow="1" w:lastRow="0" w:firstColumn="1" w:lastColumn="0" w:noHBand="0" w:noVBand="1"/>
      </w:tblPr>
      <w:tblGrid>
        <w:gridCol w:w="1870"/>
        <w:gridCol w:w="1870"/>
        <w:gridCol w:w="1870"/>
        <w:gridCol w:w="3457"/>
      </w:tblGrid>
      <w:tr w:rsidR="00D412A9" w:rsidRPr="0000740B" w:rsidTr="00D412A9">
        <w:tc>
          <w:tcPr>
            <w:tcW w:w="1870" w:type="dxa"/>
          </w:tcPr>
          <w:p w:rsidR="00D412A9" w:rsidRPr="0000740B" w:rsidRDefault="00D412A9" w:rsidP="00D412A9">
            <w:pPr>
              <w:spacing w:after="160" w:line="259" w:lineRule="auto"/>
            </w:pPr>
            <w:r w:rsidRPr="0000740B">
              <w:t>Number of clusters</w:t>
            </w:r>
          </w:p>
        </w:tc>
        <w:tc>
          <w:tcPr>
            <w:tcW w:w="3740" w:type="dxa"/>
            <w:gridSpan w:val="2"/>
          </w:tcPr>
          <w:p w:rsidR="00D412A9" w:rsidRPr="0000740B" w:rsidRDefault="00D412A9" w:rsidP="00D412A9">
            <w:pPr>
              <w:spacing w:after="160" w:line="259" w:lineRule="auto"/>
            </w:pPr>
            <w:r>
              <w:t>Separate stressors</w:t>
            </w:r>
          </w:p>
        </w:tc>
        <w:tc>
          <w:tcPr>
            <w:tcW w:w="3457" w:type="dxa"/>
          </w:tcPr>
          <w:p w:rsidR="00D412A9" w:rsidRPr="0000740B" w:rsidRDefault="00D412A9" w:rsidP="00D412A9">
            <w:pPr>
              <w:spacing w:after="160" w:line="259" w:lineRule="auto"/>
            </w:pPr>
            <w:r w:rsidRPr="0000740B">
              <w:t>Differences for best fit</w:t>
            </w:r>
          </w:p>
        </w:tc>
      </w:tr>
      <w:tr w:rsidR="00D412A9" w:rsidRPr="0000740B" w:rsidTr="00D412A9">
        <w:tc>
          <w:tcPr>
            <w:tcW w:w="1870" w:type="dxa"/>
          </w:tcPr>
          <w:p w:rsidR="00D412A9" w:rsidRPr="0000740B" w:rsidRDefault="00D412A9" w:rsidP="00D412A9">
            <w:pPr>
              <w:spacing w:after="160" w:line="259" w:lineRule="auto"/>
            </w:pPr>
          </w:p>
        </w:tc>
        <w:tc>
          <w:tcPr>
            <w:tcW w:w="1870" w:type="dxa"/>
          </w:tcPr>
          <w:p w:rsidR="00D412A9" w:rsidRPr="0000740B" w:rsidRDefault="00D412A9" w:rsidP="00D412A9">
            <w:pPr>
              <w:spacing w:after="160" w:line="259" w:lineRule="auto"/>
            </w:pPr>
            <w:r>
              <w:t>Math task (N=724</w:t>
            </w:r>
            <w:r w:rsidRPr="0000740B">
              <w:t>) BIC</w:t>
            </w:r>
          </w:p>
        </w:tc>
        <w:tc>
          <w:tcPr>
            <w:tcW w:w="1870" w:type="dxa"/>
          </w:tcPr>
          <w:p w:rsidR="00D412A9" w:rsidRPr="0000740B" w:rsidRDefault="00D412A9" w:rsidP="00D412A9">
            <w:pPr>
              <w:spacing w:after="160" w:line="259" w:lineRule="auto"/>
            </w:pPr>
            <w:r>
              <w:t>Speech task (N=724</w:t>
            </w:r>
            <w:r w:rsidRPr="0000740B">
              <w:t>) BIC</w:t>
            </w:r>
          </w:p>
        </w:tc>
        <w:tc>
          <w:tcPr>
            <w:tcW w:w="3457" w:type="dxa"/>
          </w:tcPr>
          <w:p w:rsidR="00D412A9" w:rsidRPr="0000740B" w:rsidRDefault="00D412A9" w:rsidP="00D412A9">
            <w:pPr>
              <w:spacing w:after="160" w:line="259" w:lineRule="auto"/>
            </w:pPr>
          </w:p>
        </w:tc>
      </w:tr>
      <w:tr w:rsidR="00D412A9" w:rsidRPr="0000740B" w:rsidTr="00D412A9">
        <w:tc>
          <w:tcPr>
            <w:tcW w:w="1870" w:type="dxa"/>
          </w:tcPr>
          <w:p w:rsidR="00D412A9" w:rsidRPr="0000740B" w:rsidRDefault="00D412A9" w:rsidP="00D412A9">
            <w:pPr>
              <w:spacing w:after="160" w:line="259" w:lineRule="auto"/>
            </w:pPr>
            <w:r w:rsidRPr="0000740B">
              <w:t>4-Cluster model</w:t>
            </w:r>
          </w:p>
        </w:tc>
        <w:tc>
          <w:tcPr>
            <w:tcW w:w="1870" w:type="dxa"/>
          </w:tcPr>
          <w:p w:rsidR="00D412A9" w:rsidRPr="0000740B" w:rsidRDefault="00D412A9" w:rsidP="00D412A9">
            <w:pPr>
              <w:spacing w:after="160" w:line="259" w:lineRule="auto"/>
            </w:pPr>
            <w:r>
              <w:t>30675.76</w:t>
            </w:r>
          </w:p>
        </w:tc>
        <w:tc>
          <w:tcPr>
            <w:tcW w:w="1870" w:type="dxa"/>
          </w:tcPr>
          <w:p w:rsidR="00D412A9" w:rsidRPr="00E96F4E" w:rsidRDefault="00D412A9" w:rsidP="00D412A9">
            <w:pPr>
              <w:spacing w:after="160" w:line="259" w:lineRule="auto"/>
              <w:rPr>
                <w:b/>
              </w:rPr>
            </w:pPr>
            <w:r w:rsidRPr="00E96F4E">
              <w:rPr>
                <w:b/>
              </w:rPr>
              <w:t>30606.61</w:t>
            </w:r>
            <w:r>
              <w:rPr>
                <w:b/>
              </w:rPr>
              <w:t>*</w:t>
            </w:r>
          </w:p>
        </w:tc>
        <w:tc>
          <w:tcPr>
            <w:tcW w:w="3457" w:type="dxa"/>
          </w:tcPr>
          <w:p w:rsidR="00D412A9" w:rsidRPr="0000740B" w:rsidRDefault="00D412A9" w:rsidP="00D412A9">
            <w:pPr>
              <w:spacing w:after="160" w:line="259" w:lineRule="auto"/>
            </w:pPr>
          </w:p>
        </w:tc>
      </w:tr>
      <w:tr w:rsidR="00D412A9" w:rsidRPr="0000740B" w:rsidTr="00D412A9">
        <w:tc>
          <w:tcPr>
            <w:tcW w:w="1870" w:type="dxa"/>
          </w:tcPr>
          <w:p w:rsidR="00D412A9" w:rsidRPr="0000740B" w:rsidRDefault="00D412A9" w:rsidP="00D412A9">
            <w:pPr>
              <w:spacing w:after="160" w:line="259" w:lineRule="auto"/>
            </w:pPr>
            <w:r w:rsidRPr="0000740B">
              <w:t>5-Cluster model</w:t>
            </w:r>
          </w:p>
        </w:tc>
        <w:tc>
          <w:tcPr>
            <w:tcW w:w="1870" w:type="dxa"/>
          </w:tcPr>
          <w:p w:rsidR="00D412A9" w:rsidRPr="0000740B" w:rsidRDefault="00D412A9" w:rsidP="00D412A9">
            <w:pPr>
              <w:spacing w:after="160" w:line="259" w:lineRule="auto"/>
              <w:rPr>
                <w:b/>
              </w:rPr>
            </w:pPr>
            <w:r w:rsidRPr="0000740B">
              <w:rPr>
                <w:b/>
              </w:rPr>
              <w:t>30658.54</w:t>
            </w:r>
          </w:p>
        </w:tc>
        <w:tc>
          <w:tcPr>
            <w:tcW w:w="1870" w:type="dxa"/>
          </w:tcPr>
          <w:p w:rsidR="00D412A9" w:rsidRPr="00E96F4E" w:rsidRDefault="00D412A9" w:rsidP="00D412A9">
            <w:pPr>
              <w:spacing w:after="160" w:line="259" w:lineRule="auto"/>
              <w:rPr>
                <w:b/>
              </w:rPr>
            </w:pPr>
            <w:r w:rsidRPr="00E96F4E">
              <w:rPr>
                <w:b/>
              </w:rPr>
              <w:t>30609.56</w:t>
            </w:r>
            <w:r>
              <w:rPr>
                <w:b/>
              </w:rPr>
              <w:t>*</w:t>
            </w:r>
          </w:p>
        </w:tc>
        <w:tc>
          <w:tcPr>
            <w:tcW w:w="3457" w:type="dxa"/>
          </w:tcPr>
          <w:p w:rsidR="00D412A9" w:rsidRPr="0000740B" w:rsidRDefault="00D412A9" w:rsidP="00D412A9">
            <w:pPr>
              <w:spacing w:after="160" w:line="259" w:lineRule="auto"/>
            </w:pPr>
            <w:r>
              <w:t>Both s</w:t>
            </w:r>
            <w:r w:rsidRPr="0000740B">
              <w:t xml:space="preserve">imilar to original </w:t>
            </w:r>
          </w:p>
        </w:tc>
      </w:tr>
      <w:tr w:rsidR="00D412A9" w:rsidRPr="0000740B" w:rsidTr="00D412A9">
        <w:tc>
          <w:tcPr>
            <w:tcW w:w="1870" w:type="dxa"/>
          </w:tcPr>
          <w:p w:rsidR="00D412A9" w:rsidRPr="0000740B" w:rsidRDefault="00D412A9" w:rsidP="00D412A9">
            <w:pPr>
              <w:spacing w:after="160" w:line="259" w:lineRule="auto"/>
            </w:pPr>
            <w:r w:rsidRPr="0000740B">
              <w:t>6-Cluster model</w:t>
            </w:r>
          </w:p>
        </w:tc>
        <w:tc>
          <w:tcPr>
            <w:tcW w:w="1870" w:type="dxa"/>
          </w:tcPr>
          <w:p w:rsidR="00D412A9" w:rsidRPr="0000740B" w:rsidRDefault="00D412A9" w:rsidP="00D412A9">
            <w:pPr>
              <w:spacing w:after="160" w:line="259" w:lineRule="auto"/>
            </w:pPr>
            <w:r>
              <w:t>30662.63</w:t>
            </w:r>
          </w:p>
        </w:tc>
        <w:tc>
          <w:tcPr>
            <w:tcW w:w="1870" w:type="dxa"/>
          </w:tcPr>
          <w:p w:rsidR="00D412A9" w:rsidRPr="0000740B" w:rsidRDefault="00D412A9" w:rsidP="00D412A9">
            <w:pPr>
              <w:spacing w:after="160" w:line="259" w:lineRule="auto"/>
            </w:pPr>
            <w:r w:rsidRPr="0000740B">
              <w:t>13130.11</w:t>
            </w:r>
          </w:p>
        </w:tc>
        <w:tc>
          <w:tcPr>
            <w:tcW w:w="3457" w:type="dxa"/>
          </w:tcPr>
          <w:p w:rsidR="00D412A9" w:rsidRPr="0000740B" w:rsidRDefault="00D412A9" w:rsidP="00D412A9">
            <w:pPr>
              <w:spacing w:after="160" w:line="259" w:lineRule="auto"/>
            </w:pPr>
          </w:p>
        </w:tc>
      </w:tr>
    </w:tbl>
    <w:p w:rsidR="00D412A9" w:rsidRDefault="00D412A9" w:rsidP="00D412A9">
      <w:r>
        <w:t>* Not significantly different from each other</w:t>
      </w:r>
    </w:p>
    <w:p w:rsidR="00D412A9" w:rsidRPr="00EA18E1" w:rsidRDefault="00D412A9" w:rsidP="00D412A9"/>
    <w:p w:rsidR="00D412A9" w:rsidRPr="00EA18E1" w:rsidRDefault="00D412A9" w:rsidP="00D412A9"/>
    <w:p w:rsidR="00D412A9" w:rsidRPr="00EA18E1" w:rsidRDefault="00D412A9" w:rsidP="00D412A9"/>
    <w:p w:rsidR="00D412A9" w:rsidRPr="00EA18E1" w:rsidRDefault="00D412A9" w:rsidP="00D412A9"/>
    <w:p w:rsidR="00D412A9" w:rsidRDefault="00D412A9" w:rsidP="0050512E">
      <w:pPr>
        <w:spacing w:line="480" w:lineRule="auto"/>
        <w:rPr>
          <w:rFonts w:ascii="Calibri" w:hAnsi="Calibri"/>
        </w:rPr>
      </w:pPr>
    </w:p>
    <w:sectPr w:rsidR="00D412A9" w:rsidSect="003D68E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E0"/>
    <w:rsid w:val="00006E2B"/>
    <w:rsid w:val="00057C99"/>
    <w:rsid w:val="000747E4"/>
    <w:rsid w:val="000B4B10"/>
    <w:rsid w:val="000F2D6D"/>
    <w:rsid w:val="00145DFE"/>
    <w:rsid w:val="001F354F"/>
    <w:rsid w:val="002C2BDB"/>
    <w:rsid w:val="002E05EE"/>
    <w:rsid w:val="003D68E0"/>
    <w:rsid w:val="003F67A6"/>
    <w:rsid w:val="0049261B"/>
    <w:rsid w:val="004B20CD"/>
    <w:rsid w:val="0050512E"/>
    <w:rsid w:val="00592ADA"/>
    <w:rsid w:val="007F29DA"/>
    <w:rsid w:val="00A039B5"/>
    <w:rsid w:val="00BA0F3D"/>
    <w:rsid w:val="00CB0008"/>
    <w:rsid w:val="00D24995"/>
    <w:rsid w:val="00D412A9"/>
    <w:rsid w:val="00D45A31"/>
    <w:rsid w:val="00E2363D"/>
    <w:rsid w:val="00E93776"/>
    <w:rsid w:val="00FA12BF"/>
    <w:rsid w:val="00FC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3193-08EE-4CBC-B22A-176E36CE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3D68E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0B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A6"/>
    <w:rPr>
      <w:rFonts w:ascii="Segoe UI" w:hAnsi="Segoe UI" w:cs="Segoe UI"/>
      <w:sz w:val="18"/>
      <w:szCs w:val="18"/>
    </w:rPr>
  </w:style>
  <w:style w:type="table" w:styleId="PlainTable2">
    <w:name w:val="Plain Table 2"/>
    <w:basedOn w:val="TableNormal"/>
    <w:uiPriority w:val="42"/>
    <w:rsid w:val="004B20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Kupper</dc:creator>
  <cp:keywords/>
  <dc:description/>
  <cp:lastModifiedBy>H.M. Kupper</cp:lastModifiedBy>
  <cp:revision>2</cp:revision>
  <dcterms:created xsi:type="dcterms:W3CDTF">2020-11-09T09:30:00Z</dcterms:created>
  <dcterms:modified xsi:type="dcterms:W3CDTF">2020-11-09T09:30:00Z</dcterms:modified>
</cp:coreProperties>
</file>