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C0" w:rsidRDefault="00BD0FC0">
      <w:pPr>
        <w:spacing w:line="360" w:lineRule="auto"/>
        <w:rPr>
          <w:b/>
          <w:bCs/>
        </w:rPr>
      </w:pPr>
    </w:p>
    <w:p w:rsidR="00BD0FC0" w:rsidRDefault="00BD0FC0">
      <w:pPr>
        <w:spacing w:line="360" w:lineRule="auto"/>
        <w:rPr>
          <w:b/>
          <w:bCs/>
        </w:rPr>
      </w:pPr>
      <w:r>
        <w:rPr>
          <w:b/>
          <w:bCs/>
        </w:rPr>
        <w:t>Supplemental Table 1.  Additional detail on site and participant selection and the methods for handling missing data for the analysis among adults in selected antiretroviral treatment programs in Tanzania, Uganda and Zambia, 2011</w:t>
      </w:r>
    </w:p>
    <w:tbl>
      <w:tblPr>
        <w:tblW w:w="0" w:type="auto"/>
        <w:tblInd w:w="-106" w:type="dxa"/>
        <w:tblBorders>
          <w:top w:val="single" w:sz="8" w:space="0" w:color="000000"/>
          <w:bottom w:val="single" w:sz="8" w:space="0" w:color="000000"/>
        </w:tblBorders>
        <w:tblLook w:val="0000"/>
      </w:tblPr>
      <w:tblGrid>
        <w:gridCol w:w="1307"/>
        <w:gridCol w:w="8269"/>
      </w:tblGrid>
      <w:tr w:rsidR="00BD0FC0">
        <w:tc>
          <w:tcPr>
            <w:tcW w:w="0" w:type="auto"/>
            <w:tcBorders>
              <w:top w:val="single" w:sz="8" w:space="0" w:color="000000"/>
              <w:left w:val="nil"/>
              <w:bottom w:val="single" w:sz="8" w:space="0" w:color="000000"/>
              <w:right w:val="nil"/>
            </w:tcBorders>
          </w:tcPr>
          <w:p w:rsidR="00BD0FC0" w:rsidRDefault="00BD0FC0">
            <w:pPr>
              <w:rPr>
                <w:b/>
                <w:bCs/>
                <w:color w:val="000000"/>
                <w:sz w:val="20"/>
                <w:szCs w:val="20"/>
              </w:rPr>
            </w:pPr>
            <w:r>
              <w:rPr>
                <w:b/>
                <w:bCs/>
                <w:color w:val="000000"/>
                <w:sz w:val="20"/>
                <w:szCs w:val="20"/>
              </w:rPr>
              <w:t>Topic</w:t>
            </w:r>
          </w:p>
        </w:tc>
        <w:tc>
          <w:tcPr>
            <w:tcW w:w="0" w:type="auto"/>
            <w:tcBorders>
              <w:top w:val="single" w:sz="8" w:space="0" w:color="000000"/>
              <w:left w:val="nil"/>
              <w:bottom w:val="single" w:sz="8" w:space="0" w:color="000000"/>
              <w:right w:val="nil"/>
            </w:tcBorders>
          </w:tcPr>
          <w:p w:rsidR="00BD0FC0" w:rsidRDefault="00BD0FC0">
            <w:pPr>
              <w:rPr>
                <w:b/>
                <w:bCs/>
                <w:color w:val="000000"/>
                <w:sz w:val="20"/>
                <w:szCs w:val="20"/>
              </w:rPr>
            </w:pPr>
            <w:r>
              <w:rPr>
                <w:b/>
                <w:bCs/>
                <w:color w:val="000000"/>
                <w:sz w:val="20"/>
                <w:szCs w:val="20"/>
              </w:rPr>
              <w:t>Additional Information</w:t>
            </w:r>
          </w:p>
        </w:tc>
      </w:tr>
      <w:tr w:rsidR="00BD0FC0">
        <w:tc>
          <w:tcPr>
            <w:tcW w:w="0" w:type="auto"/>
            <w:tcBorders>
              <w:top w:val="nil"/>
              <w:left w:val="nil"/>
              <w:bottom w:val="nil"/>
              <w:right w:val="nil"/>
            </w:tcBorders>
            <w:shd w:val="clear" w:color="auto" w:fill="C0C0C0"/>
          </w:tcPr>
          <w:p w:rsidR="00BD0FC0" w:rsidRDefault="00BD0FC0">
            <w:pPr>
              <w:spacing w:line="240" w:lineRule="auto"/>
              <w:rPr>
                <w:b/>
                <w:bCs/>
                <w:color w:val="000000"/>
                <w:sz w:val="20"/>
                <w:szCs w:val="20"/>
              </w:rPr>
            </w:pPr>
            <w:r>
              <w:rPr>
                <w:b/>
                <w:bCs/>
                <w:color w:val="000000"/>
                <w:sz w:val="20"/>
                <w:szCs w:val="20"/>
              </w:rPr>
              <w:t>Site selection</w:t>
            </w:r>
          </w:p>
        </w:tc>
        <w:tc>
          <w:tcPr>
            <w:tcW w:w="0" w:type="auto"/>
            <w:tcBorders>
              <w:top w:val="nil"/>
              <w:left w:val="nil"/>
              <w:bottom w:val="nil"/>
              <w:right w:val="nil"/>
            </w:tcBorders>
            <w:shd w:val="clear" w:color="auto" w:fill="C0C0C0"/>
          </w:tcPr>
          <w:p w:rsidR="00BD0FC0" w:rsidRDefault="00BD0FC0">
            <w:pPr>
              <w:spacing w:line="240" w:lineRule="auto"/>
              <w:rPr>
                <w:color w:val="000000"/>
                <w:sz w:val="20"/>
                <w:szCs w:val="20"/>
              </w:rPr>
            </w:pPr>
            <w:r>
              <w:rPr>
                <w:color w:val="000000"/>
                <w:sz w:val="20"/>
                <w:szCs w:val="20"/>
              </w:rPr>
              <w:t>The site-selection process was conducted in consultation with country-specific stakeholders including Ministries of Health (MOH) and United States Government (USG) partner organizations.</w:t>
            </w:r>
          </w:p>
        </w:tc>
      </w:tr>
      <w:tr w:rsidR="00BD0FC0">
        <w:tc>
          <w:tcPr>
            <w:tcW w:w="0" w:type="auto"/>
            <w:tcBorders>
              <w:top w:val="nil"/>
              <w:left w:val="nil"/>
              <w:bottom w:val="nil"/>
              <w:right w:val="nil"/>
            </w:tcBorders>
          </w:tcPr>
          <w:p w:rsidR="00BD0FC0" w:rsidRDefault="00BD0FC0">
            <w:pPr>
              <w:spacing w:line="240" w:lineRule="auto"/>
              <w:rPr>
                <w:b/>
                <w:bCs/>
                <w:color w:val="000000"/>
                <w:sz w:val="20"/>
                <w:szCs w:val="20"/>
              </w:rPr>
            </w:pPr>
            <w:r>
              <w:rPr>
                <w:rFonts w:eastAsia="PMingLiU"/>
                <w:b/>
                <w:bCs/>
                <w:color w:val="000000"/>
                <w:sz w:val="20"/>
                <w:szCs w:val="20"/>
              </w:rPr>
              <w:t>Participant selection</w:t>
            </w:r>
          </w:p>
        </w:tc>
        <w:tc>
          <w:tcPr>
            <w:tcW w:w="0" w:type="auto"/>
            <w:tcBorders>
              <w:top w:val="nil"/>
              <w:left w:val="nil"/>
              <w:bottom w:val="nil"/>
              <w:right w:val="nil"/>
            </w:tcBorders>
          </w:tcPr>
          <w:p w:rsidR="00BD0FC0" w:rsidRDefault="00BD0FC0">
            <w:pPr>
              <w:spacing w:line="240" w:lineRule="auto"/>
              <w:rPr>
                <w:color w:val="000000"/>
                <w:sz w:val="20"/>
                <w:szCs w:val="20"/>
              </w:rPr>
            </w:pPr>
            <w:r>
              <w:rPr>
                <w:color w:val="000000"/>
                <w:sz w:val="20"/>
                <w:szCs w:val="20"/>
              </w:rPr>
              <w:t xml:space="preserve">Based on clinic client flow, participants were selected using a systematic sampling approach with every fifth patient attending the ART clinic selected at the larger facilities and every third patient at the smaller facilities. </w:t>
            </w:r>
          </w:p>
        </w:tc>
      </w:tr>
      <w:tr w:rsidR="00BD0FC0">
        <w:tc>
          <w:tcPr>
            <w:tcW w:w="0" w:type="auto"/>
            <w:tcBorders>
              <w:top w:val="nil"/>
              <w:left w:val="nil"/>
              <w:bottom w:val="single" w:sz="8" w:space="0" w:color="000000"/>
              <w:right w:val="nil"/>
            </w:tcBorders>
            <w:shd w:val="clear" w:color="auto" w:fill="C0C0C0"/>
          </w:tcPr>
          <w:p w:rsidR="00BD0FC0" w:rsidRDefault="00BD0FC0">
            <w:pPr>
              <w:spacing w:line="240" w:lineRule="auto"/>
              <w:rPr>
                <w:rFonts w:eastAsia="PMingLiU"/>
                <w:b/>
                <w:bCs/>
                <w:color w:val="000000"/>
                <w:sz w:val="20"/>
                <w:szCs w:val="20"/>
              </w:rPr>
            </w:pPr>
            <w:r>
              <w:rPr>
                <w:rFonts w:eastAsia="PMingLiU"/>
                <w:b/>
                <w:bCs/>
                <w:color w:val="000000"/>
                <w:sz w:val="20"/>
                <w:szCs w:val="20"/>
              </w:rPr>
              <w:t>Missing data</w:t>
            </w:r>
          </w:p>
        </w:tc>
        <w:tc>
          <w:tcPr>
            <w:tcW w:w="0" w:type="auto"/>
            <w:tcBorders>
              <w:top w:val="nil"/>
              <w:left w:val="nil"/>
              <w:bottom w:val="single" w:sz="8" w:space="0" w:color="000000"/>
              <w:right w:val="nil"/>
            </w:tcBorders>
            <w:shd w:val="clear" w:color="auto" w:fill="C0C0C0"/>
          </w:tcPr>
          <w:p w:rsidR="00BD0FC0" w:rsidRDefault="00BD0FC0">
            <w:pPr>
              <w:spacing w:line="240" w:lineRule="auto"/>
              <w:rPr>
                <w:color w:val="000000"/>
                <w:sz w:val="20"/>
                <w:szCs w:val="20"/>
              </w:rPr>
            </w:pPr>
            <w:r>
              <w:rPr>
                <w:color w:val="000000"/>
                <w:sz w:val="20"/>
                <w:szCs w:val="20"/>
              </w:rPr>
              <w:t>For individual level variables missing 10-30% of participant responses, the missing response was included in the model as its own separate category.  The multiple imputation procedure was performed using Multivariate Imputation by Chained Equations as implemented by the “ICE” package for Stata. [36] Ten data sets were imputed, the final model run on each of the imputed datasets, and the results combined using Rubin's rules.</w:t>
            </w:r>
          </w:p>
        </w:tc>
      </w:tr>
    </w:tbl>
    <w:p w:rsidR="00BD0FC0" w:rsidRDefault="00BD0FC0">
      <w:pPr>
        <w:spacing w:after="0" w:line="240" w:lineRule="auto"/>
        <w:rPr>
          <w:b/>
          <w:bCs/>
        </w:rPr>
      </w:pPr>
      <w:bookmarkStart w:id="0" w:name="_GoBack"/>
      <w:bookmarkEnd w:id="0"/>
    </w:p>
    <w:p w:rsidR="00BD0FC0" w:rsidRDefault="00BD0FC0">
      <w:pPr>
        <w:spacing w:after="0" w:line="240" w:lineRule="auto"/>
        <w:rPr>
          <w:b/>
          <w:bCs/>
        </w:rPr>
      </w:pPr>
      <w:r>
        <w:rPr>
          <w:b/>
          <w:bCs/>
        </w:rPr>
        <w:br w:type="page"/>
      </w:r>
    </w:p>
    <w:p w:rsidR="00BD0FC0" w:rsidRDefault="00BD0FC0">
      <w:pPr>
        <w:spacing w:line="360" w:lineRule="auto"/>
        <w:rPr>
          <w:b/>
          <w:bCs/>
        </w:rPr>
      </w:pPr>
      <w:r>
        <w:rPr>
          <w:b/>
          <w:bCs/>
        </w:rPr>
        <w:t>Supplemental Table 2.  Additional detail on the measures used among adults in selected antiretroviral treatment programs in Tanzania, Uganda and Zambia, 2011</w:t>
      </w:r>
    </w:p>
    <w:tbl>
      <w:tblPr>
        <w:tblW w:w="0" w:type="auto"/>
        <w:tblInd w:w="-106" w:type="dxa"/>
        <w:tblBorders>
          <w:top w:val="single" w:sz="8" w:space="0" w:color="000000"/>
          <w:bottom w:val="single" w:sz="8" w:space="0" w:color="000000"/>
        </w:tblBorders>
        <w:tblLook w:val="0000"/>
      </w:tblPr>
      <w:tblGrid>
        <w:gridCol w:w="2930"/>
        <w:gridCol w:w="6646"/>
      </w:tblGrid>
      <w:tr w:rsidR="00BD0FC0">
        <w:tc>
          <w:tcPr>
            <w:tcW w:w="0" w:type="auto"/>
            <w:tcBorders>
              <w:top w:val="single" w:sz="8" w:space="0" w:color="000000"/>
              <w:left w:val="nil"/>
              <w:bottom w:val="single" w:sz="8" w:space="0" w:color="000000"/>
              <w:right w:val="nil"/>
            </w:tcBorders>
          </w:tcPr>
          <w:p w:rsidR="00BD0FC0" w:rsidRDefault="00BD0FC0">
            <w:pPr>
              <w:rPr>
                <w:b/>
                <w:bCs/>
                <w:color w:val="000000"/>
                <w:sz w:val="20"/>
                <w:szCs w:val="20"/>
              </w:rPr>
            </w:pPr>
            <w:r>
              <w:rPr>
                <w:b/>
                <w:bCs/>
                <w:color w:val="000000"/>
                <w:sz w:val="20"/>
                <w:szCs w:val="20"/>
              </w:rPr>
              <w:t xml:space="preserve">Variable </w:t>
            </w:r>
          </w:p>
        </w:tc>
        <w:tc>
          <w:tcPr>
            <w:tcW w:w="0" w:type="auto"/>
            <w:tcBorders>
              <w:top w:val="single" w:sz="8" w:space="0" w:color="000000"/>
              <w:left w:val="nil"/>
              <w:bottom w:val="single" w:sz="8" w:space="0" w:color="000000"/>
              <w:right w:val="nil"/>
            </w:tcBorders>
          </w:tcPr>
          <w:p w:rsidR="00BD0FC0" w:rsidRDefault="00BD0FC0">
            <w:pPr>
              <w:rPr>
                <w:b/>
                <w:bCs/>
                <w:color w:val="000000"/>
                <w:sz w:val="20"/>
                <w:szCs w:val="20"/>
              </w:rPr>
            </w:pPr>
            <w:r>
              <w:rPr>
                <w:b/>
                <w:bCs/>
                <w:color w:val="000000"/>
                <w:sz w:val="20"/>
                <w:szCs w:val="20"/>
              </w:rPr>
              <w:t>Additional Information</w:t>
            </w:r>
          </w:p>
        </w:tc>
      </w:tr>
      <w:tr w:rsidR="00BD0FC0">
        <w:tc>
          <w:tcPr>
            <w:tcW w:w="0" w:type="auto"/>
            <w:tcBorders>
              <w:top w:val="nil"/>
              <w:left w:val="nil"/>
              <w:bottom w:val="nil"/>
              <w:right w:val="nil"/>
            </w:tcBorders>
            <w:shd w:val="clear" w:color="auto" w:fill="C0C0C0"/>
          </w:tcPr>
          <w:p w:rsidR="00BD0FC0" w:rsidRDefault="00BD0FC0">
            <w:pPr>
              <w:spacing w:line="240" w:lineRule="auto"/>
              <w:rPr>
                <w:b/>
                <w:bCs/>
                <w:color w:val="000000"/>
                <w:sz w:val="20"/>
                <w:szCs w:val="20"/>
              </w:rPr>
            </w:pPr>
            <w:r>
              <w:rPr>
                <w:b/>
                <w:bCs/>
                <w:color w:val="000000"/>
                <w:sz w:val="20"/>
                <w:szCs w:val="20"/>
              </w:rPr>
              <w:t xml:space="preserve">Adherence self-reported measures (3-day, 30-day, 30-day VAS, Case Adherence Index and missed ≥48 hours/3 months) </w:t>
            </w:r>
          </w:p>
        </w:tc>
        <w:tc>
          <w:tcPr>
            <w:tcW w:w="0" w:type="auto"/>
            <w:tcBorders>
              <w:top w:val="nil"/>
              <w:left w:val="nil"/>
              <w:bottom w:val="nil"/>
              <w:right w:val="nil"/>
            </w:tcBorders>
            <w:shd w:val="clear" w:color="auto" w:fill="C0C0C0"/>
          </w:tcPr>
          <w:p w:rsidR="00BD0FC0" w:rsidRDefault="00BD0FC0">
            <w:pPr>
              <w:spacing w:line="240" w:lineRule="auto"/>
              <w:rPr>
                <w:color w:val="000000"/>
                <w:sz w:val="20"/>
                <w:szCs w:val="20"/>
              </w:rPr>
            </w:pPr>
            <w:r>
              <w:rPr>
                <w:color w:val="000000"/>
                <w:sz w:val="20"/>
                <w:szCs w:val="20"/>
              </w:rPr>
              <w:t>We used the term tablet instead of dose in the these self-reported adherence questions as the pre-test exercise found that dose meant very different things to different people (i.e. ranging from the number of pills a person was expected to take at one point in time to the number expected for an entire day)</w:t>
            </w:r>
          </w:p>
        </w:tc>
      </w:tr>
      <w:tr w:rsidR="00BD0FC0">
        <w:tc>
          <w:tcPr>
            <w:tcW w:w="0" w:type="auto"/>
            <w:tcBorders>
              <w:top w:val="nil"/>
              <w:left w:val="nil"/>
              <w:bottom w:val="nil"/>
              <w:right w:val="nil"/>
            </w:tcBorders>
          </w:tcPr>
          <w:p w:rsidR="00BD0FC0" w:rsidRDefault="00BD0FC0">
            <w:pPr>
              <w:rPr>
                <w:b/>
                <w:bCs/>
                <w:color w:val="000000"/>
                <w:sz w:val="20"/>
                <w:szCs w:val="20"/>
              </w:rPr>
            </w:pPr>
            <w:r>
              <w:rPr>
                <w:rFonts w:eastAsia="PMingLiU"/>
                <w:b/>
                <w:bCs/>
                <w:color w:val="000000"/>
                <w:sz w:val="20"/>
                <w:szCs w:val="20"/>
              </w:rPr>
              <w:t xml:space="preserve">Demographic and health survey’s wealth index </w:t>
            </w:r>
          </w:p>
        </w:tc>
        <w:tc>
          <w:tcPr>
            <w:tcW w:w="0" w:type="auto"/>
            <w:tcBorders>
              <w:top w:val="nil"/>
              <w:left w:val="nil"/>
              <w:bottom w:val="nil"/>
              <w:right w:val="nil"/>
            </w:tcBorders>
          </w:tcPr>
          <w:p w:rsidR="00BD0FC0" w:rsidRDefault="00BD0FC0">
            <w:pPr>
              <w:tabs>
                <w:tab w:val="left" w:pos="-720"/>
              </w:tabs>
              <w:suppressAutoHyphens/>
              <w:spacing w:after="0" w:line="240" w:lineRule="auto"/>
              <w:rPr>
                <w:rFonts w:eastAsia="PMingLiU"/>
                <w:color w:val="000000"/>
                <w:sz w:val="20"/>
                <w:szCs w:val="20"/>
                <w:lang w:eastAsia="zh-TW"/>
              </w:rPr>
            </w:pPr>
            <w:r>
              <w:rPr>
                <w:rFonts w:eastAsia="PMingLiU"/>
                <w:color w:val="000000"/>
                <w:sz w:val="20"/>
                <w:szCs w:val="20"/>
              </w:rPr>
              <w:t>The wealth index variable consisted of country specific questions [24-27]                                                              Each household asset was assigned a weight or factor score generated through principal component analysis, and the resulting asset scores categorized into wealth tertiles.</w:t>
            </w:r>
          </w:p>
        </w:tc>
      </w:tr>
      <w:tr w:rsidR="00BD0FC0">
        <w:tc>
          <w:tcPr>
            <w:tcW w:w="0" w:type="auto"/>
            <w:tcBorders>
              <w:top w:val="nil"/>
              <w:left w:val="nil"/>
              <w:bottom w:val="nil"/>
              <w:right w:val="nil"/>
            </w:tcBorders>
            <w:shd w:val="clear" w:color="auto" w:fill="C0C0C0"/>
          </w:tcPr>
          <w:p w:rsidR="00BD0FC0" w:rsidRDefault="00BD0FC0">
            <w:pPr>
              <w:rPr>
                <w:b/>
                <w:bCs/>
                <w:color w:val="000000"/>
                <w:sz w:val="20"/>
                <w:szCs w:val="20"/>
              </w:rPr>
            </w:pPr>
            <w:r>
              <w:rPr>
                <w:rFonts w:eastAsia="PMingLiU"/>
                <w:b/>
                <w:bCs/>
                <w:color w:val="000000"/>
                <w:sz w:val="20"/>
                <w:szCs w:val="20"/>
              </w:rPr>
              <w:t>Internalized AIDS Stigma Scale (IA-RSS) [28-29]</w:t>
            </w:r>
          </w:p>
        </w:tc>
        <w:tc>
          <w:tcPr>
            <w:tcW w:w="0" w:type="auto"/>
            <w:tcBorders>
              <w:top w:val="nil"/>
              <w:left w:val="nil"/>
              <w:bottom w:val="nil"/>
              <w:right w:val="nil"/>
            </w:tcBorders>
            <w:shd w:val="clear" w:color="auto" w:fill="C0C0C0"/>
          </w:tcPr>
          <w:p w:rsidR="00BD0FC0" w:rsidRDefault="00BD0FC0">
            <w:pPr>
              <w:tabs>
                <w:tab w:val="left" w:pos="-720"/>
              </w:tabs>
              <w:suppressAutoHyphens/>
              <w:spacing w:after="0" w:line="240" w:lineRule="auto"/>
              <w:rPr>
                <w:color w:val="000000"/>
                <w:sz w:val="20"/>
                <w:szCs w:val="20"/>
              </w:rPr>
            </w:pPr>
            <w:r>
              <w:rPr>
                <w:rFonts w:eastAsia="PMingLiU"/>
                <w:color w:val="000000"/>
                <w:sz w:val="20"/>
                <w:szCs w:val="20"/>
              </w:rPr>
              <w:t xml:space="preserve">We assessed stigma using five yes/no questions from the Internalized AIDS Stigma Scale (IA-RSS) The sixth question “Being HIV positive makes me feel dirty” was removed after pre-test results found that participants related the question to sexual immorality instead of capturing negative self-image. The scale development process resulted in two factors (see main text). </w:t>
            </w:r>
            <w:r>
              <w:rPr>
                <w:color w:val="000000"/>
                <w:sz w:val="20"/>
                <w:szCs w:val="20"/>
              </w:rPr>
              <w:t>C</w:t>
            </w:r>
            <w:r>
              <w:rPr>
                <w:rFonts w:eastAsia="PMingLiU"/>
                <w:color w:val="000000"/>
                <w:sz w:val="20"/>
                <w:szCs w:val="20"/>
              </w:rPr>
              <w:t>ountry-specific medians were used as the cutoff points to dichotomize responses into high (&gt; median) vs. low stigma</w:t>
            </w:r>
            <w:r>
              <w:rPr>
                <w:color w:val="000000"/>
                <w:sz w:val="20"/>
                <w:szCs w:val="20"/>
              </w:rPr>
              <w:t xml:space="preserve"> (medians for internalized stigma: zero for all three countries; medians for stigma disclosure: Tanzania=2, Uganda=1, Zambia=1).</w:t>
            </w:r>
          </w:p>
        </w:tc>
      </w:tr>
      <w:tr w:rsidR="00BD0FC0">
        <w:tc>
          <w:tcPr>
            <w:tcW w:w="0" w:type="auto"/>
            <w:tcBorders>
              <w:top w:val="nil"/>
              <w:left w:val="nil"/>
              <w:bottom w:val="nil"/>
              <w:right w:val="nil"/>
            </w:tcBorders>
          </w:tcPr>
          <w:p w:rsidR="00BD0FC0" w:rsidRDefault="00BD0FC0">
            <w:pPr>
              <w:rPr>
                <w:rFonts w:eastAsia="PMingLiU"/>
                <w:b/>
                <w:bCs/>
                <w:color w:val="000000"/>
                <w:sz w:val="20"/>
                <w:szCs w:val="20"/>
              </w:rPr>
            </w:pPr>
            <w:r>
              <w:rPr>
                <w:rFonts w:eastAsia="PMingLiU"/>
                <w:b/>
                <w:bCs/>
                <w:color w:val="000000"/>
                <w:sz w:val="20"/>
                <w:szCs w:val="20"/>
              </w:rPr>
              <w:t>Duke University – University of North Carolina Functional Social Support Questionnaire</w:t>
            </w:r>
            <w:r>
              <w:rPr>
                <w:rFonts w:eastAsia="PMingLiU"/>
                <w:b/>
                <w:bCs/>
                <w:color w:val="000000"/>
                <w:sz w:val="20"/>
                <w:szCs w:val="20"/>
                <w:lang w:eastAsia="zh-TW"/>
              </w:rPr>
              <w:t xml:space="preserve"> [31-32]</w:t>
            </w:r>
          </w:p>
        </w:tc>
        <w:tc>
          <w:tcPr>
            <w:tcW w:w="0" w:type="auto"/>
            <w:tcBorders>
              <w:top w:val="nil"/>
              <w:left w:val="nil"/>
              <w:bottom w:val="nil"/>
              <w:right w:val="nil"/>
            </w:tcBorders>
          </w:tcPr>
          <w:p w:rsidR="00BD0FC0" w:rsidRDefault="00BD0FC0">
            <w:pPr>
              <w:tabs>
                <w:tab w:val="left" w:pos="-720"/>
              </w:tabs>
              <w:suppressAutoHyphens/>
              <w:spacing w:after="0" w:line="240" w:lineRule="auto"/>
              <w:rPr>
                <w:color w:val="000000"/>
                <w:sz w:val="20"/>
                <w:szCs w:val="20"/>
              </w:rPr>
            </w:pPr>
            <w:r>
              <w:rPr>
                <w:color w:val="000000"/>
                <w:sz w:val="20"/>
                <w:szCs w:val="20"/>
              </w:rPr>
              <w:t>Exploratory and confirmatory factor analysis identified a two-factor model.</w:t>
            </w:r>
            <w:r>
              <w:rPr>
                <w:rFonts w:eastAsia="PMingLiU"/>
                <w:color w:val="000000"/>
                <w:sz w:val="20"/>
                <w:szCs w:val="20"/>
              </w:rPr>
              <w:t xml:space="preserve"> The first factor, Social Support Care, consisted of seven questions about having people to talk with (e.g., about personal problems, important things in their life) and having people who visit and care about them (Chronbach’s alpha=0.76). The second factor, Social Support Help, consisted of four questions about instrumental help available to the participant (Chronbach’s alpha=0.78). The mean score of responses for each of the two factors were summed from a four-point scale response, ranging from “as much as I would like” to “never”, divided by 10. Scores in the lowest 10</w:t>
            </w:r>
            <w:r>
              <w:rPr>
                <w:rFonts w:eastAsia="PMingLiU"/>
                <w:color w:val="000000"/>
                <w:sz w:val="20"/>
                <w:szCs w:val="20"/>
                <w:vertAlign w:val="superscript"/>
              </w:rPr>
              <w:t>th</w:t>
            </w:r>
            <w:r>
              <w:rPr>
                <w:rFonts w:eastAsia="PMingLiU"/>
                <w:color w:val="000000"/>
                <w:sz w:val="20"/>
                <w:szCs w:val="20"/>
              </w:rPr>
              <w:t xml:space="preserve"> percentile were categorized as having low levels of social support.</w:t>
            </w:r>
          </w:p>
        </w:tc>
      </w:tr>
      <w:tr w:rsidR="00BD0FC0">
        <w:tc>
          <w:tcPr>
            <w:tcW w:w="0" w:type="auto"/>
            <w:tcBorders>
              <w:top w:val="nil"/>
              <w:left w:val="nil"/>
              <w:bottom w:val="single" w:sz="8" w:space="0" w:color="000000"/>
              <w:right w:val="nil"/>
            </w:tcBorders>
            <w:shd w:val="clear" w:color="auto" w:fill="C0C0C0"/>
          </w:tcPr>
          <w:p w:rsidR="00BD0FC0" w:rsidRDefault="00BD0FC0">
            <w:pPr>
              <w:rPr>
                <w:rFonts w:eastAsia="PMingLiU"/>
                <w:b/>
                <w:bCs/>
                <w:color w:val="000000"/>
                <w:sz w:val="20"/>
                <w:szCs w:val="20"/>
              </w:rPr>
            </w:pPr>
            <w:r>
              <w:rPr>
                <w:rFonts w:eastAsia="PMingLiU"/>
                <w:b/>
                <w:bCs/>
                <w:color w:val="000000"/>
                <w:sz w:val="20"/>
                <w:szCs w:val="20"/>
              </w:rPr>
              <w:t>HIV Symptom Index [35]</w:t>
            </w:r>
          </w:p>
          <w:p w:rsidR="00BD0FC0" w:rsidRDefault="00BD0FC0">
            <w:pPr>
              <w:rPr>
                <w:rFonts w:eastAsia="PMingLiU"/>
                <w:b/>
                <w:bCs/>
                <w:color w:val="000000"/>
                <w:sz w:val="20"/>
                <w:szCs w:val="20"/>
              </w:rPr>
            </w:pPr>
          </w:p>
        </w:tc>
        <w:tc>
          <w:tcPr>
            <w:tcW w:w="0" w:type="auto"/>
            <w:tcBorders>
              <w:top w:val="nil"/>
              <w:left w:val="nil"/>
              <w:bottom w:val="single" w:sz="8" w:space="0" w:color="000000"/>
              <w:right w:val="nil"/>
            </w:tcBorders>
            <w:shd w:val="clear" w:color="auto" w:fill="C0C0C0"/>
          </w:tcPr>
          <w:p w:rsidR="00BD0FC0" w:rsidRDefault="00BD0FC0">
            <w:pPr>
              <w:tabs>
                <w:tab w:val="left" w:pos="-720"/>
              </w:tabs>
              <w:suppressAutoHyphens/>
              <w:spacing w:after="0" w:line="240" w:lineRule="auto"/>
              <w:rPr>
                <w:rFonts w:eastAsia="PMingLiU"/>
                <w:color w:val="000000"/>
                <w:sz w:val="20"/>
                <w:szCs w:val="20"/>
              </w:rPr>
            </w:pPr>
            <w:r>
              <w:rPr>
                <w:rFonts w:eastAsia="PMingLiU"/>
                <w:color w:val="000000"/>
                <w:sz w:val="20"/>
                <w:szCs w:val="20"/>
              </w:rPr>
              <w:t xml:space="preserve">The HIV Symptom Index is a 20-item index assessing factors ranging from fatigue to skin problems. During translation and pre-testing, the team modified the original five point Likert scale to a four point Likert scale, with 0 representing the absence of that symptom and 3 indicating that the patient did have the symptom and it bothered them “a lot”. A composite score of the responses was created with country specific medians used as the cutoff point to dichotomize responses into high vs. low (&lt; the median) </w:t>
            </w:r>
            <w:r>
              <w:rPr>
                <w:rFonts w:eastAsia="PMingLiU"/>
                <w:color w:val="000000"/>
                <w:sz w:val="20"/>
                <w:szCs w:val="20"/>
              </w:rPr>
              <w:softHyphen/>
              <w:t xml:space="preserve">symptom burden (medians: Tanzania=6, Uganda=11, Zambia=7). </w:t>
            </w:r>
          </w:p>
        </w:tc>
      </w:tr>
    </w:tbl>
    <w:p w:rsidR="00BD0FC0" w:rsidRDefault="00BD0FC0"/>
    <w:p w:rsidR="00BD0FC0" w:rsidRDefault="00BD0FC0"/>
    <w:p w:rsidR="00BD0FC0" w:rsidRDefault="00BD0FC0"/>
    <w:p w:rsidR="00BD0FC0" w:rsidRDefault="00BD0FC0">
      <w:pPr>
        <w:spacing w:after="0" w:line="240" w:lineRule="auto"/>
        <w:rPr>
          <w:rFonts w:ascii="Times New Roman" w:hAnsi="Times New Roman" w:cs="Times New Roman"/>
        </w:rPr>
      </w:pPr>
      <w:r>
        <w:rPr>
          <w:b/>
          <w:bCs/>
        </w:rPr>
        <w:br w:type="page"/>
      </w:r>
      <w:r>
        <w:rPr>
          <w:b/>
          <w:bCs/>
          <w:sz w:val="24"/>
          <w:szCs w:val="24"/>
        </w:rPr>
        <w:t>Supplemental Table 3: Site characteristics of ART clinics in multi-country adherence study, 2011</w:t>
      </w:r>
    </w:p>
    <w:tbl>
      <w:tblPr>
        <w:tblW w:w="0" w:type="auto"/>
        <w:tblInd w:w="-106" w:type="dxa"/>
        <w:tblBorders>
          <w:top w:val="single" w:sz="8" w:space="0" w:color="000000"/>
          <w:bottom w:val="single" w:sz="8" w:space="0" w:color="000000"/>
        </w:tblBorders>
        <w:tblLook w:val="0000"/>
      </w:tblPr>
      <w:tblGrid>
        <w:gridCol w:w="3686"/>
        <w:gridCol w:w="1135"/>
        <w:gridCol w:w="1107"/>
        <w:gridCol w:w="1020"/>
        <w:gridCol w:w="1080"/>
        <w:gridCol w:w="1548"/>
      </w:tblGrid>
      <w:tr w:rsidR="00BD0FC0">
        <w:tc>
          <w:tcPr>
            <w:tcW w:w="3686" w:type="dxa"/>
            <w:tcBorders>
              <w:top w:val="single" w:sz="4" w:space="0" w:color="auto"/>
              <w:left w:val="nil"/>
              <w:bottom w:val="single" w:sz="8" w:space="0" w:color="000000"/>
              <w:right w:val="nil"/>
            </w:tcBorders>
          </w:tcPr>
          <w:p w:rsidR="00BD0FC0" w:rsidRDefault="00BD0FC0">
            <w:pPr>
              <w:tabs>
                <w:tab w:val="decimal" w:pos="378"/>
                <w:tab w:val="decimal" w:pos="918"/>
              </w:tabs>
              <w:spacing w:after="0" w:line="240" w:lineRule="auto"/>
              <w:rPr>
                <w:b/>
                <w:bCs/>
                <w:color w:val="000000"/>
                <w:sz w:val="20"/>
                <w:szCs w:val="20"/>
                <w:lang w:val="en-GB" w:eastAsia="en-GB"/>
              </w:rPr>
            </w:pPr>
            <w:r>
              <w:rPr>
                <w:b/>
                <w:bCs/>
                <w:color w:val="000000"/>
                <w:sz w:val="20"/>
                <w:szCs w:val="20"/>
                <w:lang w:val="en-GB" w:eastAsia="en-GB"/>
              </w:rPr>
              <w:t>Characteristic</w:t>
            </w:r>
          </w:p>
        </w:tc>
        <w:tc>
          <w:tcPr>
            <w:tcW w:w="1135" w:type="dxa"/>
            <w:tcBorders>
              <w:top w:val="single" w:sz="4" w:space="0" w:color="auto"/>
              <w:left w:val="nil"/>
              <w:bottom w:val="single" w:sz="8" w:space="0" w:color="000000"/>
              <w:right w:val="nil"/>
            </w:tcBorders>
          </w:tcPr>
          <w:p w:rsidR="00BD0FC0" w:rsidRDefault="00BD0FC0">
            <w:pPr>
              <w:tabs>
                <w:tab w:val="decimal" w:pos="378"/>
                <w:tab w:val="decimal" w:pos="918"/>
              </w:tabs>
              <w:spacing w:after="0" w:line="240" w:lineRule="auto"/>
              <w:jc w:val="center"/>
              <w:rPr>
                <w:b/>
                <w:bCs/>
                <w:color w:val="000000"/>
                <w:sz w:val="20"/>
                <w:szCs w:val="20"/>
                <w:lang w:val="en-GB" w:eastAsia="en-GB"/>
              </w:rPr>
            </w:pPr>
            <w:r>
              <w:rPr>
                <w:b/>
                <w:bCs/>
                <w:color w:val="000000"/>
                <w:sz w:val="20"/>
                <w:szCs w:val="20"/>
                <w:lang w:val="en-GB" w:eastAsia="en-GB"/>
              </w:rPr>
              <w:t>Tanzania (n=7)</w:t>
            </w:r>
          </w:p>
        </w:tc>
        <w:tc>
          <w:tcPr>
            <w:tcW w:w="1107" w:type="dxa"/>
            <w:tcBorders>
              <w:top w:val="single" w:sz="4" w:space="0" w:color="auto"/>
              <w:left w:val="nil"/>
              <w:bottom w:val="single" w:sz="8" w:space="0" w:color="000000"/>
              <w:right w:val="nil"/>
            </w:tcBorders>
          </w:tcPr>
          <w:p w:rsidR="00BD0FC0" w:rsidRDefault="00BD0FC0">
            <w:pPr>
              <w:tabs>
                <w:tab w:val="decimal" w:pos="378"/>
                <w:tab w:val="decimal" w:pos="918"/>
              </w:tabs>
              <w:spacing w:after="0" w:line="240" w:lineRule="auto"/>
              <w:jc w:val="center"/>
              <w:rPr>
                <w:b/>
                <w:bCs/>
                <w:color w:val="000000"/>
                <w:sz w:val="20"/>
                <w:szCs w:val="20"/>
                <w:lang w:val="en-GB" w:eastAsia="en-GB"/>
              </w:rPr>
            </w:pPr>
            <w:r>
              <w:rPr>
                <w:b/>
                <w:bCs/>
                <w:color w:val="000000"/>
                <w:sz w:val="20"/>
                <w:szCs w:val="20"/>
                <w:lang w:val="en-GB" w:eastAsia="en-GB"/>
              </w:rPr>
              <w:t>Uganda</w:t>
            </w:r>
          </w:p>
          <w:p w:rsidR="00BD0FC0" w:rsidRDefault="00BD0FC0">
            <w:pPr>
              <w:tabs>
                <w:tab w:val="decimal" w:pos="378"/>
                <w:tab w:val="decimal" w:pos="918"/>
              </w:tabs>
              <w:spacing w:after="0" w:line="240" w:lineRule="auto"/>
              <w:jc w:val="center"/>
              <w:rPr>
                <w:b/>
                <w:bCs/>
                <w:color w:val="000000"/>
                <w:sz w:val="20"/>
                <w:szCs w:val="20"/>
                <w:lang w:val="en-GB" w:eastAsia="en-GB"/>
              </w:rPr>
            </w:pPr>
            <w:r>
              <w:rPr>
                <w:b/>
                <w:bCs/>
                <w:color w:val="000000"/>
                <w:sz w:val="20"/>
                <w:szCs w:val="20"/>
                <w:lang w:val="en-GB" w:eastAsia="en-GB"/>
              </w:rPr>
              <w:t>(n=6)</w:t>
            </w:r>
          </w:p>
        </w:tc>
        <w:tc>
          <w:tcPr>
            <w:tcW w:w="1020" w:type="dxa"/>
            <w:tcBorders>
              <w:top w:val="single" w:sz="4" w:space="0" w:color="auto"/>
              <w:left w:val="nil"/>
              <w:bottom w:val="single" w:sz="8" w:space="0" w:color="000000"/>
              <w:right w:val="nil"/>
            </w:tcBorders>
          </w:tcPr>
          <w:p w:rsidR="00BD0FC0" w:rsidRDefault="00BD0FC0">
            <w:pPr>
              <w:tabs>
                <w:tab w:val="decimal" w:pos="378"/>
                <w:tab w:val="decimal" w:pos="918"/>
              </w:tabs>
              <w:spacing w:after="0" w:line="240" w:lineRule="auto"/>
              <w:jc w:val="center"/>
              <w:rPr>
                <w:b/>
                <w:bCs/>
                <w:color w:val="000000"/>
                <w:sz w:val="20"/>
                <w:szCs w:val="20"/>
                <w:lang w:val="en-GB" w:eastAsia="en-GB"/>
              </w:rPr>
            </w:pPr>
            <w:r>
              <w:rPr>
                <w:b/>
                <w:bCs/>
                <w:color w:val="000000"/>
                <w:sz w:val="20"/>
                <w:szCs w:val="20"/>
                <w:lang w:val="en-GB" w:eastAsia="en-GB"/>
              </w:rPr>
              <w:t>Zambia</w:t>
            </w:r>
          </w:p>
          <w:p w:rsidR="00BD0FC0" w:rsidRDefault="00BD0FC0">
            <w:pPr>
              <w:tabs>
                <w:tab w:val="decimal" w:pos="378"/>
                <w:tab w:val="decimal" w:pos="918"/>
              </w:tabs>
              <w:spacing w:after="0" w:line="240" w:lineRule="auto"/>
              <w:jc w:val="center"/>
              <w:rPr>
                <w:b/>
                <w:bCs/>
                <w:color w:val="000000"/>
                <w:sz w:val="20"/>
                <w:szCs w:val="20"/>
                <w:lang w:val="en-GB" w:eastAsia="en-GB"/>
              </w:rPr>
            </w:pPr>
            <w:r>
              <w:rPr>
                <w:b/>
                <w:bCs/>
                <w:color w:val="000000"/>
                <w:sz w:val="20"/>
                <w:szCs w:val="20"/>
                <w:lang w:val="en-GB" w:eastAsia="en-GB"/>
              </w:rPr>
              <w:t>(n=6)</w:t>
            </w:r>
          </w:p>
        </w:tc>
        <w:tc>
          <w:tcPr>
            <w:tcW w:w="1080" w:type="dxa"/>
            <w:tcBorders>
              <w:top w:val="single" w:sz="4" w:space="0" w:color="auto"/>
              <w:left w:val="nil"/>
              <w:bottom w:val="single" w:sz="8" w:space="0" w:color="000000"/>
              <w:right w:val="nil"/>
            </w:tcBorders>
          </w:tcPr>
          <w:p w:rsidR="00BD0FC0" w:rsidRDefault="00BD0FC0">
            <w:pPr>
              <w:tabs>
                <w:tab w:val="decimal" w:pos="378"/>
                <w:tab w:val="decimal" w:pos="918"/>
              </w:tabs>
              <w:spacing w:after="0" w:line="240" w:lineRule="auto"/>
              <w:jc w:val="center"/>
              <w:rPr>
                <w:b/>
                <w:bCs/>
                <w:color w:val="000000"/>
                <w:sz w:val="20"/>
                <w:szCs w:val="20"/>
                <w:lang w:val="en-GB" w:eastAsia="en-GB"/>
              </w:rPr>
            </w:pPr>
            <w:r>
              <w:rPr>
                <w:b/>
                <w:bCs/>
                <w:color w:val="000000"/>
                <w:sz w:val="20"/>
                <w:szCs w:val="20"/>
                <w:lang w:val="en-GB" w:eastAsia="en-GB"/>
              </w:rPr>
              <w:t xml:space="preserve">Total number of sites </w:t>
            </w:r>
          </w:p>
          <w:p w:rsidR="00BD0FC0" w:rsidRDefault="00BD0FC0">
            <w:pPr>
              <w:tabs>
                <w:tab w:val="decimal" w:pos="378"/>
                <w:tab w:val="decimal" w:pos="918"/>
              </w:tabs>
              <w:spacing w:after="0" w:line="240" w:lineRule="auto"/>
              <w:jc w:val="center"/>
              <w:rPr>
                <w:b/>
                <w:bCs/>
                <w:color w:val="000000"/>
                <w:sz w:val="20"/>
                <w:szCs w:val="20"/>
                <w:lang w:val="en-GB" w:eastAsia="en-GB"/>
              </w:rPr>
            </w:pPr>
            <w:r>
              <w:rPr>
                <w:b/>
                <w:bCs/>
                <w:color w:val="000000"/>
                <w:sz w:val="20"/>
                <w:szCs w:val="20"/>
                <w:lang w:val="en-GB" w:eastAsia="en-GB"/>
              </w:rPr>
              <w:t>(N=19)</w:t>
            </w:r>
          </w:p>
        </w:tc>
        <w:tc>
          <w:tcPr>
            <w:tcW w:w="1548" w:type="dxa"/>
            <w:tcBorders>
              <w:top w:val="single" w:sz="4" w:space="0" w:color="auto"/>
              <w:left w:val="nil"/>
              <w:bottom w:val="single" w:sz="8" w:space="0" w:color="000000"/>
              <w:right w:val="nil"/>
            </w:tcBorders>
          </w:tcPr>
          <w:p w:rsidR="00BD0FC0" w:rsidRDefault="00BD0FC0">
            <w:pPr>
              <w:spacing w:after="0" w:line="240" w:lineRule="auto"/>
              <w:jc w:val="center"/>
              <w:rPr>
                <w:b/>
                <w:bCs/>
                <w:color w:val="000000"/>
                <w:sz w:val="20"/>
                <w:szCs w:val="20"/>
              </w:rPr>
            </w:pPr>
            <w:r>
              <w:rPr>
                <w:b/>
                <w:bCs/>
                <w:color w:val="000000"/>
                <w:sz w:val="20"/>
                <w:szCs w:val="20"/>
              </w:rPr>
              <w:t>Characteristics of sub-set of VL testing sites</w:t>
            </w:r>
          </w:p>
          <w:p w:rsidR="00BD0FC0" w:rsidRDefault="00BD0FC0">
            <w:pPr>
              <w:spacing w:after="0" w:line="240" w:lineRule="auto"/>
              <w:jc w:val="center"/>
              <w:rPr>
                <w:b/>
                <w:bCs/>
                <w:color w:val="000000"/>
                <w:sz w:val="20"/>
                <w:szCs w:val="20"/>
                <w:lang w:val="en-GB" w:eastAsia="en-GB"/>
              </w:rPr>
            </w:pPr>
            <w:r>
              <w:rPr>
                <w:b/>
                <w:bCs/>
                <w:color w:val="000000"/>
                <w:sz w:val="20"/>
                <w:szCs w:val="20"/>
              </w:rPr>
              <w:t>(n=6)</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u w:val="single"/>
              </w:rPr>
            </w:pPr>
            <w:r>
              <w:rPr>
                <w:b/>
                <w:bCs/>
                <w:color w:val="000000"/>
                <w:sz w:val="20"/>
                <w:szCs w:val="20"/>
                <w:u w:val="single"/>
              </w:rPr>
              <w:t>General information</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right"/>
              <w:rPr>
                <w:color w:val="000000"/>
                <w:sz w:val="20"/>
                <w:szCs w:val="20"/>
                <w:lang w:val="en-GB" w:eastAsia="en-GB"/>
              </w:rPr>
            </w:pP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right"/>
              <w:rPr>
                <w:color w:val="000000"/>
                <w:sz w:val="20"/>
                <w:szCs w:val="20"/>
                <w:lang w:val="en-GB" w:eastAsia="en-GB"/>
              </w:rPr>
            </w:pP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b/>
                <w:bCs/>
                <w:color w:val="000000"/>
                <w:sz w:val="20"/>
                <w:szCs w:val="20"/>
              </w:rPr>
              <w:t>Level of health facility</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right"/>
              <w:rPr>
                <w:color w:val="000000"/>
                <w:sz w:val="20"/>
                <w:szCs w:val="20"/>
                <w:lang w:val="en-GB" w:eastAsia="en-GB"/>
              </w:rPr>
            </w:pP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right"/>
              <w:rPr>
                <w:color w:val="000000"/>
                <w:sz w:val="20"/>
                <w:szCs w:val="20"/>
                <w:lang w:val="en-GB" w:eastAsia="en-GB"/>
              </w:rPr>
            </w:pP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 xml:space="preserve">National Referral Hospital  </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 xml:space="preserve">Provincial/Regional Hospital  </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 xml:space="preserve">District Hospital </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3</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6</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 xml:space="preserve">Primary/community based health care </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5</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b/>
                <w:bCs/>
                <w:color w:val="000000"/>
                <w:sz w:val="20"/>
                <w:szCs w:val="20"/>
              </w:rPr>
              <w:t>Type of health facility</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Government</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5</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10</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3</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Mission facility</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3</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5</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Non-religious NGO</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lang w:val="en-GB" w:eastAsia="en-GB"/>
              </w:rPr>
            </w:pPr>
            <w:r>
              <w:rPr>
                <w:b/>
                <w:bCs/>
                <w:color w:val="000000"/>
                <w:sz w:val="20"/>
                <w:szCs w:val="20"/>
                <w:lang w:val="en-GB" w:eastAsia="en-GB"/>
              </w:rPr>
              <w:t>Setting</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color w:val="000000"/>
                <w:sz w:val="20"/>
                <w:szCs w:val="20"/>
                <w:lang w:val="en-GB" w:eastAsia="en-GB"/>
              </w:rPr>
            </w:pPr>
            <w:r>
              <w:rPr>
                <w:color w:val="000000"/>
                <w:sz w:val="20"/>
                <w:szCs w:val="20"/>
                <w:lang w:val="en-GB" w:eastAsia="en-GB"/>
              </w:rPr>
              <w:t>Urban</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5</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13</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color w:val="000000"/>
                <w:sz w:val="20"/>
                <w:szCs w:val="20"/>
                <w:lang w:val="en-GB" w:eastAsia="en-GB"/>
              </w:rPr>
            </w:pPr>
            <w:r>
              <w:rPr>
                <w:color w:val="000000"/>
                <w:sz w:val="20"/>
                <w:szCs w:val="20"/>
                <w:lang w:val="en-GB" w:eastAsia="en-GB"/>
              </w:rPr>
              <w:t>Rural/Peri-urban</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3</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6</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u w:val="single"/>
                <w:lang w:val="en-GB" w:eastAsia="en-GB"/>
              </w:rPr>
            </w:pPr>
            <w:r>
              <w:rPr>
                <w:b/>
                <w:bCs/>
                <w:color w:val="000000"/>
                <w:sz w:val="20"/>
                <w:szCs w:val="20"/>
                <w:u w:val="single"/>
                <w:lang w:val="en-GB" w:eastAsia="en-GB"/>
              </w:rPr>
              <w:t>ART-related information</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lang w:val="en-GB" w:eastAsia="en-GB"/>
              </w:rPr>
            </w:pPr>
            <w:r>
              <w:rPr>
                <w:b/>
                <w:bCs/>
                <w:color w:val="000000"/>
                <w:sz w:val="20"/>
                <w:szCs w:val="20"/>
                <w:lang w:val="en-GB" w:eastAsia="en-GB"/>
              </w:rPr>
              <w:t>Year ART was started at facility</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color w:val="000000"/>
                <w:sz w:val="20"/>
                <w:szCs w:val="20"/>
                <w:lang w:val="en-GB" w:eastAsia="en-GB"/>
              </w:rPr>
            </w:pPr>
            <w:r>
              <w:rPr>
                <w:color w:val="000000"/>
                <w:sz w:val="20"/>
                <w:szCs w:val="20"/>
                <w:lang w:val="en-GB" w:eastAsia="en-GB"/>
              </w:rPr>
              <w:t>2003</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5</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color w:val="000000"/>
                <w:sz w:val="20"/>
                <w:szCs w:val="20"/>
                <w:lang w:val="en-GB" w:eastAsia="en-GB"/>
              </w:rPr>
            </w:pPr>
            <w:r>
              <w:rPr>
                <w:color w:val="000000"/>
                <w:sz w:val="20"/>
                <w:szCs w:val="20"/>
                <w:lang w:val="en-GB" w:eastAsia="en-GB"/>
              </w:rPr>
              <w:t>2004</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3</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9</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3</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color w:val="000000"/>
                <w:sz w:val="20"/>
                <w:szCs w:val="20"/>
                <w:lang w:val="en-GB" w:eastAsia="en-GB"/>
              </w:rPr>
            </w:pPr>
            <w:r>
              <w:rPr>
                <w:color w:val="000000"/>
                <w:sz w:val="20"/>
                <w:szCs w:val="20"/>
                <w:lang w:val="en-GB" w:eastAsia="en-GB"/>
              </w:rPr>
              <w:t>2005</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color w:val="000000"/>
                <w:sz w:val="20"/>
                <w:szCs w:val="20"/>
                <w:lang w:val="en-GB" w:eastAsia="en-GB"/>
              </w:rPr>
            </w:pPr>
            <w:r>
              <w:rPr>
                <w:color w:val="000000"/>
                <w:sz w:val="20"/>
                <w:szCs w:val="20"/>
                <w:lang w:val="en-GB" w:eastAsia="en-GB"/>
              </w:rPr>
              <w:t>2006</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color w:val="000000"/>
                <w:sz w:val="20"/>
                <w:szCs w:val="20"/>
                <w:lang w:val="en-GB" w:eastAsia="en-GB"/>
              </w:rPr>
            </w:pPr>
            <w:r>
              <w:rPr>
                <w:color w:val="000000"/>
                <w:sz w:val="20"/>
                <w:szCs w:val="20"/>
                <w:lang w:val="en-GB" w:eastAsia="en-GB"/>
              </w:rPr>
              <w:t>2007</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lang w:val="en-GB" w:eastAsia="en-GB"/>
              </w:rPr>
            </w:pPr>
            <w:r>
              <w:rPr>
                <w:b/>
                <w:bCs/>
                <w:color w:val="000000"/>
                <w:sz w:val="20"/>
                <w:szCs w:val="20"/>
                <w:lang w:val="en-GB" w:eastAsia="en-GB"/>
              </w:rPr>
              <w:t>Number of adults currently on ART</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lang w:val="en-GB"/>
              </w:rPr>
            </w:pPr>
            <w:r>
              <w:rPr>
                <w:color w:val="000000"/>
                <w:sz w:val="20"/>
                <w:szCs w:val="20"/>
                <w:lang w:val="en-GB"/>
              </w:rPr>
              <w:t>&lt;2,000</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6</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8</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3</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lang w:val="en-GB" w:eastAsia="en-GB"/>
              </w:rPr>
            </w:pPr>
            <w:r>
              <w:rPr>
                <w:color w:val="000000"/>
                <w:sz w:val="20"/>
                <w:szCs w:val="20"/>
                <w:lang w:val="en-GB" w:eastAsia="en-GB"/>
              </w:rPr>
              <w:t>2,000-4,000</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7</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lang w:val="en-GB" w:eastAsia="en-GB"/>
              </w:rPr>
            </w:pPr>
            <w:r>
              <w:rPr>
                <w:color w:val="000000"/>
                <w:sz w:val="20"/>
                <w:szCs w:val="20"/>
                <w:lang w:val="en-GB" w:eastAsia="en-GB"/>
              </w:rPr>
              <w:t>&gt;4,000</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3</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u w:val="single"/>
                <w:lang w:val="en-GB" w:eastAsia="en-GB"/>
              </w:rPr>
            </w:pPr>
            <w:r>
              <w:rPr>
                <w:b/>
                <w:bCs/>
                <w:color w:val="000000"/>
                <w:sz w:val="20"/>
                <w:szCs w:val="20"/>
                <w:u w:val="single"/>
                <w:lang w:val="en-GB" w:eastAsia="en-GB"/>
              </w:rPr>
              <w:t>ART dispensing characteristics</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lang w:val="en-GB" w:eastAsia="en-GB"/>
              </w:rPr>
            </w:pPr>
            <w:r>
              <w:rPr>
                <w:b/>
                <w:bCs/>
                <w:color w:val="000000"/>
                <w:sz w:val="20"/>
                <w:szCs w:val="20"/>
                <w:lang w:val="en-GB" w:eastAsia="en-GB"/>
              </w:rPr>
              <w:t>Buddy needed for ART initiation</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No</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0</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0</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4</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4</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1</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Yes</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7</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6</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2</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15</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5</w:t>
            </w:r>
          </w:p>
        </w:tc>
      </w:tr>
      <w:tr w:rsidR="00BD0FC0">
        <w:tc>
          <w:tcPr>
            <w:tcW w:w="3686" w:type="dxa"/>
            <w:tcBorders>
              <w:top w:val="nil"/>
              <w:left w:val="nil"/>
              <w:bottom w:val="nil"/>
              <w:right w:val="nil"/>
            </w:tcBorders>
          </w:tcPr>
          <w:p w:rsidR="00BD0FC0" w:rsidRDefault="00BD0FC0">
            <w:pPr>
              <w:tabs>
                <w:tab w:val="left" w:pos="0"/>
                <w:tab w:val="left" w:pos="360"/>
                <w:tab w:val="left" w:pos="510"/>
              </w:tabs>
              <w:spacing w:after="0" w:line="240" w:lineRule="auto"/>
              <w:rPr>
                <w:b/>
                <w:bCs/>
                <w:color w:val="000000"/>
                <w:sz w:val="20"/>
                <w:szCs w:val="20"/>
              </w:rPr>
            </w:pPr>
            <w:r>
              <w:rPr>
                <w:b/>
                <w:bCs/>
                <w:color w:val="000000"/>
                <w:sz w:val="20"/>
                <w:szCs w:val="20"/>
              </w:rPr>
              <w:t>Lay person provides adherence counseling</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No</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2</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2</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0</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4</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1</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Yes</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5</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4</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6</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15</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5</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b/>
                <w:bCs/>
                <w:color w:val="000000"/>
                <w:sz w:val="20"/>
                <w:szCs w:val="20"/>
              </w:rPr>
              <w:t>ART refill  frequency after 6 months</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Monthly</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5</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6</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3</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Every two months</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5</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9</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3</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Every three months</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2</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lang w:val="en-GB" w:eastAsia="en-GB"/>
              </w:rPr>
            </w:pPr>
            <w:r>
              <w:rPr>
                <w:b/>
                <w:bCs/>
                <w:color w:val="000000"/>
                <w:sz w:val="20"/>
                <w:szCs w:val="20"/>
              </w:rPr>
              <w:t>Community based distribution of ART</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No</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7</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3</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5</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15</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6</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color w:val="000000"/>
                <w:sz w:val="20"/>
                <w:szCs w:val="20"/>
              </w:rPr>
              <w:t>Yes</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3</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1</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4</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lang w:val="en-GB" w:eastAsia="en-GB"/>
              </w:rPr>
            </w:pPr>
            <w:r>
              <w:rPr>
                <w:color w:val="000000"/>
                <w:sz w:val="20"/>
                <w:szCs w:val="20"/>
                <w:lang w:val="en-GB" w:eastAsia="en-GB"/>
              </w:rPr>
              <w:t>0</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b/>
                <w:bCs/>
                <w:color w:val="000000"/>
                <w:sz w:val="20"/>
                <w:szCs w:val="20"/>
              </w:rPr>
              <w:t>ART dispensing in the HIV clinic</w:t>
            </w:r>
          </w:p>
          <w:p w:rsidR="00BD0FC0" w:rsidRDefault="00BD0FC0">
            <w:pPr>
              <w:tabs>
                <w:tab w:val="left" w:pos="180"/>
                <w:tab w:val="left" w:pos="360"/>
                <w:tab w:val="left" w:pos="510"/>
              </w:tabs>
              <w:spacing w:after="0" w:line="240" w:lineRule="auto"/>
              <w:rPr>
                <w:color w:val="000000"/>
                <w:sz w:val="20"/>
                <w:szCs w:val="20"/>
              </w:rPr>
            </w:pPr>
            <w:r>
              <w:rPr>
                <w:color w:val="000000"/>
                <w:sz w:val="20"/>
                <w:szCs w:val="20"/>
              </w:rPr>
              <w:t>No</w:t>
            </w:r>
          </w:p>
          <w:p w:rsidR="00BD0FC0" w:rsidRDefault="00BD0FC0">
            <w:pPr>
              <w:tabs>
                <w:tab w:val="left" w:pos="180"/>
                <w:tab w:val="left" w:pos="360"/>
                <w:tab w:val="left" w:pos="510"/>
              </w:tabs>
              <w:spacing w:after="0" w:line="240" w:lineRule="auto"/>
              <w:rPr>
                <w:color w:val="000000"/>
                <w:sz w:val="20"/>
                <w:szCs w:val="20"/>
              </w:rPr>
            </w:pPr>
            <w:r>
              <w:rPr>
                <w:color w:val="000000"/>
                <w:sz w:val="20"/>
                <w:szCs w:val="20"/>
              </w:rPr>
              <w:t>Yes</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p>
          <w:p w:rsidR="00BD0FC0" w:rsidRDefault="00BD0FC0">
            <w:pPr>
              <w:tabs>
                <w:tab w:val="decimal" w:pos="378"/>
                <w:tab w:val="decimal" w:pos="918"/>
              </w:tabs>
              <w:spacing w:after="0" w:line="240" w:lineRule="auto"/>
              <w:jc w:val="center"/>
              <w:rPr>
                <w:color w:val="000000"/>
                <w:sz w:val="20"/>
                <w:szCs w:val="20"/>
              </w:rPr>
            </w:pPr>
            <w:r>
              <w:rPr>
                <w:color w:val="000000"/>
                <w:sz w:val="20"/>
                <w:szCs w:val="20"/>
              </w:rPr>
              <w:t>1</w:t>
            </w:r>
          </w:p>
          <w:p w:rsidR="00BD0FC0" w:rsidRDefault="00BD0FC0">
            <w:pPr>
              <w:tabs>
                <w:tab w:val="decimal" w:pos="378"/>
                <w:tab w:val="decimal" w:pos="918"/>
              </w:tabs>
              <w:spacing w:after="0" w:line="240" w:lineRule="auto"/>
              <w:jc w:val="center"/>
              <w:rPr>
                <w:color w:val="000000"/>
                <w:sz w:val="20"/>
                <w:szCs w:val="20"/>
              </w:rPr>
            </w:pPr>
            <w:r>
              <w:rPr>
                <w:color w:val="000000"/>
                <w:sz w:val="20"/>
                <w:szCs w:val="20"/>
              </w:rPr>
              <w:t>6</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p>
          <w:p w:rsidR="00BD0FC0" w:rsidRDefault="00BD0FC0">
            <w:pPr>
              <w:tabs>
                <w:tab w:val="decimal" w:pos="378"/>
                <w:tab w:val="decimal" w:pos="918"/>
              </w:tabs>
              <w:spacing w:after="0" w:line="240" w:lineRule="auto"/>
              <w:jc w:val="center"/>
              <w:rPr>
                <w:color w:val="000000"/>
                <w:sz w:val="20"/>
                <w:szCs w:val="20"/>
              </w:rPr>
            </w:pPr>
            <w:r>
              <w:rPr>
                <w:color w:val="000000"/>
                <w:sz w:val="20"/>
                <w:szCs w:val="20"/>
              </w:rPr>
              <w:t>1</w:t>
            </w:r>
          </w:p>
          <w:p w:rsidR="00BD0FC0" w:rsidRDefault="00BD0FC0">
            <w:pPr>
              <w:tabs>
                <w:tab w:val="decimal" w:pos="378"/>
                <w:tab w:val="decimal" w:pos="918"/>
              </w:tabs>
              <w:spacing w:after="0" w:line="240" w:lineRule="auto"/>
              <w:jc w:val="center"/>
              <w:rPr>
                <w:color w:val="000000"/>
                <w:sz w:val="20"/>
                <w:szCs w:val="20"/>
              </w:rPr>
            </w:pPr>
            <w:r>
              <w:rPr>
                <w:color w:val="000000"/>
                <w:sz w:val="20"/>
                <w:szCs w:val="20"/>
              </w:rPr>
              <w:t>5</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p>
          <w:p w:rsidR="00BD0FC0" w:rsidRDefault="00BD0FC0">
            <w:pPr>
              <w:tabs>
                <w:tab w:val="decimal" w:pos="378"/>
                <w:tab w:val="decimal" w:pos="918"/>
              </w:tabs>
              <w:spacing w:after="0" w:line="240" w:lineRule="auto"/>
              <w:jc w:val="center"/>
              <w:rPr>
                <w:color w:val="000000"/>
                <w:sz w:val="20"/>
                <w:szCs w:val="20"/>
              </w:rPr>
            </w:pPr>
            <w:r>
              <w:rPr>
                <w:color w:val="000000"/>
                <w:sz w:val="20"/>
                <w:szCs w:val="20"/>
              </w:rPr>
              <w:t>5</w:t>
            </w:r>
          </w:p>
          <w:p w:rsidR="00BD0FC0" w:rsidRDefault="00BD0FC0">
            <w:pPr>
              <w:tabs>
                <w:tab w:val="decimal" w:pos="378"/>
                <w:tab w:val="decimal" w:pos="918"/>
              </w:tabs>
              <w:spacing w:after="0" w:line="240" w:lineRule="auto"/>
              <w:jc w:val="center"/>
              <w:rPr>
                <w:color w:val="000000"/>
                <w:sz w:val="20"/>
                <w:szCs w:val="20"/>
              </w:rPr>
            </w:pPr>
            <w:r>
              <w:rPr>
                <w:color w:val="000000"/>
                <w:sz w:val="20"/>
                <w:szCs w:val="20"/>
              </w:rPr>
              <w:t>1</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p>
          <w:p w:rsidR="00BD0FC0" w:rsidRDefault="00BD0FC0">
            <w:pPr>
              <w:tabs>
                <w:tab w:val="decimal" w:pos="378"/>
                <w:tab w:val="decimal" w:pos="918"/>
              </w:tabs>
              <w:spacing w:after="0" w:line="240" w:lineRule="auto"/>
              <w:jc w:val="center"/>
              <w:rPr>
                <w:color w:val="000000"/>
                <w:sz w:val="20"/>
                <w:szCs w:val="20"/>
              </w:rPr>
            </w:pPr>
            <w:r>
              <w:rPr>
                <w:color w:val="000000"/>
                <w:sz w:val="20"/>
                <w:szCs w:val="20"/>
              </w:rPr>
              <w:t>7</w:t>
            </w:r>
          </w:p>
          <w:p w:rsidR="00BD0FC0" w:rsidRDefault="00BD0FC0">
            <w:pPr>
              <w:tabs>
                <w:tab w:val="decimal" w:pos="378"/>
                <w:tab w:val="decimal" w:pos="918"/>
              </w:tabs>
              <w:spacing w:after="0" w:line="240" w:lineRule="auto"/>
              <w:jc w:val="center"/>
              <w:rPr>
                <w:color w:val="000000"/>
                <w:sz w:val="20"/>
                <w:szCs w:val="20"/>
              </w:rPr>
            </w:pPr>
            <w:r>
              <w:rPr>
                <w:color w:val="000000"/>
                <w:sz w:val="20"/>
                <w:szCs w:val="20"/>
              </w:rPr>
              <w:t>12</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p>
          <w:p w:rsidR="00BD0FC0" w:rsidRDefault="00BD0FC0">
            <w:pPr>
              <w:tabs>
                <w:tab w:val="decimal" w:pos="378"/>
                <w:tab w:val="decimal" w:pos="918"/>
              </w:tabs>
              <w:spacing w:after="0" w:line="240" w:lineRule="auto"/>
              <w:jc w:val="center"/>
              <w:rPr>
                <w:color w:val="000000"/>
                <w:sz w:val="20"/>
                <w:szCs w:val="20"/>
              </w:rPr>
            </w:pPr>
            <w:r>
              <w:rPr>
                <w:color w:val="000000"/>
                <w:sz w:val="20"/>
                <w:szCs w:val="20"/>
              </w:rPr>
              <w:t>2</w:t>
            </w:r>
          </w:p>
          <w:p w:rsidR="00BD0FC0" w:rsidRDefault="00BD0FC0">
            <w:pPr>
              <w:tabs>
                <w:tab w:val="decimal" w:pos="378"/>
                <w:tab w:val="decimal" w:pos="918"/>
              </w:tabs>
              <w:spacing w:after="0" w:line="240" w:lineRule="auto"/>
              <w:jc w:val="center"/>
              <w:rPr>
                <w:color w:val="000000"/>
                <w:sz w:val="20"/>
                <w:szCs w:val="20"/>
              </w:rPr>
            </w:pPr>
            <w:r>
              <w:rPr>
                <w:color w:val="000000"/>
                <w:sz w:val="20"/>
                <w:szCs w:val="20"/>
              </w:rPr>
              <w:t>4</w:t>
            </w: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b/>
                <w:bCs/>
                <w:color w:val="000000"/>
                <w:sz w:val="20"/>
                <w:szCs w:val="20"/>
              </w:rPr>
            </w:pPr>
            <w:r>
              <w:rPr>
                <w:b/>
                <w:bCs/>
                <w:color w:val="000000"/>
                <w:sz w:val="20"/>
                <w:szCs w:val="20"/>
              </w:rPr>
              <w:t>Stock out of ART in past 6 months</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p>
        </w:tc>
        <w:tc>
          <w:tcPr>
            <w:tcW w:w="1548" w:type="dxa"/>
            <w:tcBorders>
              <w:top w:val="nil"/>
              <w:left w:val="nil"/>
              <w:bottom w:val="nil"/>
              <w:right w:val="nil"/>
            </w:tcBorders>
          </w:tcPr>
          <w:p w:rsidR="00BD0FC0" w:rsidRDefault="00BD0FC0">
            <w:pPr>
              <w:tabs>
                <w:tab w:val="decimal" w:pos="378"/>
                <w:tab w:val="decimal" w:pos="918"/>
              </w:tabs>
              <w:spacing w:after="0" w:line="240" w:lineRule="auto"/>
              <w:rPr>
                <w:color w:val="000000"/>
                <w:sz w:val="20"/>
                <w:szCs w:val="20"/>
              </w:rPr>
            </w:pPr>
          </w:p>
        </w:tc>
      </w:tr>
      <w:tr w:rsidR="00BD0FC0">
        <w:tc>
          <w:tcPr>
            <w:tcW w:w="3686" w:type="dxa"/>
            <w:tcBorders>
              <w:top w:val="nil"/>
              <w:left w:val="nil"/>
              <w:bottom w:val="nil"/>
              <w:right w:val="nil"/>
            </w:tcBorders>
          </w:tcPr>
          <w:p w:rsidR="00BD0FC0" w:rsidRDefault="00BD0FC0">
            <w:pPr>
              <w:tabs>
                <w:tab w:val="left" w:pos="180"/>
                <w:tab w:val="left" w:pos="360"/>
                <w:tab w:val="left" w:pos="510"/>
              </w:tabs>
              <w:spacing w:after="0" w:line="240" w:lineRule="auto"/>
              <w:rPr>
                <w:color w:val="000000"/>
                <w:sz w:val="20"/>
                <w:szCs w:val="20"/>
              </w:rPr>
            </w:pPr>
            <w:r>
              <w:rPr>
                <w:color w:val="000000"/>
                <w:sz w:val="20"/>
                <w:szCs w:val="20"/>
              </w:rPr>
              <w:t>No</w:t>
            </w:r>
          </w:p>
        </w:tc>
        <w:tc>
          <w:tcPr>
            <w:tcW w:w="1135"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5</w:t>
            </w:r>
          </w:p>
        </w:tc>
        <w:tc>
          <w:tcPr>
            <w:tcW w:w="1107"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6</w:t>
            </w:r>
          </w:p>
        </w:tc>
        <w:tc>
          <w:tcPr>
            <w:tcW w:w="102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6</w:t>
            </w:r>
          </w:p>
        </w:tc>
        <w:tc>
          <w:tcPr>
            <w:tcW w:w="1080"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17</w:t>
            </w:r>
          </w:p>
        </w:tc>
        <w:tc>
          <w:tcPr>
            <w:tcW w:w="1548" w:type="dxa"/>
            <w:tcBorders>
              <w:top w:val="nil"/>
              <w:left w:val="nil"/>
              <w:bottom w:val="nil"/>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5</w:t>
            </w:r>
          </w:p>
        </w:tc>
      </w:tr>
      <w:tr w:rsidR="00BD0FC0">
        <w:tc>
          <w:tcPr>
            <w:tcW w:w="3686" w:type="dxa"/>
            <w:tcBorders>
              <w:top w:val="nil"/>
              <w:left w:val="nil"/>
              <w:bottom w:val="single" w:sz="8" w:space="0" w:color="000000"/>
              <w:right w:val="nil"/>
            </w:tcBorders>
          </w:tcPr>
          <w:p w:rsidR="00BD0FC0" w:rsidRDefault="00BD0FC0">
            <w:pPr>
              <w:tabs>
                <w:tab w:val="left" w:pos="180"/>
                <w:tab w:val="left" w:pos="360"/>
                <w:tab w:val="left" w:pos="510"/>
              </w:tabs>
              <w:spacing w:after="0" w:line="240" w:lineRule="auto"/>
              <w:rPr>
                <w:color w:val="000000"/>
                <w:sz w:val="20"/>
                <w:szCs w:val="20"/>
              </w:rPr>
            </w:pPr>
            <w:r>
              <w:rPr>
                <w:color w:val="000000"/>
                <w:sz w:val="20"/>
                <w:szCs w:val="20"/>
              </w:rPr>
              <w:t>Yes</w:t>
            </w:r>
          </w:p>
        </w:tc>
        <w:tc>
          <w:tcPr>
            <w:tcW w:w="1135" w:type="dxa"/>
            <w:tcBorders>
              <w:top w:val="nil"/>
              <w:left w:val="nil"/>
              <w:bottom w:val="single" w:sz="8" w:space="0" w:color="000000"/>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2</w:t>
            </w:r>
          </w:p>
        </w:tc>
        <w:tc>
          <w:tcPr>
            <w:tcW w:w="1107" w:type="dxa"/>
            <w:tcBorders>
              <w:top w:val="nil"/>
              <w:left w:val="nil"/>
              <w:bottom w:val="single" w:sz="8" w:space="0" w:color="000000"/>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0</w:t>
            </w:r>
          </w:p>
        </w:tc>
        <w:tc>
          <w:tcPr>
            <w:tcW w:w="1020" w:type="dxa"/>
            <w:tcBorders>
              <w:top w:val="nil"/>
              <w:left w:val="nil"/>
              <w:bottom w:val="single" w:sz="8" w:space="0" w:color="000000"/>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0</w:t>
            </w:r>
          </w:p>
        </w:tc>
        <w:tc>
          <w:tcPr>
            <w:tcW w:w="1080" w:type="dxa"/>
            <w:tcBorders>
              <w:top w:val="nil"/>
              <w:left w:val="nil"/>
              <w:bottom w:val="single" w:sz="8" w:space="0" w:color="000000"/>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2</w:t>
            </w:r>
          </w:p>
        </w:tc>
        <w:tc>
          <w:tcPr>
            <w:tcW w:w="1548" w:type="dxa"/>
            <w:tcBorders>
              <w:top w:val="nil"/>
              <w:left w:val="nil"/>
              <w:bottom w:val="single" w:sz="8" w:space="0" w:color="000000"/>
              <w:right w:val="nil"/>
            </w:tcBorders>
          </w:tcPr>
          <w:p w:rsidR="00BD0FC0" w:rsidRDefault="00BD0FC0">
            <w:pPr>
              <w:tabs>
                <w:tab w:val="decimal" w:pos="378"/>
                <w:tab w:val="decimal" w:pos="918"/>
              </w:tabs>
              <w:spacing w:after="0" w:line="240" w:lineRule="auto"/>
              <w:jc w:val="center"/>
              <w:rPr>
                <w:color w:val="000000"/>
                <w:sz w:val="20"/>
                <w:szCs w:val="20"/>
              </w:rPr>
            </w:pPr>
            <w:r>
              <w:rPr>
                <w:color w:val="000000"/>
                <w:sz w:val="20"/>
                <w:szCs w:val="20"/>
              </w:rPr>
              <w:t>1</w:t>
            </w:r>
          </w:p>
        </w:tc>
      </w:tr>
    </w:tbl>
    <w:p w:rsidR="00BD0FC0" w:rsidRDefault="00BD0FC0">
      <w:pPr>
        <w:spacing w:after="0" w:line="240" w:lineRule="auto"/>
        <w:rPr>
          <w:b/>
          <w:bCs/>
        </w:rPr>
      </w:pPr>
      <w:r>
        <w:t>VL, Viral Load</w:t>
      </w:r>
    </w:p>
    <w:sectPr w:rsidR="00BD0FC0" w:rsidSect="00BD0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s²Ó©úÅé"/>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747D"/>
    <w:multiLevelType w:val="hybridMultilevel"/>
    <w:tmpl w:val="8A86C692"/>
    <w:lvl w:ilvl="0" w:tplc="E9BC984E">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6E2844E4"/>
    <w:multiLevelType w:val="hybridMultilevel"/>
    <w:tmpl w:val="BA5CD3B8"/>
    <w:lvl w:ilvl="0" w:tplc="E6B653B2">
      <w:start w:val="1"/>
      <w:numFmt w:val="upperLetter"/>
      <w:lvlText w:val="%1."/>
      <w:lvlJc w:val="left"/>
      <w:pPr>
        <w:ind w:left="720" w:hanging="360"/>
      </w:pPr>
      <w:rPr>
        <w:rFonts w:ascii="Calibri" w:eastAsia="Times New Roman" w:hAnsi="Calibri"/>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t59rw2r6sp02uet9vjv9p080waxppv20pvz&quot;&gt;CDC_Adherence_Feb_2014&lt;record-ids&gt;&lt;item&gt;2&lt;/item&gt;&lt;item&gt;8&lt;/item&gt;&lt;item&gt;12&lt;/item&gt;&lt;item&gt;13&lt;/item&gt;&lt;/record-ids&gt;&lt;/item&gt;&lt;/Libraries&gt;"/>
  </w:docVars>
  <w:rsids>
    <w:rsidRoot w:val="00BD0FC0"/>
    <w:rsid w:val="00BD0F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Subject">
    <w:name w:val="annotation subject"/>
    <w:basedOn w:val="CommentText"/>
    <w:next w:val="CommentText"/>
    <w:link w:val="CommentSubjectChar"/>
    <w:uiPriority w:val="99"/>
    <w:rPr>
      <w:b/>
      <w:bCs/>
      <w:lang w:val="nl-BE"/>
    </w:rPr>
  </w:style>
  <w:style w:type="character" w:customStyle="1" w:styleId="CommentSubjectChar">
    <w:name w:val="Comment Subject Char"/>
    <w:basedOn w:val="CommentTextChar"/>
    <w:link w:val="CommentSubject"/>
    <w:uiPriority w:val="99"/>
    <w:rPr>
      <w:b/>
      <w:bCs/>
      <w:lang w:val="nl-BE"/>
    </w:rPr>
  </w:style>
  <w:style w:type="paragraph" w:styleId="Revision">
    <w:name w:val="Revision"/>
    <w:hidden/>
    <w:uiPriority w:val="99"/>
    <w:rPr>
      <w:rFonts w:ascii="Calibri" w:hAnsi="Calibri" w:cs="Calibri"/>
      <w:lang w:val="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664</TotalTime>
  <Pages>3</Pages>
  <Words>812</Words>
  <Characters>4629</Characters>
  <Application>Microsoft Office Outlook</Application>
  <DocSecurity>0</DocSecurity>
  <Lines>0</Lines>
  <Paragraphs>0</Paragraphs>
  <ScaleCrop>false</ScaleCrop>
  <Company>thomson digital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JDenison</dc:creator>
  <cp:keywords/>
  <dc:description/>
  <cp:lastModifiedBy>TEESLWW</cp:lastModifiedBy>
  <cp:revision>20</cp:revision>
  <dcterms:created xsi:type="dcterms:W3CDTF">2014-10-10T02:32:00Z</dcterms:created>
  <dcterms:modified xsi:type="dcterms:W3CDTF">2014-11-17T08:57:00Z</dcterms:modified>
</cp:coreProperties>
</file>