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B5B2" w14:textId="77777777" w:rsidR="009E2689" w:rsidRPr="001F387D" w:rsidRDefault="009E2689" w:rsidP="009E2689">
      <w:pPr>
        <w:jc w:val="center"/>
        <w:rPr>
          <w:rFonts w:ascii="Times New Roman" w:hAnsi="Times New Roman" w:cs="Times New Roman"/>
          <w:b/>
          <w:szCs w:val="20"/>
        </w:rPr>
      </w:pPr>
      <w:r>
        <w:rPr>
          <w:rFonts w:ascii="Times New Roman" w:hAnsi="Times New Roman" w:cs="Times New Roman"/>
          <w:b/>
          <w:szCs w:val="20"/>
        </w:rPr>
        <w:t>Effectiveness and safety of o</w:t>
      </w:r>
      <w:r w:rsidRPr="001F387D">
        <w:rPr>
          <w:rFonts w:ascii="Times New Roman" w:hAnsi="Times New Roman" w:cs="Times New Roman"/>
          <w:b/>
          <w:szCs w:val="20"/>
        </w:rPr>
        <w:t>ral HIV pre-exposure prophylaxis (PrEP) for all populations: A systematic review and meta-analysis</w:t>
      </w:r>
    </w:p>
    <w:p w14:paraId="040E342D" w14:textId="77777777" w:rsidR="00FE4A8B" w:rsidRDefault="00FE4A8B" w:rsidP="00FE4A8B">
      <w:pPr>
        <w:jc w:val="center"/>
        <w:rPr>
          <w:rFonts w:ascii="Times New Roman" w:hAnsi="Times New Roman" w:cs="Times New Roman"/>
          <w:b/>
        </w:rPr>
      </w:pPr>
      <w:r w:rsidRPr="00DB1C44">
        <w:rPr>
          <w:rFonts w:ascii="Times New Roman" w:hAnsi="Times New Roman" w:cs="Times New Roman"/>
          <w:b/>
        </w:rPr>
        <w:t>Supplementary Appendix</w:t>
      </w:r>
    </w:p>
    <w:p w14:paraId="2FF452E7" w14:textId="77777777" w:rsidR="00EA3507" w:rsidRDefault="00EA3507" w:rsidP="00FE4A8B">
      <w:pPr>
        <w:jc w:val="center"/>
        <w:rPr>
          <w:rFonts w:ascii="Times New Roman" w:hAnsi="Times New Roman" w:cs="Times New Roman"/>
          <w:b/>
        </w:rPr>
      </w:pPr>
    </w:p>
    <w:p w14:paraId="4B1D365E" w14:textId="77777777" w:rsidR="00EA3507" w:rsidRDefault="00EA3507" w:rsidP="00FE4A8B">
      <w:pPr>
        <w:jc w:val="center"/>
        <w:rPr>
          <w:rFonts w:ascii="Times New Roman" w:hAnsi="Times New Roman" w:cs="Times New Roman"/>
          <w:b/>
        </w:rPr>
      </w:pPr>
    </w:p>
    <w:sdt>
      <w:sdtPr>
        <w:rPr>
          <w:rFonts w:asciiTheme="minorHAnsi" w:eastAsiaTheme="minorHAnsi" w:hAnsiTheme="minorHAnsi" w:cstheme="minorBidi"/>
          <w:b w:val="0"/>
          <w:bCs w:val="0"/>
          <w:color w:val="auto"/>
          <w:sz w:val="22"/>
          <w:szCs w:val="22"/>
          <w:lang w:eastAsia="en-US"/>
        </w:rPr>
        <w:id w:val="-1738079818"/>
        <w:docPartObj>
          <w:docPartGallery w:val="Table of Contents"/>
          <w:docPartUnique/>
        </w:docPartObj>
      </w:sdtPr>
      <w:sdtEndPr>
        <w:rPr>
          <w:noProof/>
        </w:rPr>
      </w:sdtEndPr>
      <w:sdtContent>
        <w:p w14:paraId="3ABB94CE" w14:textId="77777777" w:rsidR="003C43B0" w:rsidRDefault="003C43B0">
          <w:pPr>
            <w:pStyle w:val="TOCHeading"/>
          </w:pPr>
          <w:r>
            <w:t>Contents</w:t>
          </w:r>
        </w:p>
        <w:p w14:paraId="494888D0" w14:textId="77777777" w:rsidR="001F68C2" w:rsidRDefault="003C43B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5111845" w:history="1">
            <w:r w:rsidR="001F68C2" w:rsidRPr="00CF79BD">
              <w:rPr>
                <w:rStyle w:val="Hyperlink"/>
                <w:rFonts w:ascii="Times New Roman" w:hAnsi="Times New Roman" w:cs="Times New Roman"/>
                <w:noProof/>
              </w:rPr>
              <w:t>Study Protocol</w:t>
            </w:r>
            <w:r w:rsidR="001F68C2">
              <w:rPr>
                <w:noProof/>
                <w:webHidden/>
              </w:rPr>
              <w:tab/>
            </w:r>
            <w:r w:rsidR="001F68C2">
              <w:rPr>
                <w:noProof/>
                <w:webHidden/>
              </w:rPr>
              <w:fldChar w:fldCharType="begin"/>
            </w:r>
            <w:r w:rsidR="001F68C2">
              <w:rPr>
                <w:noProof/>
                <w:webHidden/>
              </w:rPr>
              <w:instrText xml:space="preserve"> PAGEREF _Toc445111845 \h </w:instrText>
            </w:r>
            <w:r w:rsidR="001F68C2">
              <w:rPr>
                <w:noProof/>
                <w:webHidden/>
              </w:rPr>
            </w:r>
            <w:r w:rsidR="001F68C2">
              <w:rPr>
                <w:noProof/>
                <w:webHidden/>
              </w:rPr>
              <w:fldChar w:fldCharType="separate"/>
            </w:r>
            <w:r w:rsidR="001F68C2">
              <w:rPr>
                <w:noProof/>
                <w:webHidden/>
              </w:rPr>
              <w:t>2</w:t>
            </w:r>
            <w:r w:rsidR="001F68C2">
              <w:rPr>
                <w:noProof/>
                <w:webHidden/>
              </w:rPr>
              <w:fldChar w:fldCharType="end"/>
            </w:r>
          </w:hyperlink>
        </w:p>
        <w:p w14:paraId="7EB57591" w14:textId="77777777" w:rsidR="001F68C2" w:rsidRDefault="00E76101">
          <w:pPr>
            <w:pStyle w:val="TOC1"/>
            <w:tabs>
              <w:tab w:val="right" w:leader="dot" w:pos="9350"/>
            </w:tabs>
            <w:rPr>
              <w:rFonts w:eastAsiaTheme="minorEastAsia"/>
              <w:noProof/>
            </w:rPr>
          </w:pPr>
          <w:hyperlink w:anchor="_Toc445111846" w:history="1">
            <w:r w:rsidR="001F68C2" w:rsidRPr="00CF79BD">
              <w:rPr>
                <w:rStyle w:val="Hyperlink"/>
                <w:rFonts w:ascii="Times New Roman" w:hAnsi="Times New Roman" w:cs="Times New Roman"/>
                <w:noProof/>
              </w:rPr>
              <w:t>Table 1S. Quality assessment of included studies (risk of bias)</w:t>
            </w:r>
            <w:r w:rsidR="001F68C2">
              <w:rPr>
                <w:noProof/>
                <w:webHidden/>
              </w:rPr>
              <w:tab/>
            </w:r>
            <w:r w:rsidR="001F68C2">
              <w:rPr>
                <w:noProof/>
                <w:webHidden/>
              </w:rPr>
              <w:fldChar w:fldCharType="begin"/>
            </w:r>
            <w:r w:rsidR="001F68C2">
              <w:rPr>
                <w:noProof/>
                <w:webHidden/>
              </w:rPr>
              <w:instrText xml:space="preserve"> PAGEREF _Toc445111846 \h </w:instrText>
            </w:r>
            <w:r w:rsidR="001F68C2">
              <w:rPr>
                <w:noProof/>
                <w:webHidden/>
              </w:rPr>
            </w:r>
            <w:r w:rsidR="001F68C2">
              <w:rPr>
                <w:noProof/>
                <w:webHidden/>
              </w:rPr>
              <w:fldChar w:fldCharType="separate"/>
            </w:r>
            <w:r w:rsidR="001F68C2">
              <w:rPr>
                <w:noProof/>
                <w:webHidden/>
              </w:rPr>
              <w:t>6</w:t>
            </w:r>
            <w:r w:rsidR="001F68C2">
              <w:rPr>
                <w:noProof/>
                <w:webHidden/>
              </w:rPr>
              <w:fldChar w:fldCharType="end"/>
            </w:r>
          </w:hyperlink>
        </w:p>
        <w:p w14:paraId="126C2BFF" w14:textId="77777777" w:rsidR="001F68C2" w:rsidRDefault="00E76101">
          <w:pPr>
            <w:pStyle w:val="TOC1"/>
            <w:tabs>
              <w:tab w:val="right" w:leader="dot" w:pos="9350"/>
            </w:tabs>
            <w:rPr>
              <w:rFonts w:eastAsiaTheme="minorEastAsia"/>
              <w:noProof/>
            </w:rPr>
          </w:pPr>
          <w:hyperlink w:anchor="_Toc445111847" w:history="1">
            <w:r w:rsidR="001F68C2" w:rsidRPr="00CF79BD">
              <w:rPr>
                <w:rStyle w:val="Hyperlink"/>
                <w:rFonts w:ascii="Times New Roman" w:hAnsi="Times New Roman" w:cs="Times New Roman"/>
                <w:noProof/>
              </w:rPr>
              <w:t>Figure 1S. Forest plot for overall analysis of PrEP and HIV Infection</w:t>
            </w:r>
            <w:r w:rsidR="001F68C2">
              <w:rPr>
                <w:noProof/>
                <w:webHidden/>
              </w:rPr>
              <w:tab/>
            </w:r>
            <w:r w:rsidR="001F68C2">
              <w:rPr>
                <w:noProof/>
                <w:webHidden/>
              </w:rPr>
              <w:fldChar w:fldCharType="begin"/>
            </w:r>
            <w:r w:rsidR="001F68C2">
              <w:rPr>
                <w:noProof/>
                <w:webHidden/>
              </w:rPr>
              <w:instrText xml:space="preserve"> PAGEREF _Toc445111847 \h </w:instrText>
            </w:r>
            <w:r w:rsidR="001F68C2">
              <w:rPr>
                <w:noProof/>
                <w:webHidden/>
              </w:rPr>
            </w:r>
            <w:r w:rsidR="001F68C2">
              <w:rPr>
                <w:noProof/>
                <w:webHidden/>
              </w:rPr>
              <w:fldChar w:fldCharType="separate"/>
            </w:r>
            <w:r w:rsidR="001F68C2">
              <w:rPr>
                <w:noProof/>
                <w:webHidden/>
              </w:rPr>
              <w:t>7</w:t>
            </w:r>
            <w:r w:rsidR="001F68C2">
              <w:rPr>
                <w:noProof/>
                <w:webHidden/>
              </w:rPr>
              <w:fldChar w:fldCharType="end"/>
            </w:r>
          </w:hyperlink>
        </w:p>
        <w:p w14:paraId="5AE093E7" w14:textId="77777777" w:rsidR="001F68C2" w:rsidRDefault="00E76101">
          <w:pPr>
            <w:pStyle w:val="TOC1"/>
            <w:tabs>
              <w:tab w:val="right" w:leader="dot" w:pos="9350"/>
            </w:tabs>
            <w:rPr>
              <w:rFonts w:eastAsiaTheme="minorEastAsia"/>
              <w:noProof/>
            </w:rPr>
          </w:pPr>
          <w:hyperlink w:anchor="_Toc445111848" w:history="1">
            <w:r w:rsidR="001F68C2" w:rsidRPr="00CF79BD">
              <w:rPr>
                <w:rStyle w:val="Hyperlink"/>
                <w:rFonts w:ascii="Times New Roman" w:hAnsi="Times New Roman" w:cs="Times New Roman"/>
                <w:noProof/>
              </w:rPr>
              <w:t>Table 2S. Drug resistant mutations identified in each study among seroconverters</w:t>
            </w:r>
            <w:r w:rsidR="001F68C2">
              <w:rPr>
                <w:noProof/>
                <w:webHidden/>
              </w:rPr>
              <w:tab/>
            </w:r>
            <w:r w:rsidR="001F68C2">
              <w:rPr>
                <w:noProof/>
                <w:webHidden/>
              </w:rPr>
              <w:fldChar w:fldCharType="begin"/>
            </w:r>
            <w:r w:rsidR="001F68C2">
              <w:rPr>
                <w:noProof/>
                <w:webHidden/>
              </w:rPr>
              <w:instrText xml:space="preserve"> PAGEREF _Toc445111848 \h </w:instrText>
            </w:r>
            <w:r w:rsidR="001F68C2">
              <w:rPr>
                <w:noProof/>
                <w:webHidden/>
              </w:rPr>
            </w:r>
            <w:r w:rsidR="001F68C2">
              <w:rPr>
                <w:noProof/>
                <w:webHidden/>
              </w:rPr>
              <w:fldChar w:fldCharType="separate"/>
            </w:r>
            <w:r w:rsidR="001F68C2">
              <w:rPr>
                <w:noProof/>
                <w:webHidden/>
              </w:rPr>
              <w:t>8</w:t>
            </w:r>
            <w:r w:rsidR="001F68C2">
              <w:rPr>
                <w:noProof/>
                <w:webHidden/>
              </w:rPr>
              <w:fldChar w:fldCharType="end"/>
            </w:r>
          </w:hyperlink>
        </w:p>
        <w:p w14:paraId="7496DC95" w14:textId="77777777" w:rsidR="001F68C2" w:rsidRDefault="00E76101">
          <w:pPr>
            <w:pStyle w:val="TOC1"/>
            <w:tabs>
              <w:tab w:val="right" w:leader="dot" w:pos="9350"/>
            </w:tabs>
            <w:rPr>
              <w:rFonts w:eastAsiaTheme="minorEastAsia"/>
              <w:noProof/>
            </w:rPr>
          </w:pPr>
          <w:hyperlink w:anchor="_Toc445111849" w:history="1">
            <w:r w:rsidR="001F68C2" w:rsidRPr="00CF79BD">
              <w:rPr>
                <w:rStyle w:val="Hyperlink"/>
                <w:rFonts w:ascii="Times New Roman" w:hAnsi="Times New Roman" w:cs="Times New Roman"/>
                <w:noProof/>
              </w:rPr>
              <w:t>Table 3S. Meta-analysis results for PrEP and drug resistance among seroconverters</w:t>
            </w:r>
            <w:r w:rsidR="001F68C2">
              <w:rPr>
                <w:noProof/>
                <w:webHidden/>
              </w:rPr>
              <w:tab/>
            </w:r>
            <w:r w:rsidR="001F68C2">
              <w:rPr>
                <w:noProof/>
                <w:webHidden/>
              </w:rPr>
              <w:fldChar w:fldCharType="begin"/>
            </w:r>
            <w:r w:rsidR="001F68C2">
              <w:rPr>
                <w:noProof/>
                <w:webHidden/>
              </w:rPr>
              <w:instrText xml:space="preserve"> PAGEREF _Toc445111849 \h </w:instrText>
            </w:r>
            <w:r w:rsidR="001F68C2">
              <w:rPr>
                <w:noProof/>
                <w:webHidden/>
              </w:rPr>
            </w:r>
            <w:r w:rsidR="001F68C2">
              <w:rPr>
                <w:noProof/>
                <w:webHidden/>
              </w:rPr>
              <w:fldChar w:fldCharType="separate"/>
            </w:r>
            <w:r w:rsidR="001F68C2">
              <w:rPr>
                <w:noProof/>
                <w:webHidden/>
              </w:rPr>
              <w:t>9</w:t>
            </w:r>
            <w:r w:rsidR="001F68C2">
              <w:rPr>
                <w:noProof/>
                <w:webHidden/>
              </w:rPr>
              <w:fldChar w:fldCharType="end"/>
            </w:r>
          </w:hyperlink>
        </w:p>
        <w:p w14:paraId="5A992DE6" w14:textId="77777777" w:rsidR="001F68C2" w:rsidRDefault="00E76101">
          <w:pPr>
            <w:pStyle w:val="TOC1"/>
            <w:tabs>
              <w:tab w:val="right" w:leader="dot" w:pos="9350"/>
            </w:tabs>
            <w:rPr>
              <w:rFonts w:eastAsiaTheme="minorEastAsia"/>
              <w:noProof/>
            </w:rPr>
          </w:pPr>
          <w:hyperlink w:anchor="_Toc445111850" w:history="1">
            <w:r w:rsidR="001F68C2" w:rsidRPr="00CF79BD">
              <w:rPr>
                <w:rStyle w:val="Hyperlink"/>
                <w:rFonts w:ascii="Times New Roman" w:hAnsi="Times New Roman" w:cs="Times New Roman"/>
                <w:noProof/>
              </w:rPr>
              <w:t>Table 4S. Summary of pregnancies rates in studies reporting contraceptive effectiveness</w:t>
            </w:r>
            <w:r w:rsidR="001F68C2">
              <w:rPr>
                <w:noProof/>
                <w:webHidden/>
              </w:rPr>
              <w:tab/>
            </w:r>
            <w:r w:rsidR="001F68C2">
              <w:rPr>
                <w:noProof/>
                <w:webHidden/>
              </w:rPr>
              <w:fldChar w:fldCharType="begin"/>
            </w:r>
            <w:r w:rsidR="001F68C2">
              <w:rPr>
                <w:noProof/>
                <w:webHidden/>
              </w:rPr>
              <w:instrText xml:space="preserve"> PAGEREF _Toc445111850 \h </w:instrText>
            </w:r>
            <w:r w:rsidR="001F68C2">
              <w:rPr>
                <w:noProof/>
                <w:webHidden/>
              </w:rPr>
            </w:r>
            <w:r w:rsidR="001F68C2">
              <w:rPr>
                <w:noProof/>
                <w:webHidden/>
              </w:rPr>
              <w:fldChar w:fldCharType="separate"/>
            </w:r>
            <w:r w:rsidR="001F68C2">
              <w:rPr>
                <w:noProof/>
                <w:webHidden/>
              </w:rPr>
              <w:t>10</w:t>
            </w:r>
            <w:r w:rsidR="001F68C2">
              <w:rPr>
                <w:noProof/>
                <w:webHidden/>
              </w:rPr>
              <w:fldChar w:fldCharType="end"/>
            </w:r>
          </w:hyperlink>
        </w:p>
        <w:p w14:paraId="4182AE71" w14:textId="77777777" w:rsidR="001F68C2" w:rsidRDefault="00E76101">
          <w:pPr>
            <w:pStyle w:val="TOC1"/>
            <w:tabs>
              <w:tab w:val="right" w:leader="dot" w:pos="9350"/>
            </w:tabs>
            <w:rPr>
              <w:rFonts w:eastAsiaTheme="minorEastAsia"/>
              <w:noProof/>
            </w:rPr>
          </w:pPr>
          <w:hyperlink w:anchor="_Toc445111851" w:history="1">
            <w:r w:rsidR="001F68C2" w:rsidRPr="00CF79BD">
              <w:rPr>
                <w:rStyle w:val="Hyperlink"/>
                <w:rFonts w:ascii="Times New Roman" w:hAnsi="Times New Roman" w:cs="Times New Roman"/>
                <w:noProof/>
              </w:rPr>
              <w:t>Table 5S. Summary of results for PrEP and hormonal contraception effectiveness</w:t>
            </w:r>
            <w:r w:rsidR="001F68C2">
              <w:rPr>
                <w:noProof/>
                <w:webHidden/>
              </w:rPr>
              <w:tab/>
            </w:r>
            <w:r w:rsidR="001F68C2">
              <w:rPr>
                <w:noProof/>
                <w:webHidden/>
              </w:rPr>
              <w:fldChar w:fldCharType="begin"/>
            </w:r>
            <w:r w:rsidR="001F68C2">
              <w:rPr>
                <w:noProof/>
                <w:webHidden/>
              </w:rPr>
              <w:instrText xml:space="preserve"> PAGEREF _Toc445111851 \h </w:instrText>
            </w:r>
            <w:r w:rsidR="001F68C2">
              <w:rPr>
                <w:noProof/>
                <w:webHidden/>
              </w:rPr>
            </w:r>
            <w:r w:rsidR="001F68C2">
              <w:rPr>
                <w:noProof/>
                <w:webHidden/>
              </w:rPr>
              <w:fldChar w:fldCharType="separate"/>
            </w:r>
            <w:r w:rsidR="001F68C2">
              <w:rPr>
                <w:noProof/>
                <w:webHidden/>
              </w:rPr>
              <w:t>10</w:t>
            </w:r>
            <w:r w:rsidR="001F68C2">
              <w:rPr>
                <w:noProof/>
                <w:webHidden/>
              </w:rPr>
              <w:fldChar w:fldCharType="end"/>
            </w:r>
          </w:hyperlink>
        </w:p>
        <w:p w14:paraId="4D6AEF61" w14:textId="77777777" w:rsidR="001F68C2" w:rsidRDefault="00E76101">
          <w:pPr>
            <w:pStyle w:val="TOC1"/>
            <w:tabs>
              <w:tab w:val="right" w:leader="dot" w:pos="9350"/>
            </w:tabs>
            <w:rPr>
              <w:rFonts w:eastAsiaTheme="minorEastAsia"/>
              <w:noProof/>
            </w:rPr>
          </w:pPr>
          <w:hyperlink w:anchor="_Toc445111852" w:history="1">
            <w:r w:rsidR="001F68C2" w:rsidRPr="00CF79BD">
              <w:rPr>
                <w:rStyle w:val="Hyperlink"/>
                <w:rFonts w:ascii="Times New Roman" w:hAnsi="Times New Roman" w:cs="Times New Roman"/>
                <w:noProof/>
              </w:rPr>
              <w:t>Table 6S: Meta-analysis results for effect of PrEP on pregnancy-related adverse events</w:t>
            </w:r>
            <w:r w:rsidR="001F68C2">
              <w:rPr>
                <w:noProof/>
                <w:webHidden/>
              </w:rPr>
              <w:tab/>
            </w:r>
            <w:r w:rsidR="001F68C2">
              <w:rPr>
                <w:noProof/>
                <w:webHidden/>
              </w:rPr>
              <w:fldChar w:fldCharType="begin"/>
            </w:r>
            <w:r w:rsidR="001F68C2">
              <w:rPr>
                <w:noProof/>
                <w:webHidden/>
              </w:rPr>
              <w:instrText xml:space="preserve"> PAGEREF _Toc445111852 \h </w:instrText>
            </w:r>
            <w:r w:rsidR="001F68C2">
              <w:rPr>
                <w:noProof/>
                <w:webHidden/>
              </w:rPr>
            </w:r>
            <w:r w:rsidR="001F68C2">
              <w:rPr>
                <w:noProof/>
                <w:webHidden/>
              </w:rPr>
              <w:fldChar w:fldCharType="separate"/>
            </w:r>
            <w:r w:rsidR="001F68C2">
              <w:rPr>
                <w:noProof/>
                <w:webHidden/>
              </w:rPr>
              <w:t>11</w:t>
            </w:r>
            <w:r w:rsidR="001F68C2">
              <w:rPr>
                <w:noProof/>
                <w:webHidden/>
              </w:rPr>
              <w:fldChar w:fldCharType="end"/>
            </w:r>
          </w:hyperlink>
        </w:p>
        <w:p w14:paraId="1A6E3D46" w14:textId="77777777" w:rsidR="001F68C2" w:rsidRDefault="00E76101">
          <w:pPr>
            <w:pStyle w:val="TOC1"/>
            <w:tabs>
              <w:tab w:val="right" w:leader="dot" w:pos="9350"/>
            </w:tabs>
            <w:rPr>
              <w:rFonts w:eastAsiaTheme="minorEastAsia"/>
              <w:noProof/>
            </w:rPr>
          </w:pPr>
          <w:hyperlink w:anchor="_Toc445111853" w:history="1">
            <w:r w:rsidR="001F68C2" w:rsidRPr="00CF79BD">
              <w:rPr>
                <w:rStyle w:val="Hyperlink"/>
                <w:rFonts w:ascii="Times New Roman" w:hAnsi="Times New Roman" w:cs="Times New Roman"/>
                <w:noProof/>
              </w:rPr>
              <w:t>Table 7S: Summary of changes on condom use across PrEP studies</w:t>
            </w:r>
            <w:r w:rsidR="001F68C2">
              <w:rPr>
                <w:noProof/>
                <w:webHidden/>
              </w:rPr>
              <w:tab/>
            </w:r>
            <w:r w:rsidR="001F68C2">
              <w:rPr>
                <w:noProof/>
                <w:webHidden/>
              </w:rPr>
              <w:fldChar w:fldCharType="begin"/>
            </w:r>
            <w:r w:rsidR="001F68C2">
              <w:rPr>
                <w:noProof/>
                <w:webHidden/>
              </w:rPr>
              <w:instrText xml:space="preserve"> PAGEREF _Toc445111853 \h </w:instrText>
            </w:r>
            <w:r w:rsidR="001F68C2">
              <w:rPr>
                <w:noProof/>
                <w:webHidden/>
              </w:rPr>
            </w:r>
            <w:r w:rsidR="001F68C2">
              <w:rPr>
                <w:noProof/>
                <w:webHidden/>
              </w:rPr>
              <w:fldChar w:fldCharType="separate"/>
            </w:r>
            <w:r w:rsidR="001F68C2">
              <w:rPr>
                <w:noProof/>
                <w:webHidden/>
              </w:rPr>
              <w:t>12</w:t>
            </w:r>
            <w:r w:rsidR="001F68C2">
              <w:rPr>
                <w:noProof/>
                <w:webHidden/>
              </w:rPr>
              <w:fldChar w:fldCharType="end"/>
            </w:r>
          </w:hyperlink>
        </w:p>
        <w:p w14:paraId="12316286" w14:textId="77777777" w:rsidR="001F68C2" w:rsidRDefault="00E76101">
          <w:pPr>
            <w:pStyle w:val="TOC1"/>
            <w:tabs>
              <w:tab w:val="right" w:leader="dot" w:pos="9350"/>
            </w:tabs>
            <w:rPr>
              <w:rFonts w:eastAsiaTheme="minorEastAsia"/>
              <w:noProof/>
            </w:rPr>
          </w:pPr>
          <w:hyperlink w:anchor="_Toc445111854" w:history="1">
            <w:r w:rsidR="001F68C2" w:rsidRPr="00CF79BD">
              <w:rPr>
                <w:rStyle w:val="Hyperlink"/>
                <w:rFonts w:ascii="Times New Roman" w:hAnsi="Times New Roman" w:cs="Times New Roman"/>
                <w:noProof/>
              </w:rPr>
              <w:t>Table 8S: Summary of changes in number of sexual partners across PrEP studies</w:t>
            </w:r>
            <w:r w:rsidR="001F68C2">
              <w:rPr>
                <w:noProof/>
                <w:webHidden/>
              </w:rPr>
              <w:tab/>
            </w:r>
            <w:r w:rsidR="001F68C2">
              <w:rPr>
                <w:noProof/>
                <w:webHidden/>
              </w:rPr>
              <w:fldChar w:fldCharType="begin"/>
            </w:r>
            <w:r w:rsidR="001F68C2">
              <w:rPr>
                <w:noProof/>
                <w:webHidden/>
              </w:rPr>
              <w:instrText xml:space="preserve"> PAGEREF _Toc445111854 \h </w:instrText>
            </w:r>
            <w:r w:rsidR="001F68C2">
              <w:rPr>
                <w:noProof/>
                <w:webHidden/>
              </w:rPr>
            </w:r>
            <w:r w:rsidR="001F68C2">
              <w:rPr>
                <w:noProof/>
                <w:webHidden/>
              </w:rPr>
              <w:fldChar w:fldCharType="separate"/>
            </w:r>
            <w:r w:rsidR="001F68C2">
              <w:rPr>
                <w:noProof/>
                <w:webHidden/>
              </w:rPr>
              <w:t>13</w:t>
            </w:r>
            <w:r w:rsidR="001F68C2">
              <w:rPr>
                <w:noProof/>
                <w:webHidden/>
              </w:rPr>
              <w:fldChar w:fldCharType="end"/>
            </w:r>
          </w:hyperlink>
        </w:p>
        <w:p w14:paraId="0B9D7C16" w14:textId="77777777" w:rsidR="001F68C2" w:rsidRDefault="00E76101">
          <w:pPr>
            <w:pStyle w:val="TOC1"/>
            <w:tabs>
              <w:tab w:val="right" w:leader="dot" w:pos="9350"/>
            </w:tabs>
            <w:rPr>
              <w:rFonts w:eastAsiaTheme="minorEastAsia"/>
              <w:noProof/>
            </w:rPr>
          </w:pPr>
          <w:hyperlink w:anchor="_Toc445111855" w:history="1">
            <w:r w:rsidR="001F68C2" w:rsidRPr="00CF79BD">
              <w:rPr>
                <w:rStyle w:val="Hyperlink"/>
                <w:rFonts w:ascii="Times New Roman" w:hAnsi="Times New Roman" w:cs="Times New Roman"/>
                <w:noProof/>
              </w:rPr>
              <w:t>Table 9S. Drug detection among seroconverters and HIV-negative controls randomized to active study drug</w:t>
            </w:r>
            <w:r w:rsidR="001F68C2">
              <w:rPr>
                <w:noProof/>
                <w:webHidden/>
              </w:rPr>
              <w:tab/>
            </w:r>
            <w:r w:rsidR="001F68C2">
              <w:rPr>
                <w:noProof/>
                <w:webHidden/>
              </w:rPr>
              <w:fldChar w:fldCharType="begin"/>
            </w:r>
            <w:r w:rsidR="001F68C2">
              <w:rPr>
                <w:noProof/>
                <w:webHidden/>
              </w:rPr>
              <w:instrText xml:space="preserve"> PAGEREF _Toc445111855 \h </w:instrText>
            </w:r>
            <w:r w:rsidR="001F68C2">
              <w:rPr>
                <w:noProof/>
                <w:webHidden/>
              </w:rPr>
            </w:r>
            <w:r w:rsidR="001F68C2">
              <w:rPr>
                <w:noProof/>
                <w:webHidden/>
              </w:rPr>
              <w:fldChar w:fldCharType="separate"/>
            </w:r>
            <w:r w:rsidR="001F68C2">
              <w:rPr>
                <w:noProof/>
                <w:webHidden/>
              </w:rPr>
              <w:t>14</w:t>
            </w:r>
            <w:r w:rsidR="001F68C2">
              <w:rPr>
                <w:noProof/>
                <w:webHidden/>
              </w:rPr>
              <w:fldChar w:fldCharType="end"/>
            </w:r>
          </w:hyperlink>
        </w:p>
        <w:p w14:paraId="33ADFD75" w14:textId="77777777" w:rsidR="003C43B0" w:rsidRDefault="003C43B0">
          <w:r>
            <w:rPr>
              <w:b/>
              <w:bCs/>
              <w:noProof/>
            </w:rPr>
            <w:fldChar w:fldCharType="end"/>
          </w:r>
        </w:p>
      </w:sdtContent>
    </w:sdt>
    <w:p w14:paraId="34E14473" w14:textId="77777777" w:rsidR="003C43B0" w:rsidRDefault="003C43B0" w:rsidP="00FE4A8B">
      <w:pPr>
        <w:jc w:val="center"/>
        <w:rPr>
          <w:rFonts w:ascii="Times New Roman" w:hAnsi="Times New Roman" w:cs="Times New Roman"/>
          <w:b/>
        </w:rPr>
      </w:pPr>
    </w:p>
    <w:p w14:paraId="410BCC8A" w14:textId="77777777" w:rsidR="003C43B0" w:rsidRDefault="003C43B0" w:rsidP="00FE4A8B">
      <w:pPr>
        <w:jc w:val="center"/>
        <w:rPr>
          <w:rFonts w:ascii="Times New Roman" w:hAnsi="Times New Roman" w:cs="Times New Roman"/>
          <w:b/>
        </w:rPr>
      </w:pPr>
    </w:p>
    <w:p w14:paraId="7CB29F06" w14:textId="77777777" w:rsidR="003C43B0" w:rsidRDefault="003C43B0" w:rsidP="00FE4A8B">
      <w:pPr>
        <w:jc w:val="center"/>
        <w:rPr>
          <w:rFonts w:ascii="Times New Roman" w:hAnsi="Times New Roman" w:cs="Times New Roman"/>
          <w:b/>
        </w:rPr>
      </w:pPr>
    </w:p>
    <w:p w14:paraId="6B8BA1A9" w14:textId="77777777" w:rsidR="003C43B0" w:rsidRDefault="003C43B0" w:rsidP="00FE4A8B">
      <w:pPr>
        <w:jc w:val="center"/>
        <w:rPr>
          <w:rFonts w:ascii="Times New Roman" w:hAnsi="Times New Roman" w:cs="Times New Roman"/>
          <w:b/>
        </w:rPr>
      </w:pPr>
    </w:p>
    <w:p w14:paraId="66C5D398" w14:textId="77777777" w:rsidR="003C43B0" w:rsidRDefault="003C43B0" w:rsidP="00FE4A8B">
      <w:pPr>
        <w:jc w:val="center"/>
        <w:rPr>
          <w:rFonts w:ascii="Times New Roman" w:hAnsi="Times New Roman" w:cs="Times New Roman"/>
          <w:b/>
        </w:rPr>
      </w:pPr>
    </w:p>
    <w:p w14:paraId="4E534A28" w14:textId="77777777" w:rsidR="003C43B0" w:rsidRDefault="003C43B0" w:rsidP="00FE4A8B">
      <w:pPr>
        <w:jc w:val="center"/>
        <w:rPr>
          <w:rFonts w:ascii="Times New Roman" w:hAnsi="Times New Roman" w:cs="Times New Roman"/>
          <w:b/>
        </w:rPr>
      </w:pPr>
    </w:p>
    <w:p w14:paraId="6C50B57F" w14:textId="77777777" w:rsidR="003C43B0" w:rsidRDefault="003C43B0" w:rsidP="00FE4A8B">
      <w:pPr>
        <w:jc w:val="center"/>
        <w:rPr>
          <w:rFonts w:ascii="Times New Roman" w:hAnsi="Times New Roman" w:cs="Times New Roman"/>
          <w:b/>
        </w:rPr>
      </w:pPr>
    </w:p>
    <w:p w14:paraId="6F4FC896" w14:textId="77777777" w:rsidR="003C43B0" w:rsidRDefault="003C43B0" w:rsidP="00FE4A8B">
      <w:pPr>
        <w:jc w:val="center"/>
        <w:rPr>
          <w:rFonts w:ascii="Times New Roman" w:hAnsi="Times New Roman" w:cs="Times New Roman"/>
          <w:b/>
        </w:rPr>
      </w:pPr>
    </w:p>
    <w:p w14:paraId="62CF21A5" w14:textId="77777777" w:rsidR="003C43B0" w:rsidRDefault="003C43B0" w:rsidP="00FE4A8B">
      <w:pPr>
        <w:jc w:val="center"/>
        <w:rPr>
          <w:rFonts w:ascii="Times New Roman" w:hAnsi="Times New Roman" w:cs="Times New Roman"/>
          <w:b/>
        </w:rPr>
      </w:pPr>
    </w:p>
    <w:p w14:paraId="3F4A9A39" w14:textId="77777777" w:rsidR="003C43B0" w:rsidRDefault="003C43B0" w:rsidP="00FE4A8B">
      <w:pPr>
        <w:jc w:val="center"/>
        <w:rPr>
          <w:rFonts w:ascii="Times New Roman" w:hAnsi="Times New Roman" w:cs="Times New Roman"/>
          <w:b/>
        </w:rPr>
      </w:pPr>
    </w:p>
    <w:p w14:paraId="2C0B4A09" w14:textId="77777777" w:rsidR="003C43B0" w:rsidRPr="003C43B0" w:rsidRDefault="003C43B0" w:rsidP="003C43B0">
      <w:pPr>
        <w:pStyle w:val="Heading1"/>
        <w:rPr>
          <w:rFonts w:ascii="Times New Roman" w:hAnsi="Times New Roman" w:cs="Times New Roman"/>
          <w:sz w:val="24"/>
        </w:rPr>
      </w:pPr>
      <w:bookmarkStart w:id="0" w:name="_Toc445111845"/>
      <w:r w:rsidRPr="003C43B0">
        <w:rPr>
          <w:rFonts w:ascii="Times New Roman" w:hAnsi="Times New Roman" w:cs="Times New Roman"/>
          <w:sz w:val="24"/>
        </w:rPr>
        <w:lastRenderedPageBreak/>
        <w:t>Study Protocol</w:t>
      </w:r>
      <w:bookmarkEnd w:id="0"/>
    </w:p>
    <w:p w14:paraId="6E03109C" w14:textId="77777777" w:rsidR="007A0082" w:rsidRDefault="007A0082" w:rsidP="003C43B0">
      <w:pPr>
        <w:jc w:val="center"/>
        <w:rPr>
          <w:rFonts w:ascii="Times New Roman" w:hAnsi="Times New Roman" w:cs="Times New Roman"/>
          <w:b/>
        </w:rPr>
      </w:pPr>
    </w:p>
    <w:p w14:paraId="2825C90F" w14:textId="77777777" w:rsidR="003C43B0" w:rsidRPr="003C43B0" w:rsidRDefault="003C43B0" w:rsidP="003C43B0">
      <w:pPr>
        <w:jc w:val="center"/>
        <w:rPr>
          <w:rFonts w:ascii="Times New Roman" w:hAnsi="Times New Roman" w:cs="Times New Roman"/>
          <w:b/>
        </w:rPr>
      </w:pPr>
      <w:r w:rsidRPr="003C43B0">
        <w:rPr>
          <w:rFonts w:ascii="Times New Roman" w:hAnsi="Times New Roman" w:cs="Times New Roman"/>
          <w:b/>
        </w:rPr>
        <w:t xml:space="preserve">Oral pre-exposure prophylaxis (PrEP) for people at substantial risk of HIV infection: </w:t>
      </w:r>
    </w:p>
    <w:p w14:paraId="4C9EFA79" w14:textId="77777777" w:rsidR="003C43B0" w:rsidRPr="003C43B0" w:rsidRDefault="003C43B0" w:rsidP="003C43B0">
      <w:pPr>
        <w:jc w:val="center"/>
        <w:rPr>
          <w:rFonts w:ascii="Times New Roman" w:hAnsi="Times New Roman" w:cs="Times New Roman"/>
          <w:b/>
        </w:rPr>
      </w:pPr>
      <w:r w:rsidRPr="003C43B0">
        <w:rPr>
          <w:rFonts w:ascii="Times New Roman" w:hAnsi="Times New Roman" w:cs="Times New Roman"/>
          <w:b/>
        </w:rPr>
        <w:t>A systematic review and meta-analysis</w:t>
      </w:r>
    </w:p>
    <w:p w14:paraId="09FBCC60" w14:textId="77777777" w:rsidR="003C43B0" w:rsidRPr="003C43B0" w:rsidRDefault="003C43B0" w:rsidP="003C43B0">
      <w:pPr>
        <w:pStyle w:val="NoSpacing"/>
        <w:rPr>
          <w:rFonts w:ascii="Times New Roman" w:hAnsi="Times New Roman" w:cs="Times New Roman"/>
        </w:rPr>
      </w:pPr>
    </w:p>
    <w:p w14:paraId="3159ACBC" w14:textId="77777777" w:rsidR="003C43B0" w:rsidRPr="003C43B0" w:rsidRDefault="003C43B0" w:rsidP="003C43B0">
      <w:pPr>
        <w:rPr>
          <w:rFonts w:ascii="Times New Roman" w:hAnsi="Times New Roman" w:cs="Times New Roman"/>
          <w:b/>
          <w:u w:val="single"/>
        </w:rPr>
      </w:pPr>
      <w:r w:rsidRPr="003C43B0">
        <w:rPr>
          <w:rFonts w:ascii="Times New Roman" w:hAnsi="Times New Roman" w:cs="Times New Roman"/>
          <w:b/>
          <w:u w:val="single"/>
        </w:rPr>
        <w:t>Background</w:t>
      </w:r>
    </w:p>
    <w:p w14:paraId="58446A4F" w14:textId="77777777" w:rsidR="003C43B0" w:rsidRPr="003C43B0" w:rsidRDefault="003C43B0" w:rsidP="003C43B0">
      <w:pPr>
        <w:autoSpaceDE w:val="0"/>
        <w:autoSpaceDN w:val="0"/>
        <w:adjustRightInd w:val="0"/>
        <w:rPr>
          <w:rFonts w:ascii="Times New Roman" w:hAnsi="Times New Roman" w:cs="Times New Roman"/>
          <w:lang w:val="en-GB"/>
        </w:rPr>
      </w:pPr>
      <w:r w:rsidRPr="003C43B0">
        <w:rPr>
          <w:rFonts w:ascii="Times New Roman" w:hAnsi="Times New Roman" w:cs="Times New Roman"/>
          <w:lang w:val="en-GB"/>
        </w:rPr>
        <w:t xml:space="preserve">Pre-exposure prophylaxis (PrEP) is the use of a retroviral drug by HIV-uninfected individuals to block the acquisition of HIV infection. Over the past 5 years, several randomized trials have demonstrated varying levels of effectiveness of oral PrEP in a variety of populations worldwide. In 2012, WHO developed guidance which recommended PrEP for use amongst </w:t>
      </w:r>
      <w:proofErr w:type="spellStart"/>
      <w:r w:rsidRPr="003C43B0">
        <w:rPr>
          <w:rFonts w:ascii="Times New Roman" w:hAnsi="Times New Roman" w:cs="Times New Roman"/>
          <w:lang w:val="en-GB"/>
        </w:rPr>
        <w:t>serodiscordant</w:t>
      </w:r>
      <w:proofErr w:type="spellEnd"/>
      <w:r w:rsidRPr="003C43B0">
        <w:rPr>
          <w:rFonts w:ascii="Times New Roman" w:hAnsi="Times New Roman" w:cs="Times New Roman"/>
          <w:lang w:val="en-GB"/>
        </w:rPr>
        <w:t xml:space="preserve"> couples, men who have sex with men, and transgender people with the conditionality that demonstration projects were needed to ascertain optimal delivery approaches and target groups</w:t>
      </w:r>
      <w:r w:rsidRPr="003C43B0">
        <w:rPr>
          <w:rFonts w:ascii="Times New Roman" w:hAnsi="Times New Roman" w:cs="Times New Roman"/>
          <w:vertAlign w:val="superscript"/>
          <w:lang w:val="en-GB"/>
        </w:rPr>
        <w:t>1</w:t>
      </w:r>
      <w:r w:rsidRPr="003C43B0">
        <w:rPr>
          <w:rFonts w:ascii="Times New Roman" w:hAnsi="Times New Roman" w:cs="Times New Roman"/>
          <w:lang w:val="en-GB"/>
        </w:rPr>
        <w:t xml:space="preserve">. In 2014, WHO developed consolidated HIV guidelines for key populations, including men who have sex with men, people who inject drugs, sex workers, and </w:t>
      </w:r>
      <w:proofErr w:type="gramStart"/>
      <w:r w:rsidRPr="003C43B0">
        <w:rPr>
          <w:rFonts w:ascii="Times New Roman" w:hAnsi="Times New Roman" w:cs="Times New Roman"/>
          <w:lang w:val="en-GB"/>
        </w:rPr>
        <w:t>prisoners</w:t>
      </w:r>
      <w:r w:rsidRPr="003C43B0">
        <w:rPr>
          <w:rFonts w:ascii="Times New Roman" w:hAnsi="Times New Roman" w:cs="Times New Roman"/>
          <w:vertAlign w:val="superscript"/>
          <w:lang w:val="en-GB"/>
        </w:rPr>
        <w:t>2</w:t>
      </w:r>
      <w:r w:rsidRPr="003C43B0">
        <w:rPr>
          <w:rFonts w:ascii="Times New Roman" w:hAnsi="Times New Roman" w:cs="Times New Roman"/>
          <w:lang w:val="en-GB"/>
        </w:rPr>
        <w:t>.</w:t>
      </w:r>
      <w:proofErr w:type="gramEnd"/>
      <w:r w:rsidRPr="003C43B0">
        <w:rPr>
          <w:rFonts w:ascii="Times New Roman" w:hAnsi="Times New Roman" w:cs="Times New Roman"/>
          <w:lang w:val="en-GB"/>
        </w:rPr>
        <w:t xml:space="preserve"> However, no recommendation on the use of PrEP was made for female sex workers and people who inject drugs, given a lack of evidence and ongoing community consultations. Additionally, no recommendations have been made for other populations who could benefit from oral PrEP, including women and heterosexual men at elevated risk of HIV acquisition. As trial results of PrEP across different populations have become available, WHO is ready to consider the evidence and develop guidance for PrEP among all populations at substantial risk of HIV </w:t>
      </w:r>
      <w:proofErr w:type="gramStart"/>
      <w:r w:rsidRPr="003C43B0">
        <w:rPr>
          <w:rFonts w:ascii="Times New Roman" w:hAnsi="Times New Roman" w:cs="Times New Roman"/>
          <w:lang w:val="en-GB"/>
        </w:rPr>
        <w:t>infection.</w:t>
      </w:r>
      <w:proofErr w:type="gramEnd"/>
      <w:r w:rsidRPr="003C43B0">
        <w:rPr>
          <w:rFonts w:ascii="Times New Roman" w:hAnsi="Times New Roman" w:cs="Times New Roman"/>
          <w:lang w:val="en-GB"/>
        </w:rPr>
        <w:t xml:space="preserve">  </w:t>
      </w:r>
    </w:p>
    <w:p w14:paraId="53AF3383" w14:textId="77777777" w:rsidR="003C43B0" w:rsidRPr="003C43B0" w:rsidRDefault="003C43B0" w:rsidP="003C43B0">
      <w:pPr>
        <w:autoSpaceDE w:val="0"/>
        <w:autoSpaceDN w:val="0"/>
        <w:adjustRightInd w:val="0"/>
        <w:rPr>
          <w:rFonts w:ascii="Times New Roman" w:hAnsi="Times New Roman" w:cs="Times New Roman"/>
        </w:rPr>
      </w:pPr>
      <w:r w:rsidRPr="003C43B0">
        <w:rPr>
          <w:rFonts w:ascii="Times New Roman" w:hAnsi="Times New Roman" w:cs="Times New Roman"/>
          <w:lang w:val="en-GB"/>
        </w:rPr>
        <w:t xml:space="preserve">The goal of this work is to conduct a systematic review and meta-analysis of the effectiveness of PrEP for people at substantial risk of HIV infection, and to conduct a systematic literature review of community values and preferences for </w:t>
      </w:r>
      <w:proofErr w:type="spellStart"/>
      <w:r w:rsidRPr="003C43B0">
        <w:rPr>
          <w:rFonts w:ascii="Times New Roman" w:hAnsi="Times New Roman" w:cs="Times New Roman"/>
          <w:lang w:val="en-GB"/>
        </w:rPr>
        <w:t>PrEP.</w:t>
      </w:r>
      <w:proofErr w:type="spellEnd"/>
      <w:r w:rsidRPr="003C43B0">
        <w:rPr>
          <w:rFonts w:ascii="Times New Roman" w:hAnsi="Times New Roman" w:cs="Times New Roman"/>
          <w:lang w:val="en-GB"/>
        </w:rPr>
        <w:t xml:space="preserve"> </w:t>
      </w:r>
    </w:p>
    <w:p w14:paraId="03580821" w14:textId="77777777" w:rsidR="003C43B0" w:rsidRPr="003C43B0" w:rsidRDefault="003C43B0" w:rsidP="003C43B0">
      <w:pPr>
        <w:rPr>
          <w:rFonts w:ascii="Times New Roman" w:hAnsi="Times New Roman" w:cs="Times New Roman"/>
        </w:rPr>
      </w:pPr>
      <w:r w:rsidRPr="003C43B0">
        <w:rPr>
          <w:rFonts w:ascii="Times New Roman" w:hAnsi="Times New Roman" w:cs="Times New Roman"/>
          <w:b/>
          <w:u w:val="single"/>
        </w:rPr>
        <w:t>PICO question</w:t>
      </w:r>
      <w:r w:rsidRPr="003C43B0">
        <w:rPr>
          <w:rFonts w:ascii="Times New Roman" w:hAnsi="Times New Roman" w:cs="Times New Roman"/>
        </w:rPr>
        <w:t xml:space="preserve"> </w:t>
      </w:r>
    </w:p>
    <w:p w14:paraId="633C7DCD" w14:textId="77777777" w:rsidR="003C43B0" w:rsidRPr="003C43B0" w:rsidRDefault="003C43B0" w:rsidP="003C43B0">
      <w:pPr>
        <w:rPr>
          <w:rFonts w:ascii="Times New Roman" w:hAnsi="Times New Roman" w:cs="Times New Roman"/>
        </w:rPr>
      </w:pPr>
      <w:r w:rsidRPr="003C43B0">
        <w:rPr>
          <w:rFonts w:ascii="Times New Roman" w:hAnsi="Times New Roman" w:cs="Times New Roman"/>
          <w:b/>
        </w:rPr>
        <w:t xml:space="preserve">PICO 1: </w:t>
      </w:r>
      <w:r w:rsidRPr="003C43B0">
        <w:rPr>
          <w:rFonts w:ascii="Times New Roman" w:hAnsi="Times New Roman" w:cs="Times New Roman"/>
        </w:rPr>
        <w:t xml:space="preserve">Should oral PrEP (containing </w:t>
      </w:r>
      <w:proofErr w:type="spellStart"/>
      <w:r w:rsidRPr="003C43B0">
        <w:rPr>
          <w:rFonts w:ascii="Times New Roman" w:hAnsi="Times New Roman" w:cs="Times New Roman"/>
        </w:rPr>
        <w:t>tenofovir</w:t>
      </w:r>
      <w:proofErr w:type="spellEnd"/>
      <w:r w:rsidRPr="003C43B0">
        <w:rPr>
          <w:rFonts w:ascii="Times New Roman" w:hAnsi="Times New Roman" w:cs="Times New Roman"/>
        </w:rPr>
        <w:t xml:space="preserve"> (TDF)) be offered as an additional prevention choice for people at substantial risk of HIV infection as part of combination prevention approaches?  </w:t>
      </w:r>
    </w:p>
    <w:p w14:paraId="22B31AEF" w14:textId="77777777" w:rsidR="003C43B0" w:rsidRPr="003C43B0" w:rsidRDefault="003C43B0" w:rsidP="003C43B0">
      <w:pPr>
        <w:rPr>
          <w:rFonts w:ascii="Times New Roman" w:hAnsi="Times New Roman" w:cs="Times New Roman"/>
        </w:rPr>
      </w:pPr>
      <w:r w:rsidRPr="003C43B0">
        <w:rPr>
          <w:rFonts w:ascii="Times New Roman" w:hAnsi="Times New Roman" w:cs="Times New Roman"/>
          <w:b/>
        </w:rPr>
        <w:t xml:space="preserve">P: </w:t>
      </w:r>
      <w:r w:rsidRPr="003C43B0">
        <w:rPr>
          <w:rFonts w:ascii="Times New Roman" w:hAnsi="Times New Roman" w:cs="Times New Roman"/>
        </w:rPr>
        <w:t>People at substantial risk of HIV infection</w:t>
      </w:r>
    </w:p>
    <w:p w14:paraId="4C1D0729" w14:textId="77777777" w:rsidR="003C43B0" w:rsidRPr="003C43B0" w:rsidRDefault="003C43B0" w:rsidP="003C43B0">
      <w:pPr>
        <w:rPr>
          <w:rFonts w:ascii="Times New Roman" w:hAnsi="Times New Roman" w:cs="Times New Roman"/>
        </w:rPr>
      </w:pPr>
      <w:r w:rsidRPr="003C43B0">
        <w:rPr>
          <w:rFonts w:ascii="Times New Roman" w:hAnsi="Times New Roman" w:cs="Times New Roman"/>
          <w:b/>
        </w:rPr>
        <w:t xml:space="preserve">I: </w:t>
      </w:r>
      <w:r w:rsidRPr="003C43B0">
        <w:rPr>
          <w:rFonts w:ascii="Times New Roman" w:hAnsi="Times New Roman" w:cs="Times New Roman"/>
        </w:rPr>
        <w:t xml:space="preserve">Oral PrEP (containing </w:t>
      </w:r>
      <w:proofErr w:type="spellStart"/>
      <w:r w:rsidRPr="003C43B0">
        <w:rPr>
          <w:rFonts w:ascii="Times New Roman" w:hAnsi="Times New Roman" w:cs="Times New Roman"/>
        </w:rPr>
        <w:t>tenofovir</w:t>
      </w:r>
      <w:proofErr w:type="spellEnd"/>
      <w:r w:rsidRPr="003C43B0">
        <w:rPr>
          <w:rFonts w:ascii="Times New Roman" w:hAnsi="Times New Roman" w:cs="Times New Roman"/>
        </w:rPr>
        <w:t xml:space="preserve"> (TDF))</w:t>
      </w:r>
    </w:p>
    <w:p w14:paraId="10A87C8D" w14:textId="77777777" w:rsidR="003C43B0" w:rsidRPr="003C43B0" w:rsidRDefault="003C43B0" w:rsidP="003C43B0">
      <w:pPr>
        <w:rPr>
          <w:rFonts w:ascii="Times New Roman" w:hAnsi="Times New Roman" w:cs="Times New Roman"/>
        </w:rPr>
      </w:pPr>
      <w:r w:rsidRPr="003C43B0">
        <w:rPr>
          <w:rFonts w:ascii="Times New Roman" w:hAnsi="Times New Roman" w:cs="Times New Roman"/>
          <w:b/>
        </w:rPr>
        <w:t xml:space="preserve">C: </w:t>
      </w:r>
      <w:r w:rsidRPr="003C43B0">
        <w:rPr>
          <w:rFonts w:ascii="Times New Roman" w:hAnsi="Times New Roman" w:cs="Times New Roman"/>
        </w:rPr>
        <w:t>1) placebo and 2) non-use of PrEP (or no use)</w:t>
      </w:r>
    </w:p>
    <w:p w14:paraId="2ABED9BB" w14:textId="77777777" w:rsidR="003C43B0" w:rsidRPr="003C43B0" w:rsidRDefault="003C43B0" w:rsidP="003C43B0">
      <w:pPr>
        <w:rPr>
          <w:rFonts w:ascii="Times New Roman" w:hAnsi="Times New Roman" w:cs="Times New Roman"/>
        </w:rPr>
      </w:pPr>
      <w:r w:rsidRPr="003C43B0">
        <w:rPr>
          <w:rFonts w:ascii="Times New Roman" w:hAnsi="Times New Roman" w:cs="Times New Roman"/>
          <w:b/>
        </w:rPr>
        <w:t xml:space="preserve">O: </w:t>
      </w:r>
      <w:r w:rsidRPr="003C43B0">
        <w:rPr>
          <w:rFonts w:ascii="Times New Roman" w:hAnsi="Times New Roman" w:cs="Times New Roman"/>
        </w:rPr>
        <w:t>(1) HIV infection,</w:t>
      </w:r>
      <w:r w:rsidRPr="003C43B0">
        <w:rPr>
          <w:rFonts w:ascii="Times New Roman" w:hAnsi="Times New Roman" w:cs="Times New Roman"/>
          <w:b/>
        </w:rPr>
        <w:t xml:space="preserve"> </w:t>
      </w:r>
      <w:r w:rsidRPr="003C43B0">
        <w:rPr>
          <w:rFonts w:ascii="Times New Roman" w:hAnsi="Times New Roman" w:cs="Times New Roman"/>
        </w:rPr>
        <w:t>(2) any adverse event, (3) any stage 3 or 4 adverse event, (4) drug resistance (among those initiating PrEP while acutely infected and among those who seroconvert after PrEP initiation), and 5) sexual and reproductive health outcomes, including 5a) hormonal contraception effectiveness, 5b) any adverse pregnancy event, 5c) condom use, and 5d) number of sexual partners</w:t>
      </w:r>
    </w:p>
    <w:p w14:paraId="06A11784" w14:textId="77777777" w:rsidR="007A0082" w:rsidRDefault="007A0082" w:rsidP="003C43B0">
      <w:pPr>
        <w:rPr>
          <w:rFonts w:ascii="Times New Roman" w:hAnsi="Times New Roman" w:cs="Times New Roman"/>
          <w:b/>
          <w:u w:val="single"/>
        </w:rPr>
      </w:pPr>
    </w:p>
    <w:p w14:paraId="6D0FCEC9" w14:textId="77777777" w:rsidR="007A0082" w:rsidRDefault="007A0082" w:rsidP="003C43B0">
      <w:pPr>
        <w:rPr>
          <w:rFonts w:ascii="Times New Roman" w:hAnsi="Times New Roman" w:cs="Times New Roman"/>
          <w:b/>
          <w:u w:val="single"/>
        </w:rPr>
      </w:pPr>
    </w:p>
    <w:p w14:paraId="127CD8D4" w14:textId="77777777" w:rsidR="007A0082" w:rsidRDefault="007A0082" w:rsidP="003C43B0">
      <w:pPr>
        <w:rPr>
          <w:rFonts w:ascii="Times New Roman" w:hAnsi="Times New Roman" w:cs="Times New Roman"/>
          <w:b/>
          <w:u w:val="single"/>
        </w:rPr>
      </w:pPr>
    </w:p>
    <w:p w14:paraId="76B3B0B9" w14:textId="77777777" w:rsidR="003C43B0" w:rsidRPr="003C43B0" w:rsidRDefault="003C43B0" w:rsidP="003C43B0">
      <w:pPr>
        <w:rPr>
          <w:rFonts w:ascii="Times New Roman" w:hAnsi="Times New Roman" w:cs="Times New Roman"/>
          <w:b/>
          <w:u w:val="single"/>
        </w:rPr>
      </w:pPr>
      <w:r w:rsidRPr="003C43B0">
        <w:rPr>
          <w:rFonts w:ascii="Times New Roman" w:hAnsi="Times New Roman" w:cs="Times New Roman"/>
          <w:b/>
          <w:u w:val="single"/>
        </w:rPr>
        <w:lastRenderedPageBreak/>
        <w:t>Inclusion criteria</w:t>
      </w:r>
    </w:p>
    <w:p w14:paraId="668FA895"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To be included in the review, an article must meet the following criteria:</w:t>
      </w:r>
    </w:p>
    <w:p w14:paraId="3043543E" w14:textId="77777777" w:rsidR="003C43B0" w:rsidRPr="003C43B0" w:rsidRDefault="003C43B0" w:rsidP="003C43B0">
      <w:pPr>
        <w:numPr>
          <w:ilvl w:val="0"/>
          <w:numId w:val="6"/>
        </w:numPr>
        <w:tabs>
          <w:tab w:val="clear" w:pos="360"/>
          <w:tab w:val="num" w:pos="720"/>
        </w:tabs>
        <w:spacing w:after="0" w:line="240" w:lineRule="auto"/>
        <w:ind w:left="720"/>
        <w:rPr>
          <w:rFonts w:ascii="Times New Roman" w:hAnsi="Times New Roman" w:cs="Times New Roman"/>
        </w:rPr>
      </w:pPr>
      <w:r w:rsidRPr="003C43B0">
        <w:rPr>
          <w:rFonts w:ascii="Times New Roman" w:hAnsi="Times New Roman" w:cs="Times New Roman"/>
        </w:rPr>
        <w:t xml:space="preserve">Randomized controlled trial or open-label extension/PrEP demonstration project evaluating the use of oral PrEP (containing </w:t>
      </w:r>
      <w:proofErr w:type="spellStart"/>
      <w:r w:rsidRPr="003C43B0">
        <w:rPr>
          <w:rFonts w:ascii="Times New Roman" w:hAnsi="Times New Roman" w:cs="Times New Roman"/>
        </w:rPr>
        <w:t>tenofovir</w:t>
      </w:r>
      <w:proofErr w:type="spellEnd"/>
      <w:r w:rsidRPr="003C43B0">
        <w:rPr>
          <w:rFonts w:ascii="Times New Roman" w:hAnsi="Times New Roman" w:cs="Times New Roman"/>
        </w:rPr>
        <w:t xml:space="preserve"> (TDF)) to prevent HIV infection among people at substantial risk of HIV infection. </w:t>
      </w:r>
    </w:p>
    <w:p w14:paraId="22038885" w14:textId="77777777" w:rsidR="003C43B0" w:rsidRPr="003C43B0" w:rsidRDefault="003C43B0" w:rsidP="003C43B0">
      <w:pPr>
        <w:numPr>
          <w:ilvl w:val="0"/>
          <w:numId w:val="6"/>
        </w:numPr>
        <w:tabs>
          <w:tab w:val="clear" w:pos="360"/>
          <w:tab w:val="num" w:pos="720"/>
        </w:tabs>
        <w:spacing w:after="0" w:line="240" w:lineRule="auto"/>
        <w:ind w:left="720"/>
        <w:rPr>
          <w:rFonts w:ascii="Times New Roman" w:hAnsi="Times New Roman" w:cs="Times New Roman"/>
        </w:rPr>
      </w:pPr>
      <w:r w:rsidRPr="003C43B0">
        <w:rPr>
          <w:rFonts w:ascii="Times New Roman" w:hAnsi="Times New Roman" w:cs="Times New Roman"/>
        </w:rPr>
        <w:t>Measured one or more of the key outcomes outlined in the PICO questions as listed above, comparing those randomized to oral PrEP versus placebo or comparing those receiving oral PrEP versus none use of PrEP (e.g., delayed use of PrEP).</w:t>
      </w:r>
    </w:p>
    <w:p w14:paraId="7C99206B" w14:textId="77777777" w:rsidR="003C43B0" w:rsidRPr="003C43B0" w:rsidRDefault="003C43B0" w:rsidP="003C43B0">
      <w:pPr>
        <w:numPr>
          <w:ilvl w:val="0"/>
          <w:numId w:val="6"/>
        </w:numPr>
        <w:tabs>
          <w:tab w:val="clear" w:pos="360"/>
          <w:tab w:val="num" w:pos="720"/>
        </w:tabs>
        <w:spacing w:after="0" w:line="240" w:lineRule="auto"/>
        <w:ind w:left="720"/>
        <w:rPr>
          <w:rFonts w:ascii="Times New Roman" w:hAnsi="Times New Roman" w:cs="Times New Roman"/>
        </w:rPr>
      </w:pPr>
      <w:r w:rsidRPr="003C43B0">
        <w:rPr>
          <w:rFonts w:ascii="Times New Roman" w:hAnsi="Times New Roman" w:cs="Times New Roman"/>
        </w:rPr>
        <w:t>Published in a peer-reviewed journal or presented as an abstract at a scientific conference between January 1, 1990 and January April 15, 2015.</w:t>
      </w:r>
    </w:p>
    <w:p w14:paraId="197D9B5D" w14:textId="77777777" w:rsidR="003C43B0" w:rsidRPr="003C43B0" w:rsidRDefault="003C43B0" w:rsidP="00EA3507">
      <w:pPr>
        <w:pStyle w:val="NoSpacing"/>
      </w:pPr>
    </w:p>
    <w:p w14:paraId="02BE073F"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 xml:space="preserve">No restrictions will be placed based on location of the intervention.  No language restrictions will be used on the search.  Articles in languages other than English will be translated where necessary for the main PICO questions, but not for the values and preferences review. Authors of studies will be contacted for clarification on study outcomes when needed. </w:t>
      </w:r>
    </w:p>
    <w:p w14:paraId="4F28A1CD"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Following the GRADE approach, if randomized controlled trials and high-quality observational studies present evidence for similar outcomes, results will be stratified by quality of evidence (e.g., randomized trials vs. observational studies) and presented in two separate rows of the GRADE table. Similarly, studies with different comparators (placebo or non-PrEP use) will be stratified in GRADE and included in two separate rows of the final GRADE table.</w:t>
      </w:r>
    </w:p>
    <w:p w14:paraId="64D40BDE" w14:textId="77777777" w:rsidR="003C43B0" w:rsidRPr="003C43B0" w:rsidRDefault="003C43B0" w:rsidP="003C43B0">
      <w:pPr>
        <w:rPr>
          <w:rFonts w:ascii="Times New Roman" w:hAnsi="Times New Roman" w:cs="Times New Roman"/>
          <w:b/>
          <w:u w:val="single"/>
        </w:rPr>
      </w:pPr>
      <w:r w:rsidRPr="003C43B0">
        <w:rPr>
          <w:rFonts w:ascii="Times New Roman" w:hAnsi="Times New Roman" w:cs="Times New Roman"/>
          <w:b/>
          <w:u w:val="single"/>
        </w:rPr>
        <w:t>Search strategy</w:t>
      </w:r>
    </w:p>
    <w:p w14:paraId="35D81EB0"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The following electronic databases will be searched using the date ranges January 1, 1990 to April 15, 2015: PubMed, CINAHL (Cumulative Index to Nursing and Allied Health Literature), and EMBASE.  Iterative secondary reference searching will also be conducted on all studies included in the review until no new studies are identified.  Further, selected experts in the field will be contacted to identify additional articles not identified through other search methods.</w:t>
      </w:r>
    </w:p>
    <w:p w14:paraId="3F1E1403"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 xml:space="preserve">Abstracts from the following conferences will be searched from January 1, 1990 to April 15, 2015: International AIDS Conference (IAC), IAS Conference on HIV Pathogenesis, Treatment, and Prevention (IAS), and Conference on Retroviruses and Opportunistic Infections (CROI). </w:t>
      </w:r>
    </w:p>
    <w:p w14:paraId="7FF29B44" w14:textId="77777777" w:rsidR="003C43B0" w:rsidRPr="003C43B0" w:rsidRDefault="003C43B0" w:rsidP="003C43B0">
      <w:pPr>
        <w:rPr>
          <w:rFonts w:ascii="Times New Roman" w:hAnsi="Times New Roman" w:cs="Times New Roman"/>
          <w:b/>
          <w:u w:val="single"/>
        </w:rPr>
      </w:pPr>
      <w:r w:rsidRPr="003C43B0">
        <w:rPr>
          <w:rFonts w:ascii="Times New Roman" w:hAnsi="Times New Roman" w:cs="Times New Roman"/>
          <w:b/>
          <w:u w:val="single"/>
        </w:rPr>
        <w:t>Search terms</w:t>
      </w:r>
    </w:p>
    <w:p w14:paraId="193B7A4A"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 xml:space="preserve">The following terms will be entered into all computer databases: </w:t>
      </w:r>
    </w:p>
    <w:p w14:paraId="19CF22A8"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w:t>
      </w:r>
      <w:proofErr w:type="gramStart"/>
      <w:r w:rsidRPr="003C43B0">
        <w:rPr>
          <w:rFonts w:ascii="Times New Roman" w:hAnsi="Times New Roman" w:cs="Times New Roman"/>
        </w:rPr>
        <w:t>pre-exposure</w:t>
      </w:r>
      <w:proofErr w:type="gramEnd"/>
      <w:r w:rsidRPr="003C43B0">
        <w:rPr>
          <w:rFonts w:ascii="Times New Roman" w:hAnsi="Times New Roman" w:cs="Times New Roman"/>
        </w:rPr>
        <w:t xml:space="preserve"> prophylaxis” or “</w:t>
      </w:r>
      <w:proofErr w:type="spellStart"/>
      <w:r w:rsidRPr="003C43B0">
        <w:rPr>
          <w:rFonts w:ascii="Times New Roman" w:hAnsi="Times New Roman" w:cs="Times New Roman"/>
        </w:rPr>
        <w:t>preexposure</w:t>
      </w:r>
      <w:proofErr w:type="spellEnd"/>
      <w:r w:rsidRPr="003C43B0">
        <w:rPr>
          <w:rFonts w:ascii="Times New Roman" w:hAnsi="Times New Roman" w:cs="Times New Roman"/>
        </w:rPr>
        <w:t xml:space="preserve"> prophylaxis” or “antiretroviral prophylaxis” or “</w:t>
      </w:r>
      <w:proofErr w:type="spellStart"/>
      <w:r w:rsidRPr="003C43B0">
        <w:rPr>
          <w:rFonts w:ascii="Times New Roman" w:hAnsi="Times New Roman" w:cs="Times New Roman"/>
        </w:rPr>
        <w:t>preexposure</w:t>
      </w:r>
      <w:proofErr w:type="spellEnd"/>
      <w:r w:rsidRPr="003C43B0">
        <w:rPr>
          <w:rFonts w:ascii="Times New Roman" w:hAnsi="Times New Roman" w:cs="Times New Roman"/>
        </w:rPr>
        <w:t xml:space="preserve"> chemoprophylaxis” or chemoprevention or PrEP) AND (HIV OR AIDS) </w:t>
      </w:r>
    </w:p>
    <w:p w14:paraId="3A713C3B"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 xml:space="preserve">These search terms will be used both for the main systematic review (PICO question) and for the values and preferences review. </w:t>
      </w:r>
    </w:p>
    <w:p w14:paraId="5A96EE64" w14:textId="77777777" w:rsidR="007A0082" w:rsidRDefault="007A0082" w:rsidP="003C43B0">
      <w:pPr>
        <w:rPr>
          <w:rFonts w:ascii="Times New Roman" w:hAnsi="Times New Roman" w:cs="Times New Roman"/>
          <w:b/>
          <w:u w:val="single"/>
        </w:rPr>
      </w:pPr>
    </w:p>
    <w:p w14:paraId="6B446710" w14:textId="77777777" w:rsidR="007A0082" w:rsidRDefault="007A0082" w:rsidP="003C43B0">
      <w:pPr>
        <w:rPr>
          <w:rFonts w:ascii="Times New Roman" w:hAnsi="Times New Roman" w:cs="Times New Roman"/>
          <w:b/>
          <w:u w:val="single"/>
        </w:rPr>
      </w:pPr>
    </w:p>
    <w:p w14:paraId="25207BED" w14:textId="77777777" w:rsidR="003C43B0" w:rsidRPr="003C43B0" w:rsidRDefault="003C43B0" w:rsidP="003C43B0">
      <w:pPr>
        <w:rPr>
          <w:rFonts w:ascii="Times New Roman" w:hAnsi="Times New Roman" w:cs="Times New Roman"/>
          <w:b/>
          <w:u w:val="single"/>
        </w:rPr>
      </w:pPr>
      <w:r w:rsidRPr="003C43B0">
        <w:rPr>
          <w:rFonts w:ascii="Times New Roman" w:hAnsi="Times New Roman" w:cs="Times New Roman"/>
          <w:b/>
          <w:u w:val="single"/>
        </w:rPr>
        <w:lastRenderedPageBreak/>
        <w:t>Screening abstracts</w:t>
      </w:r>
    </w:p>
    <w:p w14:paraId="6A3EFA6D"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 xml:space="preserve">Titles, abstracts, citation information, and descriptor terms of citations identified through the search strategy will be screened by a member of the senior study staff.  Full text articles will be obtained of all selected abstracts and two independent reviewers will assess all full-text articles for eligibility to determine final study selection.  Differences will be resolved through consensus.  </w:t>
      </w:r>
    </w:p>
    <w:p w14:paraId="0D1A24CE"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Citations identified through computer database searching will be initially screened into the following categories:</w:t>
      </w:r>
    </w:p>
    <w:p w14:paraId="3F02BA51" w14:textId="77777777" w:rsidR="003C43B0" w:rsidRPr="003C43B0" w:rsidRDefault="003C43B0" w:rsidP="003C43B0">
      <w:pPr>
        <w:numPr>
          <w:ilvl w:val="0"/>
          <w:numId w:val="7"/>
        </w:numPr>
        <w:spacing w:after="0" w:line="240" w:lineRule="auto"/>
        <w:rPr>
          <w:rFonts w:ascii="Times New Roman" w:hAnsi="Times New Roman" w:cs="Times New Roman"/>
        </w:rPr>
      </w:pPr>
      <w:r w:rsidRPr="003C43B0">
        <w:rPr>
          <w:rFonts w:ascii="Times New Roman" w:hAnsi="Times New Roman" w:cs="Times New Roman"/>
          <w:b/>
        </w:rPr>
        <w:t xml:space="preserve">Yes </w:t>
      </w:r>
      <w:r w:rsidRPr="003C43B0">
        <w:rPr>
          <w:rFonts w:ascii="Times New Roman" w:hAnsi="Times New Roman" w:cs="Times New Roman"/>
        </w:rPr>
        <w:t xml:space="preserve">– Used when the article appears to meet the inclusion criteria for the review. </w:t>
      </w:r>
    </w:p>
    <w:p w14:paraId="66B29A34" w14:textId="77777777" w:rsidR="003C43B0" w:rsidRPr="003C43B0" w:rsidRDefault="003C43B0" w:rsidP="003C43B0">
      <w:pPr>
        <w:numPr>
          <w:ilvl w:val="0"/>
          <w:numId w:val="7"/>
        </w:numPr>
        <w:spacing w:after="0" w:line="240" w:lineRule="auto"/>
        <w:rPr>
          <w:rFonts w:ascii="Times New Roman" w:hAnsi="Times New Roman" w:cs="Times New Roman"/>
        </w:rPr>
      </w:pPr>
      <w:r w:rsidRPr="003C43B0">
        <w:rPr>
          <w:rFonts w:ascii="Times New Roman" w:hAnsi="Times New Roman" w:cs="Times New Roman"/>
          <w:b/>
        </w:rPr>
        <w:t>Pull to check</w:t>
      </w:r>
      <w:r w:rsidRPr="003C43B0">
        <w:rPr>
          <w:rFonts w:ascii="Times New Roman" w:hAnsi="Times New Roman" w:cs="Times New Roman"/>
        </w:rPr>
        <w:t xml:space="preserve"> – Used when the article may or may not meet the inclusion criteria, and the full text of the article must be reviewed before a final decision about inclusion can be made.  </w:t>
      </w:r>
    </w:p>
    <w:p w14:paraId="6CD2A27E" w14:textId="77777777" w:rsidR="003C43B0" w:rsidRPr="003C43B0" w:rsidRDefault="003C43B0" w:rsidP="003C43B0">
      <w:pPr>
        <w:numPr>
          <w:ilvl w:val="0"/>
          <w:numId w:val="7"/>
        </w:numPr>
        <w:spacing w:after="0" w:line="240" w:lineRule="auto"/>
        <w:rPr>
          <w:rFonts w:ascii="Times New Roman" w:hAnsi="Times New Roman" w:cs="Times New Roman"/>
        </w:rPr>
      </w:pPr>
      <w:r w:rsidRPr="003C43B0">
        <w:rPr>
          <w:rFonts w:ascii="Times New Roman" w:hAnsi="Times New Roman" w:cs="Times New Roman"/>
          <w:b/>
        </w:rPr>
        <w:t>No</w:t>
      </w:r>
      <w:r w:rsidRPr="003C43B0">
        <w:rPr>
          <w:rFonts w:ascii="Times New Roman" w:hAnsi="Times New Roman" w:cs="Times New Roman"/>
        </w:rPr>
        <w:t xml:space="preserve"> – Used when the article clearly does not meet the inclusion criteria for the review and no further consideration is necessary.</w:t>
      </w:r>
    </w:p>
    <w:p w14:paraId="67B0A14D" w14:textId="77777777" w:rsidR="003C43B0" w:rsidRPr="003C43B0" w:rsidRDefault="003C43B0" w:rsidP="003C43B0">
      <w:pPr>
        <w:numPr>
          <w:ilvl w:val="0"/>
          <w:numId w:val="7"/>
        </w:numPr>
        <w:spacing w:after="0" w:line="240" w:lineRule="auto"/>
        <w:rPr>
          <w:rFonts w:ascii="Times New Roman" w:hAnsi="Times New Roman" w:cs="Times New Roman"/>
        </w:rPr>
      </w:pPr>
      <w:r w:rsidRPr="003C43B0">
        <w:rPr>
          <w:rFonts w:ascii="Times New Roman" w:hAnsi="Times New Roman" w:cs="Times New Roman"/>
          <w:b/>
        </w:rPr>
        <w:t xml:space="preserve">Values and Preferences </w:t>
      </w:r>
      <w:r w:rsidRPr="003C43B0">
        <w:rPr>
          <w:rFonts w:ascii="Times New Roman" w:hAnsi="Times New Roman" w:cs="Times New Roman"/>
        </w:rPr>
        <w:t xml:space="preserve">– Used when the article does not meet the inclusion criteria for the main review (PICO question), but does meet criteria for the values and preferences review (described below). Values and Preferences will be further categorized by the sub-population involved, including: 1) men who have sex with men; 2) transgender people; 3) women; 4) heterosexual men; 5) sex workers; 6) people who use drugs; 7) </w:t>
      </w:r>
      <w:proofErr w:type="spellStart"/>
      <w:r w:rsidRPr="003C43B0">
        <w:rPr>
          <w:rFonts w:ascii="Times New Roman" w:hAnsi="Times New Roman" w:cs="Times New Roman"/>
        </w:rPr>
        <w:t>serodiscordant</w:t>
      </w:r>
      <w:proofErr w:type="spellEnd"/>
      <w:r w:rsidRPr="003C43B0">
        <w:rPr>
          <w:rFonts w:ascii="Times New Roman" w:hAnsi="Times New Roman" w:cs="Times New Roman"/>
        </w:rPr>
        <w:t xml:space="preserve"> couples, 8) young people, etc.</w:t>
      </w:r>
    </w:p>
    <w:p w14:paraId="7E28E59B" w14:textId="77777777" w:rsidR="003C43B0" w:rsidRPr="003C43B0" w:rsidRDefault="003C43B0" w:rsidP="003C43B0">
      <w:pPr>
        <w:numPr>
          <w:ilvl w:val="0"/>
          <w:numId w:val="7"/>
        </w:numPr>
        <w:spacing w:after="0" w:line="240" w:lineRule="auto"/>
        <w:rPr>
          <w:rFonts w:ascii="Times New Roman" w:hAnsi="Times New Roman" w:cs="Times New Roman"/>
        </w:rPr>
      </w:pPr>
      <w:r w:rsidRPr="003C43B0">
        <w:rPr>
          <w:rFonts w:ascii="Times New Roman" w:hAnsi="Times New Roman" w:cs="Times New Roman"/>
          <w:b/>
        </w:rPr>
        <w:t>Background</w:t>
      </w:r>
      <w:r w:rsidRPr="003C43B0">
        <w:rPr>
          <w:rFonts w:ascii="Times New Roman" w:hAnsi="Times New Roman" w:cs="Times New Roman"/>
        </w:rPr>
        <w:t xml:space="preserve"> – Used when the article clearly does not meet the inclusion criteria for the review, but presents potentially relevant information. Background studies will be further subdivided into categories based on the type of information they provide, including: 1) review articles; 2) qualitative studies; 3) cost or cost-effectiveness analyses; 4) intervention descriptions without an evaluation component; and 5) drug/pharmacokinetic studies.  An annotated bibliography of background articles will be created with citation information and abstracts.</w:t>
      </w:r>
    </w:p>
    <w:p w14:paraId="01FD54F6" w14:textId="77777777" w:rsidR="003C43B0" w:rsidRPr="003C43B0" w:rsidRDefault="003C43B0" w:rsidP="003C43B0">
      <w:pPr>
        <w:rPr>
          <w:rFonts w:ascii="Times New Roman" w:hAnsi="Times New Roman" w:cs="Times New Roman"/>
          <w:b/>
        </w:rPr>
      </w:pPr>
    </w:p>
    <w:p w14:paraId="6EB11956" w14:textId="77777777" w:rsidR="003C43B0" w:rsidRPr="003C43B0" w:rsidRDefault="003C43B0" w:rsidP="003C43B0">
      <w:pPr>
        <w:rPr>
          <w:rFonts w:ascii="Times New Roman" w:hAnsi="Times New Roman" w:cs="Times New Roman"/>
          <w:u w:val="single"/>
        </w:rPr>
      </w:pPr>
      <w:r w:rsidRPr="003C43B0">
        <w:rPr>
          <w:rFonts w:ascii="Times New Roman" w:hAnsi="Times New Roman" w:cs="Times New Roman"/>
          <w:b/>
          <w:bCs/>
          <w:u w:val="single"/>
        </w:rPr>
        <w:t>Data extraction and management</w:t>
      </w:r>
    </w:p>
    <w:p w14:paraId="1B25EC63"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 xml:space="preserve">Data will be extracted independently by two reviewers using standardized data extraction forms. Differences in data extraction will be resolved through consensus and referral to a senior study team member from </w:t>
      </w:r>
      <w:proofErr w:type="gramStart"/>
      <w:r w:rsidRPr="003C43B0">
        <w:rPr>
          <w:rFonts w:ascii="Times New Roman" w:hAnsi="Times New Roman" w:cs="Times New Roman"/>
        </w:rPr>
        <w:t>WHO</w:t>
      </w:r>
      <w:proofErr w:type="gramEnd"/>
      <w:r w:rsidRPr="003C43B0">
        <w:rPr>
          <w:rFonts w:ascii="Times New Roman" w:hAnsi="Times New Roman" w:cs="Times New Roman"/>
        </w:rPr>
        <w:t xml:space="preserve"> when necessary.</w:t>
      </w:r>
    </w:p>
    <w:p w14:paraId="18EA4AFD"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The following information will be gathered from each included study:</w:t>
      </w:r>
    </w:p>
    <w:p w14:paraId="6F4B8826" w14:textId="77777777" w:rsidR="003C43B0" w:rsidRPr="003C43B0" w:rsidRDefault="003C43B0" w:rsidP="003C43B0">
      <w:pPr>
        <w:numPr>
          <w:ilvl w:val="0"/>
          <w:numId w:val="7"/>
        </w:numPr>
        <w:spacing w:after="0" w:line="240" w:lineRule="auto"/>
        <w:rPr>
          <w:rFonts w:ascii="Times New Roman" w:hAnsi="Times New Roman" w:cs="Times New Roman"/>
        </w:rPr>
      </w:pPr>
      <w:r w:rsidRPr="003C43B0">
        <w:rPr>
          <w:rFonts w:ascii="Times New Roman" w:hAnsi="Times New Roman" w:cs="Times New Roman"/>
        </w:rPr>
        <w:t>Study identification: Author(s); type of citation; year of publication</w:t>
      </w:r>
    </w:p>
    <w:p w14:paraId="3FB31B82" w14:textId="77777777" w:rsidR="003C43B0" w:rsidRPr="003C43B0" w:rsidRDefault="003C43B0" w:rsidP="003C43B0">
      <w:pPr>
        <w:numPr>
          <w:ilvl w:val="0"/>
          <w:numId w:val="7"/>
        </w:numPr>
        <w:spacing w:after="0" w:line="240" w:lineRule="auto"/>
        <w:rPr>
          <w:rFonts w:ascii="Times New Roman" w:hAnsi="Times New Roman" w:cs="Times New Roman"/>
        </w:rPr>
      </w:pPr>
      <w:r w:rsidRPr="003C43B0">
        <w:rPr>
          <w:rFonts w:ascii="Times New Roman" w:hAnsi="Times New Roman" w:cs="Times New Roman"/>
        </w:rPr>
        <w:t>Study description: Study objectives; location; population characteristics; description of the intervention; study design; sample size; follow-up periods and loss to follow-up</w:t>
      </w:r>
    </w:p>
    <w:p w14:paraId="55330DE3" w14:textId="77777777" w:rsidR="003C43B0" w:rsidRPr="003C43B0" w:rsidRDefault="003C43B0" w:rsidP="003C43B0">
      <w:pPr>
        <w:numPr>
          <w:ilvl w:val="0"/>
          <w:numId w:val="7"/>
        </w:numPr>
        <w:spacing w:after="0" w:line="240" w:lineRule="auto"/>
        <w:rPr>
          <w:rFonts w:ascii="Times New Roman" w:hAnsi="Times New Roman" w:cs="Times New Roman"/>
        </w:rPr>
      </w:pPr>
      <w:r w:rsidRPr="003C43B0">
        <w:rPr>
          <w:rFonts w:ascii="Times New Roman" w:hAnsi="Times New Roman" w:cs="Times New Roman"/>
        </w:rPr>
        <w:t>Outcomes: Analytic approach; outcome measures; comparison groups; effect sizes; confidence intervals; significance levels; conclusions; limitations</w:t>
      </w:r>
    </w:p>
    <w:p w14:paraId="22A89821" w14:textId="77777777" w:rsidR="003C43B0" w:rsidRPr="003C43B0" w:rsidRDefault="003C43B0" w:rsidP="00EA3507">
      <w:pPr>
        <w:pStyle w:val="NoSpacing"/>
      </w:pPr>
    </w:p>
    <w:p w14:paraId="38E0FB96"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For randomized controlled trials, risk of bias will be assessed using the Cochrane Collaboration’s tool for assessing risk of bias (Cochrane Handbook, chapter 8.5 – Higgins &amp; Green, 2011). This tool assesses random sequence generation (selection bias), allocation concealment (selection bias), blinding of participants and personnel (performance bias), blinding of outcome assessment (detection bias) blinding of outcome assessment (detection bias), incomplete outcome data addressed (attrition bias), incomplete outcome data, and selective reporting (reporting bias).  Methodological components of studies will be assessed and classified as high, low, or uncertain risk of bias.</w:t>
      </w:r>
    </w:p>
    <w:p w14:paraId="6A81786F" w14:textId="77777777" w:rsidR="003C43B0" w:rsidRPr="003C43B0" w:rsidRDefault="003C43B0" w:rsidP="003C43B0">
      <w:pPr>
        <w:rPr>
          <w:rFonts w:ascii="Times New Roman" w:hAnsi="Times New Roman" w:cs="Times New Roman"/>
          <w:u w:val="single"/>
        </w:rPr>
      </w:pPr>
      <w:r w:rsidRPr="003C43B0">
        <w:rPr>
          <w:rFonts w:ascii="Times New Roman" w:hAnsi="Times New Roman" w:cs="Times New Roman"/>
          <w:b/>
          <w:u w:val="single"/>
        </w:rPr>
        <w:lastRenderedPageBreak/>
        <w:t>Data Analysis</w:t>
      </w:r>
    </w:p>
    <w:p w14:paraId="03F63031"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 xml:space="preserve">Data will be analyzed according to coding categories and outcomes.  Where there are multiple studies reporting the same outcome, meta-analysis will be conducted using random-effects models to combine odds ratios with the program Comprehensive Meta-Analysis (CMA).  When meta-analysis is warranted, sensitivity analyses will be conducted in CMA to assess the robustness of findings by running the primary analysis with and without certain studies based on various characteristics, including overall adherence levels. Data will be summarized in GRADE tables, summary of finding tables, and risk/benefit tables. </w:t>
      </w:r>
    </w:p>
    <w:p w14:paraId="16A37091"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 xml:space="preserve">Because this review covers multiple populations, drug regimens, drug dosing, and comparators, we have developed a list of </w:t>
      </w:r>
      <w:r w:rsidRPr="003C43B0">
        <w:rPr>
          <w:rFonts w:ascii="Times New Roman" w:hAnsi="Times New Roman" w:cs="Times New Roman"/>
          <w:i/>
        </w:rPr>
        <w:t>a priori</w:t>
      </w:r>
      <w:r w:rsidRPr="003C43B0">
        <w:rPr>
          <w:rFonts w:ascii="Times New Roman" w:hAnsi="Times New Roman" w:cs="Times New Roman"/>
        </w:rPr>
        <w:t xml:space="preserve"> sub-group analyses to conduct. Prior to conducting these analyses, we will evaluate the credibility of each sub-group analysis based on the following characteristics as recommended by the GRADE process</w:t>
      </w:r>
      <w:r w:rsidRPr="003C43B0">
        <w:rPr>
          <w:rFonts w:ascii="Times New Roman" w:hAnsi="Times New Roman" w:cs="Times New Roman"/>
          <w:vertAlign w:val="superscript"/>
        </w:rPr>
        <w:t>3</w:t>
      </w:r>
      <w:r w:rsidRPr="003C43B0">
        <w:rPr>
          <w:rFonts w:ascii="Times New Roman" w:hAnsi="Times New Roman" w:cs="Times New Roman"/>
        </w:rPr>
        <w:t xml:space="preserve">: </w:t>
      </w:r>
    </w:p>
    <w:p w14:paraId="172216F6" w14:textId="77777777" w:rsidR="003C43B0" w:rsidRPr="003C43B0" w:rsidRDefault="003C43B0" w:rsidP="003C43B0">
      <w:pPr>
        <w:pStyle w:val="ListParagraph"/>
        <w:numPr>
          <w:ilvl w:val="0"/>
          <w:numId w:val="9"/>
        </w:numPr>
        <w:spacing w:after="0" w:line="240" w:lineRule="auto"/>
        <w:ind w:left="720"/>
        <w:rPr>
          <w:rFonts w:ascii="Times New Roman" w:hAnsi="Times New Roman" w:cs="Times New Roman"/>
        </w:rPr>
      </w:pPr>
      <w:r w:rsidRPr="003C43B0">
        <w:rPr>
          <w:rFonts w:ascii="Times New Roman" w:hAnsi="Times New Roman" w:cs="Times New Roman"/>
        </w:rPr>
        <w:t>Is the subgroup variable a characteristic specified at baseline (in contrast with after randomization)?</w:t>
      </w:r>
    </w:p>
    <w:p w14:paraId="11D79C42" w14:textId="77777777" w:rsidR="003C43B0" w:rsidRPr="003C43B0" w:rsidRDefault="003C43B0" w:rsidP="003C43B0">
      <w:pPr>
        <w:pStyle w:val="ListParagraph"/>
        <w:numPr>
          <w:ilvl w:val="0"/>
          <w:numId w:val="9"/>
        </w:numPr>
        <w:spacing w:after="0" w:line="240" w:lineRule="auto"/>
        <w:ind w:left="720"/>
        <w:rPr>
          <w:rFonts w:ascii="Times New Roman" w:hAnsi="Times New Roman" w:cs="Times New Roman"/>
        </w:rPr>
      </w:pPr>
      <w:r w:rsidRPr="003C43B0">
        <w:rPr>
          <w:rFonts w:ascii="Times New Roman" w:hAnsi="Times New Roman" w:cs="Times New Roman"/>
        </w:rPr>
        <w:t>Is the subgroup difference suggested by comparisons within rather than between studies?</w:t>
      </w:r>
    </w:p>
    <w:p w14:paraId="17924EFE" w14:textId="77777777" w:rsidR="003C43B0" w:rsidRPr="003C43B0" w:rsidRDefault="003C43B0" w:rsidP="003C43B0">
      <w:pPr>
        <w:pStyle w:val="ListParagraph"/>
        <w:numPr>
          <w:ilvl w:val="0"/>
          <w:numId w:val="9"/>
        </w:numPr>
        <w:spacing w:after="0" w:line="240" w:lineRule="auto"/>
        <w:ind w:left="720"/>
        <w:rPr>
          <w:rFonts w:ascii="Times New Roman" w:hAnsi="Times New Roman" w:cs="Times New Roman"/>
        </w:rPr>
      </w:pPr>
      <w:r w:rsidRPr="003C43B0">
        <w:rPr>
          <w:rFonts w:ascii="Times New Roman" w:hAnsi="Times New Roman" w:cs="Times New Roman"/>
        </w:rPr>
        <w:t>Does statistical analysis suggest that chance is an unlikely explanation for the subgroup difference?</w:t>
      </w:r>
    </w:p>
    <w:p w14:paraId="62ED36E5" w14:textId="77777777" w:rsidR="003C43B0" w:rsidRPr="003C43B0" w:rsidRDefault="003C43B0" w:rsidP="003C43B0">
      <w:pPr>
        <w:pStyle w:val="ListParagraph"/>
        <w:numPr>
          <w:ilvl w:val="0"/>
          <w:numId w:val="9"/>
        </w:numPr>
        <w:spacing w:after="0" w:line="240" w:lineRule="auto"/>
        <w:ind w:left="720"/>
        <w:rPr>
          <w:rFonts w:ascii="Times New Roman" w:hAnsi="Times New Roman" w:cs="Times New Roman"/>
        </w:rPr>
      </w:pPr>
      <w:r w:rsidRPr="003C43B0">
        <w:rPr>
          <w:rFonts w:ascii="Times New Roman" w:hAnsi="Times New Roman" w:cs="Times New Roman"/>
        </w:rPr>
        <w:t>Did the hypothesis precede rather than follow the analysis, and include a hypothesized direction that was subsequently confirmed?</w:t>
      </w:r>
    </w:p>
    <w:p w14:paraId="415FDA1D" w14:textId="77777777" w:rsidR="003C43B0" w:rsidRPr="003C43B0" w:rsidRDefault="003C43B0" w:rsidP="003C43B0">
      <w:pPr>
        <w:pStyle w:val="ListParagraph"/>
        <w:numPr>
          <w:ilvl w:val="0"/>
          <w:numId w:val="9"/>
        </w:numPr>
        <w:spacing w:after="0" w:line="240" w:lineRule="auto"/>
        <w:ind w:left="720"/>
        <w:rPr>
          <w:rFonts w:ascii="Times New Roman" w:hAnsi="Times New Roman" w:cs="Times New Roman"/>
        </w:rPr>
      </w:pPr>
      <w:r w:rsidRPr="003C43B0">
        <w:rPr>
          <w:rFonts w:ascii="Times New Roman" w:hAnsi="Times New Roman" w:cs="Times New Roman"/>
        </w:rPr>
        <w:t>Was the subgroup hypothesis one of a small number tested?</w:t>
      </w:r>
    </w:p>
    <w:p w14:paraId="153F6C18" w14:textId="77777777" w:rsidR="003C43B0" w:rsidRPr="003C43B0" w:rsidRDefault="003C43B0" w:rsidP="003C43B0">
      <w:pPr>
        <w:pStyle w:val="ListParagraph"/>
        <w:numPr>
          <w:ilvl w:val="0"/>
          <w:numId w:val="9"/>
        </w:numPr>
        <w:spacing w:after="0" w:line="240" w:lineRule="auto"/>
        <w:ind w:left="720"/>
        <w:rPr>
          <w:rFonts w:ascii="Times New Roman" w:hAnsi="Times New Roman" w:cs="Times New Roman"/>
        </w:rPr>
      </w:pPr>
      <w:r w:rsidRPr="003C43B0">
        <w:rPr>
          <w:rFonts w:ascii="Times New Roman" w:hAnsi="Times New Roman" w:cs="Times New Roman"/>
        </w:rPr>
        <w:t>Is the subgroup difference consistent across studies and across important outcomes?</w:t>
      </w:r>
    </w:p>
    <w:p w14:paraId="3D229B3A" w14:textId="77777777" w:rsidR="003C43B0" w:rsidRPr="003C43B0" w:rsidRDefault="003C43B0" w:rsidP="003C43B0">
      <w:pPr>
        <w:pStyle w:val="ListParagraph"/>
        <w:numPr>
          <w:ilvl w:val="0"/>
          <w:numId w:val="9"/>
        </w:numPr>
        <w:spacing w:after="0" w:line="240" w:lineRule="auto"/>
        <w:ind w:left="720"/>
        <w:rPr>
          <w:rFonts w:ascii="Times New Roman" w:hAnsi="Times New Roman" w:cs="Times New Roman"/>
        </w:rPr>
      </w:pPr>
      <w:r w:rsidRPr="003C43B0">
        <w:rPr>
          <w:rFonts w:ascii="Times New Roman" w:hAnsi="Times New Roman" w:cs="Times New Roman"/>
        </w:rPr>
        <w:t>Does external evidence (biological or sociological rationale) support the hypothesized subgroup difference?</w:t>
      </w:r>
    </w:p>
    <w:p w14:paraId="73A9D6FC" w14:textId="77777777" w:rsidR="003C43B0" w:rsidRPr="003C43B0" w:rsidRDefault="003C43B0" w:rsidP="003C43B0">
      <w:pPr>
        <w:rPr>
          <w:rFonts w:ascii="Times New Roman" w:hAnsi="Times New Roman" w:cs="Times New Roman"/>
        </w:rPr>
      </w:pPr>
    </w:p>
    <w:p w14:paraId="55A9765C" w14:textId="77777777" w:rsidR="003C43B0" w:rsidRPr="003C43B0" w:rsidRDefault="003C43B0" w:rsidP="003C43B0">
      <w:pPr>
        <w:rPr>
          <w:rFonts w:ascii="Times New Roman" w:hAnsi="Times New Roman" w:cs="Times New Roman"/>
        </w:rPr>
      </w:pPr>
      <w:r w:rsidRPr="003C43B0">
        <w:rPr>
          <w:rFonts w:ascii="Times New Roman" w:hAnsi="Times New Roman" w:cs="Times New Roman"/>
        </w:rPr>
        <w:t xml:space="preserve">The sub-group analyses to be evaluated include: </w:t>
      </w:r>
    </w:p>
    <w:p w14:paraId="612E8827" w14:textId="77777777" w:rsidR="003C43B0" w:rsidRPr="003C43B0" w:rsidRDefault="003C43B0" w:rsidP="003C43B0">
      <w:pPr>
        <w:pStyle w:val="ListParagraph"/>
        <w:numPr>
          <w:ilvl w:val="0"/>
          <w:numId w:val="10"/>
        </w:numPr>
        <w:spacing w:after="0" w:line="240" w:lineRule="auto"/>
        <w:ind w:left="720"/>
        <w:rPr>
          <w:rFonts w:ascii="Times New Roman" w:hAnsi="Times New Roman" w:cs="Times New Roman"/>
        </w:rPr>
      </w:pPr>
      <w:r w:rsidRPr="003C43B0">
        <w:rPr>
          <w:rFonts w:ascii="Times New Roman" w:hAnsi="Times New Roman" w:cs="Times New Roman"/>
        </w:rPr>
        <w:t>Sex of study participants (males vs. females)</w:t>
      </w:r>
    </w:p>
    <w:p w14:paraId="512A2D1D" w14:textId="77777777" w:rsidR="003C43B0" w:rsidRPr="003C43B0" w:rsidRDefault="003C43B0" w:rsidP="003C43B0">
      <w:pPr>
        <w:pStyle w:val="ListParagraph"/>
        <w:numPr>
          <w:ilvl w:val="0"/>
          <w:numId w:val="10"/>
        </w:numPr>
        <w:spacing w:after="0" w:line="240" w:lineRule="auto"/>
        <w:ind w:left="720"/>
        <w:rPr>
          <w:rFonts w:ascii="Times New Roman" w:hAnsi="Times New Roman" w:cs="Times New Roman"/>
        </w:rPr>
      </w:pPr>
      <w:r w:rsidRPr="003C43B0">
        <w:rPr>
          <w:rFonts w:ascii="Times New Roman" w:hAnsi="Times New Roman" w:cs="Times New Roman"/>
        </w:rPr>
        <w:t>Age of study participants (&lt;25 vs. ≥25)</w:t>
      </w:r>
    </w:p>
    <w:p w14:paraId="5A118F6B" w14:textId="77777777" w:rsidR="003C43B0" w:rsidRPr="003C43B0" w:rsidRDefault="003C43B0" w:rsidP="003C43B0">
      <w:pPr>
        <w:pStyle w:val="ListParagraph"/>
        <w:numPr>
          <w:ilvl w:val="0"/>
          <w:numId w:val="8"/>
        </w:numPr>
        <w:spacing w:after="0" w:line="240" w:lineRule="auto"/>
        <w:rPr>
          <w:rFonts w:ascii="Times New Roman" w:hAnsi="Times New Roman" w:cs="Times New Roman"/>
        </w:rPr>
      </w:pPr>
      <w:r w:rsidRPr="003C43B0">
        <w:rPr>
          <w:rFonts w:ascii="Times New Roman" w:hAnsi="Times New Roman" w:cs="Times New Roman"/>
        </w:rPr>
        <w:t>Primary mode of sexual HIV transmission (anal vs. vaginal/penile  exposure)</w:t>
      </w:r>
    </w:p>
    <w:p w14:paraId="6EB7EC90" w14:textId="77777777" w:rsidR="003C43B0" w:rsidRPr="003C43B0" w:rsidRDefault="003C43B0" w:rsidP="003C43B0">
      <w:pPr>
        <w:pStyle w:val="ListParagraph"/>
        <w:numPr>
          <w:ilvl w:val="0"/>
          <w:numId w:val="8"/>
        </w:numPr>
        <w:spacing w:after="0" w:line="240" w:lineRule="auto"/>
        <w:rPr>
          <w:rFonts w:ascii="Times New Roman" w:hAnsi="Times New Roman" w:cs="Times New Roman"/>
        </w:rPr>
      </w:pPr>
      <w:r w:rsidRPr="003C43B0">
        <w:rPr>
          <w:rFonts w:ascii="Times New Roman" w:hAnsi="Times New Roman" w:cs="Times New Roman"/>
        </w:rPr>
        <w:t>Adherence to study drugs (based on overall drug detection levels in blood specimens)</w:t>
      </w:r>
    </w:p>
    <w:p w14:paraId="20FB3159" w14:textId="77777777" w:rsidR="003C43B0" w:rsidRPr="003C43B0" w:rsidRDefault="003C43B0" w:rsidP="003C43B0">
      <w:pPr>
        <w:pStyle w:val="ListParagraph"/>
        <w:numPr>
          <w:ilvl w:val="0"/>
          <w:numId w:val="8"/>
        </w:numPr>
        <w:spacing w:after="0" w:line="240" w:lineRule="auto"/>
        <w:rPr>
          <w:rFonts w:ascii="Times New Roman" w:hAnsi="Times New Roman" w:cs="Times New Roman"/>
        </w:rPr>
      </w:pPr>
      <w:r w:rsidRPr="003C43B0">
        <w:rPr>
          <w:rFonts w:ascii="Times New Roman" w:hAnsi="Times New Roman" w:cs="Times New Roman"/>
        </w:rPr>
        <w:t>PrEP dosing (daily vs. intermittent PrEP)</w:t>
      </w:r>
    </w:p>
    <w:p w14:paraId="5FA0DF7F" w14:textId="77777777" w:rsidR="003C43B0" w:rsidRDefault="003C43B0" w:rsidP="003C43B0">
      <w:pPr>
        <w:pStyle w:val="ListParagraph"/>
        <w:numPr>
          <w:ilvl w:val="0"/>
          <w:numId w:val="8"/>
        </w:numPr>
        <w:spacing w:after="0" w:line="240" w:lineRule="auto"/>
      </w:pPr>
      <w:r>
        <w:t>PrEP regimen (TDF vs. TDF-FTC)</w:t>
      </w:r>
    </w:p>
    <w:p w14:paraId="39AB05DF" w14:textId="77777777" w:rsidR="003C43B0" w:rsidRDefault="003C43B0" w:rsidP="003C43B0">
      <w:pPr>
        <w:rPr>
          <w:b/>
          <w:u w:val="single"/>
        </w:rPr>
      </w:pPr>
    </w:p>
    <w:p w14:paraId="710D03B7" w14:textId="77777777" w:rsidR="003C43B0" w:rsidRPr="00440678" w:rsidRDefault="003C43B0" w:rsidP="003C43B0">
      <w:pPr>
        <w:rPr>
          <w:rFonts w:ascii="Times New Roman" w:hAnsi="Times New Roman" w:cs="Times New Roman"/>
          <w:b/>
          <w:u w:val="single"/>
        </w:rPr>
      </w:pPr>
      <w:r w:rsidRPr="00440678">
        <w:rPr>
          <w:rFonts w:ascii="Times New Roman" w:hAnsi="Times New Roman" w:cs="Times New Roman"/>
          <w:b/>
          <w:u w:val="single"/>
        </w:rPr>
        <w:t>References</w:t>
      </w:r>
    </w:p>
    <w:p w14:paraId="1B547D2B" w14:textId="77777777" w:rsidR="003C43B0" w:rsidRPr="00EA3507" w:rsidRDefault="003C43B0" w:rsidP="003C43B0">
      <w:pPr>
        <w:rPr>
          <w:rFonts w:ascii="Times New Roman" w:hAnsi="Times New Roman" w:cs="Times New Roman"/>
        </w:rPr>
      </w:pPr>
      <w:r w:rsidRPr="00EA3507">
        <w:rPr>
          <w:rFonts w:ascii="Times New Roman" w:hAnsi="Times New Roman" w:cs="Times New Roman"/>
        </w:rPr>
        <w:t xml:space="preserve">1. WHO. Guidance on pre-exposure oral prophylaxis (prep) for </w:t>
      </w:r>
      <w:proofErr w:type="spellStart"/>
      <w:r w:rsidRPr="00EA3507">
        <w:rPr>
          <w:rFonts w:ascii="Times New Roman" w:hAnsi="Times New Roman" w:cs="Times New Roman"/>
        </w:rPr>
        <w:t>serodiscordant</w:t>
      </w:r>
      <w:proofErr w:type="spellEnd"/>
      <w:r w:rsidRPr="00EA3507">
        <w:rPr>
          <w:rFonts w:ascii="Times New Roman" w:hAnsi="Times New Roman" w:cs="Times New Roman"/>
        </w:rPr>
        <w:t xml:space="preserve"> couples, men and transgender women who have sex with men at high risk of HIV. Geneva: WHO; 2012. </w:t>
      </w:r>
    </w:p>
    <w:p w14:paraId="13528D80" w14:textId="77777777" w:rsidR="003C43B0" w:rsidRPr="00EA3507" w:rsidRDefault="003C43B0" w:rsidP="003C43B0">
      <w:pPr>
        <w:rPr>
          <w:rFonts w:ascii="Times New Roman" w:hAnsi="Times New Roman" w:cs="Times New Roman"/>
        </w:rPr>
      </w:pPr>
      <w:r w:rsidRPr="00EA3507">
        <w:rPr>
          <w:rFonts w:ascii="Times New Roman" w:hAnsi="Times New Roman" w:cs="Times New Roman"/>
        </w:rPr>
        <w:t xml:space="preserve">2. WHO. </w:t>
      </w:r>
      <w:proofErr w:type="gramStart"/>
      <w:r w:rsidRPr="00EA3507">
        <w:rPr>
          <w:rFonts w:ascii="Times New Roman" w:hAnsi="Times New Roman" w:cs="Times New Roman"/>
        </w:rPr>
        <w:t>Consolidated guidelines on HIV prevention, diagnosis, treatment and care for key populations.</w:t>
      </w:r>
      <w:proofErr w:type="gramEnd"/>
      <w:r w:rsidRPr="00EA3507">
        <w:rPr>
          <w:rFonts w:ascii="Times New Roman" w:hAnsi="Times New Roman" w:cs="Times New Roman"/>
        </w:rPr>
        <w:t xml:space="preserve"> Geneva: WHO; 2014.</w:t>
      </w:r>
    </w:p>
    <w:p w14:paraId="610B27C9" w14:textId="77777777" w:rsidR="003C43B0" w:rsidRPr="00EA3507" w:rsidRDefault="003C43B0" w:rsidP="003C43B0">
      <w:pPr>
        <w:rPr>
          <w:rFonts w:ascii="Times New Roman" w:hAnsi="Times New Roman" w:cs="Times New Roman"/>
        </w:rPr>
      </w:pPr>
      <w:r w:rsidRPr="00EA3507">
        <w:rPr>
          <w:rFonts w:ascii="Times New Roman" w:hAnsi="Times New Roman" w:cs="Times New Roman"/>
        </w:rPr>
        <w:t xml:space="preserve">3. </w:t>
      </w:r>
      <w:proofErr w:type="spellStart"/>
      <w:r w:rsidRPr="00EA3507">
        <w:rPr>
          <w:rFonts w:ascii="Times New Roman" w:hAnsi="Times New Roman" w:cs="Times New Roman"/>
        </w:rPr>
        <w:t>Guyatt</w:t>
      </w:r>
      <w:proofErr w:type="spellEnd"/>
      <w:r w:rsidRPr="00EA3507">
        <w:rPr>
          <w:rFonts w:ascii="Times New Roman" w:hAnsi="Times New Roman" w:cs="Times New Roman"/>
        </w:rPr>
        <w:t xml:space="preserve">, G.H., </w:t>
      </w:r>
      <w:proofErr w:type="spellStart"/>
      <w:r w:rsidRPr="00EA3507">
        <w:rPr>
          <w:rFonts w:ascii="Times New Roman" w:hAnsi="Times New Roman" w:cs="Times New Roman"/>
        </w:rPr>
        <w:t>Oxman</w:t>
      </w:r>
      <w:proofErr w:type="spellEnd"/>
      <w:r w:rsidRPr="00EA3507">
        <w:rPr>
          <w:rFonts w:ascii="Times New Roman" w:hAnsi="Times New Roman" w:cs="Times New Roman"/>
        </w:rPr>
        <w:t xml:space="preserve">, A.D., Kunz, R., Woodcock, J., </w:t>
      </w:r>
      <w:proofErr w:type="spellStart"/>
      <w:r w:rsidRPr="00EA3507">
        <w:rPr>
          <w:rFonts w:ascii="Times New Roman" w:hAnsi="Times New Roman" w:cs="Times New Roman"/>
        </w:rPr>
        <w:t>Brozek</w:t>
      </w:r>
      <w:proofErr w:type="spellEnd"/>
      <w:r w:rsidRPr="00EA3507">
        <w:rPr>
          <w:rFonts w:ascii="Times New Roman" w:hAnsi="Times New Roman" w:cs="Times New Roman"/>
        </w:rPr>
        <w:t xml:space="preserve">, J., </w:t>
      </w:r>
      <w:proofErr w:type="spellStart"/>
      <w:r w:rsidRPr="00EA3507">
        <w:rPr>
          <w:rFonts w:ascii="Times New Roman" w:hAnsi="Times New Roman" w:cs="Times New Roman"/>
        </w:rPr>
        <w:t>Helfand</w:t>
      </w:r>
      <w:proofErr w:type="spellEnd"/>
      <w:r w:rsidRPr="00EA3507">
        <w:rPr>
          <w:rFonts w:ascii="Times New Roman" w:hAnsi="Times New Roman" w:cs="Times New Roman"/>
        </w:rPr>
        <w:t xml:space="preserve">, M. et al. GRADE guidelines: 7. Rating the quality of evidence—inconsistency. </w:t>
      </w:r>
      <w:proofErr w:type="gramStart"/>
      <w:r w:rsidRPr="00EA3507">
        <w:rPr>
          <w:rFonts w:ascii="Times New Roman" w:hAnsi="Times New Roman" w:cs="Times New Roman"/>
        </w:rPr>
        <w:t xml:space="preserve">J </w:t>
      </w:r>
      <w:proofErr w:type="spellStart"/>
      <w:r w:rsidRPr="00EA3507">
        <w:rPr>
          <w:rFonts w:ascii="Times New Roman" w:hAnsi="Times New Roman" w:cs="Times New Roman"/>
        </w:rPr>
        <w:t>Clin</w:t>
      </w:r>
      <w:proofErr w:type="spellEnd"/>
      <w:r w:rsidRPr="00EA3507">
        <w:rPr>
          <w:rFonts w:ascii="Times New Roman" w:hAnsi="Times New Roman" w:cs="Times New Roman"/>
        </w:rPr>
        <w:t xml:space="preserve"> </w:t>
      </w:r>
      <w:proofErr w:type="spellStart"/>
      <w:r w:rsidRPr="00EA3507">
        <w:rPr>
          <w:rFonts w:ascii="Times New Roman" w:hAnsi="Times New Roman" w:cs="Times New Roman"/>
        </w:rPr>
        <w:t>Epidemiol</w:t>
      </w:r>
      <w:proofErr w:type="spellEnd"/>
      <w:r w:rsidRPr="00EA3507">
        <w:rPr>
          <w:rFonts w:ascii="Times New Roman" w:hAnsi="Times New Roman" w:cs="Times New Roman"/>
        </w:rPr>
        <w:t>.</w:t>
      </w:r>
      <w:proofErr w:type="gramEnd"/>
      <w:r w:rsidRPr="00EA3507">
        <w:rPr>
          <w:rFonts w:ascii="Times New Roman" w:hAnsi="Times New Roman" w:cs="Times New Roman"/>
        </w:rPr>
        <w:t xml:space="preserve"> 2011; 64: 1294–1302)</w:t>
      </w:r>
    </w:p>
    <w:p w14:paraId="04024462" w14:textId="77777777" w:rsidR="003C43B0" w:rsidRDefault="003C43B0" w:rsidP="003C43B0"/>
    <w:p w14:paraId="66060877" w14:textId="77777777" w:rsidR="005A778C" w:rsidRPr="003C43B0" w:rsidRDefault="00EA3507" w:rsidP="003C43B0">
      <w:pPr>
        <w:pStyle w:val="Heading1"/>
        <w:rPr>
          <w:rFonts w:ascii="Times New Roman" w:hAnsi="Times New Roman" w:cs="Times New Roman"/>
          <w:sz w:val="24"/>
        </w:rPr>
      </w:pPr>
      <w:bookmarkStart w:id="1" w:name="_Toc445111846"/>
      <w:proofErr w:type="gramStart"/>
      <w:r>
        <w:rPr>
          <w:rFonts w:ascii="Times New Roman" w:hAnsi="Times New Roman" w:cs="Times New Roman"/>
          <w:sz w:val="24"/>
        </w:rPr>
        <w:lastRenderedPageBreak/>
        <w:t>T</w:t>
      </w:r>
      <w:r w:rsidR="005A778C" w:rsidRPr="003C43B0">
        <w:rPr>
          <w:rFonts w:ascii="Times New Roman" w:hAnsi="Times New Roman" w:cs="Times New Roman"/>
          <w:sz w:val="24"/>
        </w:rPr>
        <w:t>able 1S.</w:t>
      </w:r>
      <w:proofErr w:type="gramEnd"/>
      <w:r w:rsidR="005A778C" w:rsidRPr="003C43B0">
        <w:rPr>
          <w:rFonts w:ascii="Times New Roman" w:hAnsi="Times New Roman" w:cs="Times New Roman"/>
          <w:sz w:val="24"/>
        </w:rPr>
        <w:t xml:space="preserve"> Quality </w:t>
      </w:r>
      <w:r w:rsidR="00FE4A8B" w:rsidRPr="003C43B0">
        <w:rPr>
          <w:rFonts w:ascii="Times New Roman" w:hAnsi="Times New Roman" w:cs="Times New Roman"/>
          <w:sz w:val="24"/>
        </w:rPr>
        <w:t>a</w:t>
      </w:r>
      <w:r w:rsidR="005A778C" w:rsidRPr="003C43B0">
        <w:rPr>
          <w:rFonts w:ascii="Times New Roman" w:hAnsi="Times New Roman" w:cs="Times New Roman"/>
          <w:sz w:val="24"/>
        </w:rPr>
        <w:t xml:space="preserve">ssessment </w:t>
      </w:r>
      <w:r w:rsidR="00FE4A8B" w:rsidRPr="003C43B0">
        <w:rPr>
          <w:rFonts w:ascii="Times New Roman" w:hAnsi="Times New Roman" w:cs="Times New Roman"/>
          <w:sz w:val="24"/>
        </w:rPr>
        <w:t xml:space="preserve">of included studies </w:t>
      </w:r>
      <w:r w:rsidR="005A778C" w:rsidRPr="003C43B0">
        <w:rPr>
          <w:rFonts w:ascii="Times New Roman" w:hAnsi="Times New Roman" w:cs="Times New Roman"/>
          <w:sz w:val="24"/>
        </w:rPr>
        <w:t>(</w:t>
      </w:r>
      <w:r w:rsidR="00FE4A8B" w:rsidRPr="003C43B0">
        <w:rPr>
          <w:rFonts w:ascii="Times New Roman" w:hAnsi="Times New Roman" w:cs="Times New Roman"/>
          <w:sz w:val="24"/>
        </w:rPr>
        <w:t>r</w:t>
      </w:r>
      <w:r w:rsidR="005A778C" w:rsidRPr="003C43B0">
        <w:rPr>
          <w:rFonts w:ascii="Times New Roman" w:hAnsi="Times New Roman" w:cs="Times New Roman"/>
          <w:sz w:val="24"/>
        </w:rPr>
        <w:t xml:space="preserve">isk of </w:t>
      </w:r>
      <w:r w:rsidR="00FE4A8B" w:rsidRPr="003C43B0">
        <w:rPr>
          <w:rFonts w:ascii="Times New Roman" w:hAnsi="Times New Roman" w:cs="Times New Roman"/>
          <w:sz w:val="24"/>
        </w:rPr>
        <w:t>b</w:t>
      </w:r>
      <w:r w:rsidR="005A778C" w:rsidRPr="003C43B0">
        <w:rPr>
          <w:rFonts w:ascii="Times New Roman" w:hAnsi="Times New Roman" w:cs="Times New Roman"/>
          <w:sz w:val="24"/>
        </w:rPr>
        <w:t>ias)</w:t>
      </w:r>
      <w:bookmarkEnd w:id="1"/>
    </w:p>
    <w:tbl>
      <w:tblPr>
        <w:tblW w:w="0" w:type="auto"/>
        <w:tblInd w:w="-342" w:type="dxa"/>
        <w:shd w:val="clear" w:color="auto" w:fill="FFFFFF" w:themeFill="background1"/>
        <w:tblLook w:val="04A0" w:firstRow="1" w:lastRow="0" w:firstColumn="1" w:lastColumn="0" w:noHBand="0" w:noVBand="1"/>
      </w:tblPr>
      <w:tblGrid>
        <w:gridCol w:w="1800"/>
        <w:gridCol w:w="1325"/>
        <w:gridCol w:w="1328"/>
        <w:gridCol w:w="1489"/>
        <w:gridCol w:w="1238"/>
        <w:gridCol w:w="1377"/>
        <w:gridCol w:w="1096"/>
      </w:tblGrid>
      <w:tr w:rsidR="005A778C" w:rsidRPr="00A60A4E" w14:paraId="08AE3774" w14:textId="77777777" w:rsidTr="00DB1C44">
        <w:tc>
          <w:tcPr>
            <w:tcW w:w="1800" w:type="dxa"/>
            <w:shd w:val="clear" w:color="auto" w:fill="auto"/>
          </w:tcPr>
          <w:p w14:paraId="107FA529" w14:textId="77777777" w:rsidR="005A778C" w:rsidRPr="00A60A4E" w:rsidRDefault="005A778C" w:rsidP="00A60A4E">
            <w:pPr>
              <w:pStyle w:val="NoSpacing"/>
              <w:rPr>
                <w:rFonts w:ascii="Times New Roman" w:hAnsi="Times New Roman" w:cs="Times New Roman"/>
              </w:rPr>
            </w:pPr>
          </w:p>
        </w:tc>
        <w:tc>
          <w:tcPr>
            <w:tcW w:w="7784" w:type="dxa"/>
            <w:gridSpan w:val="6"/>
            <w:shd w:val="clear" w:color="auto" w:fill="BFBFBF" w:themeFill="background1" w:themeFillShade="BF"/>
          </w:tcPr>
          <w:p w14:paraId="0BEFC6E7"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Risk of Bias Categories</w:t>
            </w:r>
          </w:p>
        </w:tc>
      </w:tr>
      <w:tr w:rsidR="005A778C" w:rsidRPr="00A60A4E" w14:paraId="17C3B460" w14:textId="77777777" w:rsidTr="00A60A4E">
        <w:tc>
          <w:tcPr>
            <w:tcW w:w="1800" w:type="dxa"/>
            <w:shd w:val="clear" w:color="auto" w:fill="FFFFFF" w:themeFill="background1"/>
          </w:tcPr>
          <w:p w14:paraId="1E922513"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Study</w:t>
            </w:r>
          </w:p>
        </w:tc>
        <w:tc>
          <w:tcPr>
            <w:tcW w:w="1325" w:type="dxa"/>
            <w:shd w:val="clear" w:color="auto" w:fill="FFFFFF" w:themeFill="background1"/>
          </w:tcPr>
          <w:p w14:paraId="67A50BC3"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Random sequence generation (selection bias)</w:t>
            </w:r>
          </w:p>
        </w:tc>
        <w:tc>
          <w:tcPr>
            <w:tcW w:w="1269" w:type="dxa"/>
            <w:shd w:val="clear" w:color="auto" w:fill="FFFFFF" w:themeFill="background1"/>
          </w:tcPr>
          <w:p w14:paraId="41C12B1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Allocation concealment (selection bias)</w:t>
            </w:r>
          </w:p>
        </w:tc>
        <w:tc>
          <w:tcPr>
            <w:tcW w:w="1489" w:type="dxa"/>
            <w:shd w:val="clear" w:color="auto" w:fill="FFFFFF" w:themeFill="background1"/>
          </w:tcPr>
          <w:p w14:paraId="2A9E860B"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Blinding of participants and personnel (performance bias)</w:t>
            </w:r>
          </w:p>
        </w:tc>
        <w:tc>
          <w:tcPr>
            <w:tcW w:w="1238" w:type="dxa"/>
            <w:shd w:val="clear" w:color="auto" w:fill="FFFFFF" w:themeFill="background1"/>
          </w:tcPr>
          <w:p w14:paraId="1E891D6E"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Blinding of outcome assessment (detection bias)</w:t>
            </w:r>
          </w:p>
        </w:tc>
        <w:tc>
          <w:tcPr>
            <w:tcW w:w="1377" w:type="dxa"/>
            <w:shd w:val="clear" w:color="auto" w:fill="FFFFFF" w:themeFill="background1"/>
          </w:tcPr>
          <w:p w14:paraId="0D3AB8BD"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Incomplete outcome data addressed (attrition bias)</w:t>
            </w:r>
          </w:p>
        </w:tc>
        <w:tc>
          <w:tcPr>
            <w:tcW w:w="1086" w:type="dxa"/>
            <w:shd w:val="clear" w:color="auto" w:fill="FFFFFF" w:themeFill="background1"/>
          </w:tcPr>
          <w:p w14:paraId="20CDF1D8"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Selective reporting (reporting bias)</w:t>
            </w:r>
          </w:p>
        </w:tc>
      </w:tr>
      <w:tr w:rsidR="005A778C" w:rsidRPr="00A60A4E" w14:paraId="435A5389" w14:textId="77777777" w:rsidTr="00A60A4E">
        <w:tc>
          <w:tcPr>
            <w:tcW w:w="1800" w:type="dxa"/>
            <w:shd w:val="clear" w:color="auto" w:fill="FFFFFF" w:themeFill="background1"/>
          </w:tcPr>
          <w:p w14:paraId="49EB9699"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HPTN 067 (ADAPT)</w:t>
            </w:r>
          </w:p>
        </w:tc>
        <w:tc>
          <w:tcPr>
            <w:tcW w:w="1325" w:type="dxa"/>
            <w:shd w:val="clear" w:color="auto" w:fill="FFFFFF" w:themeFill="background1"/>
          </w:tcPr>
          <w:p w14:paraId="6DFD4F9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29E40052"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2AED0BF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62F05206"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3887ADD6"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4824B5A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r>
      <w:tr w:rsidR="005A778C" w:rsidRPr="00A60A4E" w14:paraId="3E69414D" w14:textId="77777777" w:rsidTr="00A60A4E">
        <w:tc>
          <w:tcPr>
            <w:tcW w:w="1800" w:type="dxa"/>
            <w:shd w:val="clear" w:color="auto" w:fill="FFFFFF" w:themeFill="background1"/>
          </w:tcPr>
          <w:p w14:paraId="7B43969E"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 xml:space="preserve">Bangkok </w:t>
            </w:r>
            <w:proofErr w:type="spellStart"/>
            <w:r w:rsidRPr="00A60A4E">
              <w:rPr>
                <w:rFonts w:ascii="Times New Roman" w:hAnsi="Times New Roman" w:cs="Times New Roman"/>
              </w:rPr>
              <w:t>Tenofovir</w:t>
            </w:r>
            <w:proofErr w:type="spellEnd"/>
            <w:r w:rsidRPr="00A60A4E">
              <w:rPr>
                <w:rFonts w:ascii="Times New Roman" w:hAnsi="Times New Roman" w:cs="Times New Roman"/>
              </w:rPr>
              <w:t xml:space="preserve"> Study</w:t>
            </w:r>
          </w:p>
        </w:tc>
        <w:tc>
          <w:tcPr>
            <w:tcW w:w="1325" w:type="dxa"/>
            <w:shd w:val="clear" w:color="auto" w:fill="FFFFFF" w:themeFill="background1"/>
          </w:tcPr>
          <w:p w14:paraId="6AF62228"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7F8954F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528E3C82"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35B435E6"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5D8476E5"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3DD20DD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Uncertain</w:t>
            </w:r>
          </w:p>
        </w:tc>
      </w:tr>
      <w:tr w:rsidR="005A778C" w:rsidRPr="00A60A4E" w14:paraId="7B549C01" w14:textId="77777777" w:rsidTr="00A60A4E">
        <w:tc>
          <w:tcPr>
            <w:tcW w:w="1800" w:type="dxa"/>
            <w:shd w:val="clear" w:color="auto" w:fill="FFFFFF" w:themeFill="background1"/>
          </w:tcPr>
          <w:p w14:paraId="66FB0528"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CDC Safety Study</w:t>
            </w:r>
          </w:p>
        </w:tc>
        <w:tc>
          <w:tcPr>
            <w:tcW w:w="1325" w:type="dxa"/>
            <w:shd w:val="clear" w:color="auto" w:fill="FFFFFF" w:themeFill="background1"/>
          </w:tcPr>
          <w:p w14:paraId="4701B5B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27A5BDD9"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1C70EB6D"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330473EA"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4CDF9E2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39C2A58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Uncertain</w:t>
            </w:r>
          </w:p>
        </w:tc>
      </w:tr>
      <w:tr w:rsidR="005A778C" w:rsidRPr="00A60A4E" w14:paraId="6FC6CA49" w14:textId="77777777" w:rsidTr="00A60A4E">
        <w:trPr>
          <w:trHeight w:val="242"/>
        </w:trPr>
        <w:tc>
          <w:tcPr>
            <w:tcW w:w="1800" w:type="dxa"/>
            <w:shd w:val="clear" w:color="auto" w:fill="FFFFFF" w:themeFill="background1"/>
          </w:tcPr>
          <w:p w14:paraId="77F1D782" w14:textId="77777777" w:rsidR="005A778C" w:rsidRPr="00A60A4E" w:rsidRDefault="005A778C" w:rsidP="00A60A4E">
            <w:pPr>
              <w:pStyle w:val="NoSpacing"/>
              <w:rPr>
                <w:rFonts w:ascii="Times New Roman" w:hAnsi="Times New Roman" w:cs="Times New Roman"/>
                <w:vertAlign w:val="superscript"/>
              </w:rPr>
            </w:pPr>
            <w:r w:rsidRPr="00A60A4E">
              <w:rPr>
                <w:rFonts w:ascii="Times New Roman" w:hAnsi="Times New Roman" w:cs="Times New Roman"/>
              </w:rPr>
              <w:t>FEM-</w:t>
            </w:r>
            <w:proofErr w:type="spellStart"/>
            <w:r w:rsidRPr="00A60A4E">
              <w:rPr>
                <w:rFonts w:ascii="Times New Roman" w:hAnsi="Times New Roman" w:cs="Times New Roman"/>
              </w:rPr>
              <w:t>PrEP</w:t>
            </w:r>
            <w:r w:rsidRPr="00A60A4E">
              <w:rPr>
                <w:rFonts w:ascii="Times New Roman" w:hAnsi="Times New Roman" w:cs="Times New Roman"/>
                <w:vertAlign w:val="superscript"/>
              </w:rPr>
              <w:t>a</w:t>
            </w:r>
            <w:proofErr w:type="spellEnd"/>
          </w:p>
        </w:tc>
        <w:tc>
          <w:tcPr>
            <w:tcW w:w="1325" w:type="dxa"/>
            <w:shd w:val="clear" w:color="auto" w:fill="FFFFFF" w:themeFill="background1"/>
          </w:tcPr>
          <w:p w14:paraId="13E58DE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68811A73"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3BE0979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3223CE86"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22B6C8A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593C0CE0"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r>
      <w:tr w:rsidR="005A778C" w:rsidRPr="00A60A4E" w14:paraId="3F3903E1" w14:textId="77777777" w:rsidTr="00A60A4E">
        <w:tc>
          <w:tcPr>
            <w:tcW w:w="1800" w:type="dxa"/>
            <w:shd w:val="clear" w:color="auto" w:fill="FFFFFF" w:themeFill="background1"/>
          </w:tcPr>
          <w:p w14:paraId="384B355A" w14:textId="77777777" w:rsidR="005A778C" w:rsidRPr="00A60A4E" w:rsidRDefault="005A778C" w:rsidP="00A60A4E">
            <w:pPr>
              <w:pStyle w:val="NoSpacing"/>
              <w:rPr>
                <w:rFonts w:ascii="Times New Roman" w:hAnsi="Times New Roman" w:cs="Times New Roman"/>
              </w:rPr>
            </w:pPr>
            <w:proofErr w:type="spellStart"/>
            <w:r w:rsidRPr="00A60A4E">
              <w:rPr>
                <w:rFonts w:ascii="Times New Roman" w:hAnsi="Times New Roman" w:cs="Times New Roman"/>
              </w:rPr>
              <w:t>Ipergay</w:t>
            </w:r>
            <w:proofErr w:type="spellEnd"/>
          </w:p>
        </w:tc>
        <w:tc>
          <w:tcPr>
            <w:tcW w:w="1325" w:type="dxa"/>
            <w:shd w:val="clear" w:color="auto" w:fill="FFFFFF" w:themeFill="background1"/>
          </w:tcPr>
          <w:p w14:paraId="384A87A6"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1E42CFD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042CFBA0"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4CBDCE4A"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289FCA52"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152172AD"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Uncertain</w:t>
            </w:r>
          </w:p>
        </w:tc>
      </w:tr>
      <w:tr w:rsidR="005A778C" w:rsidRPr="00A60A4E" w14:paraId="49926836" w14:textId="77777777" w:rsidTr="00A60A4E">
        <w:tc>
          <w:tcPr>
            <w:tcW w:w="1800" w:type="dxa"/>
            <w:shd w:val="clear" w:color="auto" w:fill="FFFFFF" w:themeFill="background1"/>
          </w:tcPr>
          <w:p w14:paraId="0956AEF3" w14:textId="77777777" w:rsidR="005A778C" w:rsidRPr="00A60A4E" w:rsidRDefault="005A778C" w:rsidP="00A60A4E">
            <w:pPr>
              <w:pStyle w:val="NoSpacing"/>
              <w:rPr>
                <w:rFonts w:ascii="Times New Roman" w:hAnsi="Times New Roman" w:cs="Times New Roman"/>
              </w:rPr>
            </w:pPr>
            <w:proofErr w:type="spellStart"/>
            <w:r w:rsidRPr="00A60A4E">
              <w:rPr>
                <w:rFonts w:ascii="Times New Roman" w:hAnsi="Times New Roman" w:cs="Times New Roman"/>
              </w:rPr>
              <w:t>iPrEx</w:t>
            </w:r>
            <w:proofErr w:type="spellEnd"/>
          </w:p>
        </w:tc>
        <w:tc>
          <w:tcPr>
            <w:tcW w:w="1325" w:type="dxa"/>
            <w:shd w:val="clear" w:color="auto" w:fill="FFFFFF" w:themeFill="background1"/>
          </w:tcPr>
          <w:p w14:paraId="5D825C71"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6D2155C8"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32E4C7BA"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0DCEFDF8"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58F1CCF0"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4F4FF5B8"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r>
      <w:tr w:rsidR="005A778C" w:rsidRPr="00A60A4E" w14:paraId="148B0E7E" w14:textId="77777777" w:rsidTr="00A60A4E">
        <w:tc>
          <w:tcPr>
            <w:tcW w:w="1800" w:type="dxa"/>
            <w:shd w:val="clear" w:color="auto" w:fill="FFFFFF" w:themeFill="background1"/>
          </w:tcPr>
          <w:p w14:paraId="10B4CDB1"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IAVI Kenya Study</w:t>
            </w:r>
          </w:p>
        </w:tc>
        <w:tc>
          <w:tcPr>
            <w:tcW w:w="1325" w:type="dxa"/>
            <w:shd w:val="clear" w:color="auto" w:fill="FFFFFF" w:themeFill="background1"/>
          </w:tcPr>
          <w:p w14:paraId="0343AC43"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56343937"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2C83D9A3"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594106D9"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2EB09B5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4844DACF"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r>
      <w:tr w:rsidR="005A778C" w:rsidRPr="00A60A4E" w14:paraId="1950B6CB" w14:textId="77777777" w:rsidTr="00A60A4E">
        <w:tc>
          <w:tcPr>
            <w:tcW w:w="1800" w:type="dxa"/>
            <w:shd w:val="clear" w:color="auto" w:fill="FFFFFF" w:themeFill="background1"/>
          </w:tcPr>
          <w:p w14:paraId="35B7C2B4"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IAVI Uganda Study</w:t>
            </w:r>
          </w:p>
        </w:tc>
        <w:tc>
          <w:tcPr>
            <w:tcW w:w="1325" w:type="dxa"/>
            <w:shd w:val="clear" w:color="auto" w:fill="FFFFFF" w:themeFill="background1"/>
          </w:tcPr>
          <w:p w14:paraId="65B53F71"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754FB9E6"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0E9BA352"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03D53086"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24B32CD8"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08CC1BB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r>
      <w:tr w:rsidR="005A778C" w:rsidRPr="00A60A4E" w14:paraId="58E9CB50" w14:textId="77777777" w:rsidTr="00A60A4E">
        <w:tc>
          <w:tcPr>
            <w:tcW w:w="1800" w:type="dxa"/>
            <w:shd w:val="clear" w:color="auto" w:fill="FFFFFF" w:themeFill="background1"/>
          </w:tcPr>
          <w:p w14:paraId="488145C3" w14:textId="4A014A42" w:rsidR="005A778C" w:rsidRPr="00A60A4E" w:rsidRDefault="005A778C" w:rsidP="00E76101">
            <w:pPr>
              <w:pStyle w:val="NoSpacing"/>
              <w:rPr>
                <w:rFonts w:ascii="Times New Roman" w:hAnsi="Times New Roman" w:cs="Times New Roman"/>
              </w:rPr>
            </w:pPr>
            <w:r w:rsidRPr="00A60A4E">
              <w:rPr>
                <w:rFonts w:ascii="Times New Roman" w:hAnsi="Times New Roman" w:cs="Times New Roman"/>
              </w:rPr>
              <w:t>Partners PrEP</w:t>
            </w:r>
            <w:r w:rsidR="00E76101">
              <w:rPr>
                <w:rFonts w:ascii="Times New Roman" w:hAnsi="Times New Roman" w:cs="Times New Roman"/>
              </w:rPr>
              <w:t xml:space="preserve"> </w:t>
            </w:r>
          </w:p>
        </w:tc>
        <w:tc>
          <w:tcPr>
            <w:tcW w:w="1325" w:type="dxa"/>
            <w:shd w:val="clear" w:color="auto" w:fill="FFFFFF" w:themeFill="background1"/>
          </w:tcPr>
          <w:p w14:paraId="225E36A3"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1362DB2B"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527EACD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60B9214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393F4A1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4C0AE46B"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r>
      <w:tr w:rsidR="005A778C" w:rsidRPr="00A60A4E" w14:paraId="4641175D" w14:textId="77777777" w:rsidTr="00A60A4E">
        <w:tc>
          <w:tcPr>
            <w:tcW w:w="1800" w:type="dxa"/>
            <w:shd w:val="clear" w:color="auto" w:fill="FFFFFF" w:themeFill="background1"/>
          </w:tcPr>
          <w:p w14:paraId="1C29B23A"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Partners PrEP Study Continuation</w:t>
            </w:r>
          </w:p>
        </w:tc>
        <w:tc>
          <w:tcPr>
            <w:tcW w:w="1325" w:type="dxa"/>
            <w:shd w:val="clear" w:color="auto" w:fill="FFFFFF" w:themeFill="background1"/>
          </w:tcPr>
          <w:p w14:paraId="06A71FB5"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547824EA"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202D0DC3"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7B75A2C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6AF22A7E"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67551630"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r>
      <w:tr w:rsidR="005A778C" w:rsidRPr="00A60A4E" w14:paraId="103A17DA" w14:textId="77777777" w:rsidTr="00A60A4E">
        <w:tc>
          <w:tcPr>
            <w:tcW w:w="1800" w:type="dxa"/>
            <w:shd w:val="clear" w:color="auto" w:fill="FFFFFF" w:themeFill="background1"/>
          </w:tcPr>
          <w:p w14:paraId="4A2A2227"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 xml:space="preserve">Project </w:t>
            </w:r>
            <w:proofErr w:type="spellStart"/>
            <w:r w:rsidRPr="00A60A4E">
              <w:rPr>
                <w:rFonts w:ascii="Times New Roman" w:hAnsi="Times New Roman" w:cs="Times New Roman"/>
              </w:rPr>
              <w:t>PrEPare</w:t>
            </w:r>
            <w:proofErr w:type="spellEnd"/>
          </w:p>
        </w:tc>
        <w:tc>
          <w:tcPr>
            <w:tcW w:w="1325" w:type="dxa"/>
            <w:shd w:val="clear" w:color="auto" w:fill="FFFFFF" w:themeFill="background1"/>
          </w:tcPr>
          <w:p w14:paraId="4D6D0410"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6A41C81B"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78A69C08"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Uncertain</w:t>
            </w:r>
          </w:p>
        </w:tc>
        <w:tc>
          <w:tcPr>
            <w:tcW w:w="1238" w:type="dxa"/>
            <w:shd w:val="clear" w:color="auto" w:fill="FFFFFF" w:themeFill="background1"/>
          </w:tcPr>
          <w:p w14:paraId="2ABCD226"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Uncertain</w:t>
            </w:r>
          </w:p>
        </w:tc>
        <w:tc>
          <w:tcPr>
            <w:tcW w:w="1377" w:type="dxa"/>
            <w:shd w:val="clear" w:color="auto" w:fill="FFFFFF" w:themeFill="background1"/>
          </w:tcPr>
          <w:p w14:paraId="28D6BD5E"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512B968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Uncertain</w:t>
            </w:r>
          </w:p>
        </w:tc>
      </w:tr>
      <w:tr w:rsidR="005A778C" w:rsidRPr="00A60A4E" w14:paraId="1C527CAA" w14:textId="77777777" w:rsidTr="00A60A4E">
        <w:tc>
          <w:tcPr>
            <w:tcW w:w="1800" w:type="dxa"/>
            <w:shd w:val="clear" w:color="auto" w:fill="FFFFFF" w:themeFill="background1"/>
          </w:tcPr>
          <w:p w14:paraId="1FB1CE21"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PROUD</w:t>
            </w:r>
          </w:p>
        </w:tc>
        <w:tc>
          <w:tcPr>
            <w:tcW w:w="1325" w:type="dxa"/>
            <w:shd w:val="clear" w:color="auto" w:fill="FFFFFF" w:themeFill="background1"/>
          </w:tcPr>
          <w:p w14:paraId="033D89DB"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6ADE3D12"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6AD9C351"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Uncertain</w:t>
            </w:r>
          </w:p>
        </w:tc>
        <w:tc>
          <w:tcPr>
            <w:tcW w:w="1238" w:type="dxa"/>
            <w:shd w:val="clear" w:color="auto" w:fill="FFFFFF" w:themeFill="background1"/>
          </w:tcPr>
          <w:p w14:paraId="3F26DAD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Uncertain</w:t>
            </w:r>
          </w:p>
        </w:tc>
        <w:tc>
          <w:tcPr>
            <w:tcW w:w="1377" w:type="dxa"/>
            <w:shd w:val="clear" w:color="auto" w:fill="FFFFFF" w:themeFill="background1"/>
          </w:tcPr>
          <w:p w14:paraId="50A6FB12"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30FAB08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r>
      <w:tr w:rsidR="005A778C" w:rsidRPr="00A60A4E" w14:paraId="5A85EA62" w14:textId="77777777" w:rsidTr="00A60A4E">
        <w:tc>
          <w:tcPr>
            <w:tcW w:w="1800" w:type="dxa"/>
            <w:shd w:val="clear" w:color="auto" w:fill="FFFFFF" w:themeFill="background1"/>
          </w:tcPr>
          <w:p w14:paraId="23854EE4"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TDF2</w:t>
            </w:r>
          </w:p>
        </w:tc>
        <w:tc>
          <w:tcPr>
            <w:tcW w:w="1325" w:type="dxa"/>
            <w:shd w:val="clear" w:color="auto" w:fill="FFFFFF" w:themeFill="background1"/>
          </w:tcPr>
          <w:p w14:paraId="4C303F18"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71F15362"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5218C45F"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1B324E66"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73F66961"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4F35B5A2"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r>
      <w:tr w:rsidR="005A778C" w:rsidRPr="00A60A4E" w14:paraId="72F4B86E" w14:textId="77777777" w:rsidTr="00A60A4E">
        <w:tc>
          <w:tcPr>
            <w:tcW w:w="1800" w:type="dxa"/>
            <w:shd w:val="clear" w:color="auto" w:fill="FFFFFF" w:themeFill="background1"/>
          </w:tcPr>
          <w:p w14:paraId="5E7D85F8" w14:textId="77777777" w:rsidR="005A778C" w:rsidRPr="00A60A4E" w:rsidRDefault="005A778C" w:rsidP="00A60A4E">
            <w:pPr>
              <w:pStyle w:val="NoSpacing"/>
              <w:rPr>
                <w:rFonts w:ascii="Times New Roman" w:hAnsi="Times New Roman" w:cs="Times New Roman"/>
                <w:vertAlign w:val="superscript"/>
              </w:rPr>
            </w:pPr>
            <w:proofErr w:type="spellStart"/>
            <w:r w:rsidRPr="00A60A4E">
              <w:rPr>
                <w:rFonts w:ascii="Times New Roman" w:hAnsi="Times New Roman" w:cs="Times New Roman"/>
              </w:rPr>
              <w:t>VOICE</w:t>
            </w:r>
            <w:r w:rsidRPr="00A60A4E">
              <w:rPr>
                <w:rFonts w:ascii="Times New Roman" w:hAnsi="Times New Roman" w:cs="Times New Roman"/>
                <w:vertAlign w:val="superscript"/>
              </w:rPr>
              <w:t>a</w:t>
            </w:r>
            <w:proofErr w:type="spellEnd"/>
          </w:p>
        </w:tc>
        <w:tc>
          <w:tcPr>
            <w:tcW w:w="1325" w:type="dxa"/>
            <w:shd w:val="clear" w:color="auto" w:fill="FFFFFF" w:themeFill="background1"/>
          </w:tcPr>
          <w:p w14:paraId="1089692B"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02944395"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0CF15E02"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22B03305"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5CA20B71"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4F9DC754"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Uncertain</w:t>
            </w:r>
          </w:p>
        </w:tc>
      </w:tr>
      <w:tr w:rsidR="005A778C" w:rsidRPr="00A60A4E" w14:paraId="162FB8A9" w14:textId="77777777" w:rsidTr="00A60A4E">
        <w:tc>
          <w:tcPr>
            <w:tcW w:w="1800" w:type="dxa"/>
            <w:shd w:val="clear" w:color="auto" w:fill="FFFFFF" w:themeFill="background1"/>
          </w:tcPr>
          <w:p w14:paraId="315448C6" w14:textId="77777777" w:rsidR="005A778C" w:rsidRPr="00A60A4E" w:rsidRDefault="005A778C" w:rsidP="00A60A4E">
            <w:pPr>
              <w:pStyle w:val="NoSpacing"/>
              <w:rPr>
                <w:rFonts w:ascii="Times New Roman" w:hAnsi="Times New Roman" w:cs="Times New Roman"/>
              </w:rPr>
            </w:pPr>
            <w:r w:rsidRPr="00A60A4E">
              <w:rPr>
                <w:rFonts w:ascii="Times New Roman" w:hAnsi="Times New Roman" w:cs="Times New Roman"/>
              </w:rPr>
              <w:t>West Africa Study</w:t>
            </w:r>
          </w:p>
        </w:tc>
        <w:tc>
          <w:tcPr>
            <w:tcW w:w="1325" w:type="dxa"/>
            <w:shd w:val="clear" w:color="auto" w:fill="FFFFFF" w:themeFill="background1"/>
          </w:tcPr>
          <w:p w14:paraId="0978B4AA"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69" w:type="dxa"/>
            <w:shd w:val="clear" w:color="auto" w:fill="FFFFFF" w:themeFill="background1"/>
          </w:tcPr>
          <w:p w14:paraId="76B7A456"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489" w:type="dxa"/>
            <w:shd w:val="clear" w:color="auto" w:fill="FFFFFF" w:themeFill="background1"/>
          </w:tcPr>
          <w:p w14:paraId="7E287B7D"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238" w:type="dxa"/>
            <w:shd w:val="clear" w:color="auto" w:fill="FFFFFF" w:themeFill="background1"/>
          </w:tcPr>
          <w:p w14:paraId="72165B2D"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377" w:type="dxa"/>
            <w:shd w:val="clear" w:color="auto" w:fill="FFFFFF" w:themeFill="background1"/>
          </w:tcPr>
          <w:p w14:paraId="5EB4B56C"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c>
          <w:tcPr>
            <w:tcW w:w="1086" w:type="dxa"/>
            <w:shd w:val="clear" w:color="auto" w:fill="FFFFFF" w:themeFill="background1"/>
          </w:tcPr>
          <w:p w14:paraId="55A0D59D" w14:textId="77777777" w:rsidR="005A778C" w:rsidRPr="00A60A4E" w:rsidRDefault="005A778C" w:rsidP="00A60A4E">
            <w:pPr>
              <w:pStyle w:val="NoSpacing"/>
              <w:jc w:val="center"/>
              <w:rPr>
                <w:rFonts w:ascii="Times New Roman" w:hAnsi="Times New Roman" w:cs="Times New Roman"/>
              </w:rPr>
            </w:pPr>
            <w:r w:rsidRPr="00A60A4E">
              <w:rPr>
                <w:rFonts w:ascii="Times New Roman" w:hAnsi="Times New Roman" w:cs="Times New Roman"/>
              </w:rPr>
              <w:t>Low</w:t>
            </w:r>
          </w:p>
        </w:tc>
      </w:tr>
    </w:tbl>
    <w:p w14:paraId="3FCBEFF4" w14:textId="77777777" w:rsidR="005A778C" w:rsidRPr="00D75CBE" w:rsidRDefault="005A778C" w:rsidP="005A778C">
      <w:pPr>
        <w:pStyle w:val="NoSpacing"/>
        <w:rPr>
          <w:rFonts w:ascii="Times New Roman" w:hAnsi="Times New Roman" w:cs="Times New Roman"/>
          <w:sz w:val="16"/>
        </w:rPr>
      </w:pPr>
      <w:proofErr w:type="spellStart"/>
      <w:r w:rsidRPr="00D75CBE">
        <w:rPr>
          <w:rFonts w:ascii="Times New Roman" w:hAnsi="Times New Roman" w:cs="Times New Roman"/>
          <w:sz w:val="16"/>
          <w:vertAlign w:val="superscript"/>
        </w:rPr>
        <w:t>a</w:t>
      </w:r>
      <w:r w:rsidRPr="00D75CBE">
        <w:rPr>
          <w:rFonts w:ascii="Times New Roman" w:hAnsi="Times New Roman" w:cs="Times New Roman"/>
          <w:sz w:val="16"/>
        </w:rPr>
        <w:t>Studies</w:t>
      </w:r>
      <w:proofErr w:type="spellEnd"/>
      <w:r w:rsidRPr="00D75CBE">
        <w:rPr>
          <w:rFonts w:ascii="Times New Roman" w:hAnsi="Times New Roman" w:cs="Times New Roman"/>
          <w:sz w:val="16"/>
        </w:rPr>
        <w:t xml:space="preserve"> reported less than 40% adherence to the study drug; therefore, there is risk that these studies are not able to fully answer the research questions the studies were designed to answer, including their ability to assess the efficacy of </w:t>
      </w:r>
      <w:proofErr w:type="spellStart"/>
      <w:r w:rsidRPr="00D75CBE">
        <w:rPr>
          <w:rFonts w:ascii="Times New Roman" w:hAnsi="Times New Roman" w:cs="Times New Roman"/>
          <w:sz w:val="16"/>
        </w:rPr>
        <w:t>PrEP.</w:t>
      </w:r>
      <w:proofErr w:type="spellEnd"/>
      <w:r w:rsidRPr="00D75CBE">
        <w:rPr>
          <w:rFonts w:ascii="Times New Roman" w:hAnsi="Times New Roman" w:cs="Times New Roman"/>
          <w:sz w:val="16"/>
        </w:rPr>
        <w:t xml:space="preserve"> However, because no trial demonstrated perfect adherence, this risk is implicit in all trials, but heightened in trials with lowest adherence. </w:t>
      </w:r>
    </w:p>
    <w:p w14:paraId="0DC14533" w14:textId="77777777" w:rsidR="005A778C" w:rsidRDefault="005A778C" w:rsidP="005A778C"/>
    <w:p w14:paraId="4A887C09" w14:textId="77777777" w:rsidR="00DB1C44" w:rsidRDefault="00DB1C44" w:rsidP="0092790E">
      <w:pPr>
        <w:pStyle w:val="NoSpacing"/>
        <w:rPr>
          <w:rFonts w:ascii="Times New Roman" w:hAnsi="Times New Roman" w:cs="Times New Roman"/>
          <w:b/>
          <w:sz w:val="20"/>
          <w:szCs w:val="20"/>
        </w:rPr>
      </w:pPr>
    </w:p>
    <w:p w14:paraId="710B3C2F" w14:textId="77777777" w:rsidR="00DB1C44" w:rsidRDefault="00DB1C44" w:rsidP="0092790E">
      <w:pPr>
        <w:pStyle w:val="NoSpacing"/>
        <w:rPr>
          <w:rFonts w:ascii="Times New Roman" w:hAnsi="Times New Roman" w:cs="Times New Roman"/>
          <w:b/>
          <w:sz w:val="20"/>
          <w:szCs w:val="20"/>
        </w:rPr>
      </w:pPr>
    </w:p>
    <w:p w14:paraId="5710CBE3" w14:textId="77777777" w:rsidR="00DB1C44" w:rsidRDefault="00DB1C44" w:rsidP="0092790E">
      <w:pPr>
        <w:pStyle w:val="NoSpacing"/>
        <w:rPr>
          <w:rFonts w:ascii="Times New Roman" w:hAnsi="Times New Roman" w:cs="Times New Roman"/>
          <w:b/>
          <w:sz w:val="20"/>
          <w:szCs w:val="20"/>
        </w:rPr>
      </w:pPr>
    </w:p>
    <w:p w14:paraId="3A6AA433" w14:textId="77777777" w:rsidR="00DB1C44" w:rsidRDefault="00DB1C44" w:rsidP="0092790E">
      <w:pPr>
        <w:pStyle w:val="NoSpacing"/>
        <w:rPr>
          <w:rFonts w:ascii="Times New Roman" w:hAnsi="Times New Roman" w:cs="Times New Roman"/>
          <w:b/>
          <w:sz w:val="20"/>
          <w:szCs w:val="20"/>
        </w:rPr>
      </w:pPr>
    </w:p>
    <w:p w14:paraId="2829FF1D" w14:textId="77777777" w:rsidR="003C43B0" w:rsidRDefault="003C43B0" w:rsidP="0092790E">
      <w:pPr>
        <w:pStyle w:val="NoSpacing"/>
        <w:rPr>
          <w:rFonts w:ascii="Times New Roman" w:hAnsi="Times New Roman" w:cs="Times New Roman"/>
          <w:b/>
          <w:sz w:val="20"/>
          <w:szCs w:val="20"/>
        </w:rPr>
      </w:pPr>
    </w:p>
    <w:p w14:paraId="6E2CB30E" w14:textId="77777777" w:rsidR="003C43B0" w:rsidRDefault="003C43B0" w:rsidP="0092790E">
      <w:pPr>
        <w:pStyle w:val="NoSpacing"/>
        <w:rPr>
          <w:rFonts w:ascii="Times New Roman" w:hAnsi="Times New Roman" w:cs="Times New Roman"/>
          <w:b/>
          <w:sz w:val="20"/>
          <w:szCs w:val="20"/>
        </w:rPr>
      </w:pPr>
    </w:p>
    <w:p w14:paraId="43DE10C7" w14:textId="77777777" w:rsidR="003C43B0" w:rsidRDefault="003C43B0" w:rsidP="0092790E">
      <w:pPr>
        <w:pStyle w:val="NoSpacing"/>
        <w:rPr>
          <w:rFonts w:ascii="Times New Roman" w:hAnsi="Times New Roman" w:cs="Times New Roman"/>
          <w:b/>
          <w:sz w:val="20"/>
          <w:szCs w:val="20"/>
        </w:rPr>
      </w:pPr>
    </w:p>
    <w:p w14:paraId="39368353" w14:textId="77777777" w:rsidR="003C43B0" w:rsidRDefault="003C43B0" w:rsidP="0092790E">
      <w:pPr>
        <w:pStyle w:val="NoSpacing"/>
        <w:rPr>
          <w:rFonts w:ascii="Times New Roman" w:hAnsi="Times New Roman" w:cs="Times New Roman"/>
          <w:b/>
          <w:sz w:val="20"/>
          <w:szCs w:val="20"/>
        </w:rPr>
      </w:pPr>
    </w:p>
    <w:p w14:paraId="7B58E99B" w14:textId="77777777" w:rsidR="003C43B0" w:rsidRDefault="003C43B0" w:rsidP="0092790E">
      <w:pPr>
        <w:pStyle w:val="NoSpacing"/>
        <w:rPr>
          <w:rFonts w:ascii="Times New Roman" w:hAnsi="Times New Roman" w:cs="Times New Roman"/>
          <w:b/>
          <w:sz w:val="20"/>
          <w:szCs w:val="20"/>
        </w:rPr>
      </w:pPr>
    </w:p>
    <w:p w14:paraId="1D06D313" w14:textId="77777777" w:rsidR="003C43B0" w:rsidRDefault="003C43B0" w:rsidP="0092790E">
      <w:pPr>
        <w:pStyle w:val="NoSpacing"/>
        <w:rPr>
          <w:rFonts w:ascii="Times New Roman" w:hAnsi="Times New Roman" w:cs="Times New Roman"/>
          <w:b/>
          <w:sz w:val="20"/>
          <w:szCs w:val="20"/>
        </w:rPr>
      </w:pPr>
    </w:p>
    <w:p w14:paraId="29DC4BCE" w14:textId="77777777" w:rsidR="00DB1C44" w:rsidRDefault="00DB1C44" w:rsidP="0092790E">
      <w:pPr>
        <w:pStyle w:val="NoSpacing"/>
        <w:rPr>
          <w:rFonts w:ascii="Times New Roman" w:hAnsi="Times New Roman" w:cs="Times New Roman"/>
          <w:b/>
          <w:sz w:val="20"/>
          <w:szCs w:val="20"/>
        </w:rPr>
      </w:pPr>
    </w:p>
    <w:p w14:paraId="0354F7C1" w14:textId="77777777" w:rsidR="00DB1C44" w:rsidRDefault="00DB1C44" w:rsidP="0092790E">
      <w:pPr>
        <w:pStyle w:val="NoSpacing"/>
        <w:rPr>
          <w:rFonts w:ascii="Times New Roman" w:hAnsi="Times New Roman" w:cs="Times New Roman"/>
          <w:b/>
          <w:sz w:val="20"/>
          <w:szCs w:val="20"/>
        </w:rPr>
      </w:pPr>
    </w:p>
    <w:p w14:paraId="6DB15963" w14:textId="77777777" w:rsidR="00DB1C44" w:rsidRDefault="00DB1C44" w:rsidP="0092790E">
      <w:pPr>
        <w:pStyle w:val="NoSpacing"/>
        <w:rPr>
          <w:rFonts w:ascii="Times New Roman" w:hAnsi="Times New Roman" w:cs="Times New Roman"/>
          <w:b/>
          <w:sz w:val="20"/>
          <w:szCs w:val="20"/>
        </w:rPr>
      </w:pPr>
    </w:p>
    <w:p w14:paraId="47BF2699" w14:textId="77777777" w:rsidR="00DB1C44" w:rsidRDefault="00DB1C44" w:rsidP="0092790E">
      <w:pPr>
        <w:pStyle w:val="NoSpacing"/>
        <w:rPr>
          <w:rFonts w:ascii="Times New Roman" w:hAnsi="Times New Roman" w:cs="Times New Roman"/>
          <w:b/>
          <w:sz w:val="20"/>
          <w:szCs w:val="20"/>
        </w:rPr>
      </w:pPr>
    </w:p>
    <w:p w14:paraId="0B38A143" w14:textId="77777777" w:rsidR="00DB1C44" w:rsidRDefault="00DB1C44" w:rsidP="0092790E">
      <w:pPr>
        <w:pStyle w:val="NoSpacing"/>
        <w:rPr>
          <w:rFonts w:ascii="Times New Roman" w:hAnsi="Times New Roman" w:cs="Times New Roman"/>
          <w:b/>
          <w:sz w:val="20"/>
          <w:szCs w:val="20"/>
        </w:rPr>
      </w:pPr>
    </w:p>
    <w:p w14:paraId="168F4D7A" w14:textId="77777777" w:rsidR="00DB1C44" w:rsidRDefault="00DB1C44" w:rsidP="0092790E">
      <w:pPr>
        <w:pStyle w:val="NoSpacing"/>
        <w:rPr>
          <w:rFonts w:ascii="Times New Roman" w:hAnsi="Times New Roman" w:cs="Times New Roman"/>
          <w:b/>
          <w:sz w:val="20"/>
          <w:szCs w:val="20"/>
        </w:rPr>
      </w:pPr>
    </w:p>
    <w:p w14:paraId="129BF566" w14:textId="77777777" w:rsidR="0092790E" w:rsidRPr="003C43B0" w:rsidRDefault="0092790E" w:rsidP="003C43B0">
      <w:pPr>
        <w:pStyle w:val="Heading1"/>
        <w:rPr>
          <w:rFonts w:ascii="Times New Roman" w:hAnsi="Times New Roman" w:cs="Times New Roman"/>
          <w:sz w:val="24"/>
        </w:rPr>
      </w:pPr>
      <w:bookmarkStart w:id="2" w:name="_Toc445111847"/>
      <w:proofErr w:type="gramStart"/>
      <w:r w:rsidRPr="003C43B0">
        <w:rPr>
          <w:rFonts w:ascii="Times New Roman" w:hAnsi="Times New Roman" w:cs="Times New Roman"/>
          <w:sz w:val="24"/>
          <w:szCs w:val="20"/>
        </w:rPr>
        <w:lastRenderedPageBreak/>
        <w:t>Figure 1S.</w:t>
      </w:r>
      <w:proofErr w:type="gramEnd"/>
      <w:r w:rsidRPr="003C43B0">
        <w:rPr>
          <w:rFonts w:ascii="Times New Roman" w:hAnsi="Times New Roman" w:cs="Times New Roman"/>
          <w:sz w:val="24"/>
        </w:rPr>
        <w:t xml:space="preserve"> Forest plot for overall analysis of PrEP and HIV Infection</w:t>
      </w:r>
      <w:bookmarkEnd w:id="2"/>
    </w:p>
    <w:p w14:paraId="042206C0" w14:textId="77777777" w:rsidR="0092790E" w:rsidRDefault="00DB1C44" w:rsidP="005A778C">
      <w:pPr>
        <w:pStyle w:val="NoSpacing"/>
        <w:rPr>
          <w:rFonts w:ascii="Times New Roman" w:hAnsi="Times New Roman" w:cs="Times New Roman"/>
          <w:b/>
          <w:sz w:val="20"/>
          <w:szCs w:val="20"/>
        </w:rPr>
      </w:pPr>
      <w:r>
        <w:rPr>
          <w:noProof/>
        </w:rPr>
        <mc:AlternateContent>
          <mc:Choice Requires="wps">
            <w:drawing>
              <wp:anchor distT="0" distB="0" distL="114300" distR="114300" simplePos="0" relativeHeight="251661312" behindDoc="0" locked="0" layoutInCell="1" allowOverlap="1" wp14:anchorId="15B82447" wp14:editId="54546712">
                <wp:simplePos x="0" y="0"/>
                <wp:positionH relativeFrom="column">
                  <wp:posOffset>4760595</wp:posOffset>
                </wp:positionH>
                <wp:positionV relativeFrom="paragraph">
                  <wp:posOffset>1794510</wp:posOffset>
                </wp:positionV>
                <wp:extent cx="965835" cy="275590"/>
                <wp:effectExtent l="0" t="0" r="24765" b="10160"/>
                <wp:wrapNone/>
                <wp:docPr id="3" name="Text Box 3"/>
                <wp:cNvGraphicFramePr/>
                <a:graphic xmlns:a="http://schemas.openxmlformats.org/drawingml/2006/main">
                  <a:graphicData uri="http://schemas.microsoft.com/office/word/2010/wordprocessingShape">
                    <wps:wsp>
                      <wps:cNvSpPr txBox="1"/>
                      <wps:spPr>
                        <a:xfrm>
                          <a:off x="0" y="0"/>
                          <a:ext cx="965835"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AEF703" w14:textId="77777777" w:rsidR="00BD1A84" w:rsidRPr="00DB1C44" w:rsidRDefault="00BD1A84" w:rsidP="00DB1C44">
                            <w:pPr>
                              <w:rPr>
                                <w:rFonts w:ascii="Times New Roman" w:hAnsi="Times New Roman" w:cs="Times New Roman"/>
                                <w:sz w:val="18"/>
                              </w:rPr>
                            </w:pPr>
                            <w:r w:rsidRPr="00DB1C44">
                              <w:rPr>
                                <w:rFonts w:ascii="Times New Roman" w:hAnsi="Times New Roman" w:cs="Times New Roman"/>
                                <w:sz w:val="18"/>
                              </w:rPr>
                              <w:t>Favors P</w:t>
                            </w:r>
                            <w:r>
                              <w:rPr>
                                <w:rFonts w:ascii="Times New Roman" w:hAnsi="Times New Roman" w:cs="Times New Roman"/>
                                <w:sz w:val="18"/>
                              </w:rPr>
                              <w:t>lacebo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4.85pt;margin-top:141.3pt;width:76.0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" fillcolor="white [3201]" strokecolor="white [3212]" strokeweight=".5pt">
                <v:textbox>
                  <w:txbxContent>
                    <w:p w14:paraId="76AEF703" w14:textId="77777777" w:rsidR="00BD1A84" w:rsidRPr="00DB1C44" w:rsidRDefault="00BD1A84" w:rsidP="00DB1C44">
                      <w:pPr>
                        <w:rPr>
                          <w:rFonts w:ascii="Times New Roman" w:hAnsi="Times New Roman" w:cs="Times New Roman"/>
                          <w:sz w:val="18"/>
                        </w:rPr>
                      </w:pPr>
                      <w:r w:rsidRPr="00DB1C44">
                        <w:rPr>
                          <w:rFonts w:ascii="Times New Roman" w:hAnsi="Times New Roman" w:cs="Times New Roman"/>
                          <w:sz w:val="18"/>
                        </w:rPr>
                        <w:t>Favors P</w:t>
                      </w:r>
                      <w:r>
                        <w:rPr>
                          <w:rFonts w:ascii="Times New Roman" w:hAnsi="Times New Roman" w:cs="Times New Roman"/>
                          <w:sz w:val="18"/>
                        </w:rPr>
                        <w:t>lacebo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5030EFB" wp14:editId="21628D2D">
                <wp:simplePos x="0" y="0"/>
                <wp:positionH relativeFrom="column">
                  <wp:posOffset>3855720</wp:posOffset>
                </wp:positionH>
                <wp:positionV relativeFrom="paragraph">
                  <wp:posOffset>1795612</wp:posOffset>
                </wp:positionV>
                <wp:extent cx="845185" cy="275590"/>
                <wp:effectExtent l="0" t="0" r="12065" b="10160"/>
                <wp:wrapNone/>
                <wp:docPr id="1" name="Text Box 1"/>
                <wp:cNvGraphicFramePr/>
                <a:graphic xmlns:a="http://schemas.openxmlformats.org/drawingml/2006/main">
                  <a:graphicData uri="http://schemas.microsoft.com/office/word/2010/wordprocessingShape">
                    <wps:wsp>
                      <wps:cNvSpPr txBox="1"/>
                      <wps:spPr>
                        <a:xfrm>
                          <a:off x="0" y="0"/>
                          <a:ext cx="845185"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E7E61B" w14:textId="77777777" w:rsidR="00BD1A84" w:rsidRPr="00DB1C44" w:rsidRDefault="00BD1A84">
                            <w:pPr>
                              <w:rPr>
                                <w:rFonts w:ascii="Times New Roman" w:hAnsi="Times New Roman" w:cs="Times New Roman"/>
                                <w:sz w:val="18"/>
                              </w:rPr>
                            </w:pPr>
                            <w:r w:rsidRPr="00DB1C44">
                              <w:rPr>
                                <w:rFonts w:ascii="Times New Roman" w:hAnsi="Times New Roman" w:cs="Times New Roman"/>
                                <w:sz w:val="18"/>
                              </w:rPr>
                              <w:t>Favors PrEP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03.6pt;margin-top:141.4pt;width:66.5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" fillcolor="white [3201]" strokecolor="white [3212]" strokeweight=".5pt">
                <v:textbox>
                  <w:txbxContent>
                    <w:p w14:paraId="0FE7E61B" w14:textId="77777777" w:rsidR="00BD1A84" w:rsidRPr="00DB1C44" w:rsidRDefault="00BD1A84">
                      <w:pPr>
                        <w:rPr>
                          <w:rFonts w:ascii="Times New Roman" w:hAnsi="Times New Roman" w:cs="Times New Roman"/>
                          <w:sz w:val="18"/>
                        </w:rPr>
                      </w:pPr>
                      <w:r w:rsidRPr="00DB1C44">
                        <w:rPr>
                          <w:rFonts w:ascii="Times New Roman" w:hAnsi="Times New Roman" w:cs="Times New Roman"/>
                          <w:sz w:val="18"/>
                        </w:rPr>
                        <w:t>Favors PrEP</w:t>
                      </w:r>
                    </w:p>
                  </w:txbxContent>
                </v:textbox>
              </v:shape>
            </w:pict>
          </mc:Fallback>
        </mc:AlternateContent>
      </w:r>
      <w:r w:rsidR="0092790E" w:rsidRPr="005D01B2">
        <w:rPr>
          <w:noProof/>
        </w:rPr>
        <w:drawing>
          <wp:inline distT="0" distB="0" distL="0" distR="0" wp14:anchorId="5CCEB097" wp14:editId="0059885F">
            <wp:extent cx="5943600" cy="2144395"/>
            <wp:effectExtent l="0" t="0" r="0" b="8255"/>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Grp="1" noChangeAspect="1" noChangeArrowheads="1"/>
                    </pic:cNvPicPr>
                  </pic:nvPicPr>
                  <pic:blipFill rotWithShape="1">
                    <a:blip r:embed="rId6">
                      <a:extLst>
                        <a:ext uri="{28A0092B-C50C-407E-A947-70E740481C1C}">
                          <a14:useLocalDpi xmlns:a14="http://schemas.microsoft.com/office/drawing/2010/main" val="0"/>
                        </a:ext>
                      </a:extLst>
                    </a:blip>
                    <a:srcRect l="6567" t="12159" r="6544" b="43921"/>
                    <a:stretch/>
                  </pic:blipFill>
                  <pic:spPr bwMode="auto">
                    <a:xfrm>
                      <a:off x="0" y="0"/>
                      <a:ext cx="5943600" cy="2144395"/>
                    </a:xfrm>
                    <a:prstGeom prst="rect">
                      <a:avLst/>
                    </a:prstGeom>
                    <a:noFill/>
                    <a:ln>
                      <a:noFill/>
                    </a:ln>
                    <a:effectLst/>
                    <a:extLst/>
                  </pic:spPr>
                </pic:pic>
              </a:graphicData>
            </a:graphic>
          </wp:inline>
        </w:drawing>
      </w:r>
    </w:p>
    <w:p w14:paraId="2869AC2C" w14:textId="77777777" w:rsidR="005A778C" w:rsidRDefault="005A778C" w:rsidP="005A778C">
      <w:pPr>
        <w:pStyle w:val="NoSpacing"/>
        <w:rPr>
          <w:rFonts w:ascii="Times New Roman" w:hAnsi="Times New Roman" w:cs="Times New Roman"/>
          <w:b/>
          <w:sz w:val="20"/>
          <w:szCs w:val="20"/>
        </w:rPr>
      </w:pPr>
    </w:p>
    <w:p w14:paraId="78FEE534" w14:textId="77777777" w:rsidR="005A778C" w:rsidRDefault="005A778C" w:rsidP="005A778C">
      <w:pPr>
        <w:pStyle w:val="NoSpacing"/>
        <w:rPr>
          <w:rFonts w:ascii="Times New Roman" w:hAnsi="Times New Roman" w:cs="Times New Roman"/>
          <w:b/>
          <w:sz w:val="20"/>
          <w:szCs w:val="20"/>
        </w:rPr>
      </w:pPr>
    </w:p>
    <w:p w14:paraId="65ABF832" w14:textId="77777777" w:rsidR="005A778C" w:rsidRDefault="005A778C" w:rsidP="005A778C">
      <w:pPr>
        <w:pStyle w:val="NoSpacing"/>
        <w:rPr>
          <w:rFonts w:ascii="Times New Roman" w:hAnsi="Times New Roman" w:cs="Times New Roman"/>
          <w:b/>
          <w:sz w:val="20"/>
          <w:szCs w:val="20"/>
        </w:rPr>
      </w:pPr>
    </w:p>
    <w:p w14:paraId="115D7D32" w14:textId="77777777" w:rsidR="005A778C" w:rsidRDefault="005A778C" w:rsidP="005A778C">
      <w:pPr>
        <w:pStyle w:val="NoSpacing"/>
        <w:rPr>
          <w:rFonts w:ascii="Times New Roman" w:hAnsi="Times New Roman" w:cs="Times New Roman"/>
          <w:b/>
          <w:sz w:val="20"/>
          <w:szCs w:val="20"/>
        </w:rPr>
      </w:pPr>
    </w:p>
    <w:p w14:paraId="4A989146" w14:textId="77777777" w:rsidR="005A778C" w:rsidRDefault="005A778C" w:rsidP="005A778C">
      <w:pPr>
        <w:pStyle w:val="NoSpacing"/>
        <w:rPr>
          <w:rFonts w:ascii="Times New Roman" w:hAnsi="Times New Roman" w:cs="Times New Roman"/>
          <w:b/>
          <w:sz w:val="20"/>
          <w:szCs w:val="20"/>
        </w:rPr>
      </w:pPr>
    </w:p>
    <w:p w14:paraId="5A0A076A" w14:textId="77777777" w:rsidR="005A778C" w:rsidRDefault="005A778C" w:rsidP="005A778C">
      <w:pPr>
        <w:pStyle w:val="NoSpacing"/>
        <w:rPr>
          <w:rFonts w:ascii="Times New Roman" w:hAnsi="Times New Roman" w:cs="Times New Roman"/>
          <w:b/>
          <w:sz w:val="20"/>
          <w:szCs w:val="20"/>
        </w:rPr>
      </w:pPr>
    </w:p>
    <w:p w14:paraId="4DCB574E" w14:textId="77777777" w:rsidR="005A778C" w:rsidRDefault="005A778C" w:rsidP="005A778C">
      <w:pPr>
        <w:pStyle w:val="NoSpacing"/>
        <w:rPr>
          <w:rFonts w:ascii="Times New Roman" w:hAnsi="Times New Roman" w:cs="Times New Roman"/>
          <w:b/>
          <w:sz w:val="20"/>
          <w:szCs w:val="20"/>
        </w:rPr>
      </w:pPr>
    </w:p>
    <w:p w14:paraId="0CE13776" w14:textId="77777777" w:rsidR="00DB1C44" w:rsidRDefault="00DB1C44" w:rsidP="005A778C">
      <w:pPr>
        <w:pStyle w:val="NoSpacing"/>
        <w:rPr>
          <w:rFonts w:ascii="Times New Roman" w:hAnsi="Times New Roman" w:cs="Times New Roman"/>
          <w:b/>
          <w:sz w:val="20"/>
          <w:szCs w:val="20"/>
        </w:rPr>
      </w:pPr>
    </w:p>
    <w:p w14:paraId="37196177" w14:textId="77777777" w:rsidR="00DB1C44" w:rsidRDefault="00DB1C44" w:rsidP="005A778C">
      <w:pPr>
        <w:pStyle w:val="NoSpacing"/>
        <w:rPr>
          <w:rFonts w:ascii="Times New Roman" w:hAnsi="Times New Roman" w:cs="Times New Roman"/>
          <w:b/>
          <w:sz w:val="20"/>
          <w:szCs w:val="20"/>
        </w:rPr>
      </w:pPr>
    </w:p>
    <w:p w14:paraId="63BCE387" w14:textId="77777777" w:rsidR="00DB1C44" w:rsidRDefault="00DB1C44" w:rsidP="005A778C">
      <w:pPr>
        <w:pStyle w:val="NoSpacing"/>
        <w:rPr>
          <w:rFonts w:ascii="Times New Roman" w:hAnsi="Times New Roman" w:cs="Times New Roman"/>
          <w:b/>
          <w:sz w:val="20"/>
          <w:szCs w:val="20"/>
        </w:rPr>
      </w:pPr>
    </w:p>
    <w:p w14:paraId="60718EF4" w14:textId="77777777" w:rsidR="00DB1C44" w:rsidRDefault="00DB1C44" w:rsidP="005A778C">
      <w:pPr>
        <w:pStyle w:val="NoSpacing"/>
        <w:rPr>
          <w:rFonts w:ascii="Times New Roman" w:hAnsi="Times New Roman" w:cs="Times New Roman"/>
          <w:b/>
          <w:sz w:val="20"/>
          <w:szCs w:val="20"/>
        </w:rPr>
      </w:pPr>
    </w:p>
    <w:p w14:paraId="7F860978" w14:textId="77777777" w:rsidR="00DB1C44" w:rsidRDefault="00DB1C44" w:rsidP="005A778C">
      <w:pPr>
        <w:pStyle w:val="NoSpacing"/>
        <w:rPr>
          <w:rFonts w:ascii="Times New Roman" w:hAnsi="Times New Roman" w:cs="Times New Roman"/>
          <w:b/>
          <w:sz w:val="20"/>
          <w:szCs w:val="20"/>
        </w:rPr>
      </w:pPr>
    </w:p>
    <w:p w14:paraId="542630D6" w14:textId="77777777" w:rsidR="00DB1C44" w:rsidRDefault="00DB1C44" w:rsidP="005A778C">
      <w:pPr>
        <w:pStyle w:val="NoSpacing"/>
        <w:rPr>
          <w:rFonts w:ascii="Times New Roman" w:hAnsi="Times New Roman" w:cs="Times New Roman"/>
          <w:b/>
          <w:sz w:val="20"/>
          <w:szCs w:val="20"/>
        </w:rPr>
      </w:pPr>
    </w:p>
    <w:p w14:paraId="582C5F7A" w14:textId="77777777" w:rsidR="00DB1C44" w:rsidRDefault="00DB1C44" w:rsidP="005A778C">
      <w:pPr>
        <w:pStyle w:val="NoSpacing"/>
        <w:rPr>
          <w:rFonts w:ascii="Times New Roman" w:hAnsi="Times New Roman" w:cs="Times New Roman"/>
          <w:b/>
          <w:sz w:val="20"/>
          <w:szCs w:val="20"/>
        </w:rPr>
      </w:pPr>
    </w:p>
    <w:p w14:paraId="3957AE14" w14:textId="77777777" w:rsidR="00DB1C44" w:rsidRDefault="00DB1C44" w:rsidP="005A778C">
      <w:pPr>
        <w:pStyle w:val="NoSpacing"/>
        <w:rPr>
          <w:rFonts w:ascii="Times New Roman" w:hAnsi="Times New Roman" w:cs="Times New Roman"/>
          <w:b/>
          <w:sz w:val="20"/>
          <w:szCs w:val="20"/>
        </w:rPr>
      </w:pPr>
    </w:p>
    <w:p w14:paraId="73BDF82C" w14:textId="77777777" w:rsidR="00DB1C44" w:rsidRDefault="00DB1C44" w:rsidP="005A778C">
      <w:pPr>
        <w:pStyle w:val="NoSpacing"/>
        <w:rPr>
          <w:rFonts w:ascii="Times New Roman" w:hAnsi="Times New Roman" w:cs="Times New Roman"/>
          <w:b/>
          <w:sz w:val="20"/>
          <w:szCs w:val="20"/>
        </w:rPr>
      </w:pPr>
    </w:p>
    <w:p w14:paraId="59E6B80E" w14:textId="77777777" w:rsidR="00DB1C44" w:rsidRDefault="00DB1C44" w:rsidP="005A778C">
      <w:pPr>
        <w:pStyle w:val="NoSpacing"/>
        <w:rPr>
          <w:rFonts w:ascii="Times New Roman" w:hAnsi="Times New Roman" w:cs="Times New Roman"/>
          <w:b/>
          <w:sz w:val="20"/>
          <w:szCs w:val="20"/>
        </w:rPr>
      </w:pPr>
    </w:p>
    <w:p w14:paraId="032FC589" w14:textId="77777777" w:rsidR="00DB1C44" w:rsidRDefault="00DB1C44" w:rsidP="005A778C">
      <w:pPr>
        <w:pStyle w:val="NoSpacing"/>
        <w:rPr>
          <w:rFonts w:ascii="Times New Roman" w:hAnsi="Times New Roman" w:cs="Times New Roman"/>
          <w:b/>
          <w:sz w:val="20"/>
          <w:szCs w:val="20"/>
        </w:rPr>
      </w:pPr>
    </w:p>
    <w:p w14:paraId="5AB9C114" w14:textId="77777777" w:rsidR="00DB1C44" w:rsidRDefault="00DB1C44" w:rsidP="005A778C">
      <w:pPr>
        <w:pStyle w:val="NoSpacing"/>
        <w:rPr>
          <w:rFonts w:ascii="Times New Roman" w:hAnsi="Times New Roman" w:cs="Times New Roman"/>
          <w:b/>
          <w:sz w:val="20"/>
          <w:szCs w:val="20"/>
        </w:rPr>
      </w:pPr>
    </w:p>
    <w:p w14:paraId="233111D5" w14:textId="77777777" w:rsidR="00DB1C44" w:rsidRDefault="00DB1C44" w:rsidP="005A778C">
      <w:pPr>
        <w:pStyle w:val="NoSpacing"/>
        <w:rPr>
          <w:rFonts w:ascii="Times New Roman" w:hAnsi="Times New Roman" w:cs="Times New Roman"/>
          <w:b/>
          <w:sz w:val="20"/>
          <w:szCs w:val="20"/>
        </w:rPr>
      </w:pPr>
    </w:p>
    <w:p w14:paraId="2C85E2A2" w14:textId="77777777" w:rsidR="00DB1C44" w:rsidRDefault="00DB1C44" w:rsidP="005A778C">
      <w:pPr>
        <w:pStyle w:val="NoSpacing"/>
        <w:rPr>
          <w:rFonts w:ascii="Times New Roman" w:hAnsi="Times New Roman" w:cs="Times New Roman"/>
          <w:b/>
          <w:sz w:val="20"/>
          <w:szCs w:val="20"/>
        </w:rPr>
      </w:pPr>
    </w:p>
    <w:p w14:paraId="27543AEB" w14:textId="77777777" w:rsidR="00DB1C44" w:rsidRDefault="00DB1C44" w:rsidP="005A778C">
      <w:pPr>
        <w:pStyle w:val="NoSpacing"/>
        <w:rPr>
          <w:rFonts w:ascii="Times New Roman" w:hAnsi="Times New Roman" w:cs="Times New Roman"/>
          <w:b/>
          <w:sz w:val="20"/>
          <w:szCs w:val="20"/>
        </w:rPr>
      </w:pPr>
    </w:p>
    <w:p w14:paraId="65650995" w14:textId="77777777" w:rsidR="00DB1C44" w:rsidRDefault="00DB1C44" w:rsidP="005A778C">
      <w:pPr>
        <w:pStyle w:val="NoSpacing"/>
        <w:rPr>
          <w:rFonts w:ascii="Times New Roman" w:hAnsi="Times New Roman" w:cs="Times New Roman"/>
          <w:b/>
          <w:sz w:val="20"/>
          <w:szCs w:val="20"/>
        </w:rPr>
      </w:pPr>
    </w:p>
    <w:p w14:paraId="702D8C84" w14:textId="77777777" w:rsidR="00DB1C44" w:rsidRDefault="00DB1C44" w:rsidP="005A778C">
      <w:pPr>
        <w:pStyle w:val="NoSpacing"/>
        <w:rPr>
          <w:rFonts w:ascii="Times New Roman" w:hAnsi="Times New Roman" w:cs="Times New Roman"/>
          <w:b/>
          <w:sz w:val="20"/>
          <w:szCs w:val="20"/>
        </w:rPr>
      </w:pPr>
    </w:p>
    <w:p w14:paraId="1E7499AB" w14:textId="77777777" w:rsidR="00DB1C44" w:rsidRDefault="00DB1C44" w:rsidP="005A778C">
      <w:pPr>
        <w:pStyle w:val="NoSpacing"/>
        <w:rPr>
          <w:rFonts w:ascii="Times New Roman" w:hAnsi="Times New Roman" w:cs="Times New Roman"/>
          <w:b/>
          <w:sz w:val="20"/>
          <w:szCs w:val="20"/>
        </w:rPr>
      </w:pPr>
    </w:p>
    <w:p w14:paraId="7A37F661" w14:textId="77777777" w:rsidR="00DB1C44" w:rsidRDefault="00DB1C44" w:rsidP="005A778C">
      <w:pPr>
        <w:pStyle w:val="NoSpacing"/>
        <w:rPr>
          <w:rFonts w:ascii="Times New Roman" w:hAnsi="Times New Roman" w:cs="Times New Roman"/>
          <w:b/>
          <w:sz w:val="20"/>
          <w:szCs w:val="20"/>
        </w:rPr>
      </w:pPr>
    </w:p>
    <w:p w14:paraId="4FF3EF75" w14:textId="77777777" w:rsidR="00DB1C44" w:rsidRDefault="00DB1C44" w:rsidP="005A778C">
      <w:pPr>
        <w:pStyle w:val="NoSpacing"/>
        <w:rPr>
          <w:rFonts w:ascii="Times New Roman" w:hAnsi="Times New Roman" w:cs="Times New Roman"/>
          <w:b/>
          <w:sz w:val="20"/>
          <w:szCs w:val="20"/>
        </w:rPr>
      </w:pPr>
    </w:p>
    <w:p w14:paraId="5C363E09" w14:textId="77777777" w:rsidR="00DB1C44" w:rsidRDefault="00DB1C44" w:rsidP="005A778C">
      <w:pPr>
        <w:pStyle w:val="NoSpacing"/>
        <w:rPr>
          <w:rFonts w:ascii="Times New Roman" w:hAnsi="Times New Roman" w:cs="Times New Roman"/>
          <w:b/>
          <w:sz w:val="20"/>
          <w:szCs w:val="20"/>
        </w:rPr>
      </w:pPr>
    </w:p>
    <w:p w14:paraId="27F6B3A4" w14:textId="77777777" w:rsidR="00DB1C44" w:rsidRDefault="00DB1C44" w:rsidP="005A778C">
      <w:pPr>
        <w:pStyle w:val="NoSpacing"/>
        <w:rPr>
          <w:rFonts w:ascii="Times New Roman" w:hAnsi="Times New Roman" w:cs="Times New Roman"/>
          <w:b/>
          <w:sz w:val="20"/>
          <w:szCs w:val="20"/>
        </w:rPr>
      </w:pPr>
    </w:p>
    <w:p w14:paraId="3E566249" w14:textId="77777777" w:rsidR="00DB1C44" w:rsidRDefault="00DB1C44" w:rsidP="005A778C">
      <w:pPr>
        <w:pStyle w:val="NoSpacing"/>
        <w:rPr>
          <w:rFonts w:ascii="Times New Roman" w:hAnsi="Times New Roman" w:cs="Times New Roman"/>
          <w:b/>
          <w:sz w:val="20"/>
          <w:szCs w:val="20"/>
        </w:rPr>
      </w:pPr>
    </w:p>
    <w:p w14:paraId="13055DD8" w14:textId="77777777" w:rsidR="00DB1C44" w:rsidRDefault="00DB1C44" w:rsidP="005A778C">
      <w:pPr>
        <w:pStyle w:val="NoSpacing"/>
        <w:rPr>
          <w:rFonts w:ascii="Times New Roman" w:hAnsi="Times New Roman" w:cs="Times New Roman"/>
          <w:b/>
          <w:sz w:val="20"/>
          <w:szCs w:val="20"/>
        </w:rPr>
      </w:pPr>
    </w:p>
    <w:p w14:paraId="4FEDDA58" w14:textId="77777777" w:rsidR="00DB1C44" w:rsidRDefault="00DB1C44" w:rsidP="005A778C">
      <w:pPr>
        <w:pStyle w:val="NoSpacing"/>
        <w:rPr>
          <w:rFonts w:ascii="Times New Roman" w:hAnsi="Times New Roman" w:cs="Times New Roman"/>
          <w:b/>
          <w:sz w:val="20"/>
          <w:szCs w:val="20"/>
        </w:rPr>
      </w:pPr>
    </w:p>
    <w:p w14:paraId="72DE489E" w14:textId="77777777" w:rsidR="00DB1C44" w:rsidRDefault="00DB1C44" w:rsidP="005A778C">
      <w:pPr>
        <w:pStyle w:val="NoSpacing"/>
        <w:rPr>
          <w:rFonts w:ascii="Times New Roman" w:hAnsi="Times New Roman" w:cs="Times New Roman"/>
          <w:b/>
          <w:sz w:val="20"/>
          <w:szCs w:val="20"/>
        </w:rPr>
      </w:pPr>
    </w:p>
    <w:p w14:paraId="5494CFC1" w14:textId="77777777" w:rsidR="00DB1C44" w:rsidRDefault="00DB1C44" w:rsidP="005A778C">
      <w:pPr>
        <w:pStyle w:val="NoSpacing"/>
        <w:rPr>
          <w:rFonts w:ascii="Times New Roman" w:hAnsi="Times New Roman" w:cs="Times New Roman"/>
          <w:b/>
          <w:sz w:val="20"/>
          <w:szCs w:val="20"/>
        </w:rPr>
      </w:pPr>
    </w:p>
    <w:p w14:paraId="6BF310C7" w14:textId="77777777" w:rsidR="00DB1C44" w:rsidRDefault="00DB1C44" w:rsidP="005A778C">
      <w:pPr>
        <w:pStyle w:val="NoSpacing"/>
        <w:rPr>
          <w:rFonts w:ascii="Times New Roman" w:hAnsi="Times New Roman" w:cs="Times New Roman"/>
          <w:b/>
          <w:sz w:val="20"/>
          <w:szCs w:val="20"/>
        </w:rPr>
      </w:pPr>
    </w:p>
    <w:p w14:paraId="66D7912F" w14:textId="77777777" w:rsidR="00DB1C44" w:rsidRDefault="00DB1C44" w:rsidP="005A778C">
      <w:pPr>
        <w:pStyle w:val="NoSpacing"/>
        <w:rPr>
          <w:rFonts w:ascii="Times New Roman" w:hAnsi="Times New Roman" w:cs="Times New Roman"/>
          <w:b/>
          <w:sz w:val="20"/>
          <w:szCs w:val="20"/>
        </w:rPr>
      </w:pPr>
    </w:p>
    <w:p w14:paraId="76E9B1AE" w14:textId="77777777" w:rsidR="00DB1C44" w:rsidRDefault="00DB1C44" w:rsidP="005A778C">
      <w:pPr>
        <w:pStyle w:val="NoSpacing"/>
        <w:rPr>
          <w:rFonts w:ascii="Times New Roman" w:hAnsi="Times New Roman" w:cs="Times New Roman"/>
          <w:b/>
          <w:sz w:val="20"/>
          <w:szCs w:val="20"/>
        </w:rPr>
      </w:pPr>
    </w:p>
    <w:p w14:paraId="7E5258D8" w14:textId="77777777" w:rsidR="00DB1C44" w:rsidRDefault="00DB1C44" w:rsidP="005A778C">
      <w:pPr>
        <w:pStyle w:val="NoSpacing"/>
        <w:rPr>
          <w:rFonts w:ascii="Times New Roman" w:hAnsi="Times New Roman" w:cs="Times New Roman"/>
          <w:b/>
          <w:sz w:val="20"/>
          <w:szCs w:val="20"/>
        </w:rPr>
      </w:pPr>
    </w:p>
    <w:p w14:paraId="38274164" w14:textId="77777777" w:rsidR="005A778C" w:rsidRDefault="005A778C" w:rsidP="005A778C">
      <w:pPr>
        <w:pStyle w:val="NoSpacing"/>
        <w:rPr>
          <w:rFonts w:ascii="Times New Roman" w:hAnsi="Times New Roman" w:cs="Times New Roman"/>
          <w:b/>
          <w:sz w:val="20"/>
          <w:szCs w:val="20"/>
        </w:rPr>
      </w:pPr>
    </w:p>
    <w:p w14:paraId="55047AF5" w14:textId="77777777" w:rsidR="005A778C" w:rsidRPr="003C43B0" w:rsidRDefault="0092790E" w:rsidP="003C43B0">
      <w:pPr>
        <w:pStyle w:val="Heading1"/>
        <w:rPr>
          <w:rFonts w:ascii="Times New Roman" w:hAnsi="Times New Roman" w:cs="Times New Roman"/>
          <w:sz w:val="24"/>
        </w:rPr>
      </w:pPr>
      <w:bookmarkStart w:id="3" w:name="_Toc445111848"/>
      <w:proofErr w:type="gramStart"/>
      <w:r w:rsidRPr="003C43B0">
        <w:rPr>
          <w:rFonts w:ascii="Times New Roman" w:hAnsi="Times New Roman" w:cs="Times New Roman"/>
          <w:sz w:val="24"/>
        </w:rPr>
        <w:lastRenderedPageBreak/>
        <w:t>T</w:t>
      </w:r>
      <w:r w:rsidR="005A778C" w:rsidRPr="003C43B0">
        <w:rPr>
          <w:rFonts w:ascii="Times New Roman" w:hAnsi="Times New Roman" w:cs="Times New Roman"/>
          <w:sz w:val="24"/>
        </w:rPr>
        <w:t>able 2S</w:t>
      </w:r>
      <w:r w:rsidR="009C229E" w:rsidRPr="003C43B0">
        <w:rPr>
          <w:rFonts w:ascii="Times New Roman" w:hAnsi="Times New Roman" w:cs="Times New Roman"/>
          <w:sz w:val="24"/>
        </w:rPr>
        <w:t>.</w:t>
      </w:r>
      <w:proofErr w:type="gramEnd"/>
      <w:r w:rsidR="005A778C" w:rsidRPr="003C43B0">
        <w:rPr>
          <w:rFonts w:ascii="Times New Roman" w:hAnsi="Times New Roman" w:cs="Times New Roman"/>
          <w:sz w:val="24"/>
        </w:rPr>
        <w:t xml:space="preserve"> Drug resistant mutations identified in each study among </w:t>
      </w:r>
      <w:proofErr w:type="spellStart"/>
      <w:r w:rsidR="005A778C" w:rsidRPr="003C43B0">
        <w:rPr>
          <w:rFonts w:ascii="Times New Roman" w:hAnsi="Times New Roman" w:cs="Times New Roman"/>
          <w:sz w:val="24"/>
        </w:rPr>
        <w:t>seroconverters</w:t>
      </w:r>
      <w:bookmarkEnd w:id="3"/>
      <w:proofErr w:type="spellEnd"/>
    </w:p>
    <w:tbl>
      <w:tblPr>
        <w:tblStyle w:val="TableGrid"/>
        <w:tblW w:w="9180" w:type="dxa"/>
        <w:tblInd w:w="-72" w:type="dxa"/>
        <w:tblLayout w:type="fixed"/>
        <w:tblLook w:val="04A0" w:firstRow="1" w:lastRow="0" w:firstColumn="1" w:lastColumn="0" w:noHBand="0" w:noVBand="1"/>
      </w:tblPr>
      <w:tblGrid>
        <w:gridCol w:w="1080"/>
        <w:gridCol w:w="1260"/>
        <w:gridCol w:w="1260"/>
        <w:gridCol w:w="1080"/>
        <w:gridCol w:w="1080"/>
        <w:gridCol w:w="1260"/>
        <w:gridCol w:w="1080"/>
        <w:gridCol w:w="1080"/>
      </w:tblGrid>
      <w:tr w:rsidR="00DB1C44" w:rsidRPr="00AE5E21" w14:paraId="0784202F" w14:textId="77777777" w:rsidTr="00E76101">
        <w:tc>
          <w:tcPr>
            <w:tcW w:w="2340" w:type="dxa"/>
            <w:gridSpan w:val="2"/>
            <w:tcBorders>
              <w:left w:val="nil"/>
              <w:bottom w:val="single" w:sz="4" w:space="0" w:color="auto"/>
              <w:right w:val="single" w:sz="18" w:space="0" w:color="auto"/>
            </w:tcBorders>
          </w:tcPr>
          <w:p w14:paraId="27EDFCD8" w14:textId="77777777" w:rsidR="00DB1C44" w:rsidRPr="00AE5E21" w:rsidRDefault="00DB1C44" w:rsidP="003C43B0">
            <w:pPr>
              <w:rPr>
                <w:rFonts w:ascii="Times New Roman" w:hAnsi="Times New Roman" w:cs="Times New Roman"/>
                <w:b/>
                <w:sz w:val="20"/>
                <w:szCs w:val="20"/>
              </w:rPr>
            </w:pPr>
            <w:r w:rsidRPr="00AE5E21">
              <w:rPr>
                <w:rFonts w:ascii="Times New Roman" w:hAnsi="Times New Roman" w:cs="Times New Roman"/>
                <w:b/>
                <w:sz w:val="20"/>
                <w:szCs w:val="20"/>
              </w:rPr>
              <w:t>Study</w:t>
            </w:r>
          </w:p>
        </w:tc>
        <w:tc>
          <w:tcPr>
            <w:tcW w:w="3420" w:type="dxa"/>
            <w:gridSpan w:val="3"/>
            <w:tcBorders>
              <w:left w:val="single" w:sz="18" w:space="0" w:color="auto"/>
              <w:bottom w:val="double" w:sz="4" w:space="0" w:color="auto"/>
              <w:right w:val="thinThickThinLargeGap" w:sz="24" w:space="0" w:color="auto"/>
            </w:tcBorders>
          </w:tcPr>
          <w:p w14:paraId="7009BD43" w14:textId="77777777" w:rsidR="00DB1C44" w:rsidRPr="00AE5E21" w:rsidRDefault="00DB1C44" w:rsidP="003C43B0">
            <w:pPr>
              <w:rPr>
                <w:rFonts w:ascii="Times New Roman" w:hAnsi="Times New Roman" w:cs="Times New Roman"/>
                <w:b/>
                <w:sz w:val="20"/>
                <w:szCs w:val="20"/>
              </w:rPr>
            </w:pPr>
            <w:r w:rsidRPr="00AE5E21">
              <w:rPr>
                <w:rFonts w:ascii="Times New Roman" w:hAnsi="Times New Roman" w:cs="Times New Roman"/>
                <w:b/>
                <w:sz w:val="20"/>
                <w:szCs w:val="20"/>
              </w:rPr>
              <w:t>Acute HIV Infections at Enrollment</w:t>
            </w:r>
          </w:p>
        </w:tc>
        <w:tc>
          <w:tcPr>
            <w:tcW w:w="3420" w:type="dxa"/>
            <w:gridSpan w:val="3"/>
            <w:tcBorders>
              <w:left w:val="thinThickThinLargeGap" w:sz="24" w:space="0" w:color="auto"/>
              <w:bottom w:val="double" w:sz="4" w:space="0" w:color="auto"/>
              <w:right w:val="nil"/>
            </w:tcBorders>
          </w:tcPr>
          <w:p w14:paraId="40AEA887" w14:textId="77777777" w:rsidR="00DB1C44" w:rsidRPr="00AE5E21" w:rsidRDefault="00DB1C44" w:rsidP="003C43B0">
            <w:pPr>
              <w:rPr>
                <w:rFonts w:ascii="Times New Roman" w:hAnsi="Times New Roman" w:cs="Times New Roman"/>
                <w:b/>
                <w:sz w:val="20"/>
                <w:szCs w:val="20"/>
              </w:rPr>
            </w:pPr>
            <w:r w:rsidRPr="00AE5E21">
              <w:rPr>
                <w:rFonts w:ascii="Times New Roman" w:hAnsi="Times New Roman" w:cs="Times New Roman"/>
                <w:b/>
                <w:sz w:val="20"/>
                <w:szCs w:val="20"/>
              </w:rPr>
              <w:t>Post-Randomization HIV Infections</w:t>
            </w:r>
          </w:p>
        </w:tc>
      </w:tr>
      <w:tr w:rsidR="00DB1C44" w:rsidRPr="00AE5E21" w14:paraId="28D8841A" w14:textId="77777777" w:rsidTr="00E76101">
        <w:tc>
          <w:tcPr>
            <w:tcW w:w="1080" w:type="dxa"/>
            <w:tcBorders>
              <w:top w:val="double" w:sz="4" w:space="0" w:color="auto"/>
              <w:left w:val="nil"/>
              <w:bottom w:val="single" w:sz="4" w:space="0" w:color="auto"/>
              <w:right w:val="single" w:sz="8" w:space="0" w:color="auto"/>
            </w:tcBorders>
          </w:tcPr>
          <w:p w14:paraId="72D35615" w14:textId="77777777" w:rsidR="00DB1C44" w:rsidRPr="00AE5E21" w:rsidRDefault="00DB1C44" w:rsidP="003C43B0">
            <w:pPr>
              <w:rPr>
                <w:rFonts w:ascii="Times New Roman" w:hAnsi="Times New Roman" w:cs="Times New Roman"/>
                <w:sz w:val="20"/>
                <w:szCs w:val="20"/>
              </w:rPr>
            </w:pPr>
          </w:p>
        </w:tc>
        <w:tc>
          <w:tcPr>
            <w:tcW w:w="1260" w:type="dxa"/>
            <w:tcBorders>
              <w:top w:val="double" w:sz="4" w:space="0" w:color="auto"/>
              <w:left w:val="single" w:sz="8" w:space="0" w:color="auto"/>
              <w:bottom w:val="single" w:sz="18" w:space="0" w:color="auto"/>
              <w:right w:val="single" w:sz="18" w:space="0" w:color="auto"/>
            </w:tcBorders>
          </w:tcPr>
          <w:p w14:paraId="309A4782"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Study Arm</w:t>
            </w:r>
          </w:p>
        </w:tc>
        <w:tc>
          <w:tcPr>
            <w:tcW w:w="1260" w:type="dxa"/>
            <w:tcBorders>
              <w:top w:val="double" w:sz="4" w:space="0" w:color="auto"/>
              <w:left w:val="single" w:sz="18" w:space="0" w:color="auto"/>
              <w:bottom w:val="single" w:sz="18" w:space="0" w:color="auto"/>
            </w:tcBorders>
          </w:tcPr>
          <w:p w14:paraId="29B62503"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 xml:space="preserve">No. of </w:t>
            </w:r>
            <w:proofErr w:type="spellStart"/>
            <w:r w:rsidRPr="00AE5E21">
              <w:rPr>
                <w:rFonts w:ascii="Times New Roman" w:hAnsi="Times New Roman" w:cs="Times New Roman"/>
                <w:sz w:val="20"/>
                <w:szCs w:val="20"/>
              </w:rPr>
              <w:t>sero</w:t>
            </w:r>
            <w:proofErr w:type="spellEnd"/>
            <w:r w:rsidRPr="00AE5E21">
              <w:rPr>
                <w:rFonts w:ascii="Times New Roman" w:hAnsi="Times New Roman" w:cs="Times New Roman"/>
                <w:sz w:val="20"/>
                <w:szCs w:val="20"/>
              </w:rPr>
              <w:t>-converters</w:t>
            </w:r>
          </w:p>
        </w:tc>
        <w:tc>
          <w:tcPr>
            <w:tcW w:w="1080" w:type="dxa"/>
            <w:tcBorders>
              <w:top w:val="double" w:sz="4" w:space="0" w:color="auto"/>
              <w:bottom w:val="single" w:sz="18" w:space="0" w:color="auto"/>
            </w:tcBorders>
          </w:tcPr>
          <w:p w14:paraId="4BB6B550"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TDF Mutations</w:t>
            </w:r>
          </w:p>
        </w:tc>
        <w:tc>
          <w:tcPr>
            <w:tcW w:w="1080" w:type="dxa"/>
            <w:tcBorders>
              <w:top w:val="double" w:sz="4" w:space="0" w:color="auto"/>
              <w:bottom w:val="single" w:sz="18" w:space="0" w:color="auto"/>
              <w:right w:val="thinThickThinLargeGap" w:sz="24" w:space="0" w:color="auto"/>
            </w:tcBorders>
          </w:tcPr>
          <w:p w14:paraId="3B569402"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FTC Mutations</w:t>
            </w:r>
          </w:p>
        </w:tc>
        <w:tc>
          <w:tcPr>
            <w:tcW w:w="1260" w:type="dxa"/>
            <w:tcBorders>
              <w:top w:val="double" w:sz="4" w:space="0" w:color="auto"/>
              <w:left w:val="thinThickThinLargeGap" w:sz="24" w:space="0" w:color="auto"/>
              <w:bottom w:val="single" w:sz="18" w:space="0" w:color="auto"/>
            </w:tcBorders>
          </w:tcPr>
          <w:p w14:paraId="0378D152"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 xml:space="preserve">No. of </w:t>
            </w:r>
            <w:proofErr w:type="spellStart"/>
            <w:r w:rsidRPr="00AE5E21">
              <w:rPr>
                <w:rFonts w:ascii="Times New Roman" w:hAnsi="Times New Roman" w:cs="Times New Roman"/>
                <w:sz w:val="20"/>
                <w:szCs w:val="20"/>
              </w:rPr>
              <w:t>sero</w:t>
            </w:r>
            <w:proofErr w:type="spellEnd"/>
            <w:r w:rsidRPr="00AE5E21">
              <w:rPr>
                <w:rFonts w:ascii="Times New Roman" w:hAnsi="Times New Roman" w:cs="Times New Roman"/>
                <w:sz w:val="20"/>
                <w:szCs w:val="20"/>
              </w:rPr>
              <w:t>-converters</w:t>
            </w:r>
          </w:p>
        </w:tc>
        <w:tc>
          <w:tcPr>
            <w:tcW w:w="1080" w:type="dxa"/>
            <w:tcBorders>
              <w:top w:val="double" w:sz="4" w:space="0" w:color="auto"/>
              <w:bottom w:val="single" w:sz="18" w:space="0" w:color="auto"/>
            </w:tcBorders>
          </w:tcPr>
          <w:p w14:paraId="4D02D9EE"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TDF Mutations</w:t>
            </w:r>
          </w:p>
        </w:tc>
        <w:tc>
          <w:tcPr>
            <w:tcW w:w="1080" w:type="dxa"/>
            <w:tcBorders>
              <w:top w:val="double" w:sz="4" w:space="0" w:color="auto"/>
              <w:bottom w:val="single" w:sz="18" w:space="0" w:color="auto"/>
              <w:right w:val="nil"/>
            </w:tcBorders>
          </w:tcPr>
          <w:p w14:paraId="016F6092"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FTC Mutations</w:t>
            </w:r>
          </w:p>
        </w:tc>
      </w:tr>
      <w:tr w:rsidR="00DB1C44" w:rsidRPr="00AE5E21" w14:paraId="2DF2CA42" w14:textId="77777777" w:rsidTr="00E76101">
        <w:trPr>
          <w:trHeight w:val="405"/>
        </w:trPr>
        <w:tc>
          <w:tcPr>
            <w:tcW w:w="1080" w:type="dxa"/>
            <w:vMerge w:val="restart"/>
            <w:tcBorders>
              <w:top w:val="single" w:sz="18" w:space="0" w:color="auto"/>
              <w:left w:val="nil"/>
              <w:right w:val="single" w:sz="8" w:space="0" w:color="auto"/>
            </w:tcBorders>
          </w:tcPr>
          <w:p w14:paraId="1550A2BB" w14:textId="77777777" w:rsidR="00DB1C44" w:rsidRPr="00AE5E21" w:rsidRDefault="00DB1C44" w:rsidP="003C43B0">
            <w:pPr>
              <w:rPr>
                <w:rFonts w:ascii="Times New Roman" w:hAnsi="Times New Roman" w:cs="Times New Roman"/>
                <w:b/>
                <w:sz w:val="20"/>
                <w:szCs w:val="20"/>
                <w:vertAlign w:val="superscript"/>
              </w:rPr>
            </w:pPr>
            <w:r w:rsidRPr="00DB1C44">
              <w:rPr>
                <w:rFonts w:ascii="Times New Roman" w:hAnsi="Times New Roman" w:cs="Times New Roman"/>
                <w:b/>
                <w:sz w:val="18"/>
                <w:szCs w:val="20"/>
              </w:rPr>
              <w:t xml:space="preserve">Bangkok </w:t>
            </w:r>
            <w:proofErr w:type="spellStart"/>
            <w:r w:rsidRPr="00DB1C44">
              <w:rPr>
                <w:rFonts w:ascii="Times New Roman" w:hAnsi="Times New Roman" w:cs="Times New Roman"/>
                <w:b/>
                <w:sz w:val="18"/>
                <w:szCs w:val="20"/>
              </w:rPr>
              <w:t>Tenofovir</w:t>
            </w:r>
            <w:proofErr w:type="spellEnd"/>
            <w:r w:rsidRPr="00DB1C44">
              <w:rPr>
                <w:rFonts w:ascii="Times New Roman" w:hAnsi="Times New Roman" w:cs="Times New Roman"/>
                <w:b/>
                <w:sz w:val="18"/>
                <w:szCs w:val="20"/>
              </w:rPr>
              <w:t xml:space="preserve"> </w:t>
            </w:r>
            <w:proofErr w:type="spellStart"/>
            <w:r w:rsidRPr="00DB1C44">
              <w:rPr>
                <w:rFonts w:ascii="Times New Roman" w:hAnsi="Times New Roman" w:cs="Times New Roman"/>
                <w:b/>
                <w:sz w:val="18"/>
                <w:szCs w:val="20"/>
              </w:rPr>
              <w:t>Study</w:t>
            </w:r>
            <w:r w:rsidRPr="00DB1C44">
              <w:rPr>
                <w:rFonts w:ascii="Times New Roman" w:hAnsi="Times New Roman" w:cs="Times New Roman"/>
                <w:b/>
                <w:sz w:val="18"/>
                <w:szCs w:val="20"/>
                <w:vertAlign w:val="superscript"/>
              </w:rPr>
              <w:t>a</w:t>
            </w:r>
            <w:proofErr w:type="spellEnd"/>
          </w:p>
        </w:tc>
        <w:tc>
          <w:tcPr>
            <w:tcW w:w="1260" w:type="dxa"/>
            <w:tcBorders>
              <w:top w:val="single" w:sz="18" w:space="0" w:color="auto"/>
              <w:left w:val="single" w:sz="8" w:space="0" w:color="auto"/>
              <w:bottom w:val="dashed" w:sz="4" w:space="0" w:color="auto"/>
              <w:right w:val="single" w:sz="18" w:space="0" w:color="auto"/>
            </w:tcBorders>
          </w:tcPr>
          <w:p w14:paraId="517F9146"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PrEP: TDF</w:t>
            </w:r>
          </w:p>
        </w:tc>
        <w:tc>
          <w:tcPr>
            <w:tcW w:w="1260" w:type="dxa"/>
            <w:tcBorders>
              <w:top w:val="single" w:sz="18" w:space="0" w:color="auto"/>
              <w:left w:val="single" w:sz="18" w:space="0" w:color="auto"/>
              <w:bottom w:val="dashed" w:sz="4" w:space="0" w:color="auto"/>
            </w:tcBorders>
          </w:tcPr>
          <w:p w14:paraId="25F50881"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single" w:sz="18" w:space="0" w:color="auto"/>
              <w:bottom w:val="dashed" w:sz="4" w:space="0" w:color="auto"/>
            </w:tcBorders>
          </w:tcPr>
          <w:p w14:paraId="44540565"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single" w:sz="18" w:space="0" w:color="auto"/>
              <w:bottom w:val="dashed" w:sz="4" w:space="0" w:color="auto"/>
              <w:right w:val="thinThickThinLargeGap" w:sz="24" w:space="0" w:color="auto"/>
            </w:tcBorders>
          </w:tcPr>
          <w:p w14:paraId="665FC6EF"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NR</w:t>
            </w:r>
          </w:p>
        </w:tc>
        <w:tc>
          <w:tcPr>
            <w:tcW w:w="1260" w:type="dxa"/>
            <w:tcBorders>
              <w:top w:val="single" w:sz="18" w:space="0" w:color="auto"/>
              <w:left w:val="thinThickThinLargeGap" w:sz="24" w:space="0" w:color="auto"/>
              <w:bottom w:val="dashed" w:sz="4" w:space="0" w:color="auto"/>
            </w:tcBorders>
          </w:tcPr>
          <w:p w14:paraId="035FB776"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17</w:t>
            </w:r>
          </w:p>
        </w:tc>
        <w:tc>
          <w:tcPr>
            <w:tcW w:w="1080" w:type="dxa"/>
            <w:tcBorders>
              <w:top w:val="single" w:sz="18" w:space="0" w:color="auto"/>
              <w:bottom w:val="dashed" w:sz="4" w:space="0" w:color="auto"/>
            </w:tcBorders>
          </w:tcPr>
          <w:p w14:paraId="0A0DEE48"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single" w:sz="18" w:space="0" w:color="auto"/>
              <w:bottom w:val="dashed" w:sz="4" w:space="0" w:color="auto"/>
              <w:right w:val="nil"/>
            </w:tcBorders>
          </w:tcPr>
          <w:p w14:paraId="537AED69"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NR</w:t>
            </w:r>
          </w:p>
        </w:tc>
      </w:tr>
      <w:tr w:rsidR="00DB1C44" w:rsidRPr="00AE5E21" w14:paraId="7E248CA9" w14:textId="77777777" w:rsidTr="00E76101">
        <w:trPr>
          <w:trHeight w:val="405"/>
        </w:trPr>
        <w:tc>
          <w:tcPr>
            <w:tcW w:w="1080" w:type="dxa"/>
            <w:vMerge/>
            <w:tcBorders>
              <w:left w:val="nil"/>
              <w:right w:val="single" w:sz="8" w:space="0" w:color="auto"/>
            </w:tcBorders>
          </w:tcPr>
          <w:p w14:paraId="56461C25" w14:textId="77777777" w:rsidR="00DB1C44" w:rsidRPr="00AE5E21" w:rsidRDefault="00DB1C44" w:rsidP="003C43B0">
            <w:pPr>
              <w:rPr>
                <w:rFonts w:ascii="Times New Roman" w:hAnsi="Times New Roman" w:cs="Times New Roman"/>
                <w:b/>
                <w:sz w:val="20"/>
                <w:szCs w:val="20"/>
              </w:rPr>
            </w:pPr>
          </w:p>
        </w:tc>
        <w:tc>
          <w:tcPr>
            <w:tcW w:w="1260" w:type="dxa"/>
            <w:tcBorders>
              <w:top w:val="dashed" w:sz="4" w:space="0" w:color="auto"/>
              <w:left w:val="single" w:sz="8" w:space="0" w:color="auto"/>
              <w:right w:val="single" w:sz="18" w:space="0" w:color="auto"/>
            </w:tcBorders>
          </w:tcPr>
          <w:p w14:paraId="5AB28CEF"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Placebo</w:t>
            </w:r>
          </w:p>
        </w:tc>
        <w:tc>
          <w:tcPr>
            <w:tcW w:w="1260" w:type="dxa"/>
            <w:tcBorders>
              <w:top w:val="dashed" w:sz="4" w:space="0" w:color="auto"/>
              <w:left w:val="single" w:sz="18" w:space="0" w:color="auto"/>
            </w:tcBorders>
          </w:tcPr>
          <w:p w14:paraId="0ED59055"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2</w:t>
            </w:r>
          </w:p>
        </w:tc>
        <w:tc>
          <w:tcPr>
            <w:tcW w:w="1080" w:type="dxa"/>
            <w:tcBorders>
              <w:top w:val="dashed" w:sz="4" w:space="0" w:color="auto"/>
            </w:tcBorders>
          </w:tcPr>
          <w:p w14:paraId="320EC8BF"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right w:val="thinThickThinLargeGap" w:sz="24" w:space="0" w:color="auto"/>
            </w:tcBorders>
          </w:tcPr>
          <w:p w14:paraId="7C38263E"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NR</w:t>
            </w:r>
          </w:p>
        </w:tc>
        <w:tc>
          <w:tcPr>
            <w:tcW w:w="1260" w:type="dxa"/>
            <w:tcBorders>
              <w:top w:val="dashed" w:sz="4" w:space="0" w:color="auto"/>
              <w:left w:val="thinThickThinLargeGap" w:sz="24" w:space="0" w:color="auto"/>
            </w:tcBorders>
          </w:tcPr>
          <w:p w14:paraId="11201715"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33</w:t>
            </w:r>
          </w:p>
        </w:tc>
        <w:tc>
          <w:tcPr>
            <w:tcW w:w="1080" w:type="dxa"/>
            <w:tcBorders>
              <w:top w:val="dashed" w:sz="4" w:space="0" w:color="auto"/>
            </w:tcBorders>
          </w:tcPr>
          <w:p w14:paraId="17222C2A"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right w:val="nil"/>
            </w:tcBorders>
          </w:tcPr>
          <w:p w14:paraId="15050F31"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NR</w:t>
            </w:r>
          </w:p>
        </w:tc>
      </w:tr>
      <w:tr w:rsidR="00DB1C44" w:rsidRPr="00AE5E21" w14:paraId="5D2FDA78" w14:textId="77777777" w:rsidTr="00E76101">
        <w:trPr>
          <w:trHeight w:val="135"/>
        </w:trPr>
        <w:tc>
          <w:tcPr>
            <w:tcW w:w="1080" w:type="dxa"/>
            <w:vMerge w:val="restart"/>
            <w:tcBorders>
              <w:left w:val="nil"/>
              <w:right w:val="single" w:sz="8" w:space="0" w:color="auto"/>
            </w:tcBorders>
          </w:tcPr>
          <w:p w14:paraId="5B3522A2" w14:textId="77777777" w:rsidR="00DB1C44" w:rsidRPr="00AE5E21" w:rsidRDefault="00DB1C44" w:rsidP="003C43B0">
            <w:pPr>
              <w:rPr>
                <w:rFonts w:ascii="Times New Roman" w:hAnsi="Times New Roman" w:cs="Times New Roman"/>
                <w:b/>
                <w:sz w:val="20"/>
                <w:szCs w:val="20"/>
                <w:vertAlign w:val="superscript"/>
              </w:rPr>
            </w:pPr>
            <w:r w:rsidRPr="00AE5E21">
              <w:rPr>
                <w:rFonts w:ascii="Times New Roman" w:hAnsi="Times New Roman" w:cs="Times New Roman"/>
                <w:b/>
                <w:sz w:val="20"/>
                <w:szCs w:val="20"/>
              </w:rPr>
              <w:t>FEM-PrEP</w:t>
            </w:r>
          </w:p>
        </w:tc>
        <w:tc>
          <w:tcPr>
            <w:tcW w:w="1260" w:type="dxa"/>
            <w:tcBorders>
              <w:left w:val="single" w:sz="8" w:space="0" w:color="auto"/>
              <w:bottom w:val="dashed" w:sz="4" w:space="0" w:color="auto"/>
              <w:right w:val="single" w:sz="18" w:space="0" w:color="auto"/>
            </w:tcBorders>
          </w:tcPr>
          <w:p w14:paraId="207E88C8"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PrEP: TDF-FTC</w:t>
            </w:r>
          </w:p>
        </w:tc>
        <w:tc>
          <w:tcPr>
            <w:tcW w:w="1260" w:type="dxa"/>
            <w:tcBorders>
              <w:left w:val="single" w:sz="18" w:space="0" w:color="auto"/>
              <w:bottom w:val="dashed" w:sz="4" w:space="0" w:color="auto"/>
            </w:tcBorders>
          </w:tcPr>
          <w:p w14:paraId="315211A9" w14:textId="4A839875" w:rsidR="00DB1C44" w:rsidRPr="00AE5E21" w:rsidRDefault="003C43B0" w:rsidP="003C43B0">
            <w:pPr>
              <w:jc w:val="center"/>
              <w:rPr>
                <w:rFonts w:ascii="Times New Roman" w:hAnsi="Times New Roman" w:cs="Times New Roman"/>
                <w:sz w:val="20"/>
                <w:szCs w:val="20"/>
                <w:vertAlign w:val="superscript"/>
              </w:rPr>
            </w:pPr>
            <w:r>
              <w:rPr>
                <w:rFonts w:ascii="Times New Roman" w:hAnsi="Times New Roman" w:cs="Times New Roman"/>
                <w:sz w:val="20"/>
                <w:szCs w:val="20"/>
              </w:rPr>
              <w:t>1</w:t>
            </w:r>
            <w:r w:rsidRPr="00AE5E21">
              <w:rPr>
                <w:rFonts w:ascii="Times New Roman" w:hAnsi="Times New Roman" w:cs="Times New Roman"/>
                <w:sz w:val="20"/>
                <w:szCs w:val="20"/>
                <w:vertAlign w:val="superscript"/>
              </w:rPr>
              <w:t>b</w:t>
            </w:r>
          </w:p>
        </w:tc>
        <w:tc>
          <w:tcPr>
            <w:tcW w:w="1080" w:type="dxa"/>
            <w:tcBorders>
              <w:bottom w:val="dashed" w:sz="4" w:space="0" w:color="auto"/>
            </w:tcBorders>
          </w:tcPr>
          <w:p w14:paraId="347C524B" w14:textId="357CA91B" w:rsidR="00DB1C44" w:rsidRPr="00AE5E21" w:rsidRDefault="003C43B0" w:rsidP="003C43B0">
            <w:pPr>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Borders>
              <w:bottom w:val="dashed" w:sz="4" w:space="0" w:color="auto"/>
              <w:right w:val="thinThickThinLargeGap" w:sz="24" w:space="0" w:color="auto"/>
            </w:tcBorders>
          </w:tcPr>
          <w:p w14:paraId="206DCF2E" w14:textId="0A703A2B" w:rsidR="00DB1C44" w:rsidRPr="00AE5E21" w:rsidRDefault="003C43B0" w:rsidP="003C43B0">
            <w:pPr>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left w:val="thinThickThinLargeGap" w:sz="24" w:space="0" w:color="auto"/>
              <w:bottom w:val="dashed" w:sz="4" w:space="0" w:color="auto"/>
            </w:tcBorders>
          </w:tcPr>
          <w:p w14:paraId="2FB1D993" w14:textId="77777777" w:rsidR="00DB1C44" w:rsidRPr="00AE5E21" w:rsidRDefault="00DB1C44" w:rsidP="003C43B0">
            <w:pPr>
              <w:jc w:val="center"/>
              <w:rPr>
                <w:rFonts w:ascii="Times New Roman" w:hAnsi="Times New Roman" w:cs="Times New Roman"/>
                <w:sz w:val="20"/>
                <w:szCs w:val="20"/>
                <w:vertAlign w:val="superscript"/>
              </w:rPr>
            </w:pPr>
            <w:r w:rsidRPr="00AE5E21">
              <w:rPr>
                <w:rFonts w:ascii="Times New Roman" w:hAnsi="Times New Roman" w:cs="Times New Roman"/>
                <w:sz w:val="20"/>
                <w:szCs w:val="20"/>
              </w:rPr>
              <w:t>33</w:t>
            </w:r>
            <w:r w:rsidRPr="00AE5E21">
              <w:rPr>
                <w:rFonts w:ascii="Times New Roman" w:hAnsi="Times New Roman" w:cs="Times New Roman"/>
                <w:sz w:val="20"/>
                <w:szCs w:val="20"/>
                <w:vertAlign w:val="superscript"/>
              </w:rPr>
              <w:t>c</w:t>
            </w:r>
          </w:p>
        </w:tc>
        <w:tc>
          <w:tcPr>
            <w:tcW w:w="1080" w:type="dxa"/>
            <w:tcBorders>
              <w:bottom w:val="dashed" w:sz="4" w:space="0" w:color="auto"/>
            </w:tcBorders>
          </w:tcPr>
          <w:p w14:paraId="54F4A947"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bottom w:val="dashed" w:sz="4" w:space="0" w:color="auto"/>
              <w:right w:val="nil"/>
            </w:tcBorders>
          </w:tcPr>
          <w:p w14:paraId="490EF092" w14:textId="77777777" w:rsidR="00DB1C44" w:rsidRPr="00AE5E21" w:rsidRDefault="00DB1C44" w:rsidP="003C43B0">
            <w:pPr>
              <w:jc w:val="center"/>
              <w:rPr>
                <w:rFonts w:ascii="Times New Roman" w:hAnsi="Times New Roman" w:cs="Times New Roman"/>
                <w:sz w:val="20"/>
                <w:szCs w:val="20"/>
                <w:vertAlign w:val="superscript"/>
              </w:rPr>
            </w:pPr>
            <w:r w:rsidRPr="00AE5E21">
              <w:rPr>
                <w:rFonts w:ascii="Times New Roman" w:hAnsi="Times New Roman" w:cs="Times New Roman"/>
                <w:b/>
                <w:sz w:val="20"/>
                <w:szCs w:val="20"/>
              </w:rPr>
              <w:t>4</w:t>
            </w:r>
            <w:r w:rsidRPr="00AE5E21">
              <w:rPr>
                <w:rFonts w:ascii="Times New Roman" w:hAnsi="Times New Roman" w:cs="Times New Roman"/>
                <w:sz w:val="20"/>
                <w:szCs w:val="20"/>
                <w:vertAlign w:val="superscript"/>
              </w:rPr>
              <w:t>d</w:t>
            </w:r>
          </w:p>
        </w:tc>
      </w:tr>
      <w:tr w:rsidR="00DB1C44" w:rsidRPr="00AE5E21" w14:paraId="4E5CB06C" w14:textId="77777777" w:rsidTr="00E76101">
        <w:trPr>
          <w:trHeight w:val="135"/>
        </w:trPr>
        <w:tc>
          <w:tcPr>
            <w:tcW w:w="1080" w:type="dxa"/>
            <w:vMerge/>
            <w:tcBorders>
              <w:left w:val="nil"/>
              <w:right w:val="single" w:sz="8" w:space="0" w:color="auto"/>
            </w:tcBorders>
          </w:tcPr>
          <w:p w14:paraId="0FDD07BC" w14:textId="77777777" w:rsidR="00DB1C44" w:rsidRPr="00AE5E21" w:rsidRDefault="00DB1C44" w:rsidP="003C43B0">
            <w:pPr>
              <w:rPr>
                <w:rFonts w:ascii="Times New Roman" w:hAnsi="Times New Roman" w:cs="Times New Roman"/>
                <w:b/>
                <w:sz w:val="20"/>
                <w:szCs w:val="20"/>
              </w:rPr>
            </w:pPr>
          </w:p>
        </w:tc>
        <w:tc>
          <w:tcPr>
            <w:tcW w:w="1260" w:type="dxa"/>
            <w:tcBorders>
              <w:top w:val="dashed" w:sz="4" w:space="0" w:color="auto"/>
              <w:left w:val="single" w:sz="8" w:space="0" w:color="auto"/>
              <w:right w:val="single" w:sz="18" w:space="0" w:color="auto"/>
            </w:tcBorders>
          </w:tcPr>
          <w:p w14:paraId="2D7E7E7B"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Placebo</w:t>
            </w:r>
          </w:p>
        </w:tc>
        <w:tc>
          <w:tcPr>
            <w:tcW w:w="1260" w:type="dxa"/>
            <w:tcBorders>
              <w:top w:val="dashed" w:sz="4" w:space="0" w:color="auto"/>
              <w:left w:val="single" w:sz="18" w:space="0" w:color="auto"/>
            </w:tcBorders>
          </w:tcPr>
          <w:p w14:paraId="68C6FD96" w14:textId="1A72B744" w:rsidR="00DB1C44" w:rsidRPr="00AE5E21" w:rsidRDefault="003C43B0" w:rsidP="003C43B0">
            <w:pPr>
              <w:jc w:val="center"/>
              <w:rPr>
                <w:rFonts w:ascii="Times New Roman" w:hAnsi="Times New Roman" w:cs="Times New Roman"/>
                <w:sz w:val="20"/>
                <w:szCs w:val="20"/>
                <w:vertAlign w:val="superscript"/>
              </w:rPr>
            </w:pPr>
            <w:r>
              <w:rPr>
                <w:rFonts w:ascii="Times New Roman" w:hAnsi="Times New Roman" w:cs="Times New Roman"/>
                <w:sz w:val="20"/>
                <w:szCs w:val="20"/>
              </w:rPr>
              <w:t>1</w:t>
            </w:r>
            <w:r w:rsidRPr="00AE5E21">
              <w:rPr>
                <w:rFonts w:ascii="Times New Roman" w:hAnsi="Times New Roman" w:cs="Times New Roman"/>
                <w:sz w:val="20"/>
                <w:szCs w:val="20"/>
                <w:vertAlign w:val="superscript"/>
              </w:rPr>
              <w:t>b</w:t>
            </w:r>
          </w:p>
        </w:tc>
        <w:tc>
          <w:tcPr>
            <w:tcW w:w="1080" w:type="dxa"/>
            <w:tcBorders>
              <w:top w:val="dashed" w:sz="4" w:space="0" w:color="auto"/>
            </w:tcBorders>
          </w:tcPr>
          <w:p w14:paraId="34FB5995" w14:textId="3DED743C" w:rsidR="00DB1C44" w:rsidRPr="00AE5E21" w:rsidRDefault="003C43B0" w:rsidP="003C43B0">
            <w:pPr>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dashed" w:sz="4" w:space="0" w:color="auto"/>
              <w:right w:val="thinThickThinLargeGap" w:sz="24" w:space="0" w:color="auto"/>
            </w:tcBorders>
          </w:tcPr>
          <w:p w14:paraId="29A866CC" w14:textId="5990F50A" w:rsidR="00DB1C44" w:rsidRPr="00AE5E21" w:rsidRDefault="003C43B0" w:rsidP="003C43B0">
            <w:pPr>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dashed" w:sz="4" w:space="0" w:color="auto"/>
              <w:left w:val="thinThickThinLargeGap" w:sz="24" w:space="0" w:color="auto"/>
            </w:tcBorders>
          </w:tcPr>
          <w:p w14:paraId="3C7C6665"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35</w:t>
            </w:r>
          </w:p>
        </w:tc>
        <w:tc>
          <w:tcPr>
            <w:tcW w:w="1080" w:type="dxa"/>
            <w:tcBorders>
              <w:top w:val="dashed" w:sz="4" w:space="0" w:color="auto"/>
            </w:tcBorders>
          </w:tcPr>
          <w:p w14:paraId="0B70F2B5"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right w:val="nil"/>
            </w:tcBorders>
          </w:tcPr>
          <w:p w14:paraId="071BBE35"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1</w:t>
            </w:r>
          </w:p>
        </w:tc>
      </w:tr>
      <w:tr w:rsidR="00DB1C44" w:rsidRPr="00AE5E21" w14:paraId="0F8CD802" w14:textId="77777777" w:rsidTr="00E76101">
        <w:trPr>
          <w:trHeight w:val="135"/>
        </w:trPr>
        <w:tc>
          <w:tcPr>
            <w:tcW w:w="1080" w:type="dxa"/>
            <w:vMerge w:val="restart"/>
            <w:tcBorders>
              <w:left w:val="nil"/>
              <w:right w:val="single" w:sz="8" w:space="0" w:color="auto"/>
            </w:tcBorders>
          </w:tcPr>
          <w:p w14:paraId="54E90FC7" w14:textId="77777777" w:rsidR="00DB1C44" w:rsidRPr="00AE5E21" w:rsidRDefault="00DB1C44" w:rsidP="003C43B0">
            <w:pPr>
              <w:rPr>
                <w:rFonts w:ascii="Times New Roman" w:hAnsi="Times New Roman" w:cs="Times New Roman"/>
                <w:b/>
                <w:sz w:val="20"/>
                <w:szCs w:val="20"/>
              </w:rPr>
            </w:pPr>
            <w:proofErr w:type="spellStart"/>
            <w:r w:rsidRPr="00AE5E21">
              <w:rPr>
                <w:rFonts w:ascii="Times New Roman" w:hAnsi="Times New Roman" w:cs="Times New Roman"/>
                <w:b/>
                <w:sz w:val="20"/>
                <w:szCs w:val="20"/>
              </w:rPr>
              <w:t>iPrEx</w:t>
            </w:r>
            <w:proofErr w:type="spellEnd"/>
          </w:p>
        </w:tc>
        <w:tc>
          <w:tcPr>
            <w:tcW w:w="1260" w:type="dxa"/>
            <w:tcBorders>
              <w:left w:val="single" w:sz="8" w:space="0" w:color="auto"/>
              <w:bottom w:val="dashed" w:sz="4" w:space="0" w:color="auto"/>
              <w:right w:val="single" w:sz="18" w:space="0" w:color="auto"/>
            </w:tcBorders>
          </w:tcPr>
          <w:p w14:paraId="0C0F1864"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PrEP: TDF-FTC</w:t>
            </w:r>
          </w:p>
        </w:tc>
        <w:tc>
          <w:tcPr>
            <w:tcW w:w="1260" w:type="dxa"/>
            <w:tcBorders>
              <w:left w:val="single" w:sz="18" w:space="0" w:color="auto"/>
              <w:bottom w:val="dashed" w:sz="4" w:space="0" w:color="auto"/>
            </w:tcBorders>
          </w:tcPr>
          <w:p w14:paraId="3A2778AA"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2</w:t>
            </w:r>
          </w:p>
        </w:tc>
        <w:tc>
          <w:tcPr>
            <w:tcW w:w="1080" w:type="dxa"/>
            <w:tcBorders>
              <w:bottom w:val="dashed" w:sz="4" w:space="0" w:color="auto"/>
            </w:tcBorders>
          </w:tcPr>
          <w:p w14:paraId="174CDE6A"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bottom w:val="dashed" w:sz="4" w:space="0" w:color="auto"/>
              <w:right w:val="thinThickThinLargeGap" w:sz="24" w:space="0" w:color="auto"/>
            </w:tcBorders>
          </w:tcPr>
          <w:p w14:paraId="7AFD3503"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2</w:t>
            </w:r>
          </w:p>
        </w:tc>
        <w:tc>
          <w:tcPr>
            <w:tcW w:w="1260" w:type="dxa"/>
            <w:tcBorders>
              <w:left w:val="thinThickThinLargeGap" w:sz="24" w:space="0" w:color="auto"/>
              <w:bottom w:val="dashed" w:sz="4" w:space="0" w:color="auto"/>
            </w:tcBorders>
          </w:tcPr>
          <w:p w14:paraId="5EE7B03F"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48</w:t>
            </w:r>
          </w:p>
        </w:tc>
        <w:tc>
          <w:tcPr>
            <w:tcW w:w="1080" w:type="dxa"/>
            <w:tcBorders>
              <w:bottom w:val="dashed" w:sz="4" w:space="0" w:color="auto"/>
            </w:tcBorders>
          </w:tcPr>
          <w:p w14:paraId="796139F9" w14:textId="77777777" w:rsidR="00DB1C44" w:rsidRPr="00AE5E21" w:rsidRDefault="00DB1C44" w:rsidP="003C43B0">
            <w:pPr>
              <w:jc w:val="center"/>
              <w:rPr>
                <w:rFonts w:ascii="Times New Roman" w:hAnsi="Times New Roman" w:cs="Times New Roman"/>
                <w:sz w:val="20"/>
                <w:szCs w:val="20"/>
                <w:vertAlign w:val="superscript"/>
              </w:rPr>
            </w:pPr>
            <w:r w:rsidRPr="00AE5E21">
              <w:rPr>
                <w:rFonts w:ascii="Times New Roman" w:hAnsi="Times New Roman" w:cs="Times New Roman"/>
                <w:sz w:val="20"/>
                <w:szCs w:val="20"/>
              </w:rPr>
              <w:t>0</w:t>
            </w:r>
          </w:p>
        </w:tc>
        <w:tc>
          <w:tcPr>
            <w:tcW w:w="1080" w:type="dxa"/>
            <w:tcBorders>
              <w:bottom w:val="dashed" w:sz="4" w:space="0" w:color="auto"/>
              <w:right w:val="nil"/>
            </w:tcBorders>
          </w:tcPr>
          <w:p w14:paraId="21FA048A"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r>
      <w:tr w:rsidR="00DB1C44" w:rsidRPr="00AE5E21" w14:paraId="08D1F8A3" w14:textId="77777777" w:rsidTr="00E76101">
        <w:trPr>
          <w:trHeight w:val="260"/>
        </w:trPr>
        <w:tc>
          <w:tcPr>
            <w:tcW w:w="1080" w:type="dxa"/>
            <w:vMerge/>
            <w:tcBorders>
              <w:left w:val="nil"/>
              <w:right w:val="single" w:sz="8" w:space="0" w:color="auto"/>
            </w:tcBorders>
          </w:tcPr>
          <w:p w14:paraId="29478F35" w14:textId="77777777" w:rsidR="00DB1C44" w:rsidRPr="00AE5E21" w:rsidRDefault="00DB1C44" w:rsidP="003C43B0">
            <w:pPr>
              <w:rPr>
                <w:rFonts w:ascii="Times New Roman" w:hAnsi="Times New Roman" w:cs="Times New Roman"/>
                <w:b/>
                <w:sz w:val="20"/>
                <w:szCs w:val="20"/>
              </w:rPr>
            </w:pPr>
          </w:p>
        </w:tc>
        <w:tc>
          <w:tcPr>
            <w:tcW w:w="1260" w:type="dxa"/>
            <w:tcBorders>
              <w:top w:val="dashed" w:sz="4" w:space="0" w:color="auto"/>
              <w:left w:val="single" w:sz="8" w:space="0" w:color="auto"/>
              <w:right w:val="single" w:sz="18" w:space="0" w:color="auto"/>
            </w:tcBorders>
          </w:tcPr>
          <w:p w14:paraId="394DACDC"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Placebo</w:t>
            </w:r>
          </w:p>
        </w:tc>
        <w:tc>
          <w:tcPr>
            <w:tcW w:w="1260" w:type="dxa"/>
            <w:tcBorders>
              <w:top w:val="dashed" w:sz="4" w:space="0" w:color="auto"/>
              <w:left w:val="single" w:sz="18" w:space="0" w:color="auto"/>
            </w:tcBorders>
          </w:tcPr>
          <w:p w14:paraId="73ED4E22"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8</w:t>
            </w:r>
          </w:p>
        </w:tc>
        <w:tc>
          <w:tcPr>
            <w:tcW w:w="1080" w:type="dxa"/>
            <w:tcBorders>
              <w:top w:val="dashed" w:sz="4" w:space="0" w:color="auto"/>
            </w:tcBorders>
          </w:tcPr>
          <w:p w14:paraId="71DB62DD"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right w:val="thinThickThinLargeGap" w:sz="24" w:space="0" w:color="auto"/>
            </w:tcBorders>
          </w:tcPr>
          <w:p w14:paraId="086CA383"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b/>
                <w:sz w:val="20"/>
                <w:szCs w:val="20"/>
              </w:rPr>
              <w:t>1</w:t>
            </w:r>
          </w:p>
        </w:tc>
        <w:tc>
          <w:tcPr>
            <w:tcW w:w="1260" w:type="dxa"/>
            <w:tcBorders>
              <w:top w:val="dashed" w:sz="4" w:space="0" w:color="auto"/>
              <w:left w:val="thinThickThinLargeGap" w:sz="24" w:space="0" w:color="auto"/>
            </w:tcBorders>
          </w:tcPr>
          <w:p w14:paraId="4AC9895E"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83</w:t>
            </w:r>
          </w:p>
        </w:tc>
        <w:tc>
          <w:tcPr>
            <w:tcW w:w="1080" w:type="dxa"/>
            <w:tcBorders>
              <w:top w:val="dashed" w:sz="4" w:space="0" w:color="auto"/>
            </w:tcBorders>
          </w:tcPr>
          <w:p w14:paraId="30A7BE81"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right w:val="nil"/>
            </w:tcBorders>
          </w:tcPr>
          <w:p w14:paraId="2E442F29" w14:textId="77777777" w:rsidR="00DB1C44" w:rsidRPr="00AE5E21" w:rsidRDefault="00DB1C44" w:rsidP="003C43B0">
            <w:pPr>
              <w:jc w:val="center"/>
              <w:rPr>
                <w:rFonts w:ascii="Times New Roman" w:hAnsi="Times New Roman" w:cs="Times New Roman"/>
                <w:sz w:val="20"/>
                <w:szCs w:val="20"/>
                <w:vertAlign w:val="superscript"/>
              </w:rPr>
            </w:pPr>
            <w:r w:rsidRPr="00AE5E21">
              <w:rPr>
                <w:rFonts w:ascii="Times New Roman" w:hAnsi="Times New Roman" w:cs="Times New Roman"/>
                <w:sz w:val="20"/>
                <w:szCs w:val="20"/>
              </w:rPr>
              <w:t>0</w:t>
            </w:r>
          </w:p>
        </w:tc>
      </w:tr>
      <w:tr w:rsidR="00DB1C44" w:rsidRPr="00AE5E21" w14:paraId="753BCD6C" w14:textId="77777777" w:rsidTr="00E76101">
        <w:trPr>
          <w:trHeight w:val="135"/>
        </w:trPr>
        <w:tc>
          <w:tcPr>
            <w:tcW w:w="1080" w:type="dxa"/>
            <w:vMerge w:val="restart"/>
            <w:tcBorders>
              <w:left w:val="nil"/>
              <w:right w:val="single" w:sz="8" w:space="0" w:color="auto"/>
            </w:tcBorders>
          </w:tcPr>
          <w:p w14:paraId="7A3C364A" w14:textId="77777777" w:rsidR="00DB1C44" w:rsidRPr="00AE5E21" w:rsidRDefault="00DB1C44" w:rsidP="003C43B0">
            <w:pPr>
              <w:rPr>
                <w:rFonts w:ascii="Times New Roman" w:hAnsi="Times New Roman" w:cs="Times New Roman"/>
                <w:b/>
                <w:sz w:val="20"/>
                <w:szCs w:val="20"/>
              </w:rPr>
            </w:pPr>
            <w:r w:rsidRPr="00AE5E21">
              <w:rPr>
                <w:rFonts w:ascii="Times New Roman" w:hAnsi="Times New Roman" w:cs="Times New Roman"/>
                <w:b/>
                <w:sz w:val="20"/>
                <w:szCs w:val="20"/>
              </w:rPr>
              <w:t>Partners PrEP</w:t>
            </w:r>
          </w:p>
        </w:tc>
        <w:tc>
          <w:tcPr>
            <w:tcW w:w="1260" w:type="dxa"/>
            <w:tcBorders>
              <w:left w:val="single" w:sz="8" w:space="0" w:color="auto"/>
              <w:bottom w:val="dashed" w:sz="4" w:space="0" w:color="auto"/>
              <w:right w:val="single" w:sz="18" w:space="0" w:color="auto"/>
            </w:tcBorders>
          </w:tcPr>
          <w:p w14:paraId="72FBB41C"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PrEP: TDF</w:t>
            </w:r>
          </w:p>
        </w:tc>
        <w:tc>
          <w:tcPr>
            <w:tcW w:w="1260" w:type="dxa"/>
            <w:tcBorders>
              <w:left w:val="single" w:sz="18" w:space="0" w:color="auto"/>
              <w:bottom w:val="dashed" w:sz="4" w:space="0" w:color="auto"/>
            </w:tcBorders>
          </w:tcPr>
          <w:p w14:paraId="3D39807F"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5</w:t>
            </w:r>
          </w:p>
        </w:tc>
        <w:tc>
          <w:tcPr>
            <w:tcW w:w="1080" w:type="dxa"/>
            <w:tcBorders>
              <w:bottom w:val="dashed" w:sz="4" w:space="0" w:color="auto"/>
            </w:tcBorders>
          </w:tcPr>
          <w:p w14:paraId="62035862"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1</w:t>
            </w:r>
          </w:p>
        </w:tc>
        <w:tc>
          <w:tcPr>
            <w:tcW w:w="1080" w:type="dxa"/>
            <w:tcBorders>
              <w:bottom w:val="dashed" w:sz="4" w:space="0" w:color="auto"/>
              <w:right w:val="thinThickThinLargeGap" w:sz="24" w:space="0" w:color="auto"/>
            </w:tcBorders>
          </w:tcPr>
          <w:p w14:paraId="3562960C"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260" w:type="dxa"/>
            <w:tcBorders>
              <w:left w:val="thinThickThinLargeGap" w:sz="24" w:space="0" w:color="auto"/>
              <w:bottom w:val="dashed" w:sz="4" w:space="0" w:color="auto"/>
            </w:tcBorders>
          </w:tcPr>
          <w:p w14:paraId="22231A29"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15</w:t>
            </w:r>
          </w:p>
        </w:tc>
        <w:tc>
          <w:tcPr>
            <w:tcW w:w="1080" w:type="dxa"/>
            <w:tcBorders>
              <w:bottom w:val="dashed" w:sz="4" w:space="0" w:color="auto"/>
            </w:tcBorders>
          </w:tcPr>
          <w:p w14:paraId="37AF5B88"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bottom w:val="dashed" w:sz="4" w:space="0" w:color="auto"/>
              <w:right w:val="nil"/>
            </w:tcBorders>
          </w:tcPr>
          <w:p w14:paraId="5D573291"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r>
      <w:tr w:rsidR="00DB1C44" w:rsidRPr="00AE5E21" w14:paraId="07005ABD" w14:textId="77777777" w:rsidTr="00E76101">
        <w:trPr>
          <w:trHeight w:val="135"/>
        </w:trPr>
        <w:tc>
          <w:tcPr>
            <w:tcW w:w="1080" w:type="dxa"/>
            <w:vMerge/>
            <w:tcBorders>
              <w:left w:val="nil"/>
              <w:right w:val="single" w:sz="8" w:space="0" w:color="auto"/>
            </w:tcBorders>
          </w:tcPr>
          <w:p w14:paraId="1244A5E4" w14:textId="77777777" w:rsidR="00DB1C44" w:rsidRPr="00AE5E21" w:rsidRDefault="00DB1C44" w:rsidP="003C43B0">
            <w:pPr>
              <w:rPr>
                <w:rFonts w:ascii="Times New Roman" w:hAnsi="Times New Roman" w:cs="Times New Roman"/>
                <w:b/>
                <w:sz w:val="20"/>
                <w:szCs w:val="20"/>
              </w:rPr>
            </w:pPr>
          </w:p>
        </w:tc>
        <w:tc>
          <w:tcPr>
            <w:tcW w:w="1260" w:type="dxa"/>
            <w:tcBorders>
              <w:top w:val="dashed" w:sz="4" w:space="0" w:color="auto"/>
              <w:left w:val="single" w:sz="8" w:space="0" w:color="auto"/>
              <w:bottom w:val="dashed" w:sz="4" w:space="0" w:color="auto"/>
              <w:right w:val="single" w:sz="18" w:space="0" w:color="auto"/>
            </w:tcBorders>
          </w:tcPr>
          <w:p w14:paraId="6E9CE6D4"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PrEP: TDF-FTC</w:t>
            </w:r>
          </w:p>
        </w:tc>
        <w:tc>
          <w:tcPr>
            <w:tcW w:w="1260" w:type="dxa"/>
            <w:tcBorders>
              <w:top w:val="dashed" w:sz="4" w:space="0" w:color="auto"/>
              <w:left w:val="single" w:sz="18" w:space="0" w:color="auto"/>
              <w:bottom w:val="dashed" w:sz="4" w:space="0" w:color="auto"/>
            </w:tcBorders>
          </w:tcPr>
          <w:p w14:paraId="14504C67"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3</w:t>
            </w:r>
          </w:p>
        </w:tc>
        <w:tc>
          <w:tcPr>
            <w:tcW w:w="1080" w:type="dxa"/>
            <w:tcBorders>
              <w:top w:val="dashed" w:sz="4" w:space="0" w:color="auto"/>
              <w:bottom w:val="dashed" w:sz="4" w:space="0" w:color="auto"/>
            </w:tcBorders>
          </w:tcPr>
          <w:p w14:paraId="678FC8C8"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bottom w:val="dashed" w:sz="4" w:space="0" w:color="auto"/>
              <w:right w:val="thinThickThinLargeGap" w:sz="24" w:space="0" w:color="auto"/>
            </w:tcBorders>
          </w:tcPr>
          <w:p w14:paraId="121697CC"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1</w:t>
            </w:r>
          </w:p>
        </w:tc>
        <w:tc>
          <w:tcPr>
            <w:tcW w:w="1260" w:type="dxa"/>
            <w:tcBorders>
              <w:top w:val="dashed" w:sz="4" w:space="0" w:color="auto"/>
              <w:left w:val="thinThickThinLargeGap" w:sz="24" w:space="0" w:color="auto"/>
              <w:bottom w:val="dashed" w:sz="4" w:space="0" w:color="auto"/>
            </w:tcBorders>
          </w:tcPr>
          <w:p w14:paraId="07CA193F"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12</w:t>
            </w:r>
          </w:p>
        </w:tc>
        <w:tc>
          <w:tcPr>
            <w:tcW w:w="1080" w:type="dxa"/>
            <w:tcBorders>
              <w:top w:val="dashed" w:sz="4" w:space="0" w:color="auto"/>
              <w:bottom w:val="dashed" w:sz="4" w:space="0" w:color="auto"/>
            </w:tcBorders>
          </w:tcPr>
          <w:p w14:paraId="6F3738D6" w14:textId="77777777" w:rsidR="00DB1C44" w:rsidRPr="00AE5E21" w:rsidRDefault="00DB1C44" w:rsidP="003C43B0">
            <w:pPr>
              <w:jc w:val="center"/>
              <w:rPr>
                <w:rFonts w:ascii="Times New Roman" w:hAnsi="Times New Roman" w:cs="Times New Roman"/>
                <w:sz w:val="20"/>
                <w:szCs w:val="20"/>
                <w:vertAlign w:val="superscript"/>
              </w:rPr>
            </w:pPr>
            <w:r w:rsidRPr="00AE5E21">
              <w:rPr>
                <w:rFonts w:ascii="Times New Roman" w:hAnsi="Times New Roman" w:cs="Times New Roman"/>
                <w:sz w:val="20"/>
                <w:szCs w:val="20"/>
              </w:rPr>
              <w:t>0</w:t>
            </w:r>
          </w:p>
        </w:tc>
        <w:tc>
          <w:tcPr>
            <w:tcW w:w="1080" w:type="dxa"/>
            <w:tcBorders>
              <w:top w:val="dashed" w:sz="4" w:space="0" w:color="auto"/>
              <w:bottom w:val="dashed" w:sz="4" w:space="0" w:color="auto"/>
              <w:right w:val="nil"/>
            </w:tcBorders>
          </w:tcPr>
          <w:p w14:paraId="348C575D"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r>
      <w:tr w:rsidR="00DB1C44" w:rsidRPr="00AE5E21" w14:paraId="49376831" w14:textId="77777777" w:rsidTr="00E76101">
        <w:trPr>
          <w:trHeight w:val="270"/>
        </w:trPr>
        <w:tc>
          <w:tcPr>
            <w:tcW w:w="1080" w:type="dxa"/>
            <w:vMerge/>
            <w:tcBorders>
              <w:left w:val="nil"/>
              <w:right w:val="single" w:sz="8" w:space="0" w:color="auto"/>
            </w:tcBorders>
          </w:tcPr>
          <w:p w14:paraId="33A5B0DE" w14:textId="77777777" w:rsidR="00DB1C44" w:rsidRPr="00AE5E21" w:rsidRDefault="00DB1C44" w:rsidP="003C43B0">
            <w:pPr>
              <w:rPr>
                <w:rFonts w:ascii="Times New Roman" w:hAnsi="Times New Roman" w:cs="Times New Roman"/>
                <w:b/>
                <w:sz w:val="20"/>
                <w:szCs w:val="20"/>
              </w:rPr>
            </w:pPr>
          </w:p>
        </w:tc>
        <w:tc>
          <w:tcPr>
            <w:tcW w:w="1260" w:type="dxa"/>
            <w:tcBorders>
              <w:top w:val="dashed" w:sz="4" w:space="0" w:color="auto"/>
              <w:left w:val="single" w:sz="8" w:space="0" w:color="auto"/>
              <w:right w:val="single" w:sz="18" w:space="0" w:color="auto"/>
            </w:tcBorders>
          </w:tcPr>
          <w:p w14:paraId="767F14EE"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Placebo</w:t>
            </w:r>
          </w:p>
        </w:tc>
        <w:tc>
          <w:tcPr>
            <w:tcW w:w="1260" w:type="dxa"/>
            <w:tcBorders>
              <w:top w:val="dashed" w:sz="4" w:space="0" w:color="auto"/>
              <w:left w:val="single" w:sz="18" w:space="0" w:color="auto"/>
            </w:tcBorders>
          </w:tcPr>
          <w:p w14:paraId="0452D7F7"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6</w:t>
            </w:r>
          </w:p>
        </w:tc>
        <w:tc>
          <w:tcPr>
            <w:tcW w:w="1080" w:type="dxa"/>
            <w:tcBorders>
              <w:top w:val="dashed" w:sz="4" w:space="0" w:color="auto"/>
            </w:tcBorders>
          </w:tcPr>
          <w:p w14:paraId="7933C89D"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right w:val="thinThickThinLargeGap" w:sz="24" w:space="0" w:color="auto"/>
            </w:tcBorders>
          </w:tcPr>
          <w:p w14:paraId="52A41D7B"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260" w:type="dxa"/>
            <w:tcBorders>
              <w:top w:val="dashed" w:sz="4" w:space="0" w:color="auto"/>
              <w:left w:val="thinThickThinLargeGap" w:sz="24" w:space="0" w:color="auto"/>
            </w:tcBorders>
          </w:tcPr>
          <w:p w14:paraId="7D0BC7A1"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51</w:t>
            </w:r>
          </w:p>
        </w:tc>
        <w:tc>
          <w:tcPr>
            <w:tcW w:w="1080" w:type="dxa"/>
            <w:tcBorders>
              <w:top w:val="dashed" w:sz="4" w:space="0" w:color="auto"/>
            </w:tcBorders>
          </w:tcPr>
          <w:p w14:paraId="47F6646C"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right w:val="nil"/>
            </w:tcBorders>
          </w:tcPr>
          <w:p w14:paraId="527763AB"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r>
      <w:tr w:rsidR="00DB1C44" w:rsidRPr="00AE5E21" w14:paraId="1AB8D460" w14:textId="77777777" w:rsidTr="00E76101">
        <w:trPr>
          <w:trHeight w:val="135"/>
        </w:trPr>
        <w:tc>
          <w:tcPr>
            <w:tcW w:w="1080" w:type="dxa"/>
            <w:vMerge w:val="restart"/>
            <w:tcBorders>
              <w:left w:val="nil"/>
              <w:right w:val="single" w:sz="8" w:space="0" w:color="auto"/>
            </w:tcBorders>
          </w:tcPr>
          <w:p w14:paraId="6DA50E2B" w14:textId="77777777" w:rsidR="00DB1C44" w:rsidRPr="00AE5E21" w:rsidRDefault="00DB1C44" w:rsidP="003C43B0">
            <w:pPr>
              <w:rPr>
                <w:rFonts w:ascii="Times New Roman" w:hAnsi="Times New Roman" w:cs="Times New Roman"/>
                <w:b/>
                <w:sz w:val="20"/>
                <w:szCs w:val="20"/>
              </w:rPr>
            </w:pPr>
            <w:r w:rsidRPr="00AE5E21">
              <w:rPr>
                <w:rFonts w:ascii="Times New Roman" w:hAnsi="Times New Roman" w:cs="Times New Roman"/>
                <w:b/>
                <w:sz w:val="20"/>
                <w:szCs w:val="20"/>
              </w:rPr>
              <w:t>TDF2</w:t>
            </w:r>
          </w:p>
        </w:tc>
        <w:tc>
          <w:tcPr>
            <w:tcW w:w="1260" w:type="dxa"/>
            <w:tcBorders>
              <w:left w:val="single" w:sz="8" w:space="0" w:color="auto"/>
              <w:bottom w:val="dashed" w:sz="4" w:space="0" w:color="auto"/>
              <w:right w:val="single" w:sz="18" w:space="0" w:color="auto"/>
            </w:tcBorders>
          </w:tcPr>
          <w:p w14:paraId="701D76D0"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PrEP: TDF-FTC</w:t>
            </w:r>
          </w:p>
        </w:tc>
        <w:tc>
          <w:tcPr>
            <w:tcW w:w="1260" w:type="dxa"/>
            <w:tcBorders>
              <w:left w:val="single" w:sz="18" w:space="0" w:color="auto"/>
              <w:bottom w:val="dashed" w:sz="4" w:space="0" w:color="auto"/>
            </w:tcBorders>
          </w:tcPr>
          <w:p w14:paraId="3563F8AF"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1</w:t>
            </w:r>
          </w:p>
        </w:tc>
        <w:tc>
          <w:tcPr>
            <w:tcW w:w="1080" w:type="dxa"/>
            <w:tcBorders>
              <w:bottom w:val="dashed" w:sz="4" w:space="0" w:color="auto"/>
            </w:tcBorders>
          </w:tcPr>
          <w:p w14:paraId="5748136F"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b/>
                <w:sz w:val="20"/>
                <w:szCs w:val="20"/>
              </w:rPr>
              <w:t>1</w:t>
            </w:r>
            <w:r w:rsidRPr="00AE5E21">
              <w:rPr>
                <w:rFonts w:ascii="Times New Roman" w:hAnsi="Times New Roman" w:cs="Times New Roman"/>
                <w:sz w:val="20"/>
                <w:szCs w:val="20"/>
                <w:vertAlign w:val="superscript"/>
              </w:rPr>
              <w:t>e</w:t>
            </w:r>
          </w:p>
        </w:tc>
        <w:tc>
          <w:tcPr>
            <w:tcW w:w="1080" w:type="dxa"/>
            <w:tcBorders>
              <w:bottom w:val="dashed" w:sz="4" w:space="0" w:color="auto"/>
              <w:right w:val="thinThickThinLargeGap" w:sz="24" w:space="0" w:color="auto"/>
            </w:tcBorders>
          </w:tcPr>
          <w:p w14:paraId="031E7C91"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b/>
                <w:sz w:val="20"/>
                <w:szCs w:val="20"/>
              </w:rPr>
              <w:t>1</w:t>
            </w:r>
            <w:r w:rsidRPr="00AE5E21">
              <w:rPr>
                <w:rFonts w:ascii="Times New Roman" w:hAnsi="Times New Roman" w:cs="Times New Roman"/>
                <w:sz w:val="20"/>
                <w:szCs w:val="20"/>
                <w:vertAlign w:val="superscript"/>
              </w:rPr>
              <w:t>e</w:t>
            </w:r>
          </w:p>
        </w:tc>
        <w:tc>
          <w:tcPr>
            <w:tcW w:w="1260" w:type="dxa"/>
            <w:tcBorders>
              <w:left w:val="thinThickThinLargeGap" w:sz="24" w:space="0" w:color="auto"/>
              <w:bottom w:val="dashed" w:sz="4" w:space="0" w:color="auto"/>
            </w:tcBorders>
          </w:tcPr>
          <w:p w14:paraId="439D8817"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9</w:t>
            </w:r>
          </w:p>
        </w:tc>
        <w:tc>
          <w:tcPr>
            <w:tcW w:w="1080" w:type="dxa"/>
            <w:tcBorders>
              <w:bottom w:val="dashed" w:sz="4" w:space="0" w:color="auto"/>
            </w:tcBorders>
          </w:tcPr>
          <w:p w14:paraId="0D7AA3CA"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bottom w:val="dashed" w:sz="4" w:space="0" w:color="auto"/>
              <w:right w:val="nil"/>
            </w:tcBorders>
          </w:tcPr>
          <w:p w14:paraId="34EA472A"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r>
      <w:tr w:rsidR="00DB1C44" w:rsidRPr="00AE5E21" w14:paraId="2A1FE0FC" w14:textId="77777777" w:rsidTr="00E76101">
        <w:trPr>
          <w:trHeight w:val="135"/>
        </w:trPr>
        <w:tc>
          <w:tcPr>
            <w:tcW w:w="1080" w:type="dxa"/>
            <w:vMerge/>
            <w:tcBorders>
              <w:left w:val="nil"/>
              <w:right w:val="single" w:sz="8" w:space="0" w:color="auto"/>
            </w:tcBorders>
          </w:tcPr>
          <w:p w14:paraId="3FB8309B" w14:textId="77777777" w:rsidR="00DB1C44" w:rsidRPr="00AE5E21" w:rsidRDefault="00DB1C44" w:rsidP="003C43B0">
            <w:pPr>
              <w:rPr>
                <w:rFonts w:ascii="Times New Roman" w:hAnsi="Times New Roman" w:cs="Times New Roman"/>
                <w:b/>
                <w:sz w:val="20"/>
                <w:szCs w:val="20"/>
              </w:rPr>
            </w:pPr>
          </w:p>
        </w:tc>
        <w:tc>
          <w:tcPr>
            <w:tcW w:w="1260" w:type="dxa"/>
            <w:tcBorders>
              <w:top w:val="dashed" w:sz="4" w:space="0" w:color="auto"/>
              <w:left w:val="single" w:sz="8" w:space="0" w:color="auto"/>
              <w:right w:val="single" w:sz="18" w:space="0" w:color="auto"/>
            </w:tcBorders>
          </w:tcPr>
          <w:p w14:paraId="182D79F6"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Placebo</w:t>
            </w:r>
          </w:p>
        </w:tc>
        <w:tc>
          <w:tcPr>
            <w:tcW w:w="1260" w:type="dxa"/>
            <w:tcBorders>
              <w:top w:val="dashed" w:sz="4" w:space="0" w:color="auto"/>
              <w:left w:val="single" w:sz="18" w:space="0" w:color="auto"/>
            </w:tcBorders>
          </w:tcPr>
          <w:p w14:paraId="23AC8911"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2</w:t>
            </w:r>
          </w:p>
        </w:tc>
        <w:tc>
          <w:tcPr>
            <w:tcW w:w="1080" w:type="dxa"/>
            <w:tcBorders>
              <w:top w:val="dashed" w:sz="4" w:space="0" w:color="auto"/>
            </w:tcBorders>
          </w:tcPr>
          <w:p w14:paraId="2D131B95"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right w:val="thinThickThinLargeGap" w:sz="24" w:space="0" w:color="auto"/>
            </w:tcBorders>
          </w:tcPr>
          <w:p w14:paraId="5115E4C4"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260" w:type="dxa"/>
            <w:tcBorders>
              <w:top w:val="dashed" w:sz="4" w:space="0" w:color="auto"/>
              <w:left w:val="thinThickThinLargeGap" w:sz="24" w:space="0" w:color="auto"/>
            </w:tcBorders>
          </w:tcPr>
          <w:p w14:paraId="4FF6118A"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24</w:t>
            </w:r>
          </w:p>
        </w:tc>
        <w:tc>
          <w:tcPr>
            <w:tcW w:w="1080" w:type="dxa"/>
            <w:tcBorders>
              <w:top w:val="dashed" w:sz="4" w:space="0" w:color="auto"/>
            </w:tcBorders>
          </w:tcPr>
          <w:p w14:paraId="2E0BA8E9"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right w:val="nil"/>
            </w:tcBorders>
          </w:tcPr>
          <w:p w14:paraId="105BBAF4"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r>
      <w:tr w:rsidR="00DB1C44" w:rsidRPr="00AE5E21" w14:paraId="6E149941" w14:textId="77777777" w:rsidTr="00E76101">
        <w:trPr>
          <w:trHeight w:val="305"/>
        </w:trPr>
        <w:tc>
          <w:tcPr>
            <w:tcW w:w="1080" w:type="dxa"/>
            <w:vMerge w:val="restart"/>
            <w:tcBorders>
              <w:left w:val="nil"/>
              <w:right w:val="single" w:sz="8" w:space="0" w:color="auto"/>
            </w:tcBorders>
          </w:tcPr>
          <w:p w14:paraId="2406DBD2" w14:textId="77777777" w:rsidR="00DB1C44" w:rsidRPr="00AE5E21" w:rsidRDefault="00DB1C44" w:rsidP="003C43B0">
            <w:pPr>
              <w:rPr>
                <w:rFonts w:ascii="Times New Roman" w:hAnsi="Times New Roman" w:cs="Times New Roman"/>
                <w:b/>
                <w:sz w:val="20"/>
                <w:szCs w:val="20"/>
              </w:rPr>
            </w:pPr>
            <w:r w:rsidRPr="00AE5E21">
              <w:rPr>
                <w:rFonts w:ascii="Times New Roman" w:hAnsi="Times New Roman" w:cs="Times New Roman"/>
                <w:b/>
                <w:sz w:val="20"/>
                <w:szCs w:val="20"/>
              </w:rPr>
              <w:t>VOICE</w:t>
            </w:r>
          </w:p>
        </w:tc>
        <w:tc>
          <w:tcPr>
            <w:tcW w:w="1260" w:type="dxa"/>
            <w:tcBorders>
              <w:left w:val="single" w:sz="8" w:space="0" w:color="auto"/>
              <w:bottom w:val="dashed" w:sz="4" w:space="0" w:color="auto"/>
              <w:right w:val="single" w:sz="18" w:space="0" w:color="auto"/>
            </w:tcBorders>
          </w:tcPr>
          <w:p w14:paraId="362BCA93"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PrEP: TDF</w:t>
            </w:r>
          </w:p>
        </w:tc>
        <w:tc>
          <w:tcPr>
            <w:tcW w:w="1260" w:type="dxa"/>
            <w:tcBorders>
              <w:left w:val="single" w:sz="18" w:space="0" w:color="auto"/>
              <w:bottom w:val="dashed" w:sz="4" w:space="0" w:color="auto"/>
            </w:tcBorders>
          </w:tcPr>
          <w:p w14:paraId="49074796"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5</w:t>
            </w:r>
          </w:p>
        </w:tc>
        <w:tc>
          <w:tcPr>
            <w:tcW w:w="1080" w:type="dxa"/>
            <w:tcBorders>
              <w:bottom w:val="dashed" w:sz="4" w:space="0" w:color="auto"/>
            </w:tcBorders>
          </w:tcPr>
          <w:p w14:paraId="37522BB2"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bottom w:val="dashed" w:sz="4" w:space="0" w:color="auto"/>
              <w:right w:val="thinThickThinLargeGap" w:sz="24" w:space="0" w:color="auto"/>
            </w:tcBorders>
          </w:tcPr>
          <w:p w14:paraId="66631C36"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260" w:type="dxa"/>
            <w:tcBorders>
              <w:left w:val="thinThickThinLargeGap" w:sz="24" w:space="0" w:color="auto"/>
              <w:bottom w:val="dashed" w:sz="4" w:space="0" w:color="auto"/>
            </w:tcBorders>
          </w:tcPr>
          <w:p w14:paraId="033E2793"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58</w:t>
            </w:r>
          </w:p>
        </w:tc>
        <w:tc>
          <w:tcPr>
            <w:tcW w:w="1080" w:type="dxa"/>
            <w:tcBorders>
              <w:bottom w:val="dashed" w:sz="4" w:space="0" w:color="auto"/>
            </w:tcBorders>
          </w:tcPr>
          <w:p w14:paraId="0280F1B9"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bottom w:val="dashed" w:sz="4" w:space="0" w:color="auto"/>
              <w:right w:val="nil"/>
            </w:tcBorders>
          </w:tcPr>
          <w:p w14:paraId="27C5E5FB"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r>
      <w:tr w:rsidR="00DB1C44" w:rsidRPr="00AE5E21" w14:paraId="08DBDAC0" w14:textId="77777777" w:rsidTr="00E76101">
        <w:trPr>
          <w:trHeight w:val="377"/>
        </w:trPr>
        <w:tc>
          <w:tcPr>
            <w:tcW w:w="1080" w:type="dxa"/>
            <w:vMerge/>
            <w:tcBorders>
              <w:left w:val="nil"/>
              <w:right w:val="single" w:sz="8" w:space="0" w:color="auto"/>
            </w:tcBorders>
          </w:tcPr>
          <w:p w14:paraId="27484B53" w14:textId="77777777" w:rsidR="00DB1C44" w:rsidRPr="00AE5E21" w:rsidRDefault="00DB1C44" w:rsidP="003C43B0">
            <w:pPr>
              <w:rPr>
                <w:rFonts w:ascii="Times New Roman" w:hAnsi="Times New Roman" w:cs="Times New Roman"/>
                <w:sz w:val="20"/>
                <w:szCs w:val="20"/>
              </w:rPr>
            </w:pPr>
          </w:p>
        </w:tc>
        <w:tc>
          <w:tcPr>
            <w:tcW w:w="1260" w:type="dxa"/>
            <w:tcBorders>
              <w:top w:val="dashed" w:sz="4" w:space="0" w:color="auto"/>
              <w:left w:val="single" w:sz="8" w:space="0" w:color="auto"/>
              <w:bottom w:val="dashed" w:sz="4" w:space="0" w:color="auto"/>
              <w:right w:val="single" w:sz="18" w:space="0" w:color="auto"/>
            </w:tcBorders>
          </w:tcPr>
          <w:p w14:paraId="1B7E7A9C"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PrEP: TDF-FTC</w:t>
            </w:r>
          </w:p>
        </w:tc>
        <w:tc>
          <w:tcPr>
            <w:tcW w:w="1260" w:type="dxa"/>
            <w:tcBorders>
              <w:top w:val="dashed" w:sz="4" w:space="0" w:color="auto"/>
              <w:left w:val="single" w:sz="18" w:space="0" w:color="auto"/>
              <w:bottom w:val="dashed" w:sz="4" w:space="0" w:color="auto"/>
            </w:tcBorders>
          </w:tcPr>
          <w:p w14:paraId="5E3262C6"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9</w:t>
            </w:r>
          </w:p>
        </w:tc>
        <w:tc>
          <w:tcPr>
            <w:tcW w:w="1080" w:type="dxa"/>
            <w:tcBorders>
              <w:top w:val="dashed" w:sz="4" w:space="0" w:color="auto"/>
              <w:bottom w:val="dashed" w:sz="4" w:space="0" w:color="auto"/>
            </w:tcBorders>
          </w:tcPr>
          <w:p w14:paraId="4E04374C"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bottom w:val="dashed" w:sz="4" w:space="0" w:color="auto"/>
              <w:right w:val="thinThickThinLargeGap" w:sz="24" w:space="0" w:color="auto"/>
            </w:tcBorders>
          </w:tcPr>
          <w:p w14:paraId="12CA31A2"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2</w:t>
            </w:r>
          </w:p>
        </w:tc>
        <w:tc>
          <w:tcPr>
            <w:tcW w:w="1260" w:type="dxa"/>
            <w:tcBorders>
              <w:top w:val="dashed" w:sz="4" w:space="0" w:color="auto"/>
              <w:left w:val="thinThickThinLargeGap" w:sz="24" w:space="0" w:color="auto"/>
              <w:bottom w:val="dashed" w:sz="4" w:space="0" w:color="auto"/>
            </w:tcBorders>
          </w:tcPr>
          <w:p w14:paraId="71DED137"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55</w:t>
            </w:r>
          </w:p>
        </w:tc>
        <w:tc>
          <w:tcPr>
            <w:tcW w:w="1080" w:type="dxa"/>
            <w:tcBorders>
              <w:top w:val="dashed" w:sz="4" w:space="0" w:color="auto"/>
              <w:bottom w:val="dashed" w:sz="4" w:space="0" w:color="auto"/>
            </w:tcBorders>
          </w:tcPr>
          <w:p w14:paraId="0C0D221F"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bottom w:val="dashed" w:sz="4" w:space="0" w:color="auto"/>
              <w:right w:val="nil"/>
            </w:tcBorders>
          </w:tcPr>
          <w:p w14:paraId="6EE2AB8B"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1</w:t>
            </w:r>
          </w:p>
        </w:tc>
      </w:tr>
      <w:tr w:rsidR="00DB1C44" w:rsidRPr="00AE5E21" w14:paraId="3624CC8B" w14:textId="77777777" w:rsidTr="00E76101">
        <w:trPr>
          <w:trHeight w:val="368"/>
        </w:trPr>
        <w:tc>
          <w:tcPr>
            <w:tcW w:w="1080" w:type="dxa"/>
            <w:vMerge/>
            <w:tcBorders>
              <w:left w:val="nil"/>
              <w:bottom w:val="thinThickSmallGap" w:sz="24" w:space="0" w:color="auto"/>
              <w:right w:val="single" w:sz="8" w:space="0" w:color="auto"/>
            </w:tcBorders>
          </w:tcPr>
          <w:p w14:paraId="7563B6E9" w14:textId="77777777" w:rsidR="00DB1C44" w:rsidRPr="00AE5E21" w:rsidRDefault="00DB1C44" w:rsidP="003C43B0">
            <w:pPr>
              <w:rPr>
                <w:rFonts w:ascii="Times New Roman" w:hAnsi="Times New Roman" w:cs="Times New Roman"/>
                <w:sz w:val="20"/>
                <w:szCs w:val="20"/>
              </w:rPr>
            </w:pPr>
          </w:p>
        </w:tc>
        <w:tc>
          <w:tcPr>
            <w:tcW w:w="1260" w:type="dxa"/>
            <w:tcBorders>
              <w:top w:val="dashed" w:sz="4" w:space="0" w:color="auto"/>
              <w:left w:val="single" w:sz="8" w:space="0" w:color="auto"/>
              <w:bottom w:val="thinThickSmallGap" w:sz="24" w:space="0" w:color="auto"/>
              <w:right w:val="single" w:sz="18" w:space="0" w:color="auto"/>
            </w:tcBorders>
          </w:tcPr>
          <w:p w14:paraId="0D6D0D92"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Placebo</w:t>
            </w:r>
          </w:p>
        </w:tc>
        <w:tc>
          <w:tcPr>
            <w:tcW w:w="1260" w:type="dxa"/>
            <w:tcBorders>
              <w:top w:val="dashed" w:sz="4" w:space="0" w:color="auto"/>
              <w:left w:val="single" w:sz="18" w:space="0" w:color="auto"/>
              <w:bottom w:val="thinThickSmallGap" w:sz="24" w:space="0" w:color="auto"/>
            </w:tcBorders>
          </w:tcPr>
          <w:p w14:paraId="2BAE5682"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1</w:t>
            </w:r>
          </w:p>
        </w:tc>
        <w:tc>
          <w:tcPr>
            <w:tcW w:w="1080" w:type="dxa"/>
            <w:tcBorders>
              <w:top w:val="dashed" w:sz="4" w:space="0" w:color="auto"/>
              <w:bottom w:val="thinThickSmallGap" w:sz="24" w:space="0" w:color="auto"/>
            </w:tcBorders>
          </w:tcPr>
          <w:p w14:paraId="5A39831B"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bottom w:val="thinThickSmallGap" w:sz="24" w:space="0" w:color="auto"/>
              <w:right w:val="thinThickThinLargeGap" w:sz="24" w:space="0" w:color="auto"/>
            </w:tcBorders>
          </w:tcPr>
          <w:p w14:paraId="6B678064"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260" w:type="dxa"/>
            <w:tcBorders>
              <w:top w:val="dashed" w:sz="4" w:space="0" w:color="auto"/>
              <w:left w:val="thinThickThinLargeGap" w:sz="24" w:space="0" w:color="auto"/>
              <w:bottom w:val="thinThickSmallGap" w:sz="24" w:space="0" w:color="auto"/>
            </w:tcBorders>
          </w:tcPr>
          <w:p w14:paraId="7CB57782"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60</w:t>
            </w:r>
          </w:p>
        </w:tc>
        <w:tc>
          <w:tcPr>
            <w:tcW w:w="1080" w:type="dxa"/>
            <w:tcBorders>
              <w:top w:val="dashed" w:sz="4" w:space="0" w:color="auto"/>
              <w:bottom w:val="thinThickSmallGap" w:sz="24" w:space="0" w:color="auto"/>
            </w:tcBorders>
          </w:tcPr>
          <w:p w14:paraId="58B6A7BE"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c>
          <w:tcPr>
            <w:tcW w:w="1080" w:type="dxa"/>
            <w:tcBorders>
              <w:top w:val="dashed" w:sz="4" w:space="0" w:color="auto"/>
              <w:bottom w:val="thinThickSmallGap" w:sz="24" w:space="0" w:color="auto"/>
              <w:right w:val="nil"/>
            </w:tcBorders>
          </w:tcPr>
          <w:p w14:paraId="724E050E"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0</w:t>
            </w:r>
          </w:p>
        </w:tc>
      </w:tr>
      <w:tr w:rsidR="00DB1C44" w:rsidRPr="00AE5E21" w14:paraId="58B98912" w14:textId="77777777" w:rsidTr="00E76101">
        <w:trPr>
          <w:trHeight w:val="368"/>
        </w:trPr>
        <w:tc>
          <w:tcPr>
            <w:tcW w:w="2340" w:type="dxa"/>
            <w:gridSpan w:val="2"/>
            <w:tcBorders>
              <w:top w:val="thinThickSmallGap" w:sz="24" w:space="0" w:color="auto"/>
              <w:left w:val="nil"/>
              <w:bottom w:val="single" w:sz="4" w:space="0" w:color="auto"/>
              <w:right w:val="single" w:sz="18" w:space="0" w:color="auto"/>
            </w:tcBorders>
          </w:tcPr>
          <w:p w14:paraId="3CC7BE0C"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b/>
                <w:sz w:val="20"/>
                <w:szCs w:val="20"/>
              </w:rPr>
              <w:t>TOTAL (overall)</w:t>
            </w:r>
          </w:p>
        </w:tc>
        <w:tc>
          <w:tcPr>
            <w:tcW w:w="1260" w:type="dxa"/>
            <w:tcBorders>
              <w:top w:val="thinThickSmallGap" w:sz="24" w:space="0" w:color="auto"/>
              <w:left w:val="single" w:sz="18" w:space="0" w:color="auto"/>
              <w:bottom w:val="single" w:sz="4" w:space="0" w:color="auto"/>
            </w:tcBorders>
          </w:tcPr>
          <w:p w14:paraId="55D2AC1F" w14:textId="5B864B4D" w:rsidR="00DB1C44" w:rsidRPr="00AE5E21" w:rsidRDefault="003C43B0" w:rsidP="003C43B0">
            <w:pPr>
              <w:jc w:val="center"/>
              <w:rPr>
                <w:rFonts w:ascii="Times New Roman" w:hAnsi="Times New Roman" w:cs="Times New Roman"/>
                <w:b/>
                <w:sz w:val="20"/>
                <w:szCs w:val="20"/>
              </w:rPr>
            </w:pPr>
            <w:r w:rsidRPr="00AE5E21">
              <w:rPr>
                <w:rFonts w:ascii="Times New Roman" w:hAnsi="Times New Roman" w:cs="Times New Roman"/>
                <w:b/>
                <w:sz w:val="20"/>
                <w:szCs w:val="20"/>
              </w:rPr>
              <w:t>4</w:t>
            </w:r>
            <w:r>
              <w:rPr>
                <w:rFonts w:ascii="Times New Roman" w:hAnsi="Times New Roman" w:cs="Times New Roman"/>
                <w:b/>
                <w:sz w:val="20"/>
                <w:szCs w:val="20"/>
              </w:rPr>
              <w:t>6</w:t>
            </w:r>
          </w:p>
        </w:tc>
        <w:tc>
          <w:tcPr>
            <w:tcW w:w="1080" w:type="dxa"/>
            <w:tcBorders>
              <w:top w:val="thinThickSmallGap" w:sz="24" w:space="0" w:color="auto"/>
              <w:bottom w:val="single" w:sz="4" w:space="0" w:color="auto"/>
            </w:tcBorders>
          </w:tcPr>
          <w:p w14:paraId="0E221255"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2</w:t>
            </w:r>
          </w:p>
        </w:tc>
        <w:tc>
          <w:tcPr>
            <w:tcW w:w="1080" w:type="dxa"/>
            <w:tcBorders>
              <w:top w:val="thinThickSmallGap" w:sz="24" w:space="0" w:color="auto"/>
              <w:bottom w:val="single" w:sz="4" w:space="0" w:color="auto"/>
              <w:right w:val="thinThickThinLargeGap" w:sz="24" w:space="0" w:color="auto"/>
            </w:tcBorders>
          </w:tcPr>
          <w:p w14:paraId="4C25FE07"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6</w:t>
            </w:r>
          </w:p>
        </w:tc>
        <w:tc>
          <w:tcPr>
            <w:tcW w:w="1260" w:type="dxa"/>
            <w:tcBorders>
              <w:top w:val="thinThickSmallGap" w:sz="24" w:space="0" w:color="auto"/>
              <w:left w:val="thinThickThinLargeGap" w:sz="24" w:space="0" w:color="auto"/>
              <w:bottom w:val="single" w:sz="4" w:space="0" w:color="auto"/>
            </w:tcBorders>
          </w:tcPr>
          <w:p w14:paraId="688F2064"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533</w:t>
            </w:r>
          </w:p>
        </w:tc>
        <w:tc>
          <w:tcPr>
            <w:tcW w:w="1080" w:type="dxa"/>
            <w:tcBorders>
              <w:top w:val="thinThickSmallGap" w:sz="24" w:space="0" w:color="auto"/>
              <w:bottom w:val="single" w:sz="4" w:space="0" w:color="auto"/>
            </w:tcBorders>
          </w:tcPr>
          <w:p w14:paraId="55DA91F7"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0</w:t>
            </w:r>
          </w:p>
        </w:tc>
        <w:tc>
          <w:tcPr>
            <w:tcW w:w="1080" w:type="dxa"/>
            <w:tcBorders>
              <w:top w:val="thinThickSmallGap" w:sz="24" w:space="0" w:color="auto"/>
              <w:bottom w:val="single" w:sz="4" w:space="0" w:color="auto"/>
              <w:right w:val="nil"/>
            </w:tcBorders>
          </w:tcPr>
          <w:p w14:paraId="3D1E9150"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6</w:t>
            </w:r>
          </w:p>
        </w:tc>
      </w:tr>
      <w:tr w:rsidR="00DB1C44" w:rsidRPr="00AE5E21" w14:paraId="58700145" w14:textId="77777777" w:rsidTr="00E76101">
        <w:trPr>
          <w:trHeight w:val="368"/>
        </w:trPr>
        <w:tc>
          <w:tcPr>
            <w:tcW w:w="1080" w:type="dxa"/>
            <w:vMerge w:val="restart"/>
            <w:tcBorders>
              <w:top w:val="single" w:sz="4" w:space="0" w:color="auto"/>
              <w:left w:val="nil"/>
              <w:right w:val="single" w:sz="8" w:space="0" w:color="auto"/>
            </w:tcBorders>
          </w:tcPr>
          <w:p w14:paraId="60CC5DAA" w14:textId="242BB58D" w:rsidR="00DB1C44" w:rsidRPr="00AE5E21" w:rsidRDefault="00E76101" w:rsidP="003C43B0">
            <w:pPr>
              <w:rPr>
                <w:rFonts w:ascii="Times New Roman" w:hAnsi="Times New Roman" w:cs="Times New Roman"/>
                <w:b/>
                <w:sz w:val="20"/>
                <w:szCs w:val="20"/>
              </w:rPr>
            </w:pPr>
            <w:r>
              <w:rPr>
                <w:rFonts w:ascii="Times New Roman" w:hAnsi="Times New Roman" w:cs="Times New Roman"/>
                <w:b/>
                <w:sz w:val="20"/>
                <w:szCs w:val="20"/>
              </w:rPr>
              <w:t xml:space="preserve">TOTAL (by </w:t>
            </w:r>
            <w:r w:rsidR="00DB1C44" w:rsidRPr="00AE5E21">
              <w:rPr>
                <w:rFonts w:ascii="Times New Roman" w:hAnsi="Times New Roman" w:cs="Times New Roman"/>
                <w:b/>
                <w:sz w:val="20"/>
                <w:szCs w:val="20"/>
              </w:rPr>
              <w:t>study arm)</w:t>
            </w:r>
          </w:p>
        </w:tc>
        <w:tc>
          <w:tcPr>
            <w:tcW w:w="1260" w:type="dxa"/>
            <w:tcBorders>
              <w:top w:val="single" w:sz="4" w:space="0" w:color="auto"/>
              <w:left w:val="single" w:sz="8" w:space="0" w:color="auto"/>
              <w:bottom w:val="single" w:sz="4" w:space="0" w:color="auto"/>
              <w:right w:val="single" w:sz="18" w:space="0" w:color="auto"/>
            </w:tcBorders>
          </w:tcPr>
          <w:p w14:paraId="1B3232B4"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FTC/TDF</w:t>
            </w:r>
          </w:p>
        </w:tc>
        <w:tc>
          <w:tcPr>
            <w:tcW w:w="1260" w:type="dxa"/>
            <w:tcBorders>
              <w:top w:val="single" w:sz="4" w:space="0" w:color="auto"/>
              <w:left w:val="single" w:sz="18" w:space="0" w:color="auto"/>
              <w:bottom w:val="single" w:sz="4" w:space="0" w:color="auto"/>
            </w:tcBorders>
          </w:tcPr>
          <w:p w14:paraId="6FCFE51A" w14:textId="4A039F24" w:rsidR="00DB1C44" w:rsidRPr="00AE5E21" w:rsidRDefault="003C43B0" w:rsidP="003C43B0">
            <w:pPr>
              <w:jc w:val="center"/>
              <w:rPr>
                <w:rFonts w:ascii="Times New Roman" w:hAnsi="Times New Roman" w:cs="Times New Roman"/>
                <w:sz w:val="20"/>
                <w:szCs w:val="20"/>
              </w:rPr>
            </w:pPr>
            <w:r w:rsidRPr="00AE5E21">
              <w:rPr>
                <w:rFonts w:ascii="Times New Roman" w:hAnsi="Times New Roman" w:cs="Times New Roman"/>
                <w:sz w:val="20"/>
                <w:szCs w:val="20"/>
              </w:rPr>
              <w:t>1</w:t>
            </w:r>
            <w:r>
              <w:rPr>
                <w:rFonts w:ascii="Times New Roman" w:hAnsi="Times New Roman" w:cs="Times New Roman"/>
                <w:sz w:val="20"/>
                <w:szCs w:val="20"/>
              </w:rPr>
              <w:t>6</w:t>
            </w:r>
          </w:p>
        </w:tc>
        <w:tc>
          <w:tcPr>
            <w:tcW w:w="1080" w:type="dxa"/>
            <w:tcBorders>
              <w:top w:val="single" w:sz="4" w:space="0" w:color="auto"/>
              <w:bottom w:val="single" w:sz="4" w:space="0" w:color="auto"/>
            </w:tcBorders>
          </w:tcPr>
          <w:p w14:paraId="1594FBC0"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1</w:t>
            </w:r>
          </w:p>
        </w:tc>
        <w:tc>
          <w:tcPr>
            <w:tcW w:w="1080" w:type="dxa"/>
            <w:tcBorders>
              <w:top w:val="single" w:sz="4" w:space="0" w:color="auto"/>
              <w:bottom w:val="single" w:sz="4" w:space="0" w:color="auto"/>
              <w:right w:val="thinThickThinLargeGap" w:sz="24" w:space="0" w:color="auto"/>
            </w:tcBorders>
          </w:tcPr>
          <w:p w14:paraId="0F8ABE68"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5</w:t>
            </w:r>
          </w:p>
        </w:tc>
        <w:tc>
          <w:tcPr>
            <w:tcW w:w="1260" w:type="dxa"/>
            <w:tcBorders>
              <w:top w:val="single" w:sz="4" w:space="0" w:color="auto"/>
              <w:left w:val="thinThickThinLargeGap" w:sz="24" w:space="0" w:color="auto"/>
              <w:bottom w:val="single" w:sz="4" w:space="0" w:color="auto"/>
            </w:tcBorders>
          </w:tcPr>
          <w:p w14:paraId="58B76476"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157</w:t>
            </w:r>
          </w:p>
        </w:tc>
        <w:tc>
          <w:tcPr>
            <w:tcW w:w="1080" w:type="dxa"/>
            <w:tcBorders>
              <w:top w:val="single" w:sz="4" w:space="0" w:color="auto"/>
              <w:bottom w:val="single" w:sz="4" w:space="0" w:color="auto"/>
            </w:tcBorders>
          </w:tcPr>
          <w:p w14:paraId="0E95E40D"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0</w:t>
            </w:r>
          </w:p>
        </w:tc>
        <w:tc>
          <w:tcPr>
            <w:tcW w:w="1080" w:type="dxa"/>
            <w:tcBorders>
              <w:top w:val="single" w:sz="4" w:space="0" w:color="auto"/>
              <w:bottom w:val="single" w:sz="4" w:space="0" w:color="auto"/>
              <w:right w:val="nil"/>
            </w:tcBorders>
          </w:tcPr>
          <w:p w14:paraId="275A90C1"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5</w:t>
            </w:r>
          </w:p>
        </w:tc>
      </w:tr>
      <w:tr w:rsidR="00DB1C44" w:rsidRPr="00AE5E21" w14:paraId="7D65799A" w14:textId="77777777" w:rsidTr="00E76101">
        <w:trPr>
          <w:trHeight w:val="368"/>
        </w:trPr>
        <w:tc>
          <w:tcPr>
            <w:tcW w:w="1080" w:type="dxa"/>
            <w:vMerge/>
            <w:tcBorders>
              <w:left w:val="nil"/>
              <w:right w:val="single" w:sz="8" w:space="0" w:color="auto"/>
            </w:tcBorders>
          </w:tcPr>
          <w:p w14:paraId="5BEDA701" w14:textId="77777777" w:rsidR="00DB1C44" w:rsidRPr="00AE5E21" w:rsidRDefault="00DB1C44" w:rsidP="003C43B0">
            <w:pPr>
              <w:rPr>
                <w:rFonts w:ascii="Times New Roman" w:hAnsi="Times New Roman" w:cs="Times New Roman"/>
                <w:b/>
                <w:sz w:val="20"/>
                <w:szCs w:val="20"/>
              </w:rPr>
            </w:pPr>
          </w:p>
        </w:tc>
        <w:tc>
          <w:tcPr>
            <w:tcW w:w="1260" w:type="dxa"/>
            <w:tcBorders>
              <w:top w:val="single" w:sz="4" w:space="0" w:color="auto"/>
              <w:left w:val="single" w:sz="8" w:space="0" w:color="auto"/>
              <w:bottom w:val="single" w:sz="4" w:space="0" w:color="auto"/>
              <w:right w:val="single" w:sz="18" w:space="0" w:color="auto"/>
            </w:tcBorders>
          </w:tcPr>
          <w:p w14:paraId="472CC3A1"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TDF</w:t>
            </w:r>
          </w:p>
        </w:tc>
        <w:tc>
          <w:tcPr>
            <w:tcW w:w="1260" w:type="dxa"/>
            <w:tcBorders>
              <w:top w:val="single" w:sz="4" w:space="0" w:color="auto"/>
              <w:left w:val="single" w:sz="18" w:space="0" w:color="auto"/>
              <w:bottom w:val="single" w:sz="4" w:space="0" w:color="auto"/>
            </w:tcBorders>
          </w:tcPr>
          <w:p w14:paraId="1B59D168"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10</w:t>
            </w:r>
          </w:p>
        </w:tc>
        <w:tc>
          <w:tcPr>
            <w:tcW w:w="1080" w:type="dxa"/>
            <w:tcBorders>
              <w:top w:val="single" w:sz="4" w:space="0" w:color="auto"/>
              <w:bottom w:val="single" w:sz="4" w:space="0" w:color="auto"/>
            </w:tcBorders>
          </w:tcPr>
          <w:p w14:paraId="5FC3350E"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1</w:t>
            </w:r>
          </w:p>
        </w:tc>
        <w:tc>
          <w:tcPr>
            <w:tcW w:w="1080" w:type="dxa"/>
            <w:tcBorders>
              <w:top w:val="single" w:sz="4" w:space="0" w:color="auto"/>
              <w:bottom w:val="single" w:sz="4" w:space="0" w:color="auto"/>
              <w:right w:val="thinThickThinLargeGap" w:sz="24" w:space="0" w:color="auto"/>
            </w:tcBorders>
          </w:tcPr>
          <w:p w14:paraId="5ED755B7"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0</w:t>
            </w:r>
          </w:p>
        </w:tc>
        <w:tc>
          <w:tcPr>
            <w:tcW w:w="1260" w:type="dxa"/>
            <w:tcBorders>
              <w:top w:val="single" w:sz="4" w:space="0" w:color="auto"/>
              <w:left w:val="thinThickThinLargeGap" w:sz="24" w:space="0" w:color="auto"/>
              <w:bottom w:val="single" w:sz="4" w:space="0" w:color="auto"/>
            </w:tcBorders>
          </w:tcPr>
          <w:p w14:paraId="06004273"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90</w:t>
            </w:r>
          </w:p>
        </w:tc>
        <w:tc>
          <w:tcPr>
            <w:tcW w:w="1080" w:type="dxa"/>
            <w:tcBorders>
              <w:top w:val="single" w:sz="4" w:space="0" w:color="auto"/>
              <w:bottom w:val="single" w:sz="4" w:space="0" w:color="auto"/>
            </w:tcBorders>
          </w:tcPr>
          <w:p w14:paraId="5301D7A5"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0</w:t>
            </w:r>
          </w:p>
        </w:tc>
        <w:tc>
          <w:tcPr>
            <w:tcW w:w="1080" w:type="dxa"/>
            <w:tcBorders>
              <w:top w:val="single" w:sz="4" w:space="0" w:color="auto"/>
              <w:bottom w:val="single" w:sz="4" w:space="0" w:color="auto"/>
              <w:right w:val="nil"/>
            </w:tcBorders>
          </w:tcPr>
          <w:p w14:paraId="08BAB2AE"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0</w:t>
            </w:r>
          </w:p>
        </w:tc>
      </w:tr>
      <w:tr w:rsidR="00DB1C44" w:rsidRPr="00AE5E21" w14:paraId="255A941D" w14:textId="77777777" w:rsidTr="00E76101">
        <w:trPr>
          <w:trHeight w:val="368"/>
        </w:trPr>
        <w:tc>
          <w:tcPr>
            <w:tcW w:w="1080" w:type="dxa"/>
            <w:vMerge/>
            <w:tcBorders>
              <w:left w:val="nil"/>
              <w:right w:val="single" w:sz="8" w:space="0" w:color="auto"/>
            </w:tcBorders>
          </w:tcPr>
          <w:p w14:paraId="38F6F238" w14:textId="77777777" w:rsidR="00DB1C44" w:rsidRPr="00AE5E21" w:rsidRDefault="00DB1C44" w:rsidP="003C43B0">
            <w:pPr>
              <w:rPr>
                <w:rFonts w:ascii="Times New Roman" w:hAnsi="Times New Roman" w:cs="Times New Roman"/>
                <w:b/>
                <w:sz w:val="20"/>
                <w:szCs w:val="20"/>
              </w:rPr>
            </w:pPr>
          </w:p>
        </w:tc>
        <w:tc>
          <w:tcPr>
            <w:tcW w:w="1260" w:type="dxa"/>
            <w:tcBorders>
              <w:top w:val="single" w:sz="4" w:space="0" w:color="auto"/>
              <w:left w:val="single" w:sz="8" w:space="0" w:color="auto"/>
              <w:right w:val="single" w:sz="18" w:space="0" w:color="auto"/>
            </w:tcBorders>
          </w:tcPr>
          <w:p w14:paraId="74B7301F"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Placebo</w:t>
            </w:r>
          </w:p>
        </w:tc>
        <w:tc>
          <w:tcPr>
            <w:tcW w:w="1260" w:type="dxa"/>
            <w:tcBorders>
              <w:top w:val="single" w:sz="4" w:space="0" w:color="auto"/>
              <w:left w:val="single" w:sz="18" w:space="0" w:color="auto"/>
            </w:tcBorders>
          </w:tcPr>
          <w:p w14:paraId="32BE170A" w14:textId="07FCFD93" w:rsidR="00DB1C44" w:rsidRPr="00AE5E21" w:rsidRDefault="003C43B0" w:rsidP="003C43B0">
            <w:pPr>
              <w:jc w:val="center"/>
              <w:rPr>
                <w:rFonts w:ascii="Times New Roman" w:hAnsi="Times New Roman" w:cs="Times New Roman"/>
                <w:sz w:val="20"/>
                <w:szCs w:val="20"/>
              </w:rPr>
            </w:pPr>
            <w:r>
              <w:rPr>
                <w:rFonts w:ascii="Times New Roman" w:hAnsi="Times New Roman" w:cs="Times New Roman"/>
                <w:sz w:val="20"/>
                <w:szCs w:val="20"/>
              </w:rPr>
              <w:t>20</w:t>
            </w:r>
          </w:p>
        </w:tc>
        <w:tc>
          <w:tcPr>
            <w:tcW w:w="1080" w:type="dxa"/>
            <w:tcBorders>
              <w:top w:val="single" w:sz="4" w:space="0" w:color="auto"/>
            </w:tcBorders>
          </w:tcPr>
          <w:p w14:paraId="4186A530"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0</w:t>
            </w:r>
          </w:p>
        </w:tc>
        <w:tc>
          <w:tcPr>
            <w:tcW w:w="1080" w:type="dxa"/>
            <w:tcBorders>
              <w:top w:val="single" w:sz="4" w:space="0" w:color="auto"/>
              <w:right w:val="thinThickThinLargeGap" w:sz="24" w:space="0" w:color="auto"/>
            </w:tcBorders>
          </w:tcPr>
          <w:p w14:paraId="657BF202"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1</w:t>
            </w:r>
          </w:p>
        </w:tc>
        <w:tc>
          <w:tcPr>
            <w:tcW w:w="1260" w:type="dxa"/>
            <w:tcBorders>
              <w:top w:val="single" w:sz="4" w:space="0" w:color="auto"/>
              <w:left w:val="thinThickThinLargeGap" w:sz="24" w:space="0" w:color="auto"/>
            </w:tcBorders>
          </w:tcPr>
          <w:p w14:paraId="5F00332E"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286</w:t>
            </w:r>
          </w:p>
        </w:tc>
        <w:tc>
          <w:tcPr>
            <w:tcW w:w="1080" w:type="dxa"/>
            <w:tcBorders>
              <w:top w:val="single" w:sz="4" w:space="0" w:color="auto"/>
            </w:tcBorders>
          </w:tcPr>
          <w:p w14:paraId="25B8609A"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0</w:t>
            </w:r>
          </w:p>
        </w:tc>
        <w:tc>
          <w:tcPr>
            <w:tcW w:w="1080" w:type="dxa"/>
            <w:tcBorders>
              <w:top w:val="single" w:sz="4" w:space="0" w:color="auto"/>
              <w:right w:val="nil"/>
            </w:tcBorders>
          </w:tcPr>
          <w:p w14:paraId="2D5EB536" w14:textId="77777777" w:rsidR="00DB1C44" w:rsidRPr="00AE5E21" w:rsidRDefault="00DB1C44" w:rsidP="003C43B0">
            <w:pPr>
              <w:jc w:val="center"/>
              <w:rPr>
                <w:rFonts w:ascii="Times New Roman" w:hAnsi="Times New Roman" w:cs="Times New Roman"/>
                <w:b/>
                <w:sz w:val="20"/>
                <w:szCs w:val="20"/>
              </w:rPr>
            </w:pPr>
            <w:r w:rsidRPr="00AE5E21">
              <w:rPr>
                <w:rFonts w:ascii="Times New Roman" w:hAnsi="Times New Roman" w:cs="Times New Roman"/>
                <w:b/>
                <w:sz w:val="20"/>
                <w:szCs w:val="20"/>
              </w:rPr>
              <w:t>1</w:t>
            </w:r>
          </w:p>
        </w:tc>
      </w:tr>
    </w:tbl>
    <w:p w14:paraId="18B08605" w14:textId="77777777" w:rsidR="005A778C" w:rsidRPr="00014AA9" w:rsidRDefault="005A778C" w:rsidP="005A778C">
      <w:pPr>
        <w:pStyle w:val="NoSpacing"/>
        <w:rPr>
          <w:rFonts w:ascii="Times New Roman" w:hAnsi="Times New Roman" w:cs="Times New Roman"/>
          <w:sz w:val="16"/>
          <w:szCs w:val="20"/>
        </w:rPr>
      </w:pPr>
      <w:proofErr w:type="gramStart"/>
      <w:r w:rsidRPr="00014AA9">
        <w:rPr>
          <w:rFonts w:ascii="Times New Roman" w:hAnsi="Times New Roman" w:cs="Times New Roman"/>
          <w:b/>
          <w:sz w:val="16"/>
          <w:szCs w:val="20"/>
          <w:vertAlign w:val="superscript"/>
        </w:rPr>
        <w:t>a</w:t>
      </w:r>
      <w:proofErr w:type="gramEnd"/>
      <w:r w:rsidRPr="00014AA9">
        <w:rPr>
          <w:rFonts w:ascii="Times New Roman" w:hAnsi="Times New Roman" w:cs="Times New Roman"/>
          <w:b/>
          <w:sz w:val="16"/>
          <w:szCs w:val="20"/>
          <w:vertAlign w:val="superscript"/>
        </w:rPr>
        <w:t xml:space="preserve"> </w:t>
      </w:r>
      <w:r w:rsidRPr="00014AA9">
        <w:rPr>
          <w:rFonts w:ascii="Times New Roman" w:hAnsi="Times New Roman" w:cs="Times New Roman"/>
          <w:sz w:val="16"/>
          <w:szCs w:val="20"/>
        </w:rPr>
        <w:t>RNA was amplified in specimens from 49 of 52 HIV-positive participants for molecular genotyping</w:t>
      </w:r>
    </w:p>
    <w:p w14:paraId="47123DC4" w14:textId="22874C34" w:rsidR="005A778C" w:rsidRPr="00014AA9" w:rsidRDefault="005A778C" w:rsidP="005A778C">
      <w:pPr>
        <w:pStyle w:val="NoSpacing"/>
        <w:rPr>
          <w:rFonts w:ascii="Times New Roman" w:hAnsi="Times New Roman" w:cs="Times New Roman"/>
          <w:sz w:val="16"/>
          <w:szCs w:val="20"/>
        </w:rPr>
      </w:pPr>
      <w:proofErr w:type="gramStart"/>
      <w:r w:rsidRPr="00014AA9">
        <w:rPr>
          <w:rFonts w:ascii="Times New Roman" w:hAnsi="Times New Roman" w:cs="Times New Roman"/>
          <w:sz w:val="16"/>
          <w:szCs w:val="20"/>
          <w:vertAlign w:val="superscript"/>
        </w:rPr>
        <w:t>b</w:t>
      </w:r>
      <w:proofErr w:type="gramEnd"/>
      <w:r w:rsidRPr="00014AA9">
        <w:rPr>
          <w:rFonts w:ascii="Times New Roman" w:hAnsi="Times New Roman" w:cs="Times New Roman"/>
          <w:sz w:val="16"/>
          <w:szCs w:val="20"/>
          <w:vertAlign w:val="superscript"/>
        </w:rPr>
        <w:t xml:space="preserve"> </w:t>
      </w:r>
      <w:r w:rsidR="003C43B0">
        <w:rPr>
          <w:rFonts w:ascii="Times New Roman" w:hAnsi="Times New Roman" w:cs="Times New Roman"/>
          <w:sz w:val="16"/>
          <w:szCs w:val="20"/>
        </w:rPr>
        <w:t xml:space="preserve">Data abstracted from 2012 presentation by Liegler et al. at </w:t>
      </w:r>
      <w:r w:rsidR="00276982">
        <w:rPr>
          <w:rFonts w:ascii="Times New Roman" w:hAnsi="Times New Roman" w:cs="Times New Roman"/>
          <w:sz w:val="16"/>
          <w:szCs w:val="20"/>
        </w:rPr>
        <w:t xml:space="preserve">drug resistance workshop </w:t>
      </w:r>
    </w:p>
    <w:p w14:paraId="21D85AC7" w14:textId="77777777" w:rsidR="005A778C" w:rsidRPr="00014AA9" w:rsidRDefault="005A778C" w:rsidP="005A778C">
      <w:pPr>
        <w:pStyle w:val="NoSpacing"/>
        <w:rPr>
          <w:rFonts w:ascii="Times New Roman" w:hAnsi="Times New Roman" w:cs="Times New Roman"/>
          <w:sz w:val="16"/>
          <w:szCs w:val="20"/>
        </w:rPr>
      </w:pPr>
      <w:proofErr w:type="gramStart"/>
      <w:r w:rsidRPr="00014AA9">
        <w:rPr>
          <w:rFonts w:ascii="Times New Roman" w:hAnsi="Times New Roman" w:cs="Times New Roman"/>
          <w:b/>
          <w:sz w:val="16"/>
          <w:szCs w:val="20"/>
          <w:vertAlign w:val="superscript"/>
        </w:rPr>
        <w:t>c</w:t>
      </w:r>
      <w:proofErr w:type="gramEnd"/>
      <w:r w:rsidRPr="00014AA9">
        <w:rPr>
          <w:rFonts w:ascii="Times New Roman" w:hAnsi="Times New Roman" w:cs="Times New Roman"/>
          <w:sz w:val="16"/>
          <w:szCs w:val="20"/>
          <w:vertAlign w:val="superscript"/>
        </w:rPr>
        <w:t xml:space="preserve"> </w:t>
      </w:r>
      <w:r w:rsidRPr="00014AA9">
        <w:rPr>
          <w:rFonts w:ascii="Times New Roman" w:hAnsi="Times New Roman" w:cs="Times New Roman"/>
          <w:sz w:val="16"/>
          <w:szCs w:val="20"/>
        </w:rPr>
        <w:t>Three HIV infections identified in the TDF-FTC group occurred within 12 weeks of enrollment</w:t>
      </w:r>
      <w:r w:rsidR="009C229E">
        <w:rPr>
          <w:rFonts w:ascii="Times New Roman" w:hAnsi="Times New Roman" w:cs="Times New Roman"/>
          <w:sz w:val="16"/>
          <w:szCs w:val="20"/>
        </w:rPr>
        <w:t>.</w:t>
      </w:r>
      <w:r w:rsidRPr="00014AA9">
        <w:rPr>
          <w:rFonts w:ascii="Times New Roman" w:hAnsi="Times New Roman" w:cs="Times New Roman"/>
          <w:sz w:val="16"/>
          <w:szCs w:val="20"/>
        </w:rPr>
        <w:t xml:space="preserve"> Investigators note the possibility that these individuals could have been acutely infected during enrollment</w:t>
      </w:r>
      <w:r>
        <w:rPr>
          <w:rFonts w:ascii="Times New Roman" w:hAnsi="Times New Roman" w:cs="Times New Roman"/>
          <w:sz w:val="16"/>
          <w:szCs w:val="20"/>
        </w:rPr>
        <w:t>.</w:t>
      </w:r>
    </w:p>
    <w:p w14:paraId="041F3E37" w14:textId="77777777" w:rsidR="005A778C" w:rsidRPr="00014AA9" w:rsidRDefault="005A778C" w:rsidP="005A778C">
      <w:pPr>
        <w:pStyle w:val="NoSpacing"/>
        <w:rPr>
          <w:rFonts w:ascii="Times New Roman" w:hAnsi="Times New Roman" w:cs="Times New Roman"/>
          <w:sz w:val="16"/>
          <w:szCs w:val="20"/>
        </w:rPr>
      </w:pPr>
      <w:proofErr w:type="gramStart"/>
      <w:r w:rsidRPr="00014AA9">
        <w:rPr>
          <w:rFonts w:ascii="Times New Roman" w:hAnsi="Times New Roman" w:cs="Times New Roman"/>
          <w:b/>
          <w:sz w:val="16"/>
          <w:szCs w:val="20"/>
          <w:vertAlign w:val="superscript"/>
        </w:rPr>
        <w:t>d</w:t>
      </w:r>
      <w:proofErr w:type="gramEnd"/>
      <w:r w:rsidRPr="00014AA9">
        <w:rPr>
          <w:rFonts w:ascii="Times New Roman" w:hAnsi="Times New Roman" w:cs="Times New Roman"/>
          <w:b/>
          <w:sz w:val="16"/>
          <w:szCs w:val="20"/>
          <w:vertAlign w:val="superscript"/>
        </w:rPr>
        <w:t xml:space="preserve"> </w:t>
      </w:r>
      <w:r w:rsidRPr="00014AA9">
        <w:rPr>
          <w:rFonts w:ascii="Times New Roman" w:hAnsi="Times New Roman" w:cs="Times New Roman"/>
          <w:sz w:val="16"/>
          <w:szCs w:val="20"/>
        </w:rPr>
        <w:t>One participant with FTC-mutation had not accessed FTC/TDF for 48-weeks prior to seroconversion due to early toxicity</w:t>
      </w:r>
      <w:r>
        <w:rPr>
          <w:rFonts w:ascii="Times New Roman" w:hAnsi="Times New Roman" w:cs="Times New Roman"/>
          <w:sz w:val="16"/>
          <w:szCs w:val="20"/>
        </w:rPr>
        <w:t>.</w:t>
      </w:r>
    </w:p>
    <w:p w14:paraId="3DA2871E" w14:textId="77777777" w:rsidR="005A778C" w:rsidRPr="00014AA9" w:rsidRDefault="005A778C" w:rsidP="005A778C">
      <w:pPr>
        <w:pStyle w:val="NoSpacing"/>
        <w:rPr>
          <w:rFonts w:ascii="Times New Roman" w:hAnsi="Times New Roman" w:cs="Times New Roman"/>
          <w:sz w:val="16"/>
          <w:szCs w:val="20"/>
        </w:rPr>
      </w:pPr>
      <w:proofErr w:type="gramStart"/>
      <w:r w:rsidRPr="00014AA9">
        <w:rPr>
          <w:rFonts w:ascii="Times New Roman" w:hAnsi="Times New Roman" w:cs="Times New Roman"/>
          <w:sz w:val="16"/>
          <w:szCs w:val="20"/>
          <w:vertAlign w:val="superscript"/>
        </w:rPr>
        <w:t>e</w:t>
      </w:r>
      <w:proofErr w:type="gramEnd"/>
      <w:r w:rsidRPr="00014AA9">
        <w:rPr>
          <w:rFonts w:ascii="Times New Roman" w:hAnsi="Times New Roman" w:cs="Times New Roman"/>
          <w:sz w:val="16"/>
          <w:szCs w:val="20"/>
          <w:vertAlign w:val="superscript"/>
        </w:rPr>
        <w:t xml:space="preserve"> </w:t>
      </w:r>
      <w:r w:rsidRPr="00014AA9">
        <w:rPr>
          <w:rFonts w:ascii="Times New Roman" w:hAnsi="Times New Roman" w:cs="Times New Roman"/>
          <w:sz w:val="16"/>
          <w:szCs w:val="20"/>
        </w:rPr>
        <w:t>Participant assigned to TDF-FTC arm was falsely screened negative for HIV infection at enrollment and was diagnosed with HIV infection at the month 7 study visit</w:t>
      </w:r>
      <w:r w:rsidR="009C229E">
        <w:rPr>
          <w:rFonts w:ascii="Times New Roman" w:hAnsi="Times New Roman" w:cs="Times New Roman"/>
          <w:sz w:val="16"/>
          <w:szCs w:val="20"/>
        </w:rPr>
        <w:t>.</w:t>
      </w:r>
      <w:r w:rsidRPr="00014AA9">
        <w:rPr>
          <w:rFonts w:ascii="Times New Roman" w:hAnsi="Times New Roman" w:cs="Times New Roman"/>
          <w:sz w:val="16"/>
          <w:szCs w:val="20"/>
        </w:rPr>
        <w:t xml:space="preserve"> Mutations for both TDF and FTC were detected</w:t>
      </w:r>
      <w:r>
        <w:rPr>
          <w:rFonts w:ascii="Times New Roman" w:hAnsi="Times New Roman" w:cs="Times New Roman"/>
          <w:sz w:val="16"/>
          <w:szCs w:val="20"/>
        </w:rPr>
        <w:t>.</w:t>
      </w:r>
    </w:p>
    <w:p w14:paraId="1F265A26" w14:textId="77777777" w:rsidR="005A778C" w:rsidRPr="00AE5E21" w:rsidRDefault="005A778C" w:rsidP="005A778C">
      <w:pPr>
        <w:pStyle w:val="NoSpacing"/>
        <w:rPr>
          <w:rFonts w:ascii="Times New Roman" w:hAnsi="Times New Roman" w:cs="Times New Roman"/>
          <w:sz w:val="20"/>
          <w:szCs w:val="20"/>
        </w:rPr>
      </w:pPr>
    </w:p>
    <w:p w14:paraId="1D5D2BE3" w14:textId="77777777" w:rsidR="005A778C" w:rsidRDefault="005A778C" w:rsidP="005A778C">
      <w:pPr>
        <w:pStyle w:val="NoSpacing"/>
        <w:rPr>
          <w:rFonts w:ascii="Times New Roman" w:hAnsi="Times New Roman" w:cs="Times New Roman"/>
          <w:b/>
          <w:sz w:val="20"/>
          <w:szCs w:val="20"/>
        </w:rPr>
      </w:pPr>
    </w:p>
    <w:p w14:paraId="1A697344" w14:textId="77777777" w:rsidR="005A778C" w:rsidRDefault="005A778C" w:rsidP="005A778C">
      <w:pPr>
        <w:pStyle w:val="NoSpacing"/>
        <w:rPr>
          <w:rFonts w:ascii="Times New Roman" w:hAnsi="Times New Roman" w:cs="Times New Roman"/>
          <w:b/>
          <w:sz w:val="20"/>
          <w:szCs w:val="20"/>
        </w:rPr>
      </w:pPr>
    </w:p>
    <w:p w14:paraId="5A77BC56" w14:textId="77777777" w:rsidR="005A778C" w:rsidRDefault="005A778C" w:rsidP="005A778C">
      <w:pPr>
        <w:pStyle w:val="NoSpacing"/>
        <w:rPr>
          <w:rFonts w:ascii="Times New Roman" w:hAnsi="Times New Roman" w:cs="Times New Roman"/>
          <w:b/>
          <w:sz w:val="20"/>
          <w:szCs w:val="20"/>
        </w:rPr>
      </w:pPr>
    </w:p>
    <w:p w14:paraId="3E8117C4" w14:textId="77777777" w:rsidR="005A778C" w:rsidRDefault="005A778C" w:rsidP="005A778C">
      <w:pPr>
        <w:pStyle w:val="NoSpacing"/>
        <w:rPr>
          <w:rFonts w:ascii="Times New Roman" w:hAnsi="Times New Roman" w:cs="Times New Roman"/>
          <w:b/>
          <w:sz w:val="20"/>
          <w:szCs w:val="20"/>
        </w:rPr>
      </w:pPr>
    </w:p>
    <w:p w14:paraId="7979A2F3" w14:textId="77777777" w:rsidR="005A778C" w:rsidRDefault="005A778C" w:rsidP="005A778C">
      <w:pPr>
        <w:pStyle w:val="NoSpacing"/>
        <w:rPr>
          <w:rFonts w:ascii="Times New Roman" w:hAnsi="Times New Roman" w:cs="Times New Roman"/>
          <w:b/>
          <w:sz w:val="20"/>
          <w:szCs w:val="20"/>
        </w:rPr>
      </w:pPr>
    </w:p>
    <w:p w14:paraId="4A6D41EF" w14:textId="77777777" w:rsidR="005A778C" w:rsidRDefault="005A778C" w:rsidP="005A778C">
      <w:pPr>
        <w:pStyle w:val="NoSpacing"/>
        <w:rPr>
          <w:rFonts w:ascii="Times New Roman" w:hAnsi="Times New Roman" w:cs="Times New Roman"/>
          <w:b/>
          <w:sz w:val="20"/>
          <w:szCs w:val="20"/>
        </w:rPr>
      </w:pPr>
    </w:p>
    <w:p w14:paraId="625778F3" w14:textId="77777777" w:rsidR="00276982" w:rsidRDefault="00276982" w:rsidP="005A778C">
      <w:pPr>
        <w:pStyle w:val="NoSpacing"/>
        <w:rPr>
          <w:rFonts w:ascii="Times New Roman" w:hAnsi="Times New Roman" w:cs="Times New Roman"/>
          <w:b/>
          <w:sz w:val="20"/>
          <w:szCs w:val="20"/>
        </w:rPr>
      </w:pPr>
    </w:p>
    <w:p w14:paraId="3BE0B552" w14:textId="77777777" w:rsidR="00E76101" w:rsidRDefault="00E76101" w:rsidP="005A778C">
      <w:pPr>
        <w:pStyle w:val="NoSpacing"/>
        <w:rPr>
          <w:rFonts w:ascii="Times New Roman" w:hAnsi="Times New Roman" w:cs="Times New Roman"/>
          <w:b/>
          <w:sz w:val="20"/>
          <w:szCs w:val="20"/>
        </w:rPr>
      </w:pPr>
    </w:p>
    <w:p w14:paraId="3698CF20" w14:textId="77777777" w:rsidR="00E76101" w:rsidRDefault="00E76101" w:rsidP="005A778C">
      <w:pPr>
        <w:pStyle w:val="NoSpacing"/>
        <w:rPr>
          <w:rFonts w:ascii="Times New Roman" w:hAnsi="Times New Roman" w:cs="Times New Roman"/>
          <w:b/>
          <w:sz w:val="20"/>
          <w:szCs w:val="20"/>
        </w:rPr>
      </w:pPr>
    </w:p>
    <w:p w14:paraId="5C8738D3" w14:textId="77777777" w:rsidR="005A778C" w:rsidRDefault="005A778C" w:rsidP="005A778C">
      <w:pPr>
        <w:pStyle w:val="NoSpacing"/>
        <w:rPr>
          <w:rFonts w:ascii="Times New Roman" w:hAnsi="Times New Roman" w:cs="Times New Roman"/>
          <w:b/>
          <w:sz w:val="20"/>
          <w:szCs w:val="20"/>
        </w:rPr>
      </w:pPr>
    </w:p>
    <w:p w14:paraId="4A9BF009" w14:textId="77777777" w:rsidR="005A778C" w:rsidRDefault="005A778C" w:rsidP="005A778C">
      <w:pPr>
        <w:pStyle w:val="NoSpacing"/>
        <w:rPr>
          <w:rFonts w:ascii="Times New Roman" w:hAnsi="Times New Roman" w:cs="Times New Roman"/>
          <w:b/>
          <w:sz w:val="20"/>
          <w:szCs w:val="20"/>
        </w:rPr>
      </w:pPr>
    </w:p>
    <w:p w14:paraId="5B546CFF" w14:textId="77777777" w:rsidR="005A778C" w:rsidRDefault="005A778C" w:rsidP="005A778C">
      <w:pPr>
        <w:pStyle w:val="NoSpacing"/>
        <w:rPr>
          <w:rFonts w:ascii="Times New Roman" w:hAnsi="Times New Roman" w:cs="Times New Roman"/>
          <w:b/>
          <w:sz w:val="20"/>
          <w:szCs w:val="20"/>
        </w:rPr>
      </w:pPr>
    </w:p>
    <w:p w14:paraId="50E669C6" w14:textId="77777777" w:rsidR="005A778C" w:rsidRPr="003C43B0" w:rsidRDefault="003C43B0" w:rsidP="003C43B0">
      <w:pPr>
        <w:pStyle w:val="Heading1"/>
        <w:rPr>
          <w:rFonts w:ascii="Times New Roman" w:hAnsi="Times New Roman" w:cs="Times New Roman"/>
          <w:sz w:val="24"/>
          <w:vertAlign w:val="superscript"/>
        </w:rPr>
      </w:pPr>
      <w:bookmarkStart w:id="4" w:name="_Toc445111849"/>
      <w:proofErr w:type="gramStart"/>
      <w:r w:rsidRPr="003C43B0">
        <w:rPr>
          <w:rFonts w:ascii="Times New Roman" w:hAnsi="Times New Roman" w:cs="Times New Roman"/>
          <w:sz w:val="24"/>
        </w:rPr>
        <w:lastRenderedPageBreak/>
        <w:t>T</w:t>
      </w:r>
      <w:r w:rsidR="005A778C" w:rsidRPr="003C43B0">
        <w:rPr>
          <w:rFonts w:ascii="Times New Roman" w:hAnsi="Times New Roman" w:cs="Times New Roman"/>
          <w:sz w:val="24"/>
        </w:rPr>
        <w:t>able 3S</w:t>
      </w:r>
      <w:r w:rsidR="009C229E" w:rsidRPr="003C43B0">
        <w:rPr>
          <w:rFonts w:ascii="Times New Roman" w:hAnsi="Times New Roman" w:cs="Times New Roman"/>
          <w:sz w:val="24"/>
        </w:rPr>
        <w:t>.</w:t>
      </w:r>
      <w:proofErr w:type="gramEnd"/>
      <w:r w:rsidR="005A778C" w:rsidRPr="003C43B0">
        <w:rPr>
          <w:rFonts w:ascii="Times New Roman" w:hAnsi="Times New Roman" w:cs="Times New Roman"/>
          <w:sz w:val="24"/>
        </w:rPr>
        <w:t xml:space="preserve"> Meta-analysis results for PrEP and drug resistance among </w:t>
      </w:r>
      <w:proofErr w:type="spellStart"/>
      <w:r w:rsidR="005A778C" w:rsidRPr="003C43B0">
        <w:rPr>
          <w:rFonts w:ascii="Times New Roman" w:hAnsi="Times New Roman" w:cs="Times New Roman"/>
          <w:sz w:val="24"/>
        </w:rPr>
        <w:t>seroconverters</w:t>
      </w:r>
      <w:bookmarkEnd w:id="4"/>
      <w:proofErr w:type="spellEnd"/>
    </w:p>
    <w:tbl>
      <w:tblPr>
        <w:tblStyle w:val="LightShading"/>
        <w:tblW w:w="0" w:type="auto"/>
        <w:tblLook w:val="04A0" w:firstRow="1" w:lastRow="0" w:firstColumn="1" w:lastColumn="0" w:noHBand="0" w:noVBand="1"/>
      </w:tblPr>
      <w:tblGrid>
        <w:gridCol w:w="1998"/>
        <w:gridCol w:w="2430"/>
        <w:gridCol w:w="1080"/>
        <w:gridCol w:w="990"/>
        <w:gridCol w:w="900"/>
        <w:gridCol w:w="1159"/>
        <w:gridCol w:w="850"/>
      </w:tblGrid>
      <w:tr w:rsidR="005A778C" w:rsidRPr="0092790E" w14:paraId="31B4C81A" w14:textId="77777777" w:rsidTr="00927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274A36D" w14:textId="77777777" w:rsidR="005A778C" w:rsidRPr="0092790E" w:rsidRDefault="005A778C" w:rsidP="0092790E">
            <w:pPr>
              <w:pStyle w:val="NoSpacing"/>
              <w:rPr>
                <w:rFonts w:ascii="Times New Roman" w:hAnsi="Times New Roman" w:cs="Times New Roman"/>
                <w:sz w:val="20"/>
              </w:rPr>
            </w:pPr>
            <w:r w:rsidRPr="0092790E">
              <w:rPr>
                <w:rFonts w:ascii="Times New Roman" w:hAnsi="Times New Roman" w:cs="Times New Roman"/>
                <w:sz w:val="20"/>
              </w:rPr>
              <w:t>Type of Mutation</w:t>
            </w:r>
          </w:p>
        </w:tc>
        <w:tc>
          <w:tcPr>
            <w:tcW w:w="2430" w:type="dxa"/>
          </w:tcPr>
          <w:p w14:paraId="3FAE65EA" w14:textId="77777777" w:rsidR="005A778C" w:rsidRPr="0092790E" w:rsidRDefault="005A778C" w:rsidP="009279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2790E">
              <w:rPr>
                <w:rFonts w:ascii="Times New Roman" w:hAnsi="Times New Roman" w:cs="Times New Roman"/>
                <w:sz w:val="20"/>
              </w:rPr>
              <w:t>Timing of HIV Infection</w:t>
            </w:r>
          </w:p>
        </w:tc>
        <w:tc>
          <w:tcPr>
            <w:tcW w:w="1080" w:type="dxa"/>
          </w:tcPr>
          <w:p w14:paraId="20888944" w14:textId="77777777" w:rsidR="005A778C" w:rsidRPr="0092790E" w:rsidRDefault="005A778C" w:rsidP="009279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2790E">
              <w:rPr>
                <w:rFonts w:ascii="Times New Roman" w:hAnsi="Times New Roman" w:cs="Times New Roman"/>
                <w:sz w:val="20"/>
              </w:rPr>
              <w:t xml:space="preserve">PrEP regimen </w:t>
            </w:r>
          </w:p>
        </w:tc>
        <w:tc>
          <w:tcPr>
            <w:tcW w:w="990" w:type="dxa"/>
          </w:tcPr>
          <w:p w14:paraId="3106C594" w14:textId="77777777" w:rsidR="005A778C" w:rsidRPr="0092790E" w:rsidRDefault="005A778C" w:rsidP="009279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2790E">
              <w:rPr>
                <w:rFonts w:ascii="Times New Roman" w:hAnsi="Times New Roman" w:cs="Times New Roman"/>
                <w:sz w:val="20"/>
              </w:rPr>
              <w:t>No</w:t>
            </w:r>
            <w:r w:rsidR="009C229E">
              <w:rPr>
                <w:rFonts w:ascii="Times New Roman" w:hAnsi="Times New Roman" w:cs="Times New Roman"/>
                <w:sz w:val="20"/>
              </w:rPr>
              <w:t>.</w:t>
            </w:r>
            <w:r w:rsidRPr="0092790E">
              <w:rPr>
                <w:rFonts w:ascii="Times New Roman" w:hAnsi="Times New Roman" w:cs="Times New Roman"/>
                <w:sz w:val="20"/>
              </w:rPr>
              <w:t xml:space="preserve"> of studies</w:t>
            </w:r>
          </w:p>
        </w:tc>
        <w:tc>
          <w:tcPr>
            <w:tcW w:w="900" w:type="dxa"/>
          </w:tcPr>
          <w:p w14:paraId="6BD68A5E" w14:textId="77777777" w:rsidR="005A778C" w:rsidRPr="0092790E" w:rsidRDefault="005A778C" w:rsidP="009279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2790E">
              <w:rPr>
                <w:rFonts w:ascii="Times New Roman" w:hAnsi="Times New Roman" w:cs="Times New Roman"/>
                <w:sz w:val="20"/>
              </w:rPr>
              <w:t>Pooled RR</w:t>
            </w:r>
          </w:p>
        </w:tc>
        <w:tc>
          <w:tcPr>
            <w:tcW w:w="1159" w:type="dxa"/>
          </w:tcPr>
          <w:p w14:paraId="20871C8E" w14:textId="77777777" w:rsidR="005A778C" w:rsidRPr="0092790E" w:rsidRDefault="005A778C" w:rsidP="009279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2790E">
              <w:rPr>
                <w:rFonts w:ascii="Times New Roman" w:hAnsi="Times New Roman" w:cs="Times New Roman"/>
                <w:sz w:val="20"/>
              </w:rPr>
              <w:t>95% CI</w:t>
            </w:r>
          </w:p>
        </w:tc>
        <w:tc>
          <w:tcPr>
            <w:tcW w:w="0" w:type="auto"/>
          </w:tcPr>
          <w:p w14:paraId="7A5F3658" w14:textId="77777777" w:rsidR="005A778C" w:rsidRPr="0092790E" w:rsidRDefault="005A778C" w:rsidP="009279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2790E">
              <w:rPr>
                <w:rFonts w:ascii="Times New Roman" w:hAnsi="Times New Roman" w:cs="Times New Roman"/>
                <w:sz w:val="20"/>
              </w:rPr>
              <w:t>p-value</w:t>
            </w:r>
          </w:p>
        </w:tc>
      </w:tr>
      <w:tr w:rsidR="005A778C" w:rsidRPr="0092790E" w14:paraId="650CB98E" w14:textId="77777777" w:rsidTr="0092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6D6A47"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Any mutation</w:t>
            </w:r>
          </w:p>
          <w:p w14:paraId="23932805"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 xml:space="preserve"> (TDF or FTC)</w:t>
            </w:r>
          </w:p>
        </w:tc>
        <w:tc>
          <w:tcPr>
            <w:tcW w:w="2430" w:type="dxa"/>
          </w:tcPr>
          <w:p w14:paraId="5F7315F7"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Acute infection at enrolment</w:t>
            </w:r>
          </w:p>
        </w:tc>
        <w:tc>
          <w:tcPr>
            <w:tcW w:w="1080" w:type="dxa"/>
          </w:tcPr>
          <w:p w14:paraId="5D1E8FE0"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TDF and FTC/TDF</w:t>
            </w:r>
          </w:p>
        </w:tc>
        <w:tc>
          <w:tcPr>
            <w:tcW w:w="990" w:type="dxa"/>
          </w:tcPr>
          <w:p w14:paraId="78827AD5"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vertAlign w:val="superscript"/>
              </w:rPr>
            </w:pPr>
            <w:r w:rsidRPr="0092790E">
              <w:rPr>
                <w:rFonts w:ascii="Times New Roman" w:hAnsi="Times New Roman" w:cs="Times New Roman"/>
                <w:sz w:val="18"/>
              </w:rPr>
              <w:t>4</w:t>
            </w:r>
            <w:r w:rsidRPr="0092790E">
              <w:rPr>
                <w:rFonts w:ascii="Times New Roman" w:hAnsi="Times New Roman" w:cs="Times New Roman"/>
                <w:sz w:val="18"/>
                <w:vertAlign w:val="superscript"/>
              </w:rPr>
              <w:t>a</w:t>
            </w:r>
          </w:p>
        </w:tc>
        <w:tc>
          <w:tcPr>
            <w:tcW w:w="900" w:type="dxa"/>
          </w:tcPr>
          <w:p w14:paraId="40AF4440"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3</w:t>
            </w:r>
            <w:r w:rsidR="009C229E">
              <w:rPr>
                <w:rFonts w:ascii="Times New Roman" w:hAnsi="Times New Roman" w:cs="Times New Roman"/>
                <w:sz w:val="18"/>
              </w:rPr>
              <w:t>.</w:t>
            </w:r>
            <w:r w:rsidRPr="0092790E">
              <w:rPr>
                <w:rFonts w:ascii="Times New Roman" w:hAnsi="Times New Roman" w:cs="Times New Roman"/>
                <w:sz w:val="18"/>
              </w:rPr>
              <w:t>34</w:t>
            </w:r>
          </w:p>
        </w:tc>
        <w:tc>
          <w:tcPr>
            <w:tcW w:w="1159" w:type="dxa"/>
          </w:tcPr>
          <w:p w14:paraId="1EDA234B"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(1</w:t>
            </w:r>
            <w:r w:rsidR="009C229E">
              <w:rPr>
                <w:rFonts w:ascii="Times New Roman" w:hAnsi="Times New Roman" w:cs="Times New Roman"/>
                <w:sz w:val="18"/>
              </w:rPr>
              <w:t>.</w:t>
            </w:r>
            <w:r w:rsidRPr="0092790E">
              <w:rPr>
                <w:rFonts w:ascii="Times New Roman" w:hAnsi="Times New Roman" w:cs="Times New Roman"/>
                <w:sz w:val="18"/>
              </w:rPr>
              <w:t>11-10</w:t>
            </w:r>
            <w:r w:rsidR="009C229E">
              <w:rPr>
                <w:rFonts w:ascii="Times New Roman" w:hAnsi="Times New Roman" w:cs="Times New Roman"/>
                <w:sz w:val="18"/>
              </w:rPr>
              <w:t>.</w:t>
            </w:r>
            <w:r w:rsidRPr="0092790E">
              <w:rPr>
                <w:rFonts w:ascii="Times New Roman" w:hAnsi="Times New Roman" w:cs="Times New Roman"/>
                <w:sz w:val="18"/>
              </w:rPr>
              <w:t>06)</w:t>
            </w:r>
          </w:p>
        </w:tc>
        <w:tc>
          <w:tcPr>
            <w:tcW w:w="0" w:type="auto"/>
          </w:tcPr>
          <w:p w14:paraId="3188B822"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03</w:t>
            </w:r>
          </w:p>
        </w:tc>
      </w:tr>
      <w:tr w:rsidR="005A778C" w:rsidRPr="0092790E" w14:paraId="42A9D523" w14:textId="77777777" w:rsidTr="0092790E">
        <w:tc>
          <w:tcPr>
            <w:cnfStyle w:val="001000000000" w:firstRow="0" w:lastRow="0" w:firstColumn="1" w:lastColumn="0" w:oddVBand="0" w:evenVBand="0" w:oddHBand="0" w:evenHBand="0" w:firstRowFirstColumn="0" w:firstRowLastColumn="0" w:lastRowFirstColumn="0" w:lastRowLastColumn="0"/>
            <w:tcW w:w="1998" w:type="dxa"/>
          </w:tcPr>
          <w:p w14:paraId="3437682F"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Any mutation</w:t>
            </w:r>
          </w:p>
          <w:p w14:paraId="4CA4A69E"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 xml:space="preserve"> (TDF or FTC)</w:t>
            </w:r>
          </w:p>
        </w:tc>
        <w:tc>
          <w:tcPr>
            <w:tcW w:w="2430" w:type="dxa"/>
          </w:tcPr>
          <w:p w14:paraId="6398E98B"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Post-randomization</w:t>
            </w:r>
          </w:p>
        </w:tc>
        <w:tc>
          <w:tcPr>
            <w:tcW w:w="1080" w:type="dxa"/>
          </w:tcPr>
          <w:p w14:paraId="7C4453C8"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TDF and FTC/TDF</w:t>
            </w:r>
          </w:p>
        </w:tc>
        <w:tc>
          <w:tcPr>
            <w:tcW w:w="990" w:type="dxa"/>
          </w:tcPr>
          <w:p w14:paraId="644F1B23"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vertAlign w:val="superscript"/>
              </w:rPr>
            </w:pPr>
            <w:r w:rsidRPr="0092790E">
              <w:rPr>
                <w:rFonts w:ascii="Times New Roman" w:hAnsi="Times New Roman" w:cs="Times New Roman"/>
                <w:sz w:val="18"/>
              </w:rPr>
              <w:t>2</w:t>
            </w:r>
            <w:r w:rsidRPr="0092790E">
              <w:rPr>
                <w:rFonts w:ascii="Times New Roman" w:hAnsi="Times New Roman" w:cs="Times New Roman"/>
                <w:sz w:val="18"/>
                <w:vertAlign w:val="superscript"/>
              </w:rPr>
              <w:t>b</w:t>
            </w:r>
          </w:p>
        </w:tc>
        <w:tc>
          <w:tcPr>
            <w:tcW w:w="900" w:type="dxa"/>
          </w:tcPr>
          <w:p w14:paraId="49D0F4BE"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3</w:t>
            </w:r>
            <w:r w:rsidR="009C229E">
              <w:rPr>
                <w:rFonts w:ascii="Times New Roman" w:hAnsi="Times New Roman" w:cs="Times New Roman"/>
                <w:sz w:val="18"/>
              </w:rPr>
              <w:t>.</w:t>
            </w:r>
            <w:r w:rsidRPr="0092790E">
              <w:rPr>
                <w:rFonts w:ascii="Times New Roman" w:hAnsi="Times New Roman" w:cs="Times New Roman"/>
                <w:sz w:val="18"/>
              </w:rPr>
              <w:t>14</w:t>
            </w:r>
          </w:p>
        </w:tc>
        <w:tc>
          <w:tcPr>
            <w:tcW w:w="1159" w:type="dxa"/>
          </w:tcPr>
          <w:p w14:paraId="7049ED7E"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53-18</w:t>
            </w:r>
            <w:r w:rsidR="009C229E">
              <w:rPr>
                <w:rFonts w:ascii="Times New Roman" w:hAnsi="Times New Roman" w:cs="Times New Roman"/>
                <w:sz w:val="18"/>
              </w:rPr>
              <w:t>.</w:t>
            </w:r>
            <w:r w:rsidRPr="0092790E">
              <w:rPr>
                <w:rFonts w:ascii="Times New Roman" w:hAnsi="Times New Roman" w:cs="Times New Roman"/>
                <w:sz w:val="18"/>
              </w:rPr>
              <w:t>52)</w:t>
            </w:r>
          </w:p>
        </w:tc>
        <w:tc>
          <w:tcPr>
            <w:tcW w:w="0" w:type="auto"/>
          </w:tcPr>
          <w:p w14:paraId="5F28FE1F"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21</w:t>
            </w:r>
          </w:p>
        </w:tc>
      </w:tr>
      <w:tr w:rsidR="005A778C" w:rsidRPr="0092790E" w14:paraId="22CFC283" w14:textId="77777777" w:rsidTr="0092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626C72"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FTC (M184I; M184V)</w:t>
            </w:r>
          </w:p>
        </w:tc>
        <w:tc>
          <w:tcPr>
            <w:tcW w:w="2430" w:type="dxa"/>
          </w:tcPr>
          <w:p w14:paraId="42E704E4"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 xml:space="preserve">Acute infection at enrolment </w:t>
            </w:r>
          </w:p>
        </w:tc>
        <w:tc>
          <w:tcPr>
            <w:tcW w:w="1080" w:type="dxa"/>
          </w:tcPr>
          <w:p w14:paraId="33B37080"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TDF and FTC/TDF</w:t>
            </w:r>
          </w:p>
        </w:tc>
        <w:tc>
          <w:tcPr>
            <w:tcW w:w="990" w:type="dxa"/>
          </w:tcPr>
          <w:p w14:paraId="05EFB7E5"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vertAlign w:val="superscript"/>
              </w:rPr>
            </w:pPr>
            <w:r w:rsidRPr="0092790E">
              <w:rPr>
                <w:rFonts w:ascii="Times New Roman" w:hAnsi="Times New Roman" w:cs="Times New Roman"/>
                <w:sz w:val="18"/>
              </w:rPr>
              <w:t>4</w:t>
            </w:r>
            <w:r w:rsidRPr="0092790E">
              <w:rPr>
                <w:rFonts w:ascii="Times New Roman" w:hAnsi="Times New Roman" w:cs="Times New Roman"/>
                <w:sz w:val="18"/>
                <w:vertAlign w:val="superscript"/>
              </w:rPr>
              <w:t>a</w:t>
            </w:r>
          </w:p>
        </w:tc>
        <w:tc>
          <w:tcPr>
            <w:tcW w:w="900" w:type="dxa"/>
          </w:tcPr>
          <w:p w14:paraId="586E740D"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3</w:t>
            </w:r>
            <w:r w:rsidR="009C229E">
              <w:rPr>
                <w:rFonts w:ascii="Times New Roman" w:hAnsi="Times New Roman" w:cs="Times New Roman"/>
                <w:sz w:val="18"/>
              </w:rPr>
              <w:t>.</w:t>
            </w:r>
            <w:r w:rsidRPr="0092790E">
              <w:rPr>
                <w:rFonts w:ascii="Times New Roman" w:hAnsi="Times New Roman" w:cs="Times New Roman"/>
                <w:sz w:val="18"/>
              </w:rPr>
              <w:t>12</w:t>
            </w:r>
          </w:p>
        </w:tc>
        <w:tc>
          <w:tcPr>
            <w:tcW w:w="1159" w:type="dxa"/>
          </w:tcPr>
          <w:p w14:paraId="206708D7"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(1</w:t>
            </w:r>
            <w:r w:rsidR="009C229E">
              <w:rPr>
                <w:rFonts w:ascii="Times New Roman" w:hAnsi="Times New Roman" w:cs="Times New Roman"/>
                <w:sz w:val="18"/>
              </w:rPr>
              <w:t>.</w:t>
            </w:r>
            <w:r w:rsidRPr="0092790E">
              <w:rPr>
                <w:rFonts w:ascii="Times New Roman" w:hAnsi="Times New Roman" w:cs="Times New Roman"/>
                <w:sz w:val="18"/>
              </w:rPr>
              <w:t>03-9</w:t>
            </w:r>
            <w:r w:rsidR="009C229E">
              <w:rPr>
                <w:rFonts w:ascii="Times New Roman" w:hAnsi="Times New Roman" w:cs="Times New Roman"/>
                <w:sz w:val="18"/>
              </w:rPr>
              <w:t>.</w:t>
            </w:r>
            <w:r w:rsidRPr="0092790E">
              <w:rPr>
                <w:rFonts w:ascii="Times New Roman" w:hAnsi="Times New Roman" w:cs="Times New Roman"/>
                <w:sz w:val="18"/>
              </w:rPr>
              <w:t>46)</w:t>
            </w:r>
          </w:p>
        </w:tc>
        <w:tc>
          <w:tcPr>
            <w:tcW w:w="0" w:type="auto"/>
          </w:tcPr>
          <w:p w14:paraId="2BCAEC16"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05</w:t>
            </w:r>
          </w:p>
        </w:tc>
      </w:tr>
      <w:tr w:rsidR="005A778C" w:rsidRPr="0092790E" w14:paraId="3FB14BE4" w14:textId="77777777" w:rsidTr="0092790E">
        <w:tc>
          <w:tcPr>
            <w:cnfStyle w:val="001000000000" w:firstRow="0" w:lastRow="0" w:firstColumn="1" w:lastColumn="0" w:oddVBand="0" w:evenVBand="0" w:oddHBand="0" w:evenHBand="0" w:firstRowFirstColumn="0" w:firstRowLastColumn="0" w:lastRowFirstColumn="0" w:lastRowLastColumn="0"/>
            <w:tcW w:w="1998" w:type="dxa"/>
          </w:tcPr>
          <w:p w14:paraId="1765F01D"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FTC (M184I; M184V)</w:t>
            </w:r>
          </w:p>
        </w:tc>
        <w:tc>
          <w:tcPr>
            <w:tcW w:w="2430" w:type="dxa"/>
          </w:tcPr>
          <w:p w14:paraId="3CB937D1"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Post-randomization</w:t>
            </w:r>
          </w:p>
        </w:tc>
        <w:tc>
          <w:tcPr>
            <w:tcW w:w="1080" w:type="dxa"/>
          </w:tcPr>
          <w:p w14:paraId="289F1801"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TDF and FTC/TDF</w:t>
            </w:r>
          </w:p>
        </w:tc>
        <w:tc>
          <w:tcPr>
            <w:tcW w:w="990" w:type="dxa"/>
          </w:tcPr>
          <w:p w14:paraId="7A68B859"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vertAlign w:val="superscript"/>
              </w:rPr>
            </w:pPr>
            <w:r w:rsidRPr="0092790E">
              <w:rPr>
                <w:rFonts w:ascii="Times New Roman" w:hAnsi="Times New Roman" w:cs="Times New Roman"/>
                <w:sz w:val="18"/>
              </w:rPr>
              <w:t>2</w:t>
            </w:r>
            <w:r w:rsidRPr="0092790E">
              <w:rPr>
                <w:rFonts w:ascii="Times New Roman" w:hAnsi="Times New Roman" w:cs="Times New Roman"/>
                <w:sz w:val="18"/>
                <w:vertAlign w:val="superscript"/>
              </w:rPr>
              <w:t>b</w:t>
            </w:r>
          </w:p>
        </w:tc>
        <w:tc>
          <w:tcPr>
            <w:tcW w:w="900" w:type="dxa"/>
          </w:tcPr>
          <w:p w14:paraId="1E75344E"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3</w:t>
            </w:r>
            <w:r w:rsidR="009C229E">
              <w:rPr>
                <w:rFonts w:ascii="Times New Roman" w:hAnsi="Times New Roman" w:cs="Times New Roman"/>
                <w:sz w:val="18"/>
              </w:rPr>
              <w:t>.</w:t>
            </w:r>
            <w:r w:rsidRPr="0092790E">
              <w:rPr>
                <w:rFonts w:ascii="Times New Roman" w:hAnsi="Times New Roman" w:cs="Times New Roman"/>
                <w:sz w:val="18"/>
              </w:rPr>
              <w:t>91</w:t>
            </w:r>
          </w:p>
        </w:tc>
        <w:tc>
          <w:tcPr>
            <w:tcW w:w="1159" w:type="dxa"/>
          </w:tcPr>
          <w:p w14:paraId="1164657D"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66-23</w:t>
            </w:r>
            <w:r w:rsidR="009C229E">
              <w:rPr>
                <w:rFonts w:ascii="Times New Roman" w:hAnsi="Times New Roman" w:cs="Times New Roman"/>
                <w:sz w:val="18"/>
              </w:rPr>
              <w:t>.</w:t>
            </w:r>
            <w:r w:rsidRPr="0092790E">
              <w:rPr>
                <w:rFonts w:ascii="Times New Roman" w:hAnsi="Times New Roman" w:cs="Times New Roman"/>
                <w:sz w:val="18"/>
              </w:rPr>
              <w:t>07)</w:t>
            </w:r>
          </w:p>
        </w:tc>
        <w:tc>
          <w:tcPr>
            <w:tcW w:w="0" w:type="auto"/>
          </w:tcPr>
          <w:p w14:paraId="53961505"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13</w:t>
            </w:r>
          </w:p>
        </w:tc>
      </w:tr>
      <w:tr w:rsidR="005A778C" w:rsidRPr="0092790E" w14:paraId="25DCDD95" w14:textId="77777777" w:rsidTr="0092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FB932F6"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FTC (M184I; M184V)</w:t>
            </w:r>
          </w:p>
        </w:tc>
        <w:tc>
          <w:tcPr>
            <w:tcW w:w="2430" w:type="dxa"/>
          </w:tcPr>
          <w:p w14:paraId="4EE4C5A2"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 xml:space="preserve">Acute infection at enrolment </w:t>
            </w:r>
          </w:p>
        </w:tc>
        <w:tc>
          <w:tcPr>
            <w:tcW w:w="1080" w:type="dxa"/>
          </w:tcPr>
          <w:p w14:paraId="397EAF85"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FTC/TDF</w:t>
            </w:r>
          </w:p>
        </w:tc>
        <w:tc>
          <w:tcPr>
            <w:tcW w:w="990" w:type="dxa"/>
          </w:tcPr>
          <w:p w14:paraId="4C2048B9"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4</w:t>
            </w:r>
            <w:r w:rsidRPr="0092790E">
              <w:rPr>
                <w:rFonts w:ascii="Times New Roman" w:hAnsi="Times New Roman" w:cs="Times New Roman"/>
                <w:sz w:val="18"/>
                <w:vertAlign w:val="superscript"/>
              </w:rPr>
              <w:t>a</w:t>
            </w:r>
          </w:p>
        </w:tc>
        <w:tc>
          <w:tcPr>
            <w:tcW w:w="900" w:type="dxa"/>
          </w:tcPr>
          <w:p w14:paraId="0D92BF05"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3</w:t>
            </w:r>
            <w:r w:rsidR="009C229E">
              <w:rPr>
                <w:rFonts w:ascii="Times New Roman" w:hAnsi="Times New Roman" w:cs="Times New Roman"/>
                <w:sz w:val="18"/>
              </w:rPr>
              <w:t>.</w:t>
            </w:r>
            <w:r w:rsidRPr="0092790E">
              <w:rPr>
                <w:rFonts w:ascii="Times New Roman" w:hAnsi="Times New Roman" w:cs="Times New Roman"/>
                <w:sz w:val="18"/>
              </w:rPr>
              <w:t>72</w:t>
            </w:r>
          </w:p>
        </w:tc>
        <w:tc>
          <w:tcPr>
            <w:tcW w:w="1159" w:type="dxa"/>
          </w:tcPr>
          <w:p w14:paraId="51B6E62D"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(1</w:t>
            </w:r>
            <w:r w:rsidR="009C229E">
              <w:rPr>
                <w:rFonts w:ascii="Times New Roman" w:hAnsi="Times New Roman" w:cs="Times New Roman"/>
                <w:sz w:val="18"/>
              </w:rPr>
              <w:t>.</w:t>
            </w:r>
            <w:r w:rsidRPr="0092790E">
              <w:rPr>
                <w:rFonts w:ascii="Times New Roman" w:hAnsi="Times New Roman" w:cs="Times New Roman"/>
                <w:sz w:val="18"/>
              </w:rPr>
              <w:t>23-11</w:t>
            </w:r>
            <w:r w:rsidR="009C229E">
              <w:rPr>
                <w:rFonts w:ascii="Times New Roman" w:hAnsi="Times New Roman" w:cs="Times New Roman"/>
                <w:sz w:val="18"/>
              </w:rPr>
              <w:t>.</w:t>
            </w:r>
            <w:r w:rsidRPr="0092790E">
              <w:rPr>
                <w:rFonts w:ascii="Times New Roman" w:hAnsi="Times New Roman" w:cs="Times New Roman"/>
                <w:sz w:val="18"/>
              </w:rPr>
              <w:t>23)</w:t>
            </w:r>
          </w:p>
        </w:tc>
        <w:tc>
          <w:tcPr>
            <w:tcW w:w="0" w:type="auto"/>
          </w:tcPr>
          <w:p w14:paraId="70A93180"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02</w:t>
            </w:r>
          </w:p>
        </w:tc>
      </w:tr>
      <w:tr w:rsidR="005A778C" w:rsidRPr="0092790E" w14:paraId="0927C2D4" w14:textId="77777777" w:rsidTr="0092790E">
        <w:tc>
          <w:tcPr>
            <w:cnfStyle w:val="001000000000" w:firstRow="0" w:lastRow="0" w:firstColumn="1" w:lastColumn="0" w:oddVBand="0" w:evenVBand="0" w:oddHBand="0" w:evenHBand="0" w:firstRowFirstColumn="0" w:firstRowLastColumn="0" w:lastRowFirstColumn="0" w:lastRowLastColumn="0"/>
            <w:tcW w:w="1998" w:type="dxa"/>
          </w:tcPr>
          <w:p w14:paraId="252D6E21"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FTC (M184I and M184V)</w:t>
            </w:r>
          </w:p>
        </w:tc>
        <w:tc>
          <w:tcPr>
            <w:tcW w:w="2430" w:type="dxa"/>
          </w:tcPr>
          <w:p w14:paraId="5AE6A906"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Post-randomization</w:t>
            </w:r>
          </w:p>
        </w:tc>
        <w:tc>
          <w:tcPr>
            <w:tcW w:w="1080" w:type="dxa"/>
          </w:tcPr>
          <w:p w14:paraId="5DEF3E7E"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FTC/TDF</w:t>
            </w:r>
          </w:p>
        </w:tc>
        <w:tc>
          <w:tcPr>
            <w:tcW w:w="990" w:type="dxa"/>
          </w:tcPr>
          <w:p w14:paraId="3E3D5685"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2</w:t>
            </w:r>
            <w:r w:rsidRPr="0092790E">
              <w:rPr>
                <w:rFonts w:ascii="Times New Roman" w:hAnsi="Times New Roman" w:cs="Times New Roman"/>
                <w:sz w:val="18"/>
                <w:vertAlign w:val="superscript"/>
              </w:rPr>
              <w:t>b</w:t>
            </w:r>
          </w:p>
        </w:tc>
        <w:tc>
          <w:tcPr>
            <w:tcW w:w="900" w:type="dxa"/>
          </w:tcPr>
          <w:p w14:paraId="522CF1A0"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3</w:t>
            </w:r>
            <w:r w:rsidR="009C229E">
              <w:rPr>
                <w:rFonts w:ascii="Times New Roman" w:hAnsi="Times New Roman" w:cs="Times New Roman"/>
                <w:sz w:val="18"/>
              </w:rPr>
              <w:t>.</w:t>
            </w:r>
            <w:r w:rsidRPr="0092790E">
              <w:rPr>
                <w:rFonts w:ascii="Times New Roman" w:hAnsi="Times New Roman" w:cs="Times New Roman"/>
                <w:sz w:val="18"/>
              </w:rPr>
              <w:t>91</w:t>
            </w:r>
          </w:p>
        </w:tc>
        <w:tc>
          <w:tcPr>
            <w:tcW w:w="1159" w:type="dxa"/>
          </w:tcPr>
          <w:p w14:paraId="213E61A4"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66-23</w:t>
            </w:r>
            <w:r w:rsidR="009C229E">
              <w:rPr>
                <w:rFonts w:ascii="Times New Roman" w:hAnsi="Times New Roman" w:cs="Times New Roman"/>
                <w:sz w:val="18"/>
              </w:rPr>
              <w:t>.</w:t>
            </w:r>
            <w:r w:rsidRPr="0092790E">
              <w:rPr>
                <w:rFonts w:ascii="Times New Roman" w:hAnsi="Times New Roman" w:cs="Times New Roman"/>
                <w:sz w:val="18"/>
              </w:rPr>
              <w:t>07)</w:t>
            </w:r>
          </w:p>
        </w:tc>
        <w:tc>
          <w:tcPr>
            <w:tcW w:w="0" w:type="auto"/>
          </w:tcPr>
          <w:p w14:paraId="7134943C"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13</w:t>
            </w:r>
          </w:p>
        </w:tc>
      </w:tr>
      <w:tr w:rsidR="005A778C" w:rsidRPr="0092790E" w14:paraId="4FD9000C" w14:textId="77777777" w:rsidTr="0092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569EA66"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TDF (KR65; K70E)</w:t>
            </w:r>
          </w:p>
        </w:tc>
        <w:tc>
          <w:tcPr>
            <w:tcW w:w="2430" w:type="dxa"/>
          </w:tcPr>
          <w:p w14:paraId="5B522B69"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 xml:space="preserve">Acute infection at enrolment </w:t>
            </w:r>
          </w:p>
        </w:tc>
        <w:tc>
          <w:tcPr>
            <w:tcW w:w="1080" w:type="dxa"/>
          </w:tcPr>
          <w:p w14:paraId="7A584B9C"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TDF and FTC/TDF</w:t>
            </w:r>
          </w:p>
        </w:tc>
        <w:tc>
          <w:tcPr>
            <w:tcW w:w="990" w:type="dxa"/>
          </w:tcPr>
          <w:p w14:paraId="2859922A"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vertAlign w:val="superscript"/>
              </w:rPr>
            </w:pPr>
            <w:r w:rsidRPr="0092790E">
              <w:rPr>
                <w:rFonts w:ascii="Times New Roman" w:hAnsi="Times New Roman" w:cs="Times New Roman"/>
                <w:sz w:val="18"/>
              </w:rPr>
              <w:t>2</w:t>
            </w:r>
            <w:r w:rsidRPr="0092790E">
              <w:rPr>
                <w:rFonts w:ascii="Times New Roman" w:hAnsi="Times New Roman" w:cs="Times New Roman"/>
                <w:sz w:val="18"/>
                <w:vertAlign w:val="superscript"/>
              </w:rPr>
              <w:t>d</w:t>
            </w:r>
          </w:p>
        </w:tc>
        <w:tc>
          <w:tcPr>
            <w:tcW w:w="900" w:type="dxa"/>
          </w:tcPr>
          <w:p w14:paraId="0F491DB7"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3</w:t>
            </w:r>
            <w:r w:rsidR="009C229E">
              <w:rPr>
                <w:rFonts w:ascii="Times New Roman" w:hAnsi="Times New Roman" w:cs="Times New Roman"/>
                <w:sz w:val="18"/>
              </w:rPr>
              <w:t>.</w:t>
            </w:r>
            <w:r w:rsidRPr="0092790E">
              <w:rPr>
                <w:rFonts w:ascii="Times New Roman" w:hAnsi="Times New Roman" w:cs="Times New Roman"/>
                <w:sz w:val="18"/>
              </w:rPr>
              <w:t>39</w:t>
            </w:r>
          </w:p>
        </w:tc>
        <w:tc>
          <w:tcPr>
            <w:tcW w:w="1159" w:type="dxa"/>
          </w:tcPr>
          <w:p w14:paraId="0305C1C3"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46-25</w:t>
            </w:r>
            <w:r w:rsidR="009C229E">
              <w:rPr>
                <w:rFonts w:ascii="Times New Roman" w:hAnsi="Times New Roman" w:cs="Times New Roman"/>
                <w:sz w:val="18"/>
              </w:rPr>
              <w:t>.</w:t>
            </w:r>
            <w:r w:rsidRPr="0092790E">
              <w:rPr>
                <w:rFonts w:ascii="Times New Roman" w:hAnsi="Times New Roman" w:cs="Times New Roman"/>
                <w:sz w:val="18"/>
              </w:rPr>
              <w:t>05)</w:t>
            </w:r>
          </w:p>
        </w:tc>
        <w:tc>
          <w:tcPr>
            <w:tcW w:w="0" w:type="auto"/>
          </w:tcPr>
          <w:p w14:paraId="0EE705DF"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23</w:t>
            </w:r>
          </w:p>
        </w:tc>
      </w:tr>
      <w:tr w:rsidR="005A778C" w:rsidRPr="0092790E" w14:paraId="20FE9AC1" w14:textId="77777777" w:rsidTr="0092790E">
        <w:tc>
          <w:tcPr>
            <w:cnfStyle w:val="001000000000" w:firstRow="0" w:lastRow="0" w:firstColumn="1" w:lastColumn="0" w:oddVBand="0" w:evenVBand="0" w:oddHBand="0" w:evenHBand="0" w:firstRowFirstColumn="0" w:firstRowLastColumn="0" w:lastRowFirstColumn="0" w:lastRowLastColumn="0"/>
            <w:tcW w:w="1998" w:type="dxa"/>
          </w:tcPr>
          <w:p w14:paraId="52E3BA81"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TDF (KR65; K70E)</w:t>
            </w:r>
          </w:p>
        </w:tc>
        <w:tc>
          <w:tcPr>
            <w:tcW w:w="2430" w:type="dxa"/>
          </w:tcPr>
          <w:p w14:paraId="0576C128"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Post-randomization</w:t>
            </w:r>
          </w:p>
        </w:tc>
        <w:tc>
          <w:tcPr>
            <w:tcW w:w="1080" w:type="dxa"/>
          </w:tcPr>
          <w:p w14:paraId="37DCCA4A"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TDF and FTC/TDF</w:t>
            </w:r>
          </w:p>
        </w:tc>
        <w:tc>
          <w:tcPr>
            <w:tcW w:w="990" w:type="dxa"/>
          </w:tcPr>
          <w:p w14:paraId="2C49398C"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vertAlign w:val="superscript"/>
              </w:rPr>
            </w:pPr>
            <w:r w:rsidRPr="0092790E">
              <w:rPr>
                <w:rFonts w:ascii="Times New Roman" w:hAnsi="Times New Roman" w:cs="Times New Roman"/>
                <w:sz w:val="18"/>
              </w:rPr>
              <w:t>0</w:t>
            </w:r>
          </w:p>
        </w:tc>
        <w:tc>
          <w:tcPr>
            <w:tcW w:w="900" w:type="dxa"/>
          </w:tcPr>
          <w:p w14:paraId="10318056"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w:t>
            </w:r>
          </w:p>
        </w:tc>
        <w:tc>
          <w:tcPr>
            <w:tcW w:w="1159" w:type="dxa"/>
          </w:tcPr>
          <w:p w14:paraId="561519DD"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w:t>
            </w:r>
          </w:p>
        </w:tc>
        <w:tc>
          <w:tcPr>
            <w:tcW w:w="0" w:type="auto"/>
          </w:tcPr>
          <w:p w14:paraId="028E1D17"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w:t>
            </w:r>
          </w:p>
        </w:tc>
      </w:tr>
      <w:tr w:rsidR="005A778C" w:rsidRPr="0092790E" w14:paraId="440A255A" w14:textId="77777777" w:rsidTr="0092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28395B6"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TDF (KR65; K70E)</w:t>
            </w:r>
          </w:p>
        </w:tc>
        <w:tc>
          <w:tcPr>
            <w:tcW w:w="2430" w:type="dxa"/>
          </w:tcPr>
          <w:p w14:paraId="6D134F6A"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 xml:space="preserve">Acute infection at enrolment </w:t>
            </w:r>
          </w:p>
        </w:tc>
        <w:tc>
          <w:tcPr>
            <w:tcW w:w="1080" w:type="dxa"/>
          </w:tcPr>
          <w:p w14:paraId="18DA8FB8"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TDF</w:t>
            </w:r>
          </w:p>
        </w:tc>
        <w:tc>
          <w:tcPr>
            <w:tcW w:w="990" w:type="dxa"/>
          </w:tcPr>
          <w:p w14:paraId="13C84337"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vertAlign w:val="superscript"/>
              </w:rPr>
            </w:pPr>
            <w:r w:rsidRPr="0092790E">
              <w:rPr>
                <w:rFonts w:ascii="Times New Roman" w:hAnsi="Times New Roman" w:cs="Times New Roman"/>
                <w:sz w:val="18"/>
              </w:rPr>
              <w:t>1</w:t>
            </w:r>
            <w:r w:rsidRPr="0092790E">
              <w:rPr>
                <w:rFonts w:ascii="Times New Roman" w:hAnsi="Times New Roman" w:cs="Times New Roman"/>
                <w:sz w:val="18"/>
                <w:vertAlign w:val="superscript"/>
              </w:rPr>
              <w:t>e</w:t>
            </w:r>
          </w:p>
        </w:tc>
        <w:tc>
          <w:tcPr>
            <w:tcW w:w="900" w:type="dxa"/>
          </w:tcPr>
          <w:p w14:paraId="04C73F65"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3</w:t>
            </w:r>
            <w:r w:rsidR="009C229E">
              <w:rPr>
                <w:rFonts w:ascii="Times New Roman" w:hAnsi="Times New Roman" w:cs="Times New Roman"/>
                <w:sz w:val="18"/>
              </w:rPr>
              <w:t>.</w:t>
            </w:r>
            <w:r w:rsidRPr="0092790E">
              <w:rPr>
                <w:rFonts w:ascii="Times New Roman" w:hAnsi="Times New Roman" w:cs="Times New Roman"/>
                <w:sz w:val="18"/>
              </w:rPr>
              <w:t>50</w:t>
            </w:r>
          </w:p>
        </w:tc>
        <w:tc>
          <w:tcPr>
            <w:tcW w:w="1159" w:type="dxa"/>
          </w:tcPr>
          <w:p w14:paraId="6AD7B1D2"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17-70</w:t>
            </w:r>
            <w:r w:rsidR="009C229E">
              <w:rPr>
                <w:rFonts w:ascii="Times New Roman" w:hAnsi="Times New Roman" w:cs="Times New Roman"/>
                <w:sz w:val="18"/>
              </w:rPr>
              <w:t>.</w:t>
            </w:r>
            <w:r w:rsidRPr="0092790E">
              <w:rPr>
                <w:rFonts w:ascii="Times New Roman" w:hAnsi="Times New Roman" w:cs="Times New Roman"/>
                <w:sz w:val="18"/>
              </w:rPr>
              <w:t>94)</w:t>
            </w:r>
          </w:p>
        </w:tc>
        <w:tc>
          <w:tcPr>
            <w:tcW w:w="0" w:type="auto"/>
          </w:tcPr>
          <w:p w14:paraId="6FCDC4F7" w14:textId="77777777" w:rsidR="005A778C" w:rsidRPr="0092790E" w:rsidRDefault="005A778C" w:rsidP="009279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r w:rsidR="009C229E">
              <w:rPr>
                <w:rFonts w:ascii="Times New Roman" w:hAnsi="Times New Roman" w:cs="Times New Roman"/>
                <w:sz w:val="18"/>
              </w:rPr>
              <w:t>.</w:t>
            </w:r>
            <w:r w:rsidRPr="0092790E">
              <w:rPr>
                <w:rFonts w:ascii="Times New Roman" w:hAnsi="Times New Roman" w:cs="Times New Roman"/>
                <w:sz w:val="18"/>
              </w:rPr>
              <w:t>42</w:t>
            </w:r>
          </w:p>
        </w:tc>
      </w:tr>
      <w:tr w:rsidR="005A778C" w:rsidRPr="0092790E" w14:paraId="6BD76889" w14:textId="77777777" w:rsidTr="0092790E">
        <w:tc>
          <w:tcPr>
            <w:cnfStyle w:val="001000000000" w:firstRow="0" w:lastRow="0" w:firstColumn="1" w:lastColumn="0" w:oddVBand="0" w:evenVBand="0" w:oddHBand="0" w:evenHBand="0" w:firstRowFirstColumn="0" w:firstRowLastColumn="0" w:lastRowFirstColumn="0" w:lastRowLastColumn="0"/>
            <w:tcW w:w="1998" w:type="dxa"/>
          </w:tcPr>
          <w:p w14:paraId="5447BDA5" w14:textId="77777777" w:rsidR="005A778C" w:rsidRPr="0092790E" w:rsidRDefault="005A778C" w:rsidP="0092790E">
            <w:pPr>
              <w:pStyle w:val="NoSpacing"/>
              <w:rPr>
                <w:rFonts w:ascii="Times New Roman" w:hAnsi="Times New Roman" w:cs="Times New Roman"/>
                <w:sz w:val="18"/>
              </w:rPr>
            </w:pPr>
            <w:r w:rsidRPr="0092790E">
              <w:rPr>
                <w:rFonts w:ascii="Times New Roman" w:hAnsi="Times New Roman" w:cs="Times New Roman"/>
                <w:sz w:val="18"/>
              </w:rPr>
              <w:t>TDF (KR65; K70E)</w:t>
            </w:r>
          </w:p>
        </w:tc>
        <w:tc>
          <w:tcPr>
            <w:tcW w:w="2430" w:type="dxa"/>
          </w:tcPr>
          <w:p w14:paraId="5F433583"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Post-randomization</w:t>
            </w:r>
          </w:p>
        </w:tc>
        <w:tc>
          <w:tcPr>
            <w:tcW w:w="1080" w:type="dxa"/>
          </w:tcPr>
          <w:p w14:paraId="3068C2E0"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TDF</w:t>
            </w:r>
          </w:p>
        </w:tc>
        <w:tc>
          <w:tcPr>
            <w:tcW w:w="990" w:type="dxa"/>
          </w:tcPr>
          <w:p w14:paraId="3E08CE83"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0</w:t>
            </w:r>
          </w:p>
        </w:tc>
        <w:tc>
          <w:tcPr>
            <w:tcW w:w="900" w:type="dxa"/>
          </w:tcPr>
          <w:p w14:paraId="72E747D6"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w:t>
            </w:r>
          </w:p>
        </w:tc>
        <w:tc>
          <w:tcPr>
            <w:tcW w:w="1159" w:type="dxa"/>
          </w:tcPr>
          <w:p w14:paraId="2DBBCB30"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w:t>
            </w:r>
          </w:p>
        </w:tc>
        <w:tc>
          <w:tcPr>
            <w:tcW w:w="0" w:type="auto"/>
          </w:tcPr>
          <w:p w14:paraId="186EC064" w14:textId="77777777" w:rsidR="005A778C" w:rsidRPr="0092790E" w:rsidRDefault="005A778C" w:rsidP="009279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2790E">
              <w:rPr>
                <w:rFonts w:ascii="Times New Roman" w:hAnsi="Times New Roman" w:cs="Times New Roman"/>
                <w:sz w:val="18"/>
              </w:rPr>
              <w:t>--</w:t>
            </w:r>
          </w:p>
        </w:tc>
      </w:tr>
    </w:tbl>
    <w:p w14:paraId="41D2300D" w14:textId="77777777" w:rsidR="005A778C" w:rsidRPr="00014AA9" w:rsidRDefault="005A778C" w:rsidP="005A778C">
      <w:pPr>
        <w:pStyle w:val="NoSpacing"/>
        <w:rPr>
          <w:rFonts w:ascii="Times New Roman" w:hAnsi="Times New Roman" w:cs="Times New Roman"/>
          <w:sz w:val="16"/>
          <w:szCs w:val="20"/>
        </w:rPr>
      </w:pPr>
      <w:proofErr w:type="gramStart"/>
      <w:r w:rsidRPr="00014AA9">
        <w:rPr>
          <w:rFonts w:ascii="Times New Roman" w:hAnsi="Times New Roman" w:cs="Times New Roman"/>
          <w:sz w:val="16"/>
          <w:szCs w:val="20"/>
          <w:vertAlign w:val="superscript"/>
        </w:rPr>
        <w:t>a</w:t>
      </w:r>
      <w:proofErr w:type="gramEnd"/>
      <w:r w:rsidRPr="00014AA9">
        <w:rPr>
          <w:rFonts w:ascii="Times New Roman" w:hAnsi="Times New Roman" w:cs="Times New Roman"/>
          <w:sz w:val="16"/>
          <w:szCs w:val="20"/>
        </w:rPr>
        <w:t xml:space="preserve"> </w:t>
      </w:r>
      <w:proofErr w:type="spellStart"/>
      <w:r w:rsidRPr="00014AA9">
        <w:rPr>
          <w:rFonts w:ascii="Times New Roman" w:hAnsi="Times New Roman" w:cs="Times New Roman"/>
          <w:sz w:val="16"/>
          <w:szCs w:val="20"/>
        </w:rPr>
        <w:t>iPrEx</w:t>
      </w:r>
      <w:proofErr w:type="spellEnd"/>
      <w:r w:rsidRPr="00014AA9">
        <w:rPr>
          <w:rFonts w:ascii="Times New Roman" w:hAnsi="Times New Roman" w:cs="Times New Roman"/>
          <w:sz w:val="16"/>
          <w:szCs w:val="20"/>
        </w:rPr>
        <w:t>, Partners PrEP, TDF2, and VOICE</w:t>
      </w:r>
    </w:p>
    <w:p w14:paraId="378A4C4C" w14:textId="77777777" w:rsidR="005A778C" w:rsidRPr="00014AA9" w:rsidRDefault="005A778C" w:rsidP="005A778C">
      <w:pPr>
        <w:pStyle w:val="NoSpacing"/>
        <w:rPr>
          <w:rFonts w:ascii="Times New Roman" w:hAnsi="Times New Roman" w:cs="Times New Roman"/>
          <w:sz w:val="16"/>
          <w:szCs w:val="20"/>
        </w:rPr>
      </w:pPr>
      <w:proofErr w:type="gramStart"/>
      <w:r w:rsidRPr="00014AA9">
        <w:rPr>
          <w:rFonts w:ascii="Times New Roman" w:hAnsi="Times New Roman" w:cs="Times New Roman"/>
          <w:sz w:val="16"/>
          <w:szCs w:val="20"/>
          <w:vertAlign w:val="superscript"/>
        </w:rPr>
        <w:t>b</w:t>
      </w:r>
      <w:proofErr w:type="gramEnd"/>
      <w:r w:rsidRPr="00014AA9">
        <w:rPr>
          <w:rFonts w:ascii="Times New Roman" w:hAnsi="Times New Roman" w:cs="Times New Roman"/>
          <w:sz w:val="16"/>
          <w:szCs w:val="20"/>
        </w:rPr>
        <w:t xml:space="preserve"> FEM-PrEP and VOICE</w:t>
      </w:r>
    </w:p>
    <w:p w14:paraId="4F9DD6D3" w14:textId="77777777" w:rsidR="005A778C" w:rsidRPr="00014AA9" w:rsidRDefault="005A778C" w:rsidP="005A778C">
      <w:pPr>
        <w:pStyle w:val="NoSpacing"/>
        <w:rPr>
          <w:rFonts w:ascii="Times New Roman" w:hAnsi="Times New Roman" w:cs="Times New Roman"/>
          <w:sz w:val="16"/>
          <w:szCs w:val="20"/>
        </w:rPr>
      </w:pPr>
      <w:proofErr w:type="gramStart"/>
      <w:r w:rsidRPr="00014AA9">
        <w:rPr>
          <w:rFonts w:ascii="Times New Roman" w:hAnsi="Times New Roman" w:cs="Times New Roman"/>
          <w:sz w:val="16"/>
          <w:szCs w:val="20"/>
          <w:vertAlign w:val="superscript"/>
        </w:rPr>
        <w:t>d</w:t>
      </w:r>
      <w:proofErr w:type="gramEnd"/>
      <w:r w:rsidRPr="00014AA9">
        <w:rPr>
          <w:rFonts w:ascii="Times New Roman" w:hAnsi="Times New Roman" w:cs="Times New Roman"/>
          <w:sz w:val="16"/>
          <w:szCs w:val="20"/>
        </w:rPr>
        <w:t xml:space="preserve"> Partners PrEP and TDF2</w:t>
      </w:r>
    </w:p>
    <w:p w14:paraId="754746F9" w14:textId="77777777" w:rsidR="005A778C" w:rsidRPr="00014AA9" w:rsidRDefault="005A778C" w:rsidP="005A778C">
      <w:pPr>
        <w:pStyle w:val="NoSpacing"/>
        <w:rPr>
          <w:rFonts w:ascii="Times New Roman" w:hAnsi="Times New Roman" w:cs="Times New Roman"/>
          <w:sz w:val="16"/>
          <w:szCs w:val="20"/>
        </w:rPr>
      </w:pPr>
      <w:proofErr w:type="spellStart"/>
      <w:proofErr w:type="gramStart"/>
      <w:r w:rsidRPr="00014AA9">
        <w:rPr>
          <w:rFonts w:ascii="Times New Roman" w:hAnsi="Times New Roman" w:cs="Times New Roman"/>
          <w:sz w:val="16"/>
          <w:szCs w:val="20"/>
          <w:vertAlign w:val="superscript"/>
        </w:rPr>
        <w:t>e</w:t>
      </w:r>
      <w:r w:rsidRPr="00014AA9">
        <w:rPr>
          <w:rFonts w:ascii="Times New Roman" w:hAnsi="Times New Roman" w:cs="Times New Roman"/>
          <w:sz w:val="16"/>
          <w:szCs w:val="20"/>
        </w:rPr>
        <w:t>Partners</w:t>
      </w:r>
      <w:proofErr w:type="spellEnd"/>
      <w:proofErr w:type="gramEnd"/>
      <w:r w:rsidRPr="00014AA9">
        <w:rPr>
          <w:rFonts w:ascii="Times New Roman" w:hAnsi="Times New Roman" w:cs="Times New Roman"/>
          <w:sz w:val="16"/>
          <w:szCs w:val="20"/>
        </w:rPr>
        <w:t xml:space="preserve"> PrEP</w:t>
      </w:r>
    </w:p>
    <w:p w14:paraId="4A7AB4FE" w14:textId="77777777" w:rsidR="005A778C" w:rsidRDefault="005A778C" w:rsidP="005A778C">
      <w:pPr>
        <w:pStyle w:val="NoSpacing"/>
        <w:rPr>
          <w:rFonts w:ascii="Times New Roman" w:hAnsi="Times New Roman" w:cs="Times New Roman"/>
          <w:sz w:val="20"/>
          <w:szCs w:val="20"/>
        </w:rPr>
      </w:pPr>
    </w:p>
    <w:p w14:paraId="607E5BE6" w14:textId="77777777" w:rsidR="005A778C" w:rsidRPr="002A7974" w:rsidRDefault="005A778C" w:rsidP="005A778C">
      <w:pPr>
        <w:rPr>
          <w:rFonts w:ascii="Times New Roman" w:hAnsi="Times New Roman" w:cs="Times New Roman"/>
          <w:sz w:val="20"/>
          <w:szCs w:val="20"/>
        </w:rPr>
      </w:pPr>
      <w:r w:rsidRPr="00AE5E21">
        <w:rPr>
          <w:rFonts w:ascii="Times New Roman" w:hAnsi="Times New Roman" w:cs="Times New Roman"/>
          <w:b/>
          <w:sz w:val="20"/>
          <w:szCs w:val="20"/>
        </w:rPr>
        <w:br w:type="page"/>
      </w:r>
    </w:p>
    <w:p w14:paraId="6A986869" w14:textId="77777777" w:rsidR="005A778C" w:rsidRPr="003C43B0" w:rsidRDefault="005A778C" w:rsidP="003C43B0">
      <w:pPr>
        <w:pStyle w:val="Heading1"/>
        <w:rPr>
          <w:rFonts w:ascii="Times New Roman" w:hAnsi="Times New Roman" w:cs="Times New Roman"/>
          <w:sz w:val="24"/>
        </w:rPr>
      </w:pPr>
      <w:bookmarkStart w:id="5" w:name="_Toc445111850"/>
      <w:proofErr w:type="gramStart"/>
      <w:r w:rsidRPr="003C43B0">
        <w:rPr>
          <w:rFonts w:ascii="Times New Roman" w:hAnsi="Times New Roman" w:cs="Times New Roman"/>
          <w:sz w:val="24"/>
        </w:rPr>
        <w:lastRenderedPageBreak/>
        <w:t>Table 4S</w:t>
      </w:r>
      <w:r w:rsidR="009C229E" w:rsidRPr="003C43B0">
        <w:rPr>
          <w:rFonts w:ascii="Times New Roman" w:hAnsi="Times New Roman" w:cs="Times New Roman"/>
          <w:sz w:val="24"/>
        </w:rPr>
        <w:t>.</w:t>
      </w:r>
      <w:proofErr w:type="gramEnd"/>
      <w:r w:rsidRPr="003C43B0">
        <w:rPr>
          <w:rFonts w:ascii="Times New Roman" w:hAnsi="Times New Roman" w:cs="Times New Roman"/>
          <w:sz w:val="24"/>
        </w:rPr>
        <w:t xml:space="preserve"> Summary of pregnancies rates in studies reporting contraceptive effectiveness</w:t>
      </w:r>
      <w:bookmarkEnd w:id="5"/>
    </w:p>
    <w:tbl>
      <w:tblPr>
        <w:tblStyle w:val="LightList"/>
        <w:tblW w:w="9288" w:type="dxa"/>
        <w:tblLook w:val="04A0" w:firstRow="1" w:lastRow="0" w:firstColumn="1" w:lastColumn="0" w:noHBand="0" w:noVBand="1"/>
      </w:tblPr>
      <w:tblGrid>
        <w:gridCol w:w="1276"/>
        <w:gridCol w:w="1424"/>
        <w:gridCol w:w="1248"/>
        <w:gridCol w:w="966"/>
        <w:gridCol w:w="1248"/>
        <w:gridCol w:w="988"/>
        <w:gridCol w:w="1168"/>
        <w:gridCol w:w="1258"/>
      </w:tblGrid>
      <w:tr w:rsidR="00DB1C44" w:rsidRPr="00AE5E21" w14:paraId="1E6BB8CF" w14:textId="77777777" w:rsidTr="003C4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tcBorders>
              <w:top w:val="single" w:sz="8" w:space="0" w:color="000000" w:themeColor="text1"/>
              <w:left w:val="nil"/>
              <w:bottom w:val="single" w:sz="8" w:space="0" w:color="000000" w:themeColor="text1"/>
              <w:right w:val="single" w:sz="8" w:space="0" w:color="auto"/>
            </w:tcBorders>
            <w:shd w:val="clear" w:color="auto" w:fill="BFBFBF" w:themeFill="background1" w:themeFillShade="BF"/>
            <w:noWrap/>
          </w:tcPr>
          <w:p w14:paraId="73EA6686" w14:textId="77777777" w:rsidR="00DB1C44" w:rsidRPr="00AE5E21" w:rsidRDefault="00DB1C44" w:rsidP="003C43B0">
            <w:pPr>
              <w:jc w:val="center"/>
              <w:rPr>
                <w:rFonts w:ascii="Times New Roman" w:eastAsia="Times New Roman" w:hAnsi="Times New Roman" w:cs="Times New Roman"/>
                <w:color w:val="auto"/>
                <w:sz w:val="20"/>
                <w:szCs w:val="20"/>
              </w:rPr>
            </w:pPr>
            <w:r w:rsidRPr="00AE5E21">
              <w:rPr>
                <w:rFonts w:ascii="Times New Roman" w:eastAsia="Times New Roman" w:hAnsi="Times New Roman" w:cs="Times New Roman"/>
                <w:color w:val="auto"/>
                <w:sz w:val="20"/>
                <w:szCs w:val="20"/>
              </w:rPr>
              <w:t>Study</w:t>
            </w:r>
          </w:p>
        </w:tc>
        <w:tc>
          <w:tcPr>
            <w:tcW w:w="1306" w:type="dxa"/>
            <w:tcBorders>
              <w:left w:val="single" w:sz="8" w:space="0" w:color="auto"/>
            </w:tcBorders>
            <w:shd w:val="clear" w:color="auto" w:fill="BFBFBF" w:themeFill="background1" w:themeFillShade="BF"/>
            <w:noWrap/>
          </w:tcPr>
          <w:p w14:paraId="026C0F7B"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E5E21">
              <w:rPr>
                <w:rFonts w:ascii="Times New Roman" w:eastAsia="Times New Roman" w:hAnsi="Times New Roman" w:cs="Times New Roman"/>
                <w:color w:val="auto"/>
                <w:sz w:val="20"/>
                <w:szCs w:val="20"/>
              </w:rPr>
              <w:t>Contraceptive Method</w:t>
            </w:r>
          </w:p>
        </w:tc>
        <w:tc>
          <w:tcPr>
            <w:tcW w:w="1146" w:type="dxa"/>
            <w:shd w:val="clear" w:color="auto" w:fill="BFBFBF" w:themeFill="background1" w:themeFillShade="BF"/>
            <w:noWrap/>
          </w:tcPr>
          <w:p w14:paraId="069A8B46"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E5E21">
              <w:rPr>
                <w:rFonts w:ascii="Times New Roman" w:eastAsia="Times New Roman" w:hAnsi="Times New Roman" w:cs="Times New Roman"/>
                <w:color w:val="auto"/>
                <w:sz w:val="20"/>
                <w:szCs w:val="20"/>
              </w:rPr>
              <w:t>PrEP</w:t>
            </w:r>
          </w:p>
          <w:p w14:paraId="71DDA8A3"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E5E21">
              <w:rPr>
                <w:rFonts w:ascii="Times New Roman" w:eastAsia="Times New Roman" w:hAnsi="Times New Roman" w:cs="Times New Roman"/>
                <w:color w:val="auto"/>
                <w:sz w:val="20"/>
                <w:szCs w:val="20"/>
              </w:rPr>
              <w:t>Pregnancies</w:t>
            </w:r>
          </w:p>
        </w:tc>
        <w:tc>
          <w:tcPr>
            <w:tcW w:w="968" w:type="dxa"/>
            <w:shd w:val="clear" w:color="auto" w:fill="BFBFBF" w:themeFill="background1" w:themeFillShade="BF"/>
            <w:noWrap/>
          </w:tcPr>
          <w:p w14:paraId="5F9B6C7D"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E5E21">
              <w:rPr>
                <w:rFonts w:ascii="Times New Roman" w:eastAsia="Times New Roman" w:hAnsi="Times New Roman" w:cs="Times New Roman"/>
                <w:color w:val="auto"/>
                <w:sz w:val="20"/>
                <w:szCs w:val="20"/>
              </w:rPr>
              <w:t>PrEP person-years</w:t>
            </w:r>
          </w:p>
        </w:tc>
        <w:tc>
          <w:tcPr>
            <w:tcW w:w="1170" w:type="dxa"/>
            <w:shd w:val="clear" w:color="auto" w:fill="BFBFBF" w:themeFill="background1" w:themeFillShade="BF"/>
            <w:noWrap/>
          </w:tcPr>
          <w:p w14:paraId="689DEF12"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E5E21">
              <w:rPr>
                <w:rFonts w:ascii="Times New Roman" w:eastAsia="Times New Roman" w:hAnsi="Times New Roman" w:cs="Times New Roman"/>
                <w:color w:val="auto"/>
                <w:sz w:val="20"/>
                <w:szCs w:val="20"/>
              </w:rPr>
              <w:t>Placebo Pregnancies</w:t>
            </w:r>
          </w:p>
        </w:tc>
        <w:tc>
          <w:tcPr>
            <w:tcW w:w="990" w:type="dxa"/>
            <w:shd w:val="clear" w:color="auto" w:fill="BFBFBF" w:themeFill="background1" w:themeFillShade="BF"/>
            <w:noWrap/>
          </w:tcPr>
          <w:p w14:paraId="0DE96274"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E5E21">
              <w:rPr>
                <w:rFonts w:ascii="Times New Roman" w:eastAsia="Times New Roman" w:hAnsi="Times New Roman" w:cs="Times New Roman"/>
                <w:color w:val="auto"/>
                <w:sz w:val="20"/>
                <w:szCs w:val="20"/>
              </w:rPr>
              <w:t>Placebo person-years</w:t>
            </w:r>
          </w:p>
        </w:tc>
        <w:tc>
          <w:tcPr>
            <w:tcW w:w="1170" w:type="dxa"/>
            <w:shd w:val="clear" w:color="auto" w:fill="BFBFBF" w:themeFill="background1" w:themeFillShade="BF"/>
            <w:noWrap/>
          </w:tcPr>
          <w:p w14:paraId="4D72B89B"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vertAlign w:val="superscript"/>
              </w:rPr>
            </w:pPr>
            <w:r w:rsidRPr="00AE5E21">
              <w:rPr>
                <w:rFonts w:ascii="Times New Roman" w:eastAsia="Times New Roman" w:hAnsi="Times New Roman" w:cs="Times New Roman"/>
                <w:color w:val="auto"/>
                <w:sz w:val="20"/>
                <w:szCs w:val="20"/>
              </w:rPr>
              <w:t xml:space="preserve">Rate </w:t>
            </w:r>
            <w:proofErr w:type="spellStart"/>
            <w:r w:rsidRPr="00AE5E21">
              <w:rPr>
                <w:rFonts w:ascii="Times New Roman" w:eastAsia="Times New Roman" w:hAnsi="Times New Roman" w:cs="Times New Roman"/>
                <w:color w:val="auto"/>
                <w:sz w:val="20"/>
                <w:szCs w:val="20"/>
              </w:rPr>
              <w:t>ratio</w:t>
            </w:r>
            <w:r w:rsidRPr="00AE5E21">
              <w:rPr>
                <w:rFonts w:ascii="Times New Roman" w:eastAsia="Times New Roman" w:hAnsi="Times New Roman" w:cs="Times New Roman"/>
                <w:color w:val="auto"/>
                <w:sz w:val="20"/>
                <w:szCs w:val="20"/>
                <w:vertAlign w:val="superscript"/>
              </w:rPr>
              <w:t>a</w:t>
            </w:r>
            <w:proofErr w:type="spellEnd"/>
          </w:p>
        </w:tc>
        <w:tc>
          <w:tcPr>
            <w:tcW w:w="1260" w:type="dxa"/>
            <w:tcBorders>
              <w:top w:val="single" w:sz="8" w:space="0" w:color="000000" w:themeColor="text1"/>
              <w:bottom w:val="single" w:sz="8" w:space="0" w:color="000000" w:themeColor="text1"/>
              <w:right w:val="nil"/>
            </w:tcBorders>
            <w:shd w:val="clear" w:color="auto" w:fill="BFBFBF" w:themeFill="background1" w:themeFillShade="BF"/>
            <w:noWrap/>
          </w:tcPr>
          <w:p w14:paraId="4521028D"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vertAlign w:val="superscript"/>
              </w:rPr>
            </w:pPr>
            <w:r w:rsidRPr="00AE5E21">
              <w:rPr>
                <w:rFonts w:ascii="Times New Roman" w:eastAsia="Times New Roman" w:hAnsi="Times New Roman" w:cs="Times New Roman"/>
                <w:color w:val="auto"/>
                <w:sz w:val="20"/>
                <w:szCs w:val="20"/>
              </w:rPr>
              <w:t xml:space="preserve">95% confidence </w:t>
            </w:r>
            <w:proofErr w:type="spellStart"/>
            <w:r w:rsidRPr="00AE5E21">
              <w:rPr>
                <w:rFonts w:ascii="Times New Roman" w:eastAsia="Times New Roman" w:hAnsi="Times New Roman" w:cs="Times New Roman"/>
                <w:color w:val="auto"/>
                <w:sz w:val="20"/>
                <w:szCs w:val="20"/>
              </w:rPr>
              <w:t>interval</w:t>
            </w:r>
            <w:r w:rsidRPr="00AE5E21">
              <w:rPr>
                <w:rFonts w:ascii="Times New Roman" w:eastAsia="Times New Roman" w:hAnsi="Times New Roman" w:cs="Times New Roman"/>
                <w:color w:val="auto"/>
                <w:sz w:val="20"/>
                <w:szCs w:val="20"/>
                <w:vertAlign w:val="superscript"/>
              </w:rPr>
              <w:t>a</w:t>
            </w:r>
            <w:proofErr w:type="spellEnd"/>
          </w:p>
        </w:tc>
      </w:tr>
      <w:tr w:rsidR="00DB1C44" w:rsidRPr="00AE5E21" w14:paraId="30A89901" w14:textId="77777777" w:rsidTr="003C43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vMerge w:val="restart"/>
            <w:tcBorders>
              <w:left w:val="nil"/>
              <w:right w:val="single" w:sz="8" w:space="0" w:color="auto"/>
            </w:tcBorders>
            <w:noWrap/>
            <w:vAlign w:val="center"/>
            <w:hideMark/>
          </w:tcPr>
          <w:p w14:paraId="259DB205" w14:textId="77777777" w:rsidR="00DB1C44" w:rsidRPr="00AE5E21" w:rsidRDefault="00DB1C44" w:rsidP="003C43B0">
            <w:pPr>
              <w:jc w:val="center"/>
              <w:rPr>
                <w:rFonts w:ascii="Times New Roman" w:eastAsia="Times New Roman" w:hAnsi="Times New Roman" w:cs="Times New Roman"/>
                <w:b w:val="0"/>
                <w:bCs w:val="0"/>
                <w:color w:val="000000"/>
                <w:sz w:val="20"/>
                <w:szCs w:val="20"/>
              </w:rPr>
            </w:pPr>
            <w:r w:rsidRPr="00AE5E21">
              <w:rPr>
                <w:rFonts w:ascii="Times New Roman" w:eastAsia="Times New Roman" w:hAnsi="Times New Roman" w:cs="Times New Roman"/>
                <w:color w:val="000000"/>
                <w:sz w:val="20"/>
                <w:szCs w:val="20"/>
              </w:rPr>
              <w:t>FEM-PrEP</w:t>
            </w:r>
          </w:p>
          <w:p w14:paraId="2DC334F9" w14:textId="77777777" w:rsidR="00DB1C44" w:rsidRPr="00AE5E21" w:rsidRDefault="00DB1C44" w:rsidP="003C43B0">
            <w:pPr>
              <w:jc w:val="center"/>
              <w:rPr>
                <w:rFonts w:ascii="Times New Roman" w:eastAsia="Times New Roman" w:hAnsi="Times New Roman" w:cs="Times New Roman"/>
                <w:color w:val="000000"/>
                <w:sz w:val="20"/>
                <w:szCs w:val="20"/>
              </w:rPr>
            </w:pPr>
          </w:p>
        </w:tc>
        <w:tc>
          <w:tcPr>
            <w:tcW w:w="1306" w:type="dxa"/>
            <w:tcBorders>
              <w:left w:val="single" w:sz="8" w:space="0" w:color="auto"/>
            </w:tcBorders>
            <w:noWrap/>
            <w:hideMark/>
          </w:tcPr>
          <w:p w14:paraId="34D3EF0D"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Any method</w:t>
            </w:r>
          </w:p>
        </w:tc>
        <w:tc>
          <w:tcPr>
            <w:tcW w:w="1146" w:type="dxa"/>
            <w:noWrap/>
            <w:hideMark/>
          </w:tcPr>
          <w:p w14:paraId="4186A136"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69</w:t>
            </w:r>
          </w:p>
        </w:tc>
        <w:tc>
          <w:tcPr>
            <w:tcW w:w="968" w:type="dxa"/>
            <w:noWrap/>
            <w:hideMark/>
          </w:tcPr>
          <w:p w14:paraId="64E36623"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602.9</w:t>
            </w:r>
          </w:p>
        </w:tc>
        <w:tc>
          <w:tcPr>
            <w:tcW w:w="1170" w:type="dxa"/>
            <w:noWrap/>
            <w:hideMark/>
          </w:tcPr>
          <w:p w14:paraId="02D23E89"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48</w:t>
            </w:r>
          </w:p>
        </w:tc>
        <w:tc>
          <w:tcPr>
            <w:tcW w:w="990" w:type="dxa"/>
            <w:noWrap/>
            <w:hideMark/>
          </w:tcPr>
          <w:p w14:paraId="56B5BDDF"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620.7</w:t>
            </w:r>
          </w:p>
        </w:tc>
        <w:tc>
          <w:tcPr>
            <w:tcW w:w="1170" w:type="dxa"/>
            <w:noWrap/>
            <w:hideMark/>
          </w:tcPr>
          <w:p w14:paraId="15420562"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1.48</w:t>
            </w:r>
          </w:p>
        </w:tc>
        <w:tc>
          <w:tcPr>
            <w:tcW w:w="1260" w:type="dxa"/>
            <w:tcBorders>
              <w:right w:val="nil"/>
            </w:tcBorders>
            <w:noWrap/>
          </w:tcPr>
          <w:p w14:paraId="20D54444"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(1.02-2.14)</w:t>
            </w:r>
          </w:p>
        </w:tc>
      </w:tr>
      <w:tr w:rsidR="00DB1C44" w:rsidRPr="00AE5E21" w14:paraId="7FB7BC5D" w14:textId="77777777" w:rsidTr="003C43B0">
        <w:trPr>
          <w:trHeight w:val="300"/>
        </w:trPr>
        <w:tc>
          <w:tcPr>
            <w:cnfStyle w:val="001000000000" w:firstRow="0" w:lastRow="0" w:firstColumn="1" w:lastColumn="0" w:oddVBand="0" w:evenVBand="0" w:oddHBand="0" w:evenHBand="0" w:firstRowFirstColumn="0" w:firstRowLastColumn="0" w:lastRowFirstColumn="0" w:lastRowLastColumn="0"/>
            <w:tcW w:w="1278" w:type="dxa"/>
            <w:vMerge/>
            <w:tcBorders>
              <w:top w:val="single" w:sz="8" w:space="0" w:color="000000" w:themeColor="text1"/>
              <w:left w:val="nil"/>
              <w:bottom w:val="single" w:sz="8" w:space="0" w:color="000000" w:themeColor="text1"/>
              <w:right w:val="single" w:sz="8" w:space="0" w:color="auto"/>
            </w:tcBorders>
            <w:noWrap/>
            <w:hideMark/>
          </w:tcPr>
          <w:p w14:paraId="4F028CF6" w14:textId="77777777" w:rsidR="00DB1C44" w:rsidRPr="00AE5E21" w:rsidRDefault="00DB1C44" w:rsidP="003C43B0">
            <w:pPr>
              <w:jc w:val="center"/>
              <w:rPr>
                <w:rFonts w:ascii="Times New Roman" w:eastAsia="Times New Roman" w:hAnsi="Times New Roman" w:cs="Times New Roman"/>
                <w:color w:val="000000"/>
                <w:sz w:val="20"/>
                <w:szCs w:val="20"/>
              </w:rPr>
            </w:pPr>
          </w:p>
        </w:tc>
        <w:tc>
          <w:tcPr>
            <w:tcW w:w="1306" w:type="dxa"/>
            <w:tcBorders>
              <w:left w:val="single" w:sz="8" w:space="0" w:color="auto"/>
            </w:tcBorders>
            <w:noWrap/>
            <w:hideMark/>
          </w:tcPr>
          <w:p w14:paraId="2FE68BCA"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COCs</w:t>
            </w:r>
          </w:p>
        </w:tc>
        <w:tc>
          <w:tcPr>
            <w:tcW w:w="1146" w:type="dxa"/>
            <w:noWrap/>
            <w:hideMark/>
          </w:tcPr>
          <w:p w14:paraId="3A8D96BB"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60</w:t>
            </w:r>
          </w:p>
        </w:tc>
        <w:tc>
          <w:tcPr>
            <w:tcW w:w="968" w:type="dxa"/>
            <w:noWrap/>
            <w:hideMark/>
          </w:tcPr>
          <w:p w14:paraId="64DC4F4F"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171.1</w:t>
            </w:r>
          </w:p>
        </w:tc>
        <w:tc>
          <w:tcPr>
            <w:tcW w:w="1170" w:type="dxa"/>
            <w:noWrap/>
            <w:hideMark/>
          </w:tcPr>
          <w:p w14:paraId="72DB7F8F"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43</w:t>
            </w:r>
          </w:p>
        </w:tc>
        <w:tc>
          <w:tcPr>
            <w:tcW w:w="990" w:type="dxa"/>
            <w:noWrap/>
            <w:hideMark/>
          </w:tcPr>
          <w:p w14:paraId="69B9866F"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153.9</w:t>
            </w:r>
          </w:p>
        </w:tc>
        <w:tc>
          <w:tcPr>
            <w:tcW w:w="1170" w:type="dxa"/>
            <w:noWrap/>
            <w:hideMark/>
          </w:tcPr>
          <w:p w14:paraId="0D674956"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1.26</w:t>
            </w:r>
          </w:p>
        </w:tc>
        <w:tc>
          <w:tcPr>
            <w:tcW w:w="1260" w:type="dxa"/>
            <w:tcBorders>
              <w:top w:val="single" w:sz="8" w:space="0" w:color="000000" w:themeColor="text1"/>
              <w:bottom w:val="single" w:sz="8" w:space="0" w:color="000000" w:themeColor="text1"/>
              <w:right w:val="nil"/>
            </w:tcBorders>
            <w:noWrap/>
          </w:tcPr>
          <w:p w14:paraId="4E752921"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(0.85-1.86)</w:t>
            </w:r>
          </w:p>
        </w:tc>
      </w:tr>
      <w:tr w:rsidR="00DB1C44" w:rsidRPr="00AE5E21" w14:paraId="54633498" w14:textId="77777777" w:rsidTr="003C43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vMerge/>
            <w:tcBorders>
              <w:left w:val="nil"/>
              <w:right w:val="single" w:sz="8" w:space="0" w:color="auto"/>
            </w:tcBorders>
            <w:noWrap/>
            <w:hideMark/>
          </w:tcPr>
          <w:p w14:paraId="46C232C5" w14:textId="77777777" w:rsidR="00DB1C44" w:rsidRPr="00AE5E21" w:rsidRDefault="00DB1C44" w:rsidP="003C43B0">
            <w:pPr>
              <w:jc w:val="center"/>
              <w:rPr>
                <w:rFonts w:ascii="Times New Roman" w:eastAsia="Times New Roman" w:hAnsi="Times New Roman" w:cs="Times New Roman"/>
                <w:color w:val="000000"/>
                <w:sz w:val="20"/>
                <w:szCs w:val="20"/>
              </w:rPr>
            </w:pPr>
          </w:p>
        </w:tc>
        <w:tc>
          <w:tcPr>
            <w:tcW w:w="1306" w:type="dxa"/>
            <w:tcBorders>
              <w:left w:val="single" w:sz="8" w:space="0" w:color="auto"/>
            </w:tcBorders>
            <w:noWrap/>
            <w:hideMark/>
          </w:tcPr>
          <w:p w14:paraId="23229A7E"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roofErr w:type="spellStart"/>
            <w:r w:rsidRPr="00AE5E21">
              <w:rPr>
                <w:rFonts w:ascii="Times New Roman" w:eastAsia="Times New Roman" w:hAnsi="Times New Roman" w:cs="Times New Roman"/>
                <w:color w:val="000000"/>
                <w:sz w:val="20"/>
                <w:szCs w:val="20"/>
              </w:rPr>
              <w:t>Injectables</w:t>
            </w:r>
            <w:proofErr w:type="spellEnd"/>
          </w:p>
        </w:tc>
        <w:tc>
          <w:tcPr>
            <w:tcW w:w="1146" w:type="dxa"/>
            <w:noWrap/>
            <w:hideMark/>
          </w:tcPr>
          <w:p w14:paraId="018D8EF9"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9</w:t>
            </w:r>
          </w:p>
        </w:tc>
        <w:tc>
          <w:tcPr>
            <w:tcW w:w="968" w:type="dxa"/>
            <w:noWrap/>
            <w:hideMark/>
          </w:tcPr>
          <w:p w14:paraId="2EB2869A"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402.3</w:t>
            </w:r>
          </w:p>
        </w:tc>
        <w:tc>
          <w:tcPr>
            <w:tcW w:w="1170" w:type="dxa"/>
            <w:noWrap/>
            <w:hideMark/>
          </w:tcPr>
          <w:p w14:paraId="11E298DE"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5</w:t>
            </w:r>
          </w:p>
        </w:tc>
        <w:tc>
          <w:tcPr>
            <w:tcW w:w="990" w:type="dxa"/>
            <w:noWrap/>
            <w:hideMark/>
          </w:tcPr>
          <w:p w14:paraId="3D0F303D"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448.2</w:t>
            </w:r>
          </w:p>
        </w:tc>
        <w:tc>
          <w:tcPr>
            <w:tcW w:w="1170" w:type="dxa"/>
            <w:noWrap/>
            <w:hideMark/>
          </w:tcPr>
          <w:p w14:paraId="0ABA5D1B"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2.01</w:t>
            </w:r>
          </w:p>
        </w:tc>
        <w:tc>
          <w:tcPr>
            <w:tcW w:w="1260" w:type="dxa"/>
            <w:tcBorders>
              <w:right w:val="nil"/>
            </w:tcBorders>
            <w:noWrap/>
          </w:tcPr>
          <w:p w14:paraId="2A9294CD"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(0.67-5.98)</w:t>
            </w:r>
          </w:p>
        </w:tc>
      </w:tr>
      <w:tr w:rsidR="00DB1C44" w:rsidRPr="00AE5E21" w14:paraId="16A299A1" w14:textId="77777777" w:rsidTr="003C43B0">
        <w:trPr>
          <w:trHeight w:val="300"/>
        </w:trPr>
        <w:tc>
          <w:tcPr>
            <w:cnfStyle w:val="001000000000" w:firstRow="0" w:lastRow="0" w:firstColumn="1" w:lastColumn="0" w:oddVBand="0" w:evenVBand="0" w:oddHBand="0" w:evenHBand="0" w:firstRowFirstColumn="0" w:firstRowLastColumn="0" w:lastRowFirstColumn="0" w:lastRowLastColumn="0"/>
            <w:tcW w:w="1278" w:type="dxa"/>
            <w:vMerge w:val="restart"/>
            <w:tcBorders>
              <w:top w:val="single" w:sz="8" w:space="0" w:color="000000" w:themeColor="text1"/>
              <w:left w:val="nil"/>
              <w:bottom w:val="single" w:sz="8" w:space="0" w:color="000000" w:themeColor="text1"/>
              <w:right w:val="single" w:sz="8" w:space="0" w:color="auto"/>
            </w:tcBorders>
            <w:noWrap/>
            <w:vAlign w:val="center"/>
            <w:hideMark/>
          </w:tcPr>
          <w:p w14:paraId="7CE586ED" w14:textId="77777777" w:rsidR="00DB1C44" w:rsidRPr="00AE5E21" w:rsidRDefault="00DB1C44" w:rsidP="003C43B0">
            <w:pPr>
              <w:jc w:val="center"/>
              <w:rPr>
                <w:rFonts w:ascii="Times New Roman" w:eastAsia="Times New Roman" w:hAnsi="Times New Roman" w:cs="Times New Roman"/>
                <w:b w:val="0"/>
                <w:bCs w:val="0"/>
                <w:color w:val="000000"/>
                <w:sz w:val="20"/>
                <w:szCs w:val="20"/>
              </w:rPr>
            </w:pPr>
            <w:r w:rsidRPr="00AE5E21">
              <w:rPr>
                <w:rFonts w:ascii="Times New Roman" w:eastAsia="Times New Roman" w:hAnsi="Times New Roman" w:cs="Times New Roman"/>
                <w:color w:val="000000"/>
                <w:sz w:val="20"/>
                <w:szCs w:val="20"/>
              </w:rPr>
              <w:t>Partners PrEP</w:t>
            </w:r>
          </w:p>
          <w:p w14:paraId="0C763EE4" w14:textId="77777777" w:rsidR="00DB1C44" w:rsidRPr="00AE5E21" w:rsidRDefault="00DB1C44" w:rsidP="003C43B0">
            <w:pPr>
              <w:jc w:val="center"/>
              <w:rPr>
                <w:rFonts w:ascii="Times New Roman" w:eastAsia="Times New Roman" w:hAnsi="Times New Roman" w:cs="Times New Roman"/>
                <w:color w:val="000000"/>
                <w:sz w:val="20"/>
                <w:szCs w:val="20"/>
              </w:rPr>
            </w:pPr>
          </w:p>
        </w:tc>
        <w:tc>
          <w:tcPr>
            <w:tcW w:w="1306" w:type="dxa"/>
            <w:tcBorders>
              <w:left w:val="single" w:sz="8" w:space="0" w:color="auto"/>
            </w:tcBorders>
            <w:noWrap/>
            <w:hideMark/>
          </w:tcPr>
          <w:p w14:paraId="2F576FFE"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Any method</w:t>
            </w:r>
          </w:p>
        </w:tc>
        <w:tc>
          <w:tcPr>
            <w:tcW w:w="1146" w:type="dxa"/>
            <w:noWrap/>
            <w:hideMark/>
          </w:tcPr>
          <w:p w14:paraId="487041D5"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67</w:t>
            </w:r>
          </w:p>
        </w:tc>
        <w:tc>
          <w:tcPr>
            <w:tcW w:w="968" w:type="dxa"/>
            <w:noWrap/>
            <w:hideMark/>
          </w:tcPr>
          <w:p w14:paraId="159A6B10"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924.2</w:t>
            </w:r>
          </w:p>
        </w:tc>
        <w:tc>
          <w:tcPr>
            <w:tcW w:w="1170" w:type="dxa"/>
            <w:noWrap/>
            <w:hideMark/>
          </w:tcPr>
          <w:p w14:paraId="600A00C1"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28</w:t>
            </w:r>
          </w:p>
        </w:tc>
        <w:tc>
          <w:tcPr>
            <w:tcW w:w="990" w:type="dxa"/>
            <w:noWrap/>
            <w:hideMark/>
          </w:tcPr>
          <w:p w14:paraId="7ACBD1F0"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508.1</w:t>
            </w:r>
          </w:p>
        </w:tc>
        <w:tc>
          <w:tcPr>
            <w:tcW w:w="1170" w:type="dxa"/>
            <w:noWrap/>
            <w:hideMark/>
          </w:tcPr>
          <w:p w14:paraId="7841DE9E"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1.32</w:t>
            </w:r>
          </w:p>
        </w:tc>
        <w:tc>
          <w:tcPr>
            <w:tcW w:w="1260" w:type="dxa"/>
            <w:tcBorders>
              <w:top w:val="single" w:sz="8" w:space="0" w:color="000000" w:themeColor="text1"/>
              <w:bottom w:val="single" w:sz="8" w:space="0" w:color="000000" w:themeColor="text1"/>
              <w:right w:val="nil"/>
            </w:tcBorders>
            <w:noWrap/>
          </w:tcPr>
          <w:p w14:paraId="12064C1C"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(0.85-2.05)</w:t>
            </w:r>
          </w:p>
        </w:tc>
      </w:tr>
      <w:tr w:rsidR="00DB1C44" w:rsidRPr="00AE5E21" w14:paraId="4AEB6AE3" w14:textId="77777777" w:rsidTr="003C43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vMerge/>
            <w:tcBorders>
              <w:left w:val="nil"/>
              <w:right w:val="single" w:sz="8" w:space="0" w:color="auto"/>
            </w:tcBorders>
            <w:noWrap/>
            <w:hideMark/>
          </w:tcPr>
          <w:p w14:paraId="76EC6597" w14:textId="77777777" w:rsidR="00DB1C44" w:rsidRPr="00AE5E21" w:rsidRDefault="00DB1C44" w:rsidP="003C43B0">
            <w:pPr>
              <w:jc w:val="center"/>
              <w:rPr>
                <w:rFonts w:ascii="Times New Roman" w:eastAsia="Times New Roman" w:hAnsi="Times New Roman" w:cs="Times New Roman"/>
                <w:color w:val="000000"/>
                <w:sz w:val="20"/>
                <w:szCs w:val="20"/>
              </w:rPr>
            </w:pPr>
          </w:p>
        </w:tc>
        <w:tc>
          <w:tcPr>
            <w:tcW w:w="1306" w:type="dxa"/>
            <w:tcBorders>
              <w:left w:val="single" w:sz="8" w:space="0" w:color="auto"/>
            </w:tcBorders>
            <w:noWrap/>
            <w:hideMark/>
          </w:tcPr>
          <w:p w14:paraId="66024338"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COCs</w:t>
            </w:r>
          </w:p>
        </w:tc>
        <w:tc>
          <w:tcPr>
            <w:tcW w:w="1146" w:type="dxa"/>
            <w:noWrap/>
            <w:hideMark/>
          </w:tcPr>
          <w:p w14:paraId="7FD9B4CD"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37</w:t>
            </w:r>
          </w:p>
        </w:tc>
        <w:tc>
          <w:tcPr>
            <w:tcW w:w="968" w:type="dxa"/>
            <w:noWrap/>
            <w:hideMark/>
          </w:tcPr>
          <w:p w14:paraId="5DFA072B"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209.3</w:t>
            </w:r>
          </w:p>
        </w:tc>
        <w:tc>
          <w:tcPr>
            <w:tcW w:w="1170" w:type="dxa"/>
            <w:noWrap/>
            <w:hideMark/>
          </w:tcPr>
          <w:p w14:paraId="5BF1EFA2"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11</w:t>
            </w:r>
          </w:p>
        </w:tc>
        <w:tc>
          <w:tcPr>
            <w:tcW w:w="990" w:type="dxa"/>
            <w:noWrap/>
            <w:hideMark/>
          </w:tcPr>
          <w:p w14:paraId="6B831315"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108.7</w:t>
            </w:r>
          </w:p>
        </w:tc>
        <w:tc>
          <w:tcPr>
            <w:tcW w:w="1170" w:type="dxa"/>
            <w:noWrap/>
            <w:hideMark/>
          </w:tcPr>
          <w:p w14:paraId="1E8008CA"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1.75</w:t>
            </w:r>
          </w:p>
        </w:tc>
        <w:tc>
          <w:tcPr>
            <w:tcW w:w="1260" w:type="dxa"/>
            <w:tcBorders>
              <w:right w:val="nil"/>
            </w:tcBorders>
            <w:noWrap/>
          </w:tcPr>
          <w:p w14:paraId="30DDE01C"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(0.89-3.42)</w:t>
            </w:r>
          </w:p>
        </w:tc>
      </w:tr>
      <w:tr w:rsidR="00DB1C44" w:rsidRPr="00AE5E21" w14:paraId="42B3DF02" w14:textId="77777777" w:rsidTr="003C43B0">
        <w:trPr>
          <w:trHeight w:val="300"/>
        </w:trPr>
        <w:tc>
          <w:tcPr>
            <w:cnfStyle w:val="001000000000" w:firstRow="0" w:lastRow="0" w:firstColumn="1" w:lastColumn="0" w:oddVBand="0" w:evenVBand="0" w:oddHBand="0" w:evenHBand="0" w:firstRowFirstColumn="0" w:firstRowLastColumn="0" w:lastRowFirstColumn="0" w:lastRowLastColumn="0"/>
            <w:tcW w:w="1278" w:type="dxa"/>
            <w:vMerge/>
            <w:tcBorders>
              <w:top w:val="single" w:sz="8" w:space="0" w:color="000000" w:themeColor="text1"/>
              <w:left w:val="nil"/>
              <w:bottom w:val="single" w:sz="8" w:space="0" w:color="000000" w:themeColor="text1"/>
              <w:right w:val="single" w:sz="8" w:space="0" w:color="auto"/>
            </w:tcBorders>
            <w:noWrap/>
            <w:hideMark/>
          </w:tcPr>
          <w:p w14:paraId="447062B4" w14:textId="77777777" w:rsidR="00DB1C44" w:rsidRPr="00AE5E21" w:rsidRDefault="00DB1C44" w:rsidP="003C43B0">
            <w:pPr>
              <w:jc w:val="center"/>
              <w:rPr>
                <w:rFonts w:ascii="Times New Roman" w:eastAsia="Times New Roman" w:hAnsi="Times New Roman" w:cs="Times New Roman"/>
                <w:color w:val="000000"/>
                <w:sz w:val="20"/>
                <w:szCs w:val="20"/>
              </w:rPr>
            </w:pPr>
          </w:p>
        </w:tc>
        <w:tc>
          <w:tcPr>
            <w:tcW w:w="1306" w:type="dxa"/>
            <w:tcBorders>
              <w:left w:val="single" w:sz="8" w:space="0" w:color="auto"/>
            </w:tcBorders>
            <w:noWrap/>
            <w:hideMark/>
          </w:tcPr>
          <w:p w14:paraId="26875DDF"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Implants</w:t>
            </w:r>
          </w:p>
        </w:tc>
        <w:tc>
          <w:tcPr>
            <w:tcW w:w="1146" w:type="dxa"/>
            <w:noWrap/>
            <w:hideMark/>
          </w:tcPr>
          <w:p w14:paraId="3228FC9E"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w:t>
            </w:r>
          </w:p>
        </w:tc>
        <w:tc>
          <w:tcPr>
            <w:tcW w:w="968" w:type="dxa"/>
            <w:noWrap/>
            <w:hideMark/>
          </w:tcPr>
          <w:p w14:paraId="6970139C"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150.6</w:t>
            </w:r>
          </w:p>
        </w:tc>
        <w:tc>
          <w:tcPr>
            <w:tcW w:w="1170" w:type="dxa"/>
            <w:noWrap/>
            <w:hideMark/>
          </w:tcPr>
          <w:p w14:paraId="0BAD3C30"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0</w:t>
            </w:r>
          </w:p>
        </w:tc>
        <w:tc>
          <w:tcPr>
            <w:tcW w:w="990" w:type="dxa"/>
            <w:noWrap/>
            <w:hideMark/>
          </w:tcPr>
          <w:p w14:paraId="0FEAC23A"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79.7</w:t>
            </w:r>
          </w:p>
        </w:tc>
        <w:tc>
          <w:tcPr>
            <w:tcW w:w="1170" w:type="dxa"/>
            <w:noWrap/>
            <w:hideMark/>
          </w:tcPr>
          <w:p w14:paraId="3C29D4CE"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1.59</w:t>
            </w:r>
          </w:p>
        </w:tc>
        <w:tc>
          <w:tcPr>
            <w:tcW w:w="1260" w:type="dxa"/>
            <w:tcBorders>
              <w:top w:val="single" w:sz="8" w:space="0" w:color="000000" w:themeColor="text1"/>
              <w:bottom w:val="single" w:sz="8" w:space="0" w:color="000000" w:themeColor="text1"/>
              <w:right w:val="nil"/>
            </w:tcBorders>
            <w:noWrap/>
          </w:tcPr>
          <w:p w14:paraId="2BD5C358"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(0.07-39.0)</w:t>
            </w:r>
          </w:p>
        </w:tc>
      </w:tr>
      <w:tr w:rsidR="00DB1C44" w:rsidRPr="00AE5E21" w14:paraId="0BF7D658" w14:textId="77777777" w:rsidTr="003C43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vMerge/>
            <w:tcBorders>
              <w:left w:val="nil"/>
              <w:right w:val="single" w:sz="8" w:space="0" w:color="auto"/>
            </w:tcBorders>
            <w:noWrap/>
            <w:hideMark/>
          </w:tcPr>
          <w:p w14:paraId="097F39FB" w14:textId="77777777" w:rsidR="00DB1C44" w:rsidRPr="00AE5E21" w:rsidRDefault="00DB1C44" w:rsidP="003C43B0">
            <w:pPr>
              <w:jc w:val="center"/>
              <w:rPr>
                <w:rFonts w:ascii="Times New Roman" w:eastAsia="Times New Roman" w:hAnsi="Times New Roman" w:cs="Times New Roman"/>
                <w:color w:val="000000"/>
                <w:sz w:val="20"/>
                <w:szCs w:val="20"/>
              </w:rPr>
            </w:pPr>
          </w:p>
        </w:tc>
        <w:tc>
          <w:tcPr>
            <w:tcW w:w="1306" w:type="dxa"/>
            <w:tcBorders>
              <w:left w:val="single" w:sz="8" w:space="0" w:color="auto"/>
            </w:tcBorders>
            <w:noWrap/>
            <w:hideMark/>
          </w:tcPr>
          <w:p w14:paraId="70DFF506"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roofErr w:type="spellStart"/>
            <w:r w:rsidRPr="00AE5E21">
              <w:rPr>
                <w:rFonts w:ascii="Times New Roman" w:eastAsia="Times New Roman" w:hAnsi="Times New Roman" w:cs="Times New Roman"/>
                <w:color w:val="000000"/>
                <w:sz w:val="20"/>
                <w:szCs w:val="20"/>
              </w:rPr>
              <w:t>Injectables</w:t>
            </w:r>
            <w:proofErr w:type="spellEnd"/>
          </w:p>
        </w:tc>
        <w:tc>
          <w:tcPr>
            <w:tcW w:w="1146" w:type="dxa"/>
            <w:noWrap/>
            <w:hideMark/>
          </w:tcPr>
          <w:p w14:paraId="5AC7D2C7"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29</w:t>
            </w:r>
          </w:p>
        </w:tc>
        <w:tc>
          <w:tcPr>
            <w:tcW w:w="968" w:type="dxa"/>
            <w:noWrap/>
            <w:hideMark/>
          </w:tcPr>
          <w:p w14:paraId="3EEDEFD7"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564.3</w:t>
            </w:r>
          </w:p>
        </w:tc>
        <w:tc>
          <w:tcPr>
            <w:tcW w:w="1170" w:type="dxa"/>
            <w:noWrap/>
            <w:hideMark/>
          </w:tcPr>
          <w:p w14:paraId="4916D2E3"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17</w:t>
            </w:r>
          </w:p>
        </w:tc>
        <w:tc>
          <w:tcPr>
            <w:tcW w:w="990" w:type="dxa"/>
            <w:noWrap/>
            <w:hideMark/>
          </w:tcPr>
          <w:p w14:paraId="0BA528C2"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319.7</w:t>
            </w:r>
          </w:p>
        </w:tc>
        <w:tc>
          <w:tcPr>
            <w:tcW w:w="1170" w:type="dxa"/>
            <w:noWrap/>
            <w:hideMark/>
          </w:tcPr>
          <w:p w14:paraId="5A19493B"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E5E21">
              <w:rPr>
                <w:rFonts w:ascii="Times New Roman" w:eastAsia="Times New Roman" w:hAnsi="Times New Roman" w:cs="Times New Roman"/>
                <w:color w:val="000000"/>
                <w:sz w:val="20"/>
                <w:szCs w:val="20"/>
              </w:rPr>
              <w:t>0.97</w:t>
            </w:r>
          </w:p>
        </w:tc>
        <w:tc>
          <w:tcPr>
            <w:tcW w:w="1260" w:type="dxa"/>
            <w:tcBorders>
              <w:right w:val="nil"/>
            </w:tcBorders>
            <w:noWrap/>
          </w:tcPr>
          <w:p w14:paraId="171B4376"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(0.53-1.76)</w:t>
            </w:r>
          </w:p>
        </w:tc>
      </w:tr>
    </w:tbl>
    <w:p w14:paraId="3DE6A498" w14:textId="77777777" w:rsidR="005A778C" w:rsidRDefault="005A778C" w:rsidP="005A778C">
      <w:pPr>
        <w:rPr>
          <w:rFonts w:ascii="Times New Roman" w:hAnsi="Times New Roman" w:cs="Times New Roman"/>
          <w:sz w:val="16"/>
          <w:szCs w:val="20"/>
        </w:rPr>
      </w:pPr>
      <w:proofErr w:type="spellStart"/>
      <w:proofErr w:type="gramStart"/>
      <w:r w:rsidRPr="00014AA9">
        <w:rPr>
          <w:rFonts w:ascii="Times New Roman" w:hAnsi="Times New Roman" w:cs="Times New Roman"/>
          <w:sz w:val="16"/>
          <w:szCs w:val="20"/>
          <w:vertAlign w:val="superscript"/>
        </w:rPr>
        <w:t>a</w:t>
      </w:r>
      <w:r w:rsidRPr="00014AA9">
        <w:rPr>
          <w:rFonts w:ascii="Times New Roman" w:hAnsi="Times New Roman" w:cs="Times New Roman"/>
          <w:sz w:val="16"/>
          <w:szCs w:val="20"/>
        </w:rPr>
        <w:t>Rate</w:t>
      </w:r>
      <w:proofErr w:type="spellEnd"/>
      <w:proofErr w:type="gramEnd"/>
      <w:r w:rsidRPr="00014AA9">
        <w:rPr>
          <w:rFonts w:ascii="Times New Roman" w:hAnsi="Times New Roman" w:cs="Times New Roman"/>
          <w:sz w:val="16"/>
          <w:szCs w:val="20"/>
        </w:rPr>
        <w:t xml:space="preserve"> ratios and confidence intervals calculated using CMA v3</w:t>
      </w:r>
      <w:r w:rsidR="009C229E">
        <w:rPr>
          <w:rFonts w:ascii="Times New Roman" w:hAnsi="Times New Roman" w:cs="Times New Roman"/>
          <w:sz w:val="16"/>
          <w:szCs w:val="20"/>
        </w:rPr>
        <w:t>.</w:t>
      </w:r>
      <w:r w:rsidRPr="00014AA9">
        <w:rPr>
          <w:rFonts w:ascii="Times New Roman" w:hAnsi="Times New Roman" w:cs="Times New Roman"/>
          <w:sz w:val="16"/>
          <w:szCs w:val="20"/>
        </w:rPr>
        <w:t>0</w:t>
      </w:r>
    </w:p>
    <w:p w14:paraId="54451EA7" w14:textId="77777777" w:rsidR="005A778C" w:rsidRDefault="005A778C" w:rsidP="005A778C">
      <w:pPr>
        <w:rPr>
          <w:rFonts w:ascii="Times New Roman" w:hAnsi="Times New Roman" w:cs="Times New Roman"/>
          <w:sz w:val="16"/>
          <w:szCs w:val="20"/>
        </w:rPr>
      </w:pPr>
    </w:p>
    <w:p w14:paraId="7AB5D8C9" w14:textId="77777777" w:rsidR="005A778C" w:rsidRPr="003C43B0" w:rsidRDefault="005A778C" w:rsidP="003C43B0">
      <w:pPr>
        <w:pStyle w:val="Heading1"/>
        <w:rPr>
          <w:rFonts w:ascii="Times New Roman" w:hAnsi="Times New Roman" w:cs="Times New Roman"/>
          <w:sz w:val="24"/>
        </w:rPr>
      </w:pPr>
      <w:bookmarkStart w:id="6" w:name="_Toc445111851"/>
      <w:proofErr w:type="gramStart"/>
      <w:r w:rsidRPr="003C43B0">
        <w:rPr>
          <w:rFonts w:ascii="Times New Roman" w:hAnsi="Times New Roman" w:cs="Times New Roman"/>
          <w:sz w:val="24"/>
        </w:rPr>
        <w:t>Table 5S.</w:t>
      </w:r>
      <w:proofErr w:type="gramEnd"/>
      <w:r w:rsidRPr="003C43B0">
        <w:rPr>
          <w:rFonts w:ascii="Times New Roman" w:hAnsi="Times New Roman" w:cs="Times New Roman"/>
          <w:sz w:val="24"/>
        </w:rPr>
        <w:t xml:space="preserve"> Summary of results for PrEP and hormonal contraception effectiveness</w:t>
      </w:r>
      <w:bookmarkEnd w:id="6"/>
    </w:p>
    <w:tbl>
      <w:tblPr>
        <w:tblStyle w:val="LightShading"/>
        <w:tblW w:w="9558" w:type="dxa"/>
        <w:tblLook w:val="04A0" w:firstRow="1" w:lastRow="0" w:firstColumn="1" w:lastColumn="0" w:noHBand="0" w:noVBand="1"/>
      </w:tblPr>
      <w:tblGrid>
        <w:gridCol w:w="1728"/>
        <w:gridCol w:w="4770"/>
        <w:gridCol w:w="1890"/>
        <w:gridCol w:w="1170"/>
      </w:tblGrid>
      <w:tr w:rsidR="005A778C" w:rsidRPr="00A07DD1" w14:paraId="6BD898EE" w14:textId="77777777" w:rsidTr="00927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D4A9B58" w14:textId="77777777" w:rsidR="005A778C" w:rsidRPr="00A07DD1" w:rsidRDefault="005A778C" w:rsidP="005A778C">
            <w:pPr>
              <w:rPr>
                <w:rFonts w:ascii="Times New Roman" w:hAnsi="Times New Roman" w:cs="Times New Roman"/>
                <w:sz w:val="18"/>
                <w:szCs w:val="18"/>
                <w:vertAlign w:val="superscript"/>
              </w:rPr>
            </w:pPr>
            <w:r w:rsidRPr="00A07DD1">
              <w:rPr>
                <w:rFonts w:ascii="Times New Roman" w:hAnsi="Times New Roman" w:cs="Times New Roman"/>
                <w:sz w:val="18"/>
                <w:szCs w:val="18"/>
              </w:rPr>
              <w:t>Study</w:t>
            </w:r>
          </w:p>
        </w:tc>
        <w:tc>
          <w:tcPr>
            <w:tcW w:w="4770" w:type="dxa"/>
          </w:tcPr>
          <w:p w14:paraId="2236506B" w14:textId="77777777" w:rsidR="005A778C" w:rsidRPr="00A07DD1" w:rsidRDefault="005A778C" w:rsidP="005A77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Comparison</w:t>
            </w:r>
          </w:p>
        </w:tc>
        <w:tc>
          <w:tcPr>
            <w:tcW w:w="1890" w:type="dxa"/>
          </w:tcPr>
          <w:p w14:paraId="18B7DD5C" w14:textId="77777777" w:rsidR="005A778C" w:rsidRPr="00A07DD1" w:rsidRDefault="005A778C" w:rsidP="005A77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 xml:space="preserve">Adjusted HR </w:t>
            </w:r>
          </w:p>
        </w:tc>
        <w:tc>
          <w:tcPr>
            <w:tcW w:w="1170" w:type="dxa"/>
          </w:tcPr>
          <w:p w14:paraId="60B3C6A5" w14:textId="77777777" w:rsidR="005A778C" w:rsidRPr="00A07DD1" w:rsidRDefault="005A778C" w:rsidP="005A77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p-value</w:t>
            </w:r>
          </w:p>
        </w:tc>
      </w:tr>
      <w:tr w:rsidR="005A778C" w:rsidRPr="00A07DD1" w14:paraId="070C7759" w14:textId="77777777" w:rsidTr="0092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F6FDF5D" w14:textId="77777777" w:rsidR="005A778C" w:rsidRPr="00296B13" w:rsidRDefault="005A778C" w:rsidP="005A778C">
            <w:pPr>
              <w:rPr>
                <w:rFonts w:ascii="Times New Roman" w:hAnsi="Times New Roman" w:cs="Times New Roman"/>
                <w:b w:val="0"/>
                <w:sz w:val="18"/>
                <w:szCs w:val="18"/>
                <w:vertAlign w:val="superscript"/>
              </w:rPr>
            </w:pPr>
            <w:r w:rsidRPr="00A07DD1">
              <w:rPr>
                <w:rFonts w:ascii="Times New Roman" w:hAnsi="Times New Roman" w:cs="Times New Roman"/>
                <w:b w:val="0"/>
                <w:sz w:val="18"/>
                <w:szCs w:val="18"/>
              </w:rPr>
              <w:t>FEM-</w:t>
            </w:r>
            <w:proofErr w:type="spellStart"/>
            <w:r w:rsidRPr="00A07DD1">
              <w:rPr>
                <w:rFonts w:ascii="Times New Roman" w:hAnsi="Times New Roman" w:cs="Times New Roman"/>
                <w:b w:val="0"/>
                <w:sz w:val="18"/>
                <w:szCs w:val="18"/>
              </w:rPr>
              <w:t>PrEP</w:t>
            </w:r>
            <w:r>
              <w:rPr>
                <w:rFonts w:ascii="Times New Roman" w:hAnsi="Times New Roman" w:cs="Times New Roman"/>
                <w:b w:val="0"/>
                <w:sz w:val="18"/>
                <w:szCs w:val="18"/>
                <w:vertAlign w:val="superscript"/>
              </w:rPr>
              <w:t>a</w:t>
            </w:r>
            <w:proofErr w:type="spellEnd"/>
          </w:p>
        </w:tc>
        <w:tc>
          <w:tcPr>
            <w:tcW w:w="4770" w:type="dxa"/>
          </w:tcPr>
          <w:p w14:paraId="31D8EB32"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 xml:space="preserve">Risk of pregnancy comparing PrEP to placebo </w:t>
            </w:r>
            <w:r w:rsidRPr="00A07DD1">
              <w:rPr>
                <w:rFonts w:ascii="Times New Roman" w:hAnsi="Times New Roman" w:cs="Times New Roman"/>
                <w:i/>
                <w:sz w:val="18"/>
                <w:szCs w:val="18"/>
              </w:rPr>
              <w:t>(adjusted for contraceptive method, site, and age)</w:t>
            </w:r>
          </w:p>
        </w:tc>
        <w:tc>
          <w:tcPr>
            <w:tcW w:w="1890" w:type="dxa"/>
          </w:tcPr>
          <w:p w14:paraId="69C3B31B"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1.2 (0.9 to 1.8)</w:t>
            </w:r>
          </w:p>
        </w:tc>
        <w:tc>
          <w:tcPr>
            <w:tcW w:w="1170" w:type="dxa"/>
          </w:tcPr>
          <w:p w14:paraId="13BAF9C3"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0.20</w:t>
            </w:r>
          </w:p>
        </w:tc>
      </w:tr>
      <w:tr w:rsidR="005A778C" w:rsidRPr="00A07DD1" w14:paraId="00C704F5" w14:textId="77777777" w:rsidTr="0092790E">
        <w:tc>
          <w:tcPr>
            <w:cnfStyle w:val="001000000000" w:firstRow="0" w:lastRow="0" w:firstColumn="1" w:lastColumn="0" w:oddVBand="0" w:evenVBand="0" w:oddHBand="0" w:evenHBand="0" w:firstRowFirstColumn="0" w:firstRowLastColumn="0" w:lastRowFirstColumn="0" w:lastRowLastColumn="0"/>
            <w:tcW w:w="1728" w:type="dxa"/>
          </w:tcPr>
          <w:p w14:paraId="044B4C14" w14:textId="77777777" w:rsidR="005A778C" w:rsidRPr="00A07DD1" w:rsidRDefault="005A778C" w:rsidP="005A778C">
            <w:pPr>
              <w:rPr>
                <w:rFonts w:ascii="Times New Roman" w:hAnsi="Times New Roman" w:cs="Times New Roman"/>
                <w:b w:val="0"/>
                <w:sz w:val="18"/>
                <w:szCs w:val="18"/>
              </w:rPr>
            </w:pPr>
            <w:r w:rsidRPr="00A07DD1">
              <w:rPr>
                <w:rFonts w:ascii="Times New Roman" w:hAnsi="Times New Roman" w:cs="Times New Roman"/>
                <w:b w:val="0"/>
                <w:sz w:val="18"/>
                <w:szCs w:val="18"/>
              </w:rPr>
              <w:t>Partners PrEP –</w:t>
            </w:r>
          </w:p>
          <w:p w14:paraId="57B25E53" w14:textId="77777777" w:rsidR="005A778C" w:rsidRPr="00296B13" w:rsidRDefault="005A778C" w:rsidP="005A778C">
            <w:pPr>
              <w:rPr>
                <w:rFonts w:ascii="Times New Roman" w:hAnsi="Times New Roman" w:cs="Times New Roman"/>
                <w:b w:val="0"/>
                <w:sz w:val="18"/>
                <w:szCs w:val="18"/>
                <w:vertAlign w:val="superscript"/>
              </w:rPr>
            </w:pPr>
            <w:r w:rsidRPr="00A07DD1">
              <w:rPr>
                <w:rFonts w:ascii="Times New Roman" w:hAnsi="Times New Roman" w:cs="Times New Roman"/>
                <w:b w:val="0"/>
                <w:sz w:val="18"/>
                <w:szCs w:val="18"/>
              </w:rPr>
              <w:t>Combined Oral Contraceptives (COCs)</w:t>
            </w:r>
            <w:r>
              <w:rPr>
                <w:rFonts w:ascii="Times New Roman" w:hAnsi="Times New Roman" w:cs="Times New Roman"/>
                <w:b w:val="0"/>
                <w:sz w:val="18"/>
                <w:szCs w:val="18"/>
                <w:vertAlign w:val="superscript"/>
              </w:rPr>
              <w:t>b</w:t>
            </w:r>
          </w:p>
        </w:tc>
        <w:tc>
          <w:tcPr>
            <w:tcW w:w="4770" w:type="dxa"/>
          </w:tcPr>
          <w:p w14:paraId="70D985CB"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Risk of pregnancy comparing COCs to no contraception among PrEP group</w:t>
            </w:r>
          </w:p>
          <w:p w14:paraId="63EEAF4F"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6C85F8F"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Risk of pregnancy comparing COCs to no contraception among placebo group</w:t>
            </w:r>
          </w:p>
          <w:p w14:paraId="6006E66F"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3C32956"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A07DD1">
              <w:rPr>
                <w:rFonts w:ascii="Times New Roman" w:hAnsi="Times New Roman" w:cs="Times New Roman"/>
                <w:b/>
                <w:sz w:val="18"/>
                <w:szCs w:val="18"/>
              </w:rPr>
              <w:t>P-value for difference in HRs by arm</w:t>
            </w:r>
          </w:p>
        </w:tc>
        <w:tc>
          <w:tcPr>
            <w:tcW w:w="1890" w:type="dxa"/>
          </w:tcPr>
          <w:p w14:paraId="71158921"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0.96 (0.58-1.58)</w:t>
            </w:r>
          </w:p>
          <w:p w14:paraId="623A9C5D"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D8D92D8"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3B475A5C"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0.55 (0.26-1.19)</w:t>
            </w:r>
          </w:p>
        </w:tc>
        <w:tc>
          <w:tcPr>
            <w:tcW w:w="1170" w:type="dxa"/>
          </w:tcPr>
          <w:p w14:paraId="3B6258DC"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0.87</w:t>
            </w:r>
          </w:p>
          <w:p w14:paraId="46F7B6CE"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282CD03C"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A3D47A4"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0.13</w:t>
            </w:r>
          </w:p>
          <w:p w14:paraId="7BF2411B"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17B8A38B"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2166D35B" w14:textId="77777777" w:rsidR="005A778C" w:rsidRPr="00A07DD1" w:rsidRDefault="005A778C" w:rsidP="005A77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A07DD1">
              <w:rPr>
                <w:rFonts w:ascii="Times New Roman" w:hAnsi="Times New Roman" w:cs="Times New Roman"/>
                <w:b/>
                <w:sz w:val="18"/>
                <w:szCs w:val="18"/>
              </w:rPr>
              <w:t>0.24</w:t>
            </w:r>
          </w:p>
        </w:tc>
      </w:tr>
      <w:tr w:rsidR="005A778C" w:rsidRPr="00A07DD1" w14:paraId="41DB081B" w14:textId="77777777" w:rsidTr="0092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E15D5A3" w14:textId="77777777" w:rsidR="005A778C" w:rsidRPr="00A07DD1" w:rsidRDefault="005A778C" w:rsidP="005A778C">
            <w:pPr>
              <w:rPr>
                <w:rFonts w:ascii="Times New Roman" w:hAnsi="Times New Roman" w:cs="Times New Roman"/>
                <w:b w:val="0"/>
                <w:sz w:val="18"/>
                <w:szCs w:val="18"/>
              </w:rPr>
            </w:pPr>
            <w:r w:rsidRPr="00A07DD1">
              <w:rPr>
                <w:rFonts w:ascii="Times New Roman" w:hAnsi="Times New Roman" w:cs="Times New Roman"/>
                <w:b w:val="0"/>
                <w:sz w:val="18"/>
                <w:szCs w:val="18"/>
              </w:rPr>
              <w:t>Partners PrEP –</w:t>
            </w:r>
          </w:p>
          <w:p w14:paraId="56B1B59E" w14:textId="77777777" w:rsidR="005A778C" w:rsidRPr="00296B13" w:rsidRDefault="005A778C" w:rsidP="005A778C">
            <w:pPr>
              <w:rPr>
                <w:rFonts w:ascii="Times New Roman" w:hAnsi="Times New Roman" w:cs="Times New Roman"/>
                <w:sz w:val="18"/>
                <w:szCs w:val="18"/>
                <w:vertAlign w:val="superscript"/>
              </w:rPr>
            </w:pPr>
            <w:proofErr w:type="spellStart"/>
            <w:r w:rsidRPr="00A07DD1">
              <w:rPr>
                <w:rFonts w:ascii="Times New Roman" w:hAnsi="Times New Roman" w:cs="Times New Roman"/>
                <w:b w:val="0"/>
                <w:sz w:val="18"/>
                <w:szCs w:val="18"/>
              </w:rPr>
              <w:t>Injectables</w:t>
            </w:r>
            <w:r>
              <w:rPr>
                <w:rFonts w:ascii="Times New Roman" w:hAnsi="Times New Roman" w:cs="Times New Roman"/>
                <w:b w:val="0"/>
                <w:sz w:val="18"/>
                <w:szCs w:val="18"/>
                <w:vertAlign w:val="superscript"/>
              </w:rPr>
              <w:t>b</w:t>
            </w:r>
            <w:proofErr w:type="spellEnd"/>
          </w:p>
        </w:tc>
        <w:tc>
          <w:tcPr>
            <w:tcW w:w="4770" w:type="dxa"/>
          </w:tcPr>
          <w:p w14:paraId="7A9146E3"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 xml:space="preserve">Risk of pregnancy comparing </w:t>
            </w:r>
            <w:proofErr w:type="spellStart"/>
            <w:r w:rsidRPr="00A07DD1">
              <w:rPr>
                <w:rFonts w:ascii="Times New Roman" w:hAnsi="Times New Roman" w:cs="Times New Roman"/>
                <w:sz w:val="18"/>
                <w:szCs w:val="18"/>
              </w:rPr>
              <w:t>injectables</w:t>
            </w:r>
            <w:proofErr w:type="spellEnd"/>
            <w:r w:rsidRPr="00A07DD1">
              <w:rPr>
                <w:rFonts w:ascii="Times New Roman" w:hAnsi="Times New Roman" w:cs="Times New Roman"/>
                <w:sz w:val="18"/>
                <w:szCs w:val="18"/>
              </w:rPr>
              <w:t xml:space="preserve"> to no contraception among PrEP group</w:t>
            </w:r>
          </w:p>
          <w:p w14:paraId="32596029"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9CADBBD"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 xml:space="preserve">Risk of pregnancy comparing </w:t>
            </w:r>
            <w:proofErr w:type="spellStart"/>
            <w:r w:rsidRPr="00A07DD1">
              <w:rPr>
                <w:rFonts w:ascii="Times New Roman" w:hAnsi="Times New Roman" w:cs="Times New Roman"/>
                <w:sz w:val="18"/>
                <w:szCs w:val="18"/>
              </w:rPr>
              <w:t>injectables</w:t>
            </w:r>
            <w:proofErr w:type="spellEnd"/>
            <w:r w:rsidRPr="00A07DD1">
              <w:rPr>
                <w:rFonts w:ascii="Times New Roman" w:hAnsi="Times New Roman" w:cs="Times New Roman"/>
                <w:sz w:val="18"/>
                <w:szCs w:val="18"/>
              </w:rPr>
              <w:t xml:space="preserve"> to no contraception among placebo group</w:t>
            </w:r>
          </w:p>
          <w:p w14:paraId="665CA924"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BD1AEDC"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b/>
                <w:sz w:val="18"/>
                <w:szCs w:val="18"/>
              </w:rPr>
              <w:t>P-value for difference in HRs by arm</w:t>
            </w:r>
          </w:p>
        </w:tc>
        <w:tc>
          <w:tcPr>
            <w:tcW w:w="1890" w:type="dxa"/>
          </w:tcPr>
          <w:p w14:paraId="062DED2A"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0.26 (0.16-0.41)</w:t>
            </w:r>
          </w:p>
          <w:p w14:paraId="2AF0236D"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98BC4CB"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209826D"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0.19 (0.10-0.37)</w:t>
            </w:r>
          </w:p>
        </w:tc>
        <w:tc>
          <w:tcPr>
            <w:tcW w:w="1170" w:type="dxa"/>
          </w:tcPr>
          <w:p w14:paraId="21DD71E8"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&lt;0.0001</w:t>
            </w:r>
          </w:p>
          <w:p w14:paraId="476790BF"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B28C374"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5DF31B4"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07DD1">
              <w:rPr>
                <w:rFonts w:ascii="Times New Roman" w:hAnsi="Times New Roman" w:cs="Times New Roman"/>
                <w:sz w:val="18"/>
                <w:szCs w:val="18"/>
              </w:rPr>
              <w:t>&lt;0.0001</w:t>
            </w:r>
          </w:p>
          <w:p w14:paraId="2E8283E8"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00B39FD"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9BC8F87" w14:textId="77777777" w:rsidR="005A778C" w:rsidRPr="00A07DD1" w:rsidRDefault="005A778C" w:rsidP="005A77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A07DD1">
              <w:rPr>
                <w:rFonts w:ascii="Times New Roman" w:hAnsi="Times New Roman" w:cs="Times New Roman"/>
                <w:b/>
                <w:sz w:val="18"/>
                <w:szCs w:val="18"/>
              </w:rPr>
              <w:t>0.47</w:t>
            </w:r>
          </w:p>
        </w:tc>
      </w:tr>
    </w:tbl>
    <w:p w14:paraId="0AD2DA64" w14:textId="77777777" w:rsidR="005A778C" w:rsidRDefault="005A778C" w:rsidP="005A778C">
      <w:pPr>
        <w:spacing w:after="0" w:line="240" w:lineRule="auto"/>
        <w:ind w:left="720" w:hanging="720"/>
        <w:rPr>
          <w:rFonts w:ascii="Times New Roman" w:hAnsi="Times New Roman" w:cs="Times New Roman"/>
          <w:noProof/>
          <w:sz w:val="16"/>
          <w:szCs w:val="16"/>
        </w:rPr>
      </w:pPr>
      <w:proofErr w:type="spellStart"/>
      <w:r w:rsidRPr="00296B13">
        <w:rPr>
          <w:rFonts w:ascii="Times New Roman" w:hAnsi="Times New Roman" w:cs="Times New Roman"/>
          <w:sz w:val="16"/>
          <w:szCs w:val="16"/>
          <w:vertAlign w:val="superscript"/>
        </w:rPr>
        <w:t>a</w:t>
      </w:r>
      <w:proofErr w:type="spellEnd"/>
      <w:r w:rsidRPr="00296B13">
        <w:rPr>
          <w:rFonts w:ascii="Times New Roman" w:hAnsi="Times New Roman" w:cs="Times New Roman"/>
          <w:sz w:val="16"/>
          <w:szCs w:val="16"/>
          <w:vertAlign w:val="superscript"/>
        </w:rPr>
        <w:t xml:space="preserve"> </w:t>
      </w:r>
      <w:r w:rsidRPr="00296B13">
        <w:rPr>
          <w:rFonts w:ascii="Times New Roman" w:hAnsi="Times New Roman" w:cs="Times New Roman"/>
          <w:sz w:val="16"/>
          <w:szCs w:val="16"/>
        </w:rPr>
        <w:t xml:space="preserve">Analysis from: </w:t>
      </w:r>
      <w:r w:rsidRPr="00296B13">
        <w:rPr>
          <w:rFonts w:ascii="Times New Roman" w:hAnsi="Times New Roman" w:cs="Times New Roman"/>
          <w:noProof/>
          <w:sz w:val="16"/>
          <w:szCs w:val="16"/>
        </w:rPr>
        <w:t>Callahan R, Nanda K, Kapiga S, et al. Pregnancy and contraceptive use among women parti</w:t>
      </w:r>
      <w:r>
        <w:rPr>
          <w:rFonts w:ascii="Times New Roman" w:hAnsi="Times New Roman" w:cs="Times New Roman"/>
          <w:noProof/>
          <w:sz w:val="16"/>
          <w:szCs w:val="16"/>
        </w:rPr>
        <w:t xml:space="preserve">cipating in the FEM-PrEP trial. </w:t>
      </w:r>
    </w:p>
    <w:p w14:paraId="5610D4FD" w14:textId="77777777" w:rsidR="005A778C" w:rsidRPr="00296B13" w:rsidRDefault="005A778C" w:rsidP="005A778C">
      <w:pPr>
        <w:spacing w:after="0" w:line="240" w:lineRule="auto"/>
        <w:ind w:left="720" w:hanging="720"/>
        <w:rPr>
          <w:rFonts w:ascii="Times New Roman" w:hAnsi="Times New Roman" w:cs="Times New Roman"/>
          <w:noProof/>
          <w:sz w:val="16"/>
          <w:szCs w:val="16"/>
        </w:rPr>
      </w:pPr>
      <w:r w:rsidRPr="00296B13">
        <w:rPr>
          <w:rFonts w:ascii="Times New Roman" w:hAnsi="Times New Roman" w:cs="Times New Roman"/>
          <w:i/>
          <w:noProof/>
          <w:sz w:val="16"/>
          <w:szCs w:val="16"/>
        </w:rPr>
        <w:t xml:space="preserve">Journal of Acquired Immune Deficiency Syndromes </w:t>
      </w:r>
      <w:r w:rsidRPr="00296B13">
        <w:rPr>
          <w:rFonts w:ascii="Times New Roman" w:hAnsi="Times New Roman" w:cs="Times New Roman"/>
          <w:noProof/>
          <w:sz w:val="16"/>
          <w:szCs w:val="16"/>
        </w:rPr>
        <w:t xml:space="preserve">2015; </w:t>
      </w:r>
      <w:r w:rsidRPr="00296B13">
        <w:rPr>
          <w:rFonts w:ascii="Times New Roman" w:hAnsi="Times New Roman" w:cs="Times New Roman"/>
          <w:b/>
          <w:noProof/>
          <w:sz w:val="16"/>
          <w:szCs w:val="16"/>
        </w:rPr>
        <w:t>68</w:t>
      </w:r>
      <w:r w:rsidRPr="00296B13">
        <w:rPr>
          <w:rFonts w:ascii="Times New Roman" w:hAnsi="Times New Roman" w:cs="Times New Roman"/>
          <w:noProof/>
          <w:sz w:val="16"/>
          <w:szCs w:val="16"/>
        </w:rPr>
        <w:t>(2): 196-203.</w:t>
      </w:r>
    </w:p>
    <w:p w14:paraId="5EC7E39F" w14:textId="77777777" w:rsidR="005A778C" w:rsidRPr="00216810" w:rsidRDefault="005A778C" w:rsidP="005A778C">
      <w:pPr>
        <w:rPr>
          <w:rFonts w:ascii="Times New Roman" w:hAnsi="Times New Roman" w:cs="Times New Roman"/>
          <w:noProof/>
          <w:sz w:val="16"/>
          <w:szCs w:val="16"/>
        </w:rPr>
      </w:pPr>
      <w:proofErr w:type="gramStart"/>
      <w:r w:rsidRPr="00216810">
        <w:rPr>
          <w:rFonts w:ascii="Times New Roman" w:hAnsi="Times New Roman" w:cs="Times New Roman"/>
          <w:sz w:val="16"/>
          <w:szCs w:val="16"/>
          <w:vertAlign w:val="superscript"/>
        </w:rPr>
        <w:t>b</w:t>
      </w:r>
      <w:proofErr w:type="gramEnd"/>
      <w:r w:rsidRPr="00216810">
        <w:rPr>
          <w:rFonts w:ascii="Times New Roman" w:hAnsi="Times New Roman" w:cs="Times New Roman"/>
          <w:sz w:val="16"/>
          <w:szCs w:val="16"/>
          <w:vertAlign w:val="superscript"/>
        </w:rPr>
        <w:t xml:space="preserve"> </w:t>
      </w:r>
      <w:r w:rsidRPr="00216810">
        <w:rPr>
          <w:rFonts w:ascii="Times New Roman" w:hAnsi="Times New Roman" w:cs="Times New Roman"/>
          <w:sz w:val="16"/>
          <w:szCs w:val="16"/>
        </w:rPr>
        <w:t xml:space="preserve">Analysis from: </w:t>
      </w:r>
      <w:r w:rsidRPr="00216810">
        <w:rPr>
          <w:rFonts w:ascii="Times New Roman" w:hAnsi="Times New Roman" w:cs="Times New Roman"/>
          <w:noProof/>
          <w:sz w:val="16"/>
          <w:szCs w:val="16"/>
        </w:rPr>
        <w:t xml:space="preserve">Murnane PM, Heffron R, Ronald A, et al. Pre-exposure prophylaxis for HIV-1 prevention does not diminish the pregnancy prevention effectiveness of hormonal contraception. </w:t>
      </w:r>
      <w:r w:rsidRPr="00216810">
        <w:rPr>
          <w:rFonts w:ascii="Times New Roman" w:hAnsi="Times New Roman" w:cs="Times New Roman"/>
          <w:i/>
          <w:noProof/>
          <w:sz w:val="16"/>
          <w:szCs w:val="16"/>
        </w:rPr>
        <w:t>AIDS</w:t>
      </w:r>
      <w:r w:rsidRPr="00216810">
        <w:rPr>
          <w:rFonts w:ascii="Times New Roman" w:hAnsi="Times New Roman" w:cs="Times New Roman"/>
          <w:noProof/>
          <w:sz w:val="16"/>
          <w:szCs w:val="16"/>
        </w:rPr>
        <w:t xml:space="preserve"> 2014; </w:t>
      </w:r>
      <w:r w:rsidRPr="00216810">
        <w:rPr>
          <w:rFonts w:ascii="Times New Roman" w:hAnsi="Times New Roman" w:cs="Times New Roman"/>
          <w:b/>
          <w:noProof/>
          <w:sz w:val="16"/>
          <w:szCs w:val="16"/>
        </w:rPr>
        <w:t>28</w:t>
      </w:r>
      <w:r w:rsidRPr="00216810">
        <w:rPr>
          <w:rFonts w:ascii="Times New Roman" w:hAnsi="Times New Roman" w:cs="Times New Roman"/>
          <w:noProof/>
          <w:sz w:val="16"/>
          <w:szCs w:val="16"/>
        </w:rPr>
        <w:t>(12): 1825-30.</w:t>
      </w:r>
    </w:p>
    <w:p w14:paraId="35743250" w14:textId="77777777" w:rsidR="005A778C" w:rsidRDefault="005A778C" w:rsidP="005A778C">
      <w:pPr>
        <w:rPr>
          <w:rFonts w:ascii="Times New Roman" w:hAnsi="Times New Roman" w:cs="Times New Roman"/>
          <w:sz w:val="16"/>
          <w:szCs w:val="20"/>
        </w:rPr>
      </w:pPr>
    </w:p>
    <w:p w14:paraId="45BB01F3" w14:textId="77777777" w:rsidR="005A778C" w:rsidRDefault="005A778C" w:rsidP="005A778C">
      <w:pPr>
        <w:rPr>
          <w:rFonts w:ascii="Times New Roman" w:hAnsi="Times New Roman" w:cs="Times New Roman"/>
          <w:sz w:val="16"/>
          <w:szCs w:val="20"/>
        </w:rPr>
      </w:pPr>
    </w:p>
    <w:p w14:paraId="3246ADC8" w14:textId="77777777" w:rsidR="005A778C" w:rsidRDefault="005A778C" w:rsidP="005A778C">
      <w:pPr>
        <w:rPr>
          <w:rFonts w:ascii="Times New Roman" w:hAnsi="Times New Roman" w:cs="Times New Roman"/>
          <w:sz w:val="16"/>
          <w:szCs w:val="20"/>
        </w:rPr>
      </w:pPr>
    </w:p>
    <w:p w14:paraId="5C8597B6" w14:textId="77777777" w:rsidR="005A778C" w:rsidRDefault="005A778C" w:rsidP="005A778C">
      <w:pPr>
        <w:rPr>
          <w:rFonts w:ascii="Times New Roman" w:hAnsi="Times New Roman" w:cs="Times New Roman"/>
          <w:sz w:val="16"/>
          <w:szCs w:val="20"/>
        </w:rPr>
      </w:pPr>
    </w:p>
    <w:p w14:paraId="0C1A1AF4" w14:textId="77777777" w:rsidR="00DB1C44" w:rsidRDefault="00DB1C44" w:rsidP="005A778C">
      <w:pPr>
        <w:rPr>
          <w:rFonts w:ascii="Times New Roman" w:hAnsi="Times New Roman" w:cs="Times New Roman"/>
          <w:sz w:val="16"/>
          <w:szCs w:val="20"/>
        </w:rPr>
      </w:pPr>
    </w:p>
    <w:p w14:paraId="6088C374" w14:textId="77777777" w:rsidR="00DB1C44" w:rsidRDefault="00DB1C44" w:rsidP="005A778C">
      <w:pPr>
        <w:rPr>
          <w:rFonts w:ascii="Times New Roman" w:hAnsi="Times New Roman" w:cs="Times New Roman"/>
          <w:sz w:val="16"/>
          <w:szCs w:val="20"/>
        </w:rPr>
      </w:pPr>
    </w:p>
    <w:p w14:paraId="79BF178C" w14:textId="77777777" w:rsidR="00DB1C44" w:rsidRDefault="00DB1C44" w:rsidP="005A778C">
      <w:pPr>
        <w:rPr>
          <w:rFonts w:ascii="Times New Roman" w:hAnsi="Times New Roman" w:cs="Times New Roman"/>
          <w:sz w:val="16"/>
          <w:szCs w:val="20"/>
        </w:rPr>
      </w:pPr>
    </w:p>
    <w:p w14:paraId="32F750F8" w14:textId="77777777" w:rsidR="005A778C" w:rsidRPr="003C43B0" w:rsidRDefault="005A778C" w:rsidP="003C43B0">
      <w:pPr>
        <w:pStyle w:val="Heading1"/>
        <w:rPr>
          <w:rFonts w:ascii="Times New Roman" w:hAnsi="Times New Roman" w:cs="Times New Roman"/>
          <w:sz w:val="24"/>
        </w:rPr>
      </w:pPr>
      <w:bookmarkStart w:id="7" w:name="_Toc445111852"/>
      <w:r w:rsidRPr="003C43B0">
        <w:rPr>
          <w:rFonts w:ascii="Times New Roman" w:hAnsi="Times New Roman" w:cs="Times New Roman"/>
          <w:sz w:val="24"/>
        </w:rPr>
        <w:lastRenderedPageBreak/>
        <w:t>Table 6S: Meta-analysis results for effect of PrEP on pregnancy-related adverse events</w:t>
      </w:r>
      <w:bookmarkEnd w:id="7"/>
    </w:p>
    <w:tbl>
      <w:tblPr>
        <w:tblStyle w:val="LightList"/>
        <w:tblW w:w="0" w:type="auto"/>
        <w:tblLayout w:type="fixed"/>
        <w:tblLook w:val="04A0" w:firstRow="1" w:lastRow="0" w:firstColumn="1" w:lastColumn="0" w:noHBand="0" w:noVBand="1"/>
      </w:tblPr>
      <w:tblGrid>
        <w:gridCol w:w="1638"/>
        <w:gridCol w:w="900"/>
        <w:gridCol w:w="2070"/>
        <w:gridCol w:w="900"/>
        <w:gridCol w:w="810"/>
      </w:tblGrid>
      <w:tr w:rsidR="00DB1C44" w:rsidRPr="00AE5E21" w14:paraId="291AA837" w14:textId="77777777" w:rsidTr="003C4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8" w:space="0" w:color="000000" w:themeColor="text1"/>
              <w:left w:val="nil"/>
              <w:bottom w:val="single" w:sz="8" w:space="0" w:color="000000" w:themeColor="text1"/>
            </w:tcBorders>
            <w:shd w:val="clear" w:color="auto" w:fill="FFFFFF" w:themeFill="background1"/>
          </w:tcPr>
          <w:p w14:paraId="54E9FE5A" w14:textId="77777777" w:rsidR="00DB1C44" w:rsidRPr="00AE5E21" w:rsidRDefault="00DB1C44" w:rsidP="003C43B0">
            <w:pPr>
              <w:rPr>
                <w:rFonts w:ascii="Times New Roman" w:hAnsi="Times New Roman" w:cs="Times New Roman"/>
                <w:color w:val="auto"/>
                <w:sz w:val="20"/>
                <w:szCs w:val="20"/>
              </w:rPr>
            </w:pPr>
            <w:r w:rsidRPr="00AE5E21">
              <w:rPr>
                <w:rFonts w:ascii="Times New Roman" w:hAnsi="Times New Roman" w:cs="Times New Roman"/>
                <w:color w:val="auto"/>
                <w:sz w:val="20"/>
                <w:szCs w:val="20"/>
              </w:rPr>
              <w:t>Analysis</w:t>
            </w:r>
          </w:p>
        </w:tc>
        <w:tc>
          <w:tcPr>
            <w:tcW w:w="900" w:type="dxa"/>
            <w:tcBorders>
              <w:top w:val="single" w:sz="8" w:space="0" w:color="000000" w:themeColor="text1"/>
              <w:bottom w:val="single" w:sz="8" w:space="0" w:color="000000" w:themeColor="text1"/>
            </w:tcBorders>
            <w:shd w:val="clear" w:color="auto" w:fill="FFFFFF" w:themeFill="background1"/>
          </w:tcPr>
          <w:p w14:paraId="2FCFAEBE"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No.</w:t>
            </w:r>
            <w:r w:rsidRPr="00AE5E21">
              <w:rPr>
                <w:rFonts w:ascii="Times New Roman" w:hAnsi="Times New Roman" w:cs="Times New Roman"/>
                <w:color w:val="auto"/>
                <w:sz w:val="20"/>
                <w:szCs w:val="20"/>
              </w:rPr>
              <w:t xml:space="preserve"> of studies</w:t>
            </w:r>
          </w:p>
        </w:tc>
        <w:tc>
          <w:tcPr>
            <w:tcW w:w="2070" w:type="dxa"/>
            <w:tcBorders>
              <w:top w:val="single" w:sz="8" w:space="0" w:color="000000" w:themeColor="text1"/>
              <w:bottom w:val="single" w:sz="8" w:space="0" w:color="000000" w:themeColor="text1"/>
            </w:tcBorders>
            <w:shd w:val="clear" w:color="auto" w:fill="FFFFFF" w:themeFill="background1"/>
          </w:tcPr>
          <w:p w14:paraId="4D6F8604"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E5E21">
              <w:rPr>
                <w:rFonts w:ascii="Times New Roman" w:hAnsi="Times New Roman" w:cs="Times New Roman"/>
                <w:color w:val="auto"/>
                <w:sz w:val="20"/>
                <w:szCs w:val="20"/>
              </w:rPr>
              <w:t>Risk Ratio (95% CI)</w:t>
            </w:r>
          </w:p>
        </w:tc>
        <w:tc>
          <w:tcPr>
            <w:tcW w:w="900" w:type="dxa"/>
            <w:tcBorders>
              <w:top w:val="single" w:sz="8" w:space="0" w:color="000000" w:themeColor="text1"/>
              <w:bottom w:val="single" w:sz="8" w:space="0" w:color="000000" w:themeColor="text1"/>
            </w:tcBorders>
            <w:shd w:val="clear" w:color="auto" w:fill="FFFFFF" w:themeFill="background1"/>
          </w:tcPr>
          <w:p w14:paraId="4A751CDF"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E5E21">
              <w:rPr>
                <w:rFonts w:ascii="Times New Roman" w:hAnsi="Times New Roman" w:cs="Times New Roman"/>
                <w:color w:val="auto"/>
                <w:sz w:val="20"/>
                <w:szCs w:val="20"/>
              </w:rPr>
              <w:t>p-value</w:t>
            </w:r>
          </w:p>
        </w:tc>
        <w:tc>
          <w:tcPr>
            <w:tcW w:w="810" w:type="dxa"/>
            <w:tcBorders>
              <w:top w:val="single" w:sz="8" w:space="0" w:color="000000" w:themeColor="text1"/>
              <w:bottom w:val="single" w:sz="8" w:space="0" w:color="000000" w:themeColor="text1"/>
              <w:right w:val="nil"/>
            </w:tcBorders>
            <w:shd w:val="clear" w:color="auto" w:fill="FFFFFF" w:themeFill="background1"/>
          </w:tcPr>
          <w:p w14:paraId="09E1738D" w14:textId="77777777" w:rsidR="00DB1C44" w:rsidRPr="00AE5E21" w:rsidRDefault="00DB1C44" w:rsidP="003C43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AE5E21">
              <w:rPr>
                <w:rFonts w:ascii="Times New Roman" w:hAnsi="Times New Roman" w:cs="Times New Roman"/>
                <w:color w:val="auto"/>
                <w:sz w:val="20"/>
                <w:szCs w:val="20"/>
              </w:rPr>
              <w:t>I</w:t>
            </w:r>
            <w:r w:rsidRPr="00AE5E21">
              <w:rPr>
                <w:rFonts w:ascii="Times New Roman" w:hAnsi="Times New Roman" w:cs="Times New Roman"/>
                <w:color w:val="auto"/>
                <w:sz w:val="20"/>
                <w:szCs w:val="20"/>
                <w:vertAlign w:val="superscript"/>
              </w:rPr>
              <w:t>2</w:t>
            </w:r>
          </w:p>
        </w:tc>
      </w:tr>
      <w:tr w:rsidR="00DB1C44" w:rsidRPr="00AE5E21" w14:paraId="5A280728"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gridSpan w:val="5"/>
            <w:tcBorders>
              <w:left w:val="nil"/>
              <w:right w:val="nil"/>
            </w:tcBorders>
            <w:shd w:val="clear" w:color="auto" w:fill="D9D9D9" w:themeFill="background1" w:themeFillShade="D9"/>
          </w:tcPr>
          <w:p w14:paraId="7EB3FE19" w14:textId="77777777" w:rsidR="00DB1C44" w:rsidRPr="00AE5E21" w:rsidRDefault="00DB1C44" w:rsidP="003C43B0">
            <w:pPr>
              <w:jc w:val="center"/>
              <w:rPr>
                <w:rFonts w:ascii="Times New Roman" w:hAnsi="Times New Roman" w:cs="Times New Roman"/>
                <w:sz w:val="20"/>
                <w:szCs w:val="20"/>
              </w:rPr>
            </w:pPr>
            <w:r w:rsidRPr="00AE5E21">
              <w:rPr>
                <w:rFonts w:ascii="Times New Roman" w:hAnsi="Times New Roman" w:cs="Times New Roman"/>
                <w:sz w:val="20"/>
                <w:szCs w:val="20"/>
              </w:rPr>
              <w:t>RCTs comparing PrEP to placebo</w:t>
            </w:r>
          </w:p>
        </w:tc>
      </w:tr>
      <w:tr w:rsidR="00DB1C44" w:rsidRPr="00AE5E21" w14:paraId="6DFAA03C" w14:textId="77777777" w:rsidTr="003C43B0">
        <w:tc>
          <w:tcPr>
            <w:cnfStyle w:val="001000000000" w:firstRow="0" w:lastRow="0" w:firstColumn="1" w:lastColumn="0" w:oddVBand="0" w:evenVBand="0" w:oddHBand="0" w:evenHBand="0" w:firstRowFirstColumn="0" w:firstRowLastColumn="0" w:lastRowFirstColumn="0" w:lastRowLastColumn="0"/>
            <w:tcW w:w="1638" w:type="dxa"/>
            <w:tcBorders>
              <w:top w:val="nil"/>
              <w:left w:val="nil"/>
              <w:bottom w:val="single" w:sz="8" w:space="0" w:color="000000" w:themeColor="text1"/>
              <w:right w:val="nil"/>
            </w:tcBorders>
          </w:tcPr>
          <w:p w14:paraId="4CA76FF5" w14:textId="77777777" w:rsidR="00DB1C44" w:rsidRPr="00AE5E21" w:rsidRDefault="00DB1C44" w:rsidP="003C43B0">
            <w:pPr>
              <w:rPr>
                <w:rFonts w:ascii="Times New Roman" w:hAnsi="Times New Roman" w:cs="Times New Roman"/>
                <w:sz w:val="20"/>
                <w:szCs w:val="20"/>
                <w:vertAlign w:val="superscript"/>
              </w:rPr>
            </w:pPr>
            <w:proofErr w:type="spellStart"/>
            <w:r w:rsidRPr="00AE5E21">
              <w:rPr>
                <w:rFonts w:ascii="Times New Roman" w:hAnsi="Times New Roman" w:cs="Times New Roman"/>
                <w:sz w:val="20"/>
                <w:szCs w:val="20"/>
              </w:rPr>
              <w:t>Overall</w:t>
            </w:r>
            <w:r w:rsidRPr="00AE5E21">
              <w:rPr>
                <w:rFonts w:ascii="Times New Roman" w:hAnsi="Times New Roman" w:cs="Times New Roman"/>
                <w:sz w:val="20"/>
                <w:szCs w:val="20"/>
                <w:vertAlign w:val="superscript"/>
              </w:rPr>
              <w:t>a,b</w:t>
            </w:r>
            <w:proofErr w:type="spellEnd"/>
          </w:p>
        </w:tc>
        <w:tc>
          <w:tcPr>
            <w:tcW w:w="900" w:type="dxa"/>
            <w:tcBorders>
              <w:left w:val="nil"/>
            </w:tcBorders>
          </w:tcPr>
          <w:p w14:paraId="4E7EEF75"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2</w:t>
            </w:r>
          </w:p>
        </w:tc>
        <w:tc>
          <w:tcPr>
            <w:tcW w:w="2070" w:type="dxa"/>
          </w:tcPr>
          <w:p w14:paraId="76B53318"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1.25 (0.64-2.45)</w:t>
            </w:r>
          </w:p>
        </w:tc>
        <w:tc>
          <w:tcPr>
            <w:tcW w:w="900" w:type="dxa"/>
          </w:tcPr>
          <w:p w14:paraId="20760686"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0.52</w:t>
            </w:r>
          </w:p>
        </w:tc>
        <w:tc>
          <w:tcPr>
            <w:tcW w:w="810" w:type="dxa"/>
            <w:tcBorders>
              <w:right w:val="nil"/>
            </w:tcBorders>
          </w:tcPr>
          <w:p w14:paraId="6AE4FE3F"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64.5</w:t>
            </w:r>
          </w:p>
        </w:tc>
      </w:tr>
      <w:tr w:rsidR="00DB1C44" w:rsidRPr="00AE5E21" w14:paraId="3D7B10D4"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nil"/>
              <w:right w:val="nil"/>
            </w:tcBorders>
          </w:tcPr>
          <w:p w14:paraId="42E2069F" w14:textId="77777777" w:rsidR="00DB1C44" w:rsidRPr="00AE5E21" w:rsidRDefault="00DB1C44" w:rsidP="003C43B0">
            <w:pPr>
              <w:rPr>
                <w:rFonts w:ascii="Times New Roman" w:hAnsi="Times New Roman" w:cs="Times New Roman"/>
                <w:sz w:val="20"/>
                <w:szCs w:val="20"/>
              </w:rPr>
            </w:pPr>
            <w:r>
              <w:rPr>
                <w:rFonts w:ascii="Times New Roman" w:hAnsi="Times New Roman" w:cs="Times New Roman"/>
                <w:sz w:val="20"/>
                <w:szCs w:val="20"/>
              </w:rPr>
              <w:t>PrEP use</w:t>
            </w:r>
          </w:p>
          <w:p w14:paraId="7424E018"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 xml:space="preserve">     Low</w:t>
            </w:r>
          </w:p>
          <w:p w14:paraId="45B5ECDC"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 xml:space="preserve">     High</w:t>
            </w:r>
          </w:p>
        </w:tc>
        <w:tc>
          <w:tcPr>
            <w:tcW w:w="900" w:type="dxa"/>
            <w:tcBorders>
              <w:left w:val="nil"/>
            </w:tcBorders>
          </w:tcPr>
          <w:p w14:paraId="6F4C7C60"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44C6183"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1</w:t>
            </w:r>
          </w:p>
          <w:p w14:paraId="6145DB7E"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1</w:t>
            </w:r>
          </w:p>
        </w:tc>
        <w:tc>
          <w:tcPr>
            <w:tcW w:w="2070" w:type="dxa"/>
          </w:tcPr>
          <w:p w14:paraId="5002691C"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7872613"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1.96 (0.90-4.3)</w:t>
            </w:r>
          </w:p>
          <w:p w14:paraId="66CC64A4"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0.96 (0.72-1.28)</w:t>
            </w:r>
          </w:p>
        </w:tc>
        <w:tc>
          <w:tcPr>
            <w:tcW w:w="900" w:type="dxa"/>
          </w:tcPr>
          <w:p w14:paraId="4A3DDB31"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20ECB0E"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0.09</w:t>
            </w:r>
          </w:p>
          <w:p w14:paraId="4C90B346"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0.80</w:t>
            </w:r>
          </w:p>
        </w:tc>
        <w:tc>
          <w:tcPr>
            <w:tcW w:w="810" w:type="dxa"/>
            <w:tcBorders>
              <w:right w:val="nil"/>
            </w:tcBorders>
          </w:tcPr>
          <w:p w14:paraId="663A6071"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892AAFC"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n/a</w:t>
            </w:r>
          </w:p>
          <w:p w14:paraId="5DB680E1" w14:textId="77777777" w:rsidR="00DB1C44" w:rsidRPr="00AE5E21" w:rsidRDefault="00DB1C44" w:rsidP="003C43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n/a</w:t>
            </w:r>
          </w:p>
        </w:tc>
      </w:tr>
      <w:tr w:rsidR="00DB1C44" w:rsidRPr="00AE5E21" w14:paraId="46380A1B" w14:textId="77777777" w:rsidTr="003C43B0">
        <w:tc>
          <w:tcPr>
            <w:cnfStyle w:val="001000000000" w:firstRow="0" w:lastRow="0" w:firstColumn="1" w:lastColumn="0" w:oddVBand="0" w:evenVBand="0" w:oddHBand="0" w:evenHBand="0" w:firstRowFirstColumn="0" w:firstRowLastColumn="0" w:lastRowFirstColumn="0" w:lastRowLastColumn="0"/>
            <w:tcW w:w="1638" w:type="dxa"/>
            <w:tcBorders>
              <w:top w:val="single" w:sz="8" w:space="0" w:color="000000" w:themeColor="text1"/>
              <w:left w:val="nil"/>
              <w:bottom w:val="nil"/>
              <w:right w:val="nil"/>
            </w:tcBorders>
          </w:tcPr>
          <w:p w14:paraId="35416DBB"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Drug Regimen</w:t>
            </w:r>
          </w:p>
          <w:p w14:paraId="2A1B7B2C"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 xml:space="preserve">     TDF</w:t>
            </w:r>
          </w:p>
          <w:p w14:paraId="7B511176"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 xml:space="preserve">     TDF-FTC</w:t>
            </w:r>
          </w:p>
        </w:tc>
        <w:tc>
          <w:tcPr>
            <w:tcW w:w="900" w:type="dxa"/>
            <w:tcBorders>
              <w:left w:val="nil"/>
            </w:tcBorders>
          </w:tcPr>
          <w:p w14:paraId="7017CAD5"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BCD4E08"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1</w:t>
            </w:r>
          </w:p>
          <w:p w14:paraId="6E375E19"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2</w:t>
            </w:r>
          </w:p>
        </w:tc>
        <w:tc>
          <w:tcPr>
            <w:tcW w:w="2070" w:type="dxa"/>
          </w:tcPr>
          <w:p w14:paraId="5D21D313"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5AB729D"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0.77 (0.55-1.10)</w:t>
            </w:r>
          </w:p>
          <w:p w14:paraId="4D58F4C2"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1.35 (0.93-1.95)</w:t>
            </w:r>
          </w:p>
        </w:tc>
        <w:tc>
          <w:tcPr>
            <w:tcW w:w="900" w:type="dxa"/>
          </w:tcPr>
          <w:p w14:paraId="68B29CE7"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73A2F5F"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0.15</w:t>
            </w:r>
          </w:p>
          <w:p w14:paraId="7E382719"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0.11</w:t>
            </w:r>
          </w:p>
        </w:tc>
        <w:tc>
          <w:tcPr>
            <w:tcW w:w="810" w:type="dxa"/>
            <w:tcBorders>
              <w:right w:val="nil"/>
            </w:tcBorders>
          </w:tcPr>
          <w:p w14:paraId="4B40F73F"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65A0DD2"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n/a</w:t>
            </w:r>
          </w:p>
          <w:p w14:paraId="17D0F447" w14:textId="77777777" w:rsidR="00DB1C44" w:rsidRPr="00AE5E21" w:rsidRDefault="00DB1C44" w:rsidP="003C43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16.7</w:t>
            </w:r>
          </w:p>
        </w:tc>
      </w:tr>
      <w:tr w:rsidR="00DB1C44" w:rsidRPr="00AE5E21" w14:paraId="683BAD66"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gridSpan w:val="5"/>
            <w:tcBorders>
              <w:left w:val="nil"/>
              <w:right w:val="nil"/>
            </w:tcBorders>
            <w:shd w:val="clear" w:color="auto" w:fill="D9D9D9" w:themeFill="background1" w:themeFillShade="D9"/>
          </w:tcPr>
          <w:p w14:paraId="6EE87E21"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Observational studies</w:t>
            </w:r>
          </w:p>
        </w:tc>
      </w:tr>
      <w:tr w:rsidR="00DB1C44" w:rsidRPr="00AE5E21" w14:paraId="36FA6940" w14:textId="77777777" w:rsidTr="003C43B0">
        <w:tc>
          <w:tcPr>
            <w:cnfStyle w:val="001000000000" w:firstRow="0" w:lastRow="0" w:firstColumn="1" w:lastColumn="0" w:oddVBand="0" w:evenVBand="0" w:oddHBand="0" w:evenHBand="0" w:firstRowFirstColumn="0" w:firstRowLastColumn="0" w:lastRowFirstColumn="0" w:lastRowLastColumn="0"/>
            <w:tcW w:w="1638" w:type="dxa"/>
            <w:tcBorders>
              <w:top w:val="nil"/>
              <w:left w:val="nil"/>
              <w:bottom w:val="single" w:sz="8" w:space="0" w:color="000000" w:themeColor="text1"/>
              <w:right w:val="nil"/>
            </w:tcBorders>
          </w:tcPr>
          <w:p w14:paraId="5478142B"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Partners PrEP OLE</w:t>
            </w:r>
          </w:p>
        </w:tc>
        <w:tc>
          <w:tcPr>
            <w:tcW w:w="4680" w:type="dxa"/>
            <w:gridSpan w:val="4"/>
            <w:tcBorders>
              <w:left w:val="nil"/>
              <w:bottom w:val="single" w:sz="8" w:space="0" w:color="000000" w:themeColor="text1"/>
              <w:right w:val="nil"/>
            </w:tcBorders>
          </w:tcPr>
          <w:p w14:paraId="1DAAA7F7"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After unmasking, frequency of pregnancy loss was 37.5% for FTC/TDF and 36.7%for TDF alone (difference, 0.8%; 95%CI, −16.8%to 18.5%; P = .92). </w:t>
            </w:r>
          </w:p>
        </w:tc>
      </w:tr>
    </w:tbl>
    <w:p w14:paraId="3FA490C5" w14:textId="77777777" w:rsidR="005A778C" w:rsidRPr="00014AA9" w:rsidRDefault="005A778C" w:rsidP="005A778C">
      <w:pPr>
        <w:pStyle w:val="NoSpacing"/>
        <w:rPr>
          <w:rFonts w:ascii="Times New Roman" w:hAnsi="Times New Roman" w:cs="Times New Roman"/>
          <w:sz w:val="16"/>
          <w:szCs w:val="20"/>
        </w:rPr>
      </w:pPr>
      <w:proofErr w:type="spellStart"/>
      <w:proofErr w:type="gramStart"/>
      <w:r w:rsidRPr="00014AA9">
        <w:rPr>
          <w:rFonts w:ascii="Times New Roman" w:hAnsi="Times New Roman" w:cs="Times New Roman"/>
          <w:sz w:val="16"/>
          <w:szCs w:val="20"/>
          <w:vertAlign w:val="superscript"/>
        </w:rPr>
        <w:t>a</w:t>
      </w:r>
      <w:proofErr w:type="spellEnd"/>
      <w:proofErr w:type="gramEnd"/>
      <w:r w:rsidRPr="00014AA9">
        <w:rPr>
          <w:rFonts w:ascii="Times New Roman" w:hAnsi="Times New Roman" w:cs="Times New Roman"/>
          <w:sz w:val="16"/>
          <w:szCs w:val="20"/>
          <w:vertAlign w:val="superscript"/>
        </w:rPr>
        <w:t xml:space="preserve"> </w:t>
      </w:r>
      <w:r w:rsidRPr="00014AA9">
        <w:rPr>
          <w:rFonts w:ascii="Times New Roman" w:hAnsi="Times New Roman" w:cs="Times New Roman"/>
          <w:sz w:val="16"/>
          <w:szCs w:val="20"/>
        </w:rPr>
        <w:t>For FEM-PrEP authors note the higher pregnancy-related adverse event rate in the FTC/TDF group (P = 0</w:t>
      </w:r>
      <w:r w:rsidR="009C229E">
        <w:rPr>
          <w:rFonts w:ascii="Times New Roman" w:hAnsi="Times New Roman" w:cs="Times New Roman"/>
          <w:sz w:val="16"/>
          <w:szCs w:val="20"/>
        </w:rPr>
        <w:t>.</w:t>
      </w:r>
      <w:r w:rsidRPr="00014AA9">
        <w:rPr>
          <w:rFonts w:ascii="Times New Roman" w:hAnsi="Times New Roman" w:cs="Times New Roman"/>
          <w:sz w:val="16"/>
          <w:szCs w:val="20"/>
        </w:rPr>
        <w:t>04), but also note there were more pregnancies in this group as compared with the placebo group (IR=11</w:t>
      </w:r>
      <w:r w:rsidR="009C229E">
        <w:rPr>
          <w:rFonts w:ascii="Times New Roman" w:hAnsi="Times New Roman" w:cs="Times New Roman"/>
          <w:sz w:val="16"/>
          <w:szCs w:val="20"/>
        </w:rPr>
        <w:t>.</w:t>
      </w:r>
      <w:r w:rsidRPr="00014AA9">
        <w:rPr>
          <w:rFonts w:ascii="Times New Roman" w:hAnsi="Times New Roman" w:cs="Times New Roman"/>
          <w:sz w:val="16"/>
          <w:szCs w:val="20"/>
        </w:rPr>
        <w:t>2 per 100 person-years vs</w:t>
      </w:r>
      <w:r w:rsidR="009C229E">
        <w:rPr>
          <w:rFonts w:ascii="Times New Roman" w:hAnsi="Times New Roman" w:cs="Times New Roman"/>
          <w:sz w:val="16"/>
          <w:szCs w:val="20"/>
        </w:rPr>
        <w:t>.</w:t>
      </w:r>
      <w:r w:rsidRPr="00014AA9">
        <w:rPr>
          <w:rFonts w:ascii="Times New Roman" w:hAnsi="Times New Roman" w:cs="Times New Roman"/>
          <w:sz w:val="16"/>
          <w:szCs w:val="20"/>
        </w:rPr>
        <w:t xml:space="preserve"> 7</w:t>
      </w:r>
      <w:r w:rsidR="009C229E">
        <w:rPr>
          <w:rFonts w:ascii="Times New Roman" w:hAnsi="Times New Roman" w:cs="Times New Roman"/>
          <w:sz w:val="16"/>
          <w:szCs w:val="20"/>
        </w:rPr>
        <w:t>.</w:t>
      </w:r>
      <w:r w:rsidRPr="00014AA9">
        <w:rPr>
          <w:rFonts w:ascii="Times New Roman" w:hAnsi="Times New Roman" w:cs="Times New Roman"/>
          <w:sz w:val="16"/>
          <w:szCs w:val="20"/>
        </w:rPr>
        <w:t>5 per 100 person-years, respectively)</w:t>
      </w:r>
      <w:r>
        <w:rPr>
          <w:rFonts w:ascii="Times New Roman" w:hAnsi="Times New Roman" w:cs="Times New Roman"/>
          <w:sz w:val="16"/>
          <w:szCs w:val="20"/>
        </w:rPr>
        <w:t>.</w:t>
      </w:r>
      <w:r w:rsidRPr="00014AA9">
        <w:rPr>
          <w:rFonts w:ascii="Times New Roman" w:hAnsi="Times New Roman" w:cs="Times New Roman"/>
          <w:sz w:val="16"/>
          <w:szCs w:val="20"/>
        </w:rPr>
        <w:t xml:space="preserve"> </w:t>
      </w:r>
    </w:p>
    <w:p w14:paraId="2752AB36" w14:textId="77777777" w:rsidR="005A778C" w:rsidRPr="00014AA9" w:rsidRDefault="005A778C" w:rsidP="005A778C">
      <w:pPr>
        <w:pStyle w:val="NoSpacing"/>
        <w:rPr>
          <w:rFonts w:ascii="Times New Roman" w:hAnsi="Times New Roman" w:cs="Times New Roman"/>
          <w:sz w:val="16"/>
          <w:szCs w:val="20"/>
        </w:rPr>
      </w:pPr>
      <w:proofErr w:type="gramStart"/>
      <w:r w:rsidRPr="00014AA9">
        <w:rPr>
          <w:rFonts w:ascii="Times New Roman" w:hAnsi="Times New Roman" w:cs="Times New Roman"/>
          <w:sz w:val="16"/>
          <w:szCs w:val="20"/>
          <w:vertAlign w:val="superscript"/>
        </w:rPr>
        <w:t>b</w:t>
      </w:r>
      <w:proofErr w:type="gramEnd"/>
      <w:r w:rsidRPr="00014AA9">
        <w:rPr>
          <w:rFonts w:ascii="Times New Roman" w:hAnsi="Times New Roman" w:cs="Times New Roman"/>
          <w:sz w:val="16"/>
          <w:szCs w:val="20"/>
          <w:vertAlign w:val="superscript"/>
        </w:rPr>
        <w:t xml:space="preserve"> </w:t>
      </w:r>
      <w:r w:rsidRPr="00014AA9">
        <w:rPr>
          <w:rFonts w:ascii="Times New Roman" w:hAnsi="Times New Roman" w:cs="Times New Roman"/>
          <w:sz w:val="16"/>
          <w:szCs w:val="20"/>
        </w:rPr>
        <w:t>Both trials tested participants for pregnancy at monthly study visits</w:t>
      </w:r>
      <w:r>
        <w:rPr>
          <w:rFonts w:ascii="Times New Roman" w:hAnsi="Times New Roman" w:cs="Times New Roman"/>
          <w:sz w:val="16"/>
          <w:szCs w:val="20"/>
        </w:rPr>
        <w:t>.</w:t>
      </w:r>
      <w:r w:rsidRPr="00014AA9">
        <w:rPr>
          <w:rFonts w:ascii="Times New Roman" w:hAnsi="Times New Roman" w:cs="Times New Roman"/>
          <w:sz w:val="16"/>
          <w:szCs w:val="20"/>
        </w:rPr>
        <w:t xml:space="preserve"> Therefore, participants were mostly only receiving PrEP during the initial weeks of pregnancy</w:t>
      </w:r>
      <w:r>
        <w:rPr>
          <w:rFonts w:ascii="Times New Roman" w:hAnsi="Times New Roman" w:cs="Times New Roman"/>
          <w:sz w:val="16"/>
          <w:szCs w:val="20"/>
        </w:rPr>
        <w:t>.</w:t>
      </w:r>
      <w:r w:rsidRPr="00014AA9">
        <w:rPr>
          <w:rFonts w:ascii="Times New Roman" w:hAnsi="Times New Roman" w:cs="Times New Roman"/>
          <w:sz w:val="16"/>
          <w:szCs w:val="20"/>
        </w:rPr>
        <w:t xml:space="preserve"> </w:t>
      </w:r>
    </w:p>
    <w:p w14:paraId="297F01B2" w14:textId="77777777" w:rsidR="005A778C" w:rsidRPr="00AE5E21" w:rsidRDefault="005A778C" w:rsidP="005A778C">
      <w:pPr>
        <w:pStyle w:val="NoSpacing"/>
        <w:rPr>
          <w:rFonts w:ascii="Times New Roman" w:hAnsi="Times New Roman" w:cs="Times New Roman"/>
          <w:b/>
          <w:sz w:val="20"/>
          <w:szCs w:val="20"/>
        </w:rPr>
      </w:pPr>
    </w:p>
    <w:p w14:paraId="0870E3A8" w14:textId="77777777" w:rsidR="005A778C" w:rsidRDefault="005A778C" w:rsidP="005A778C">
      <w:pPr>
        <w:pStyle w:val="NoSpacing"/>
        <w:rPr>
          <w:rFonts w:ascii="Times New Roman" w:hAnsi="Times New Roman" w:cs="Times New Roman"/>
          <w:b/>
          <w:sz w:val="20"/>
          <w:szCs w:val="20"/>
        </w:rPr>
      </w:pPr>
    </w:p>
    <w:p w14:paraId="6DDA5D46" w14:textId="77777777" w:rsidR="005A778C" w:rsidRDefault="005A778C" w:rsidP="005A778C">
      <w:pPr>
        <w:pStyle w:val="NoSpacing"/>
        <w:rPr>
          <w:rFonts w:ascii="Times New Roman" w:hAnsi="Times New Roman" w:cs="Times New Roman"/>
          <w:b/>
          <w:sz w:val="20"/>
          <w:szCs w:val="20"/>
        </w:rPr>
      </w:pPr>
    </w:p>
    <w:p w14:paraId="6D393DF0" w14:textId="77777777" w:rsidR="005A778C" w:rsidRDefault="005A778C" w:rsidP="005A778C">
      <w:pPr>
        <w:pStyle w:val="NoSpacing"/>
        <w:rPr>
          <w:rFonts w:ascii="Times New Roman" w:hAnsi="Times New Roman" w:cs="Times New Roman"/>
          <w:b/>
          <w:sz w:val="20"/>
          <w:szCs w:val="20"/>
        </w:rPr>
      </w:pPr>
    </w:p>
    <w:p w14:paraId="480A159A" w14:textId="77777777" w:rsidR="00EA3507" w:rsidRDefault="00EA3507" w:rsidP="005A778C">
      <w:pPr>
        <w:pStyle w:val="NoSpacing"/>
        <w:rPr>
          <w:rFonts w:ascii="Times New Roman" w:hAnsi="Times New Roman" w:cs="Times New Roman"/>
          <w:b/>
          <w:sz w:val="20"/>
          <w:szCs w:val="20"/>
        </w:rPr>
      </w:pPr>
    </w:p>
    <w:p w14:paraId="45EB80B3" w14:textId="77777777" w:rsidR="005A778C" w:rsidRDefault="005A778C" w:rsidP="005A778C">
      <w:pPr>
        <w:pStyle w:val="NoSpacing"/>
        <w:rPr>
          <w:rFonts w:ascii="Times New Roman" w:hAnsi="Times New Roman" w:cs="Times New Roman"/>
          <w:b/>
          <w:sz w:val="20"/>
          <w:szCs w:val="20"/>
        </w:rPr>
      </w:pPr>
    </w:p>
    <w:p w14:paraId="76B51F00" w14:textId="77777777" w:rsidR="005A778C" w:rsidRDefault="005A778C" w:rsidP="005A778C">
      <w:pPr>
        <w:pStyle w:val="NoSpacing"/>
        <w:rPr>
          <w:rFonts w:ascii="Times New Roman" w:hAnsi="Times New Roman" w:cs="Times New Roman"/>
          <w:b/>
          <w:sz w:val="20"/>
          <w:szCs w:val="20"/>
        </w:rPr>
      </w:pPr>
    </w:p>
    <w:p w14:paraId="1D734A3F" w14:textId="77777777" w:rsidR="005A778C" w:rsidRDefault="005A778C" w:rsidP="005A778C">
      <w:pPr>
        <w:pStyle w:val="NoSpacing"/>
        <w:rPr>
          <w:rFonts w:ascii="Times New Roman" w:hAnsi="Times New Roman" w:cs="Times New Roman"/>
          <w:b/>
          <w:sz w:val="20"/>
          <w:szCs w:val="20"/>
        </w:rPr>
      </w:pPr>
    </w:p>
    <w:p w14:paraId="6AF4277A" w14:textId="77777777" w:rsidR="005A778C" w:rsidRDefault="005A778C" w:rsidP="005A778C">
      <w:pPr>
        <w:pStyle w:val="NoSpacing"/>
        <w:rPr>
          <w:rFonts w:ascii="Times New Roman" w:hAnsi="Times New Roman" w:cs="Times New Roman"/>
          <w:b/>
          <w:sz w:val="20"/>
          <w:szCs w:val="20"/>
        </w:rPr>
      </w:pPr>
    </w:p>
    <w:p w14:paraId="339B764C" w14:textId="77777777" w:rsidR="005A778C" w:rsidRDefault="005A778C" w:rsidP="005A778C">
      <w:pPr>
        <w:pStyle w:val="NoSpacing"/>
        <w:rPr>
          <w:rFonts w:ascii="Times New Roman" w:hAnsi="Times New Roman" w:cs="Times New Roman"/>
          <w:b/>
          <w:sz w:val="20"/>
          <w:szCs w:val="20"/>
        </w:rPr>
      </w:pPr>
    </w:p>
    <w:p w14:paraId="6E160890" w14:textId="77777777" w:rsidR="005A778C" w:rsidRDefault="005A778C" w:rsidP="005A778C">
      <w:pPr>
        <w:pStyle w:val="NoSpacing"/>
        <w:rPr>
          <w:rFonts w:ascii="Times New Roman" w:hAnsi="Times New Roman" w:cs="Times New Roman"/>
          <w:b/>
          <w:sz w:val="20"/>
          <w:szCs w:val="20"/>
        </w:rPr>
      </w:pPr>
    </w:p>
    <w:p w14:paraId="5E537D0A" w14:textId="77777777" w:rsidR="005A778C" w:rsidRDefault="005A778C" w:rsidP="005A778C">
      <w:pPr>
        <w:pStyle w:val="NoSpacing"/>
        <w:rPr>
          <w:rFonts w:ascii="Times New Roman" w:hAnsi="Times New Roman" w:cs="Times New Roman"/>
          <w:b/>
          <w:sz w:val="20"/>
          <w:szCs w:val="20"/>
        </w:rPr>
      </w:pPr>
    </w:p>
    <w:p w14:paraId="43F0C4DF" w14:textId="77777777" w:rsidR="005A778C" w:rsidRDefault="005A778C" w:rsidP="005A778C">
      <w:pPr>
        <w:pStyle w:val="NoSpacing"/>
        <w:rPr>
          <w:rFonts w:ascii="Times New Roman" w:hAnsi="Times New Roman" w:cs="Times New Roman"/>
          <w:b/>
          <w:sz w:val="20"/>
          <w:szCs w:val="20"/>
        </w:rPr>
      </w:pPr>
    </w:p>
    <w:p w14:paraId="06BD697F" w14:textId="77777777" w:rsidR="005A778C" w:rsidRDefault="005A778C" w:rsidP="005A778C">
      <w:pPr>
        <w:pStyle w:val="NoSpacing"/>
        <w:rPr>
          <w:rFonts w:ascii="Times New Roman" w:hAnsi="Times New Roman" w:cs="Times New Roman"/>
          <w:b/>
          <w:sz w:val="20"/>
          <w:szCs w:val="20"/>
        </w:rPr>
      </w:pPr>
    </w:p>
    <w:p w14:paraId="2B84CF61" w14:textId="77777777" w:rsidR="005A778C" w:rsidRDefault="005A778C" w:rsidP="005A778C">
      <w:pPr>
        <w:pStyle w:val="NoSpacing"/>
        <w:rPr>
          <w:rFonts w:ascii="Times New Roman" w:hAnsi="Times New Roman" w:cs="Times New Roman"/>
          <w:b/>
          <w:sz w:val="20"/>
          <w:szCs w:val="20"/>
        </w:rPr>
      </w:pPr>
    </w:p>
    <w:p w14:paraId="21149674" w14:textId="77777777" w:rsidR="005A778C" w:rsidRDefault="005A778C" w:rsidP="005A778C">
      <w:pPr>
        <w:pStyle w:val="NoSpacing"/>
        <w:rPr>
          <w:rFonts w:ascii="Times New Roman" w:hAnsi="Times New Roman" w:cs="Times New Roman"/>
          <w:b/>
          <w:sz w:val="20"/>
          <w:szCs w:val="20"/>
        </w:rPr>
      </w:pPr>
    </w:p>
    <w:p w14:paraId="2DDCAE4B" w14:textId="77777777" w:rsidR="005A778C" w:rsidRDefault="005A778C" w:rsidP="005A778C">
      <w:pPr>
        <w:pStyle w:val="NoSpacing"/>
        <w:rPr>
          <w:rFonts w:ascii="Times New Roman" w:hAnsi="Times New Roman" w:cs="Times New Roman"/>
          <w:b/>
          <w:sz w:val="20"/>
          <w:szCs w:val="20"/>
        </w:rPr>
      </w:pPr>
    </w:p>
    <w:p w14:paraId="06173809" w14:textId="77777777" w:rsidR="005A778C" w:rsidRDefault="005A778C" w:rsidP="005A778C">
      <w:pPr>
        <w:pStyle w:val="NoSpacing"/>
        <w:rPr>
          <w:rFonts w:ascii="Times New Roman" w:hAnsi="Times New Roman" w:cs="Times New Roman"/>
          <w:b/>
          <w:sz w:val="20"/>
          <w:szCs w:val="20"/>
        </w:rPr>
      </w:pPr>
    </w:p>
    <w:p w14:paraId="43CD5B01" w14:textId="77777777" w:rsidR="005A778C" w:rsidRDefault="005A778C" w:rsidP="005A778C">
      <w:pPr>
        <w:pStyle w:val="NoSpacing"/>
        <w:rPr>
          <w:rFonts w:ascii="Times New Roman" w:hAnsi="Times New Roman" w:cs="Times New Roman"/>
          <w:b/>
          <w:sz w:val="20"/>
          <w:szCs w:val="20"/>
        </w:rPr>
      </w:pPr>
    </w:p>
    <w:p w14:paraId="382915DF" w14:textId="77777777" w:rsidR="005A778C" w:rsidRDefault="005A778C" w:rsidP="005A778C">
      <w:pPr>
        <w:pStyle w:val="NoSpacing"/>
        <w:rPr>
          <w:rFonts w:ascii="Times New Roman" w:hAnsi="Times New Roman" w:cs="Times New Roman"/>
          <w:b/>
          <w:sz w:val="20"/>
          <w:szCs w:val="20"/>
        </w:rPr>
      </w:pPr>
    </w:p>
    <w:p w14:paraId="1B38E40E" w14:textId="77777777" w:rsidR="005A778C" w:rsidRDefault="005A778C" w:rsidP="005A778C">
      <w:pPr>
        <w:pStyle w:val="NoSpacing"/>
        <w:rPr>
          <w:rFonts w:ascii="Times New Roman" w:hAnsi="Times New Roman" w:cs="Times New Roman"/>
          <w:b/>
          <w:sz w:val="20"/>
          <w:szCs w:val="20"/>
        </w:rPr>
      </w:pPr>
    </w:p>
    <w:p w14:paraId="7091B0F8" w14:textId="77777777" w:rsidR="005A778C" w:rsidRDefault="005A778C" w:rsidP="005A778C">
      <w:pPr>
        <w:pStyle w:val="NoSpacing"/>
        <w:rPr>
          <w:rFonts w:ascii="Times New Roman" w:hAnsi="Times New Roman" w:cs="Times New Roman"/>
          <w:b/>
          <w:sz w:val="20"/>
          <w:szCs w:val="20"/>
        </w:rPr>
      </w:pPr>
    </w:p>
    <w:p w14:paraId="203F09AA" w14:textId="77777777" w:rsidR="005A778C" w:rsidRDefault="005A778C" w:rsidP="005A778C">
      <w:pPr>
        <w:pStyle w:val="NoSpacing"/>
        <w:rPr>
          <w:rFonts w:ascii="Times New Roman" w:hAnsi="Times New Roman" w:cs="Times New Roman"/>
          <w:b/>
          <w:sz w:val="20"/>
          <w:szCs w:val="20"/>
        </w:rPr>
      </w:pPr>
    </w:p>
    <w:p w14:paraId="2D628411" w14:textId="77777777" w:rsidR="005A778C" w:rsidRDefault="005A778C" w:rsidP="005A778C">
      <w:pPr>
        <w:pStyle w:val="NoSpacing"/>
        <w:rPr>
          <w:rFonts w:ascii="Times New Roman" w:hAnsi="Times New Roman" w:cs="Times New Roman"/>
          <w:b/>
          <w:sz w:val="20"/>
          <w:szCs w:val="20"/>
        </w:rPr>
      </w:pPr>
    </w:p>
    <w:p w14:paraId="37715AB1" w14:textId="77777777" w:rsidR="005A778C" w:rsidRDefault="005A778C" w:rsidP="005A778C">
      <w:pPr>
        <w:pStyle w:val="NoSpacing"/>
        <w:rPr>
          <w:rFonts w:ascii="Times New Roman" w:hAnsi="Times New Roman" w:cs="Times New Roman"/>
          <w:b/>
          <w:sz w:val="20"/>
          <w:szCs w:val="20"/>
        </w:rPr>
      </w:pPr>
    </w:p>
    <w:p w14:paraId="12B0FBF7" w14:textId="77777777" w:rsidR="00EA3507" w:rsidRDefault="00EA3507" w:rsidP="005A778C">
      <w:pPr>
        <w:pStyle w:val="NoSpacing"/>
        <w:rPr>
          <w:rFonts w:ascii="Times New Roman" w:hAnsi="Times New Roman" w:cs="Times New Roman"/>
          <w:b/>
          <w:sz w:val="20"/>
          <w:szCs w:val="20"/>
        </w:rPr>
      </w:pPr>
    </w:p>
    <w:p w14:paraId="2ABEE708" w14:textId="77777777" w:rsidR="00EA3507" w:rsidRDefault="00EA3507" w:rsidP="005A778C">
      <w:pPr>
        <w:pStyle w:val="NoSpacing"/>
        <w:rPr>
          <w:rFonts w:ascii="Times New Roman" w:hAnsi="Times New Roman" w:cs="Times New Roman"/>
          <w:b/>
          <w:sz w:val="20"/>
          <w:szCs w:val="20"/>
        </w:rPr>
      </w:pPr>
    </w:p>
    <w:p w14:paraId="78B1EF80" w14:textId="77777777" w:rsidR="00EA3507" w:rsidRDefault="00EA3507" w:rsidP="005A778C">
      <w:pPr>
        <w:pStyle w:val="NoSpacing"/>
        <w:rPr>
          <w:rFonts w:ascii="Times New Roman" w:hAnsi="Times New Roman" w:cs="Times New Roman"/>
          <w:b/>
          <w:sz w:val="20"/>
          <w:szCs w:val="20"/>
        </w:rPr>
      </w:pPr>
    </w:p>
    <w:p w14:paraId="5D3DFA48" w14:textId="77777777" w:rsidR="00EA3507" w:rsidRDefault="00EA3507" w:rsidP="005A778C">
      <w:pPr>
        <w:pStyle w:val="NoSpacing"/>
        <w:rPr>
          <w:rFonts w:ascii="Times New Roman" w:hAnsi="Times New Roman" w:cs="Times New Roman"/>
          <w:b/>
          <w:sz w:val="20"/>
          <w:szCs w:val="20"/>
        </w:rPr>
      </w:pPr>
    </w:p>
    <w:p w14:paraId="2DB794DE" w14:textId="77777777" w:rsidR="005A778C" w:rsidRDefault="005A778C" w:rsidP="005A778C">
      <w:pPr>
        <w:pStyle w:val="NoSpacing"/>
        <w:rPr>
          <w:rFonts w:ascii="Times New Roman" w:hAnsi="Times New Roman" w:cs="Times New Roman"/>
          <w:b/>
          <w:sz w:val="20"/>
          <w:szCs w:val="20"/>
        </w:rPr>
      </w:pPr>
    </w:p>
    <w:p w14:paraId="76D6D406" w14:textId="77777777" w:rsidR="005A778C" w:rsidRDefault="005A778C" w:rsidP="005A778C">
      <w:pPr>
        <w:pStyle w:val="NoSpacing"/>
        <w:rPr>
          <w:rFonts w:ascii="Times New Roman" w:hAnsi="Times New Roman" w:cs="Times New Roman"/>
          <w:b/>
          <w:sz w:val="20"/>
          <w:szCs w:val="20"/>
        </w:rPr>
      </w:pPr>
    </w:p>
    <w:p w14:paraId="2A90E00B" w14:textId="77777777" w:rsidR="005A778C" w:rsidRDefault="005A778C" w:rsidP="005A778C">
      <w:pPr>
        <w:pStyle w:val="NoSpacing"/>
        <w:rPr>
          <w:rFonts w:ascii="Times New Roman" w:hAnsi="Times New Roman" w:cs="Times New Roman"/>
          <w:b/>
          <w:sz w:val="20"/>
          <w:szCs w:val="20"/>
        </w:rPr>
      </w:pPr>
    </w:p>
    <w:p w14:paraId="12EFD533" w14:textId="77777777" w:rsidR="00DB1C44" w:rsidRDefault="00DB1C44" w:rsidP="005A778C">
      <w:pPr>
        <w:pStyle w:val="NoSpacing"/>
        <w:rPr>
          <w:rFonts w:ascii="Times New Roman" w:hAnsi="Times New Roman" w:cs="Times New Roman"/>
          <w:b/>
          <w:sz w:val="20"/>
          <w:szCs w:val="20"/>
        </w:rPr>
      </w:pPr>
    </w:p>
    <w:p w14:paraId="15D2B8C8" w14:textId="77777777" w:rsidR="00DB1C44" w:rsidRDefault="00DB1C44" w:rsidP="005A778C">
      <w:pPr>
        <w:pStyle w:val="NoSpacing"/>
        <w:rPr>
          <w:rFonts w:ascii="Times New Roman" w:hAnsi="Times New Roman" w:cs="Times New Roman"/>
          <w:b/>
          <w:sz w:val="20"/>
          <w:szCs w:val="20"/>
        </w:rPr>
      </w:pPr>
    </w:p>
    <w:p w14:paraId="50078D6C" w14:textId="77777777" w:rsidR="00DB1C44" w:rsidRDefault="00DB1C44" w:rsidP="005A778C">
      <w:pPr>
        <w:pStyle w:val="NoSpacing"/>
        <w:rPr>
          <w:rFonts w:ascii="Times New Roman" w:hAnsi="Times New Roman" w:cs="Times New Roman"/>
          <w:b/>
          <w:sz w:val="20"/>
          <w:szCs w:val="20"/>
        </w:rPr>
      </w:pPr>
    </w:p>
    <w:p w14:paraId="4CC94DFD" w14:textId="77777777" w:rsidR="00DB1C44" w:rsidRDefault="00DB1C44" w:rsidP="005A778C">
      <w:pPr>
        <w:pStyle w:val="NoSpacing"/>
        <w:rPr>
          <w:rFonts w:ascii="Times New Roman" w:hAnsi="Times New Roman" w:cs="Times New Roman"/>
          <w:b/>
          <w:sz w:val="20"/>
          <w:szCs w:val="20"/>
        </w:rPr>
      </w:pPr>
    </w:p>
    <w:p w14:paraId="61C1B002" w14:textId="77777777" w:rsidR="00DB1C44" w:rsidRDefault="00DB1C44" w:rsidP="005A778C">
      <w:pPr>
        <w:pStyle w:val="NoSpacing"/>
        <w:rPr>
          <w:rFonts w:ascii="Times New Roman" w:hAnsi="Times New Roman" w:cs="Times New Roman"/>
          <w:b/>
          <w:sz w:val="20"/>
          <w:szCs w:val="20"/>
        </w:rPr>
      </w:pPr>
    </w:p>
    <w:p w14:paraId="5E8A3968" w14:textId="77777777" w:rsidR="005A778C" w:rsidRPr="00EA3507" w:rsidRDefault="005A778C" w:rsidP="00EA3507">
      <w:pPr>
        <w:pStyle w:val="Heading1"/>
        <w:rPr>
          <w:rFonts w:ascii="Times New Roman" w:hAnsi="Times New Roman" w:cs="Times New Roman"/>
        </w:rPr>
      </w:pPr>
      <w:bookmarkStart w:id="8" w:name="_Toc445111853"/>
      <w:r w:rsidRPr="00EA3507">
        <w:rPr>
          <w:rFonts w:ascii="Times New Roman" w:hAnsi="Times New Roman" w:cs="Times New Roman"/>
          <w:sz w:val="24"/>
        </w:rPr>
        <w:lastRenderedPageBreak/>
        <w:t>Table 7S: Summary of changes on condom use across PrEP studies</w:t>
      </w:r>
      <w:bookmarkEnd w:id="8"/>
    </w:p>
    <w:tbl>
      <w:tblPr>
        <w:tblStyle w:val="LightList"/>
        <w:tblW w:w="5000" w:type="pct"/>
        <w:tblLook w:val="04A0" w:firstRow="1" w:lastRow="0" w:firstColumn="1" w:lastColumn="0" w:noHBand="0" w:noVBand="1"/>
      </w:tblPr>
      <w:tblGrid>
        <w:gridCol w:w="1415"/>
        <w:gridCol w:w="1929"/>
        <w:gridCol w:w="6232"/>
      </w:tblGrid>
      <w:tr w:rsidR="00DB1C44" w:rsidRPr="00AE5E21" w14:paraId="1AF2047B" w14:textId="77777777" w:rsidTr="003C4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shd w:val="clear" w:color="auto" w:fill="BFBFBF" w:themeFill="background1" w:themeFillShade="BF"/>
          </w:tcPr>
          <w:p w14:paraId="77C92E35" w14:textId="77777777" w:rsidR="00DB1C44" w:rsidRPr="00AE5E21" w:rsidRDefault="00DB1C44" w:rsidP="003C43B0">
            <w:pPr>
              <w:rPr>
                <w:rFonts w:ascii="Times New Roman" w:hAnsi="Times New Roman" w:cs="Times New Roman"/>
                <w:color w:val="auto"/>
                <w:sz w:val="20"/>
                <w:szCs w:val="20"/>
              </w:rPr>
            </w:pPr>
            <w:r w:rsidRPr="00AE5E21">
              <w:rPr>
                <w:rFonts w:ascii="Times New Roman" w:hAnsi="Times New Roman" w:cs="Times New Roman"/>
                <w:color w:val="auto"/>
                <w:sz w:val="20"/>
                <w:szCs w:val="20"/>
              </w:rPr>
              <w:t>Study</w:t>
            </w:r>
          </w:p>
        </w:tc>
        <w:tc>
          <w:tcPr>
            <w:tcW w:w="1059" w:type="pct"/>
            <w:shd w:val="clear" w:color="auto" w:fill="BFBFBF" w:themeFill="background1" w:themeFillShade="BF"/>
          </w:tcPr>
          <w:p w14:paraId="7BFEA8E0" w14:textId="77777777" w:rsidR="00DB1C44" w:rsidRPr="00AE5E21" w:rsidRDefault="00DB1C44" w:rsidP="00DB1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E5E21">
              <w:rPr>
                <w:rFonts w:ascii="Times New Roman" w:hAnsi="Times New Roman" w:cs="Times New Roman"/>
                <w:color w:val="auto"/>
                <w:sz w:val="20"/>
                <w:szCs w:val="20"/>
              </w:rPr>
              <w:t>Behavioral Measure</w:t>
            </w:r>
          </w:p>
        </w:tc>
        <w:tc>
          <w:tcPr>
            <w:tcW w:w="3305" w:type="pct"/>
            <w:shd w:val="clear" w:color="auto" w:fill="BFBFBF" w:themeFill="background1" w:themeFillShade="BF"/>
          </w:tcPr>
          <w:p w14:paraId="73A1A2DE" w14:textId="77777777" w:rsidR="00DB1C44" w:rsidRPr="00AE5E21" w:rsidRDefault="00DB1C44" w:rsidP="003C43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E5E21">
              <w:rPr>
                <w:rFonts w:ascii="Times New Roman" w:hAnsi="Times New Roman" w:cs="Times New Roman"/>
                <w:color w:val="auto"/>
                <w:sz w:val="20"/>
                <w:szCs w:val="20"/>
              </w:rPr>
              <w:t>Outcome</w:t>
            </w:r>
          </w:p>
        </w:tc>
      </w:tr>
      <w:tr w:rsidR="00DB1C44" w:rsidRPr="00AE5E21" w14:paraId="648CFE65"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2F2F2" w:themeFill="background1" w:themeFillShade="F2"/>
          </w:tcPr>
          <w:p w14:paraId="51A29077"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RCTs:  Comparisons between PrEP and placebo groups</w:t>
            </w:r>
          </w:p>
        </w:tc>
      </w:tr>
      <w:tr w:rsidR="00DB1C44" w:rsidRPr="00AE5E21" w14:paraId="51A93812"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10084861"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Fem-PrEP</w:t>
            </w:r>
          </w:p>
        </w:tc>
        <w:tc>
          <w:tcPr>
            <w:tcW w:w="1059" w:type="pct"/>
          </w:tcPr>
          <w:p w14:paraId="28CD62FE"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Sex acts without a condom used </w:t>
            </w:r>
          </w:p>
        </w:tc>
        <w:tc>
          <w:tcPr>
            <w:tcW w:w="3305" w:type="pct"/>
          </w:tcPr>
          <w:p w14:paraId="6A5B7520"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Modest but significant reduction (mean reduction= 0.46; P&lt;0.001) comparing last follow-up visit to 7 days prior to enrollment.</w:t>
            </w:r>
          </w:p>
        </w:tc>
      </w:tr>
      <w:tr w:rsidR="00DB1C44" w:rsidRPr="00AE5E21" w14:paraId="6077DE2A"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tcPr>
          <w:p w14:paraId="63D8F682" w14:textId="77777777" w:rsidR="00DB1C44" w:rsidRPr="00AE5E21" w:rsidRDefault="00DB1C44" w:rsidP="003C43B0">
            <w:pPr>
              <w:rPr>
                <w:rFonts w:ascii="Times New Roman" w:hAnsi="Times New Roman" w:cs="Times New Roman"/>
                <w:sz w:val="20"/>
                <w:szCs w:val="20"/>
              </w:rPr>
            </w:pPr>
            <w:proofErr w:type="spellStart"/>
            <w:r w:rsidRPr="00AE5E21">
              <w:rPr>
                <w:rFonts w:ascii="Times New Roman" w:hAnsi="Times New Roman" w:cs="Times New Roman"/>
                <w:sz w:val="20"/>
                <w:szCs w:val="20"/>
              </w:rPr>
              <w:t>iPrEx</w:t>
            </w:r>
            <w:proofErr w:type="spellEnd"/>
          </w:p>
        </w:tc>
        <w:tc>
          <w:tcPr>
            <w:tcW w:w="1059" w:type="pct"/>
          </w:tcPr>
          <w:p w14:paraId="1575CF9E"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Percent of receptive anal partners with which condoms used</w:t>
            </w:r>
          </w:p>
        </w:tc>
        <w:tc>
          <w:tcPr>
            <w:tcW w:w="3305" w:type="pct"/>
          </w:tcPr>
          <w:p w14:paraId="63AA9393"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Baseline:50.38% in TDF-FTC; 51.04% in placebo</w:t>
            </w:r>
          </w:p>
          <w:p w14:paraId="21EC4A91"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Follow-up (week 132) : 73.98% in TDF-FTC: 83.64% in placebo</w:t>
            </w:r>
          </w:p>
          <w:p w14:paraId="00F56031"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Wald test treatment by visit interaction: p=0.36.</w:t>
            </w:r>
          </w:p>
        </w:tc>
      </w:tr>
      <w:tr w:rsidR="00DB1C44" w:rsidRPr="00AE5E21" w14:paraId="43E901BE"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7192CB18"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Partners PrEP</w:t>
            </w:r>
          </w:p>
        </w:tc>
        <w:tc>
          <w:tcPr>
            <w:tcW w:w="1059" w:type="pct"/>
          </w:tcPr>
          <w:p w14:paraId="27865B38"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Having sex without a condom with HIV-positive partners in prior month</w:t>
            </w:r>
          </w:p>
        </w:tc>
        <w:tc>
          <w:tcPr>
            <w:tcW w:w="3305" w:type="pct"/>
          </w:tcPr>
          <w:p w14:paraId="686644CA"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Baseline: 27% </w:t>
            </w:r>
          </w:p>
          <w:p w14:paraId="3669E43B"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Follow-up (12 months):  13% </w:t>
            </w:r>
          </w:p>
          <w:p w14:paraId="17658606"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Follow-up (24 months): 9% </w:t>
            </w:r>
          </w:p>
          <w:p w14:paraId="2CD35ECF"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(similar across study groups)</w:t>
            </w:r>
          </w:p>
        </w:tc>
      </w:tr>
      <w:tr w:rsidR="00DB1C44" w:rsidRPr="00AE5E21" w14:paraId="104D9F6E"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tcPr>
          <w:p w14:paraId="5CF4A7FE"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TDF2</w:t>
            </w:r>
          </w:p>
        </w:tc>
        <w:tc>
          <w:tcPr>
            <w:tcW w:w="1059" w:type="pct"/>
          </w:tcPr>
          <w:p w14:paraId="30DDB08A"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Protected sex episodes with main/ most recent casual partner</w:t>
            </w:r>
          </w:p>
        </w:tc>
        <w:tc>
          <w:tcPr>
            <w:tcW w:w="3305" w:type="pct"/>
          </w:tcPr>
          <w:p w14:paraId="43CA5BE0"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Similar at enrollment (p=0.66) and remained stable over time</w:t>
            </w:r>
          </w:p>
          <w:p w14:paraId="45336DA0"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TDF-FTC:  81.4% [range, 76.6 to 86.4] </w:t>
            </w:r>
          </w:p>
          <w:p w14:paraId="61017761"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Placebo:  79.2% [range, 71.6 to 87.6]</w:t>
            </w:r>
          </w:p>
        </w:tc>
      </w:tr>
      <w:tr w:rsidR="00DB1C44" w:rsidRPr="00AE5E21" w14:paraId="1216B1D7"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0CE9F49D"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West Africa PrEP Study</w:t>
            </w:r>
          </w:p>
        </w:tc>
        <w:tc>
          <w:tcPr>
            <w:tcW w:w="1059" w:type="pct"/>
          </w:tcPr>
          <w:p w14:paraId="0659E09D"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Condom use at last sex</w:t>
            </w:r>
          </w:p>
        </w:tc>
        <w:tc>
          <w:tcPr>
            <w:tcW w:w="3305" w:type="pct"/>
          </w:tcPr>
          <w:p w14:paraId="410A95A4"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Screening: 52% </w:t>
            </w:r>
          </w:p>
          <w:p w14:paraId="4E1B8DAB"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12-month follow-up: 95% (for acts in past 7 days)</w:t>
            </w:r>
          </w:p>
        </w:tc>
      </w:tr>
      <w:tr w:rsidR="00DB1C44" w:rsidRPr="00AE5E21" w14:paraId="293079AA"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2F2F2" w:themeFill="background1" w:themeFillShade="F2"/>
          </w:tcPr>
          <w:p w14:paraId="0BB13AFC"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RCTs:  Comparisons between PrEP and no PrEP</w:t>
            </w:r>
          </w:p>
        </w:tc>
      </w:tr>
      <w:tr w:rsidR="00DB1C44" w:rsidRPr="00AE5E21" w14:paraId="62EC0F25"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43B8375D"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CDC Safety Study</w:t>
            </w:r>
          </w:p>
        </w:tc>
        <w:tc>
          <w:tcPr>
            <w:tcW w:w="1059" w:type="pct"/>
          </w:tcPr>
          <w:p w14:paraId="0D30C501"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Unprotected Anal Sex (UAS)</w:t>
            </w:r>
          </w:p>
          <w:p w14:paraId="23025F27"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D091FF4"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21BA3BD"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Unprotected anal sex with HIV positive/ unknown status partner (UASPU)</w:t>
            </w:r>
          </w:p>
        </w:tc>
        <w:tc>
          <w:tcPr>
            <w:tcW w:w="3305" w:type="pct"/>
          </w:tcPr>
          <w:p w14:paraId="09656A2C"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•Decrease from baseline: (57%) to months 3–9 (48%, P = 0.001) and months 12–24 (52%, P = 0.03). Change in proportion similar between immediate vs. delayed arms (P=0.15)</w:t>
            </w:r>
          </w:p>
          <w:p w14:paraId="12A6CBAA"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•No statistical difference in UAS episodes between immediate vs. delayed arms during months 3–9 (P = 0.10) and no significant change when delayed group initiated study drug (P = 0.42) </w:t>
            </w:r>
          </w:p>
          <w:p w14:paraId="23DFFCA5"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•Mean UASPU remained stable or decreased during follow-up [2.02 at baseline vs. 1.51 during months 3–9(P = 0.22) and 1.37 during months 12–24 (P = 0.05)]</w:t>
            </w:r>
          </w:p>
        </w:tc>
      </w:tr>
      <w:tr w:rsidR="00DB1C44" w:rsidRPr="00AE5E21" w14:paraId="728E3C01"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tcPr>
          <w:p w14:paraId="150DEA0B"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 xml:space="preserve">Project </w:t>
            </w:r>
            <w:proofErr w:type="spellStart"/>
            <w:r w:rsidRPr="00AE5E21">
              <w:rPr>
                <w:rFonts w:ascii="Times New Roman" w:hAnsi="Times New Roman" w:cs="Times New Roman"/>
                <w:sz w:val="20"/>
                <w:szCs w:val="20"/>
              </w:rPr>
              <w:t>PrEPare</w:t>
            </w:r>
            <w:proofErr w:type="spellEnd"/>
          </w:p>
        </w:tc>
        <w:tc>
          <w:tcPr>
            <w:tcW w:w="1059" w:type="pct"/>
          </w:tcPr>
          <w:p w14:paraId="51D8552D"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Male-to-male unprotected anal sex acts</w:t>
            </w:r>
          </w:p>
        </w:tc>
        <w:tc>
          <w:tcPr>
            <w:tcW w:w="3305" w:type="pct"/>
          </w:tcPr>
          <w:p w14:paraId="73488D7D"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•No significant differences among the 3 treatment groups across visits. </w:t>
            </w:r>
          </w:p>
          <w:p w14:paraId="4168F510"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•Insignificant trend from baseline to week 24 of decreasing unprotected anal sex acts across all treatment arms.</w:t>
            </w:r>
          </w:p>
        </w:tc>
      </w:tr>
      <w:tr w:rsidR="00DB1C44" w:rsidRPr="00AE5E21" w14:paraId="57E61F29"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55A0E05B"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PROUD</w:t>
            </w:r>
          </w:p>
        </w:tc>
        <w:tc>
          <w:tcPr>
            <w:tcW w:w="1059" w:type="pct"/>
          </w:tcPr>
          <w:p w14:paraId="17CBF5C7"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Incident STIs (proxy for unprotected sex)</w:t>
            </w:r>
          </w:p>
        </w:tc>
        <w:tc>
          <w:tcPr>
            <w:tcW w:w="3305" w:type="pct"/>
          </w:tcPr>
          <w:p w14:paraId="06A08A4B"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Proportion with confirmed rectal chlamydia/gonorrhea) was similar in immediate (29%) and delayed (27%) (P=0.50) arms.</w:t>
            </w:r>
          </w:p>
        </w:tc>
      </w:tr>
      <w:tr w:rsidR="00DB1C44" w:rsidRPr="00AE5E21" w14:paraId="4BFB7EFA"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2F2F2" w:themeFill="background1" w:themeFillShade="F2"/>
          </w:tcPr>
          <w:p w14:paraId="32463F69"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Observational studies and RCTs making longitudinal comparisons between pre/post PrEP use</w:t>
            </w:r>
          </w:p>
        </w:tc>
      </w:tr>
      <w:tr w:rsidR="00DB1C44" w:rsidRPr="00AE5E21" w14:paraId="15EA4ABD"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0A4322E0" w14:textId="77777777" w:rsidR="00DB1C44" w:rsidRPr="00AE5E21" w:rsidRDefault="00DB1C44" w:rsidP="003C43B0">
            <w:pPr>
              <w:rPr>
                <w:rFonts w:ascii="Times New Roman" w:hAnsi="Times New Roman" w:cs="Times New Roman"/>
                <w:sz w:val="20"/>
                <w:szCs w:val="20"/>
              </w:rPr>
            </w:pPr>
            <w:proofErr w:type="spellStart"/>
            <w:r w:rsidRPr="00AE5E21">
              <w:rPr>
                <w:rFonts w:ascii="Times New Roman" w:hAnsi="Times New Roman" w:cs="Times New Roman"/>
                <w:sz w:val="20"/>
                <w:szCs w:val="20"/>
              </w:rPr>
              <w:t>iPrEx</w:t>
            </w:r>
            <w:proofErr w:type="spellEnd"/>
            <w:r w:rsidRPr="00AE5E21">
              <w:rPr>
                <w:rFonts w:ascii="Times New Roman" w:hAnsi="Times New Roman" w:cs="Times New Roman"/>
                <w:sz w:val="20"/>
                <w:szCs w:val="20"/>
              </w:rPr>
              <w:t xml:space="preserve"> OLE</w:t>
            </w:r>
          </w:p>
        </w:tc>
        <w:tc>
          <w:tcPr>
            <w:tcW w:w="1059" w:type="pct"/>
          </w:tcPr>
          <w:p w14:paraId="4C9DADFC"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Non-condom receptive anal intercourse </w:t>
            </w:r>
          </w:p>
          <w:p w14:paraId="582888BE"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612C5F4"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Syphilis incidence (proxy for  unprotected sex)</w:t>
            </w:r>
          </w:p>
        </w:tc>
        <w:tc>
          <w:tcPr>
            <w:tcW w:w="3305" w:type="pct"/>
          </w:tcPr>
          <w:p w14:paraId="3940EED1"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•Decreased from 34% (377/1115) to 25% (232/926) among PrEP recipients (p=0</w:t>
            </w:r>
            <w:r w:rsidR="009C229E">
              <w:rPr>
                <w:rFonts w:ascii="Times New Roman" w:hAnsi="Times New Roman" w:cs="Times New Roman"/>
                <w:sz w:val="20"/>
                <w:szCs w:val="20"/>
              </w:rPr>
              <w:t>.</w:t>
            </w:r>
            <w:r w:rsidRPr="00AE5E21">
              <w:rPr>
                <w:rFonts w:ascii="Times New Roman" w:hAnsi="Times New Roman" w:cs="Times New Roman"/>
                <w:sz w:val="20"/>
                <w:szCs w:val="20"/>
              </w:rPr>
              <w:t>006), and from 27% (101/369) to 20% (61/304) among non-recipients (p=0</w:t>
            </w:r>
            <w:r w:rsidR="009C229E">
              <w:rPr>
                <w:rFonts w:ascii="Times New Roman" w:hAnsi="Times New Roman" w:cs="Times New Roman"/>
                <w:sz w:val="20"/>
                <w:szCs w:val="20"/>
              </w:rPr>
              <w:t>.</w:t>
            </w:r>
            <w:r w:rsidRPr="00AE5E21">
              <w:rPr>
                <w:rFonts w:ascii="Times New Roman" w:hAnsi="Times New Roman" w:cs="Times New Roman"/>
                <w:sz w:val="20"/>
                <w:szCs w:val="20"/>
              </w:rPr>
              <w:t>03).</w:t>
            </w:r>
          </w:p>
          <w:p w14:paraId="0B16A537"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•Decreases in non-condom receptive anal intercourse, non-condom </w:t>
            </w:r>
            <w:proofErr w:type="spellStart"/>
            <w:r w:rsidRPr="00AE5E21">
              <w:rPr>
                <w:rFonts w:ascii="Times New Roman" w:hAnsi="Times New Roman" w:cs="Times New Roman"/>
                <w:sz w:val="20"/>
                <w:szCs w:val="20"/>
              </w:rPr>
              <w:t>insertive</w:t>
            </w:r>
            <w:proofErr w:type="spellEnd"/>
            <w:r w:rsidRPr="00AE5E21">
              <w:rPr>
                <w:rFonts w:ascii="Times New Roman" w:hAnsi="Times New Roman" w:cs="Times New Roman"/>
                <w:sz w:val="20"/>
                <w:szCs w:val="20"/>
              </w:rPr>
              <w:t xml:space="preserve"> anal intercourse, were similar across groups (p=0</w:t>
            </w:r>
            <w:r w:rsidR="009C229E">
              <w:rPr>
                <w:rFonts w:ascii="Times New Roman" w:hAnsi="Times New Roman" w:cs="Times New Roman"/>
                <w:sz w:val="20"/>
                <w:szCs w:val="20"/>
              </w:rPr>
              <w:t>.</w:t>
            </w:r>
            <w:r w:rsidRPr="00AE5E21">
              <w:rPr>
                <w:rFonts w:ascii="Times New Roman" w:hAnsi="Times New Roman" w:cs="Times New Roman"/>
                <w:sz w:val="20"/>
                <w:szCs w:val="20"/>
              </w:rPr>
              <w:t>95 and p=0</w:t>
            </w:r>
            <w:r w:rsidR="009C229E">
              <w:rPr>
                <w:rFonts w:ascii="Times New Roman" w:hAnsi="Times New Roman" w:cs="Times New Roman"/>
                <w:sz w:val="20"/>
                <w:szCs w:val="20"/>
              </w:rPr>
              <w:t>.</w:t>
            </w:r>
            <w:r w:rsidRPr="00AE5E21">
              <w:rPr>
                <w:rFonts w:ascii="Times New Roman" w:hAnsi="Times New Roman" w:cs="Times New Roman"/>
                <w:sz w:val="20"/>
                <w:szCs w:val="20"/>
              </w:rPr>
              <w:t>56)</w:t>
            </w:r>
          </w:p>
          <w:p w14:paraId="7ECCE7EC"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•Syphilis incidence was similar among PrEP recipients and non-recipients (7</w:t>
            </w:r>
            <w:r w:rsidR="009C229E">
              <w:rPr>
                <w:rFonts w:ascii="Times New Roman" w:hAnsi="Times New Roman" w:cs="Times New Roman"/>
                <w:sz w:val="20"/>
                <w:szCs w:val="20"/>
              </w:rPr>
              <w:t>.</w:t>
            </w:r>
            <w:r w:rsidRPr="00AE5E21">
              <w:rPr>
                <w:rFonts w:ascii="Times New Roman" w:hAnsi="Times New Roman" w:cs="Times New Roman"/>
                <w:sz w:val="20"/>
                <w:szCs w:val="20"/>
              </w:rPr>
              <w:t>2 infections per 100 patient-years vs 5</w:t>
            </w:r>
            <w:r w:rsidR="009C229E">
              <w:rPr>
                <w:rFonts w:ascii="Times New Roman" w:hAnsi="Times New Roman" w:cs="Times New Roman"/>
                <w:sz w:val="20"/>
                <w:szCs w:val="20"/>
              </w:rPr>
              <w:t>.</w:t>
            </w:r>
            <w:r w:rsidRPr="00AE5E21">
              <w:rPr>
                <w:rFonts w:ascii="Times New Roman" w:hAnsi="Times New Roman" w:cs="Times New Roman"/>
                <w:sz w:val="20"/>
                <w:szCs w:val="20"/>
              </w:rPr>
              <w:t>4 infections per 100 patient-years, HR 1</w:t>
            </w:r>
            <w:r w:rsidR="009C229E">
              <w:rPr>
                <w:rFonts w:ascii="Times New Roman" w:hAnsi="Times New Roman" w:cs="Times New Roman"/>
                <w:sz w:val="20"/>
                <w:szCs w:val="20"/>
              </w:rPr>
              <w:t>.</w:t>
            </w:r>
            <w:r w:rsidRPr="00AE5E21">
              <w:rPr>
                <w:rFonts w:ascii="Times New Roman" w:hAnsi="Times New Roman" w:cs="Times New Roman"/>
                <w:sz w:val="20"/>
                <w:szCs w:val="20"/>
              </w:rPr>
              <w:t>35, 95 CI 0</w:t>
            </w:r>
            <w:r w:rsidR="009C229E">
              <w:rPr>
                <w:rFonts w:ascii="Times New Roman" w:hAnsi="Times New Roman" w:cs="Times New Roman"/>
                <w:sz w:val="20"/>
                <w:szCs w:val="20"/>
              </w:rPr>
              <w:t>.</w:t>
            </w:r>
            <w:r w:rsidRPr="00AE5E21">
              <w:rPr>
                <w:rFonts w:ascii="Times New Roman" w:hAnsi="Times New Roman" w:cs="Times New Roman"/>
                <w:sz w:val="20"/>
                <w:szCs w:val="20"/>
              </w:rPr>
              <w:t>83–2</w:t>
            </w:r>
            <w:r w:rsidR="009C229E">
              <w:rPr>
                <w:rFonts w:ascii="Times New Roman" w:hAnsi="Times New Roman" w:cs="Times New Roman"/>
                <w:sz w:val="20"/>
                <w:szCs w:val="20"/>
              </w:rPr>
              <w:t>.</w:t>
            </w:r>
            <w:r w:rsidRPr="00AE5E21">
              <w:rPr>
                <w:rFonts w:ascii="Times New Roman" w:hAnsi="Times New Roman" w:cs="Times New Roman"/>
                <w:sz w:val="20"/>
                <w:szCs w:val="20"/>
              </w:rPr>
              <w:t>19).</w:t>
            </w:r>
          </w:p>
        </w:tc>
      </w:tr>
      <w:tr w:rsidR="00DB1C44" w:rsidRPr="00AE5E21" w14:paraId="082BB831"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tcPr>
          <w:p w14:paraId="5841EDD4"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 xml:space="preserve">Partners PrEP Study </w:t>
            </w:r>
            <w:proofErr w:type="spellStart"/>
            <w:r w:rsidRPr="00AE5E21">
              <w:rPr>
                <w:rFonts w:ascii="Times New Roman" w:hAnsi="Times New Roman" w:cs="Times New Roman"/>
                <w:sz w:val="20"/>
                <w:szCs w:val="20"/>
              </w:rPr>
              <w:t>Continuation</w:t>
            </w:r>
            <w:r w:rsidRPr="00AE5E21">
              <w:rPr>
                <w:rFonts w:ascii="Times New Roman" w:hAnsi="Times New Roman" w:cs="Times New Roman"/>
                <w:sz w:val="20"/>
                <w:szCs w:val="20"/>
                <w:vertAlign w:val="superscript"/>
              </w:rPr>
              <w:t>a</w:t>
            </w:r>
            <w:proofErr w:type="spellEnd"/>
          </w:p>
        </w:tc>
        <w:tc>
          <w:tcPr>
            <w:tcW w:w="1059" w:type="pct"/>
          </w:tcPr>
          <w:p w14:paraId="744DCE8E"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Unprotected sex</w:t>
            </w:r>
          </w:p>
        </w:tc>
        <w:tc>
          <w:tcPr>
            <w:tcW w:w="3305" w:type="pct"/>
          </w:tcPr>
          <w:p w14:paraId="67FA170B"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•Trend toward decreasing frequency of unprotected sex with study partner during study before unmasking, and after  unmasking no significant changes in the immediate level (p=0∙66) or trend (p=0∙25) of unprotected sex</w:t>
            </w:r>
          </w:p>
          <w:p w14:paraId="0052EBC6"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•Significant increase in frequency of unprotected sex over time with outside partners (p=0∙04). Consequence of this change in trend was a small difference in the estimated vs counterfactual annual average total frequency of unprotected sex acts</w:t>
            </w:r>
          </w:p>
        </w:tc>
      </w:tr>
    </w:tbl>
    <w:p w14:paraId="1045D831" w14:textId="77777777" w:rsidR="005A778C" w:rsidRPr="00014AA9" w:rsidRDefault="005A778C" w:rsidP="005A778C">
      <w:pPr>
        <w:rPr>
          <w:rFonts w:ascii="Times New Roman" w:hAnsi="Times New Roman" w:cs="Times New Roman"/>
          <w:sz w:val="16"/>
          <w:szCs w:val="20"/>
        </w:rPr>
      </w:pPr>
      <w:proofErr w:type="gramStart"/>
      <w:r w:rsidRPr="00014AA9">
        <w:rPr>
          <w:rFonts w:ascii="Times New Roman" w:hAnsi="Times New Roman" w:cs="Times New Roman"/>
          <w:sz w:val="16"/>
          <w:szCs w:val="20"/>
          <w:vertAlign w:val="superscript"/>
        </w:rPr>
        <w:t>a</w:t>
      </w:r>
      <w:proofErr w:type="gramEnd"/>
      <w:r w:rsidRPr="00014AA9">
        <w:rPr>
          <w:rFonts w:ascii="Times New Roman" w:hAnsi="Times New Roman" w:cs="Times New Roman"/>
          <w:sz w:val="16"/>
          <w:szCs w:val="20"/>
        </w:rPr>
        <w:t xml:space="preserve"> Study contains data from placebo-controlled RCT and Continuation Study comparing TDF to FTC/TDF (no placebo)</w:t>
      </w:r>
      <w:r>
        <w:rPr>
          <w:rFonts w:ascii="Times New Roman" w:hAnsi="Times New Roman" w:cs="Times New Roman"/>
          <w:sz w:val="16"/>
          <w:szCs w:val="20"/>
        </w:rPr>
        <w:t>.</w:t>
      </w:r>
    </w:p>
    <w:p w14:paraId="62838DFB" w14:textId="77777777" w:rsidR="005A778C" w:rsidRDefault="005A778C" w:rsidP="005A778C">
      <w:pPr>
        <w:pStyle w:val="NoSpacing"/>
        <w:rPr>
          <w:rFonts w:ascii="Times New Roman" w:hAnsi="Times New Roman" w:cs="Times New Roman"/>
          <w:b/>
          <w:sz w:val="20"/>
          <w:szCs w:val="20"/>
        </w:rPr>
      </w:pPr>
    </w:p>
    <w:p w14:paraId="6BEABDFF" w14:textId="77777777" w:rsidR="005A778C" w:rsidRPr="00EA3507" w:rsidRDefault="005A778C" w:rsidP="00EA3507">
      <w:pPr>
        <w:pStyle w:val="Heading1"/>
        <w:rPr>
          <w:rFonts w:ascii="Times New Roman" w:hAnsi="Times New Roman" w:cs="Times New Roman"/>
          <w:sz w:val="24"/>
        </w:rPr>
      </w:pPr>
      <w:bookmarkStart w:id="9" w:name="_Toc445111854"/>
      <w:r w:rsidRPr="00EA3507">
        <w:rPr>
          <w:rFonts w:ascii="Times New Roman" w:hAnsi="Times New Roman" w:cs="Times New Roman"/>
          <w:sz w:val="24"/>
        </w:rPr>
        <w:lastRenderedPageBreak/>
        <w:t>Table 8S: Summary of changes in number of sexual partners across PrEP studies</w:t>
      </w:r>
      <w:bookmarkEnd w:id="9"/>
    </w:p>
    <w:tbl>
      <w:tblPr>
        <w:tblStyle w:val="LightList"/>
        <w:tblW w:w="5000" w:type="pct"/>
        <w:tblLook w:val="04A0" w:firstRow="1" w:lastRow="0" w:firstColumn="1" w:lastColumn="0" w:noHBand="0" w:noVBand="1"/>
      </w:tblPr>
      <w:tblGrid>
        <w:gridCol w:w="1415"/>
        <w:gridCol w:w="1929"/>
        <w:gridCol w:w="6232"/>
      </w:tblGrid>
      <w:tr w:rsidR="00DB1C44" w:rsidRPr="00AE5E21" w14:paraId="2A93FF98" w14:textId="77777777" w:rsidTr="003C4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shd w:val="clear" w:color="auto" w:fill="BFBFBF" w:themeFill="background1" w:themeFillShade="BF"/>
          </w:tcPr>
          <w:p w14:paraId="2787BFB2" w14:textId="77777777" w:rsidR="00DB1C44" w:rsidRPr="00AE5E21" w:rsidRDefault="00DB1C44" w:rsidP="003C43B0">
            <w:pPr>
              <w:rPr>
                <w:rFonts w:ascii="Times New Roman" w:hAnsi="Times New Roman" w:cs="Times New Roman"/>
                <w:color w:val="auto"/>
                <w:sz w:val="20"/>
                <w:szCs w:val="20"/>
              </w:rPr>
            </w:pPr>
            <w:r w:rsidRPr="00AE5E21">
              <w:rPr>
                <w:rFonts w:ascii="Times New Roman" w:hAnsi="Times New Roman" w:cs="Times New Roman"/>
                <w:color w:val="auto"/>
                <w:sz w:val="20"/>
                <w:szCs w:val="20"/>
              </w:rPr>
              <w:t>Study</w:t>
            </w:r>
          </w:p>
        </w:tc>
        <w:tc>
          <w:tcPr>
            <w:tcW w:w="1059" w:type="pct"/>
            <w:shd w:val="clear" w:color="auto" w:fill="BFBFBF" w:themeFill="background1" w:themeFillShade="BF"/>
          </w:tcPr>
          <w:p w14:paraId="1DD1E469" w14:textId="77777777" w:rsidR="00DB1C44" w:rsidRPr="00AE5E21" w:rsidRDefault="00DB1C44" w:rsidP="00DB1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E5E21">
              <w:rPr>
                <w:rFonts w:ascii="Times New Roman" w:hAnsi="Times New Roman" w:cs="Times New Roman"/>
                <w:color w:val="auto"/>
                <w:sz w:val="20"/>
                <w:szCs w:val="20"/>
              </w:rPr>
              <w:t>Behavioral Measure</w:t>
            </w:r>
          </w:p>
        </w:tc>
        <w:tc>
          <w:tcPr>
            <w:tcW w:w="3305" w:type="pct"/>
            <w:shd w:val="clear" w:color="auto" w:fill="BFBFBF" w:themeFill="background1" w:themeFillShade="BF"/>
          </w:tcPr>
          <w:p w14:paraId="18345455" w14:textId="77777777" w:rsidR="00DB1C44" w:rsidRPr="00AE5E21" w:rsidRDefault="00DB1C44" w:rsidP="003C43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E5E21">
              <w:rPr>
                <w:rFonts w:ascii="Times New Roman" w:hAnsi="Times New Roman" w:cs="Times New Roman"/>
                <w:color w:val="auto"/>
                <w:sz w:val="20"/>
                <w:szCs w:val="20"/>
              </w:rPr>
              <w:t>Outcome</w:t>
            </w:r>
          </w:p>
        </w:tc>
      </w:tr>
      <w:tr w:rsidR="00DB1C44" w:rsidRPr="00AE5E21" w14:paraId="338DA2EC"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2F2F2" w:themeFill="background1" w:themeFillShade="F2"/>
          </w:tcPr>
          <w:p w14:paraId="0AC14556"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RCTs:  Comparisons between PrEP and placebo groups</w:t>
            </w:r>
          </w:p>
        </w:tc>
      </w:tr>
      <w:tr w:rsidR="00DB1C44" w:rsidRPr="00AE5E21" w14:paraId="203F6C4E"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5BB017CB"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Fem-PrEP</w:t>
            </w:r>
          </w:p>
        </w:tc>
        <w:tc>
          <w:tcPr>
            <w:tcW w:w="1059" w:type="pct"/>
          </w:tcPr>
          <w:p w14:paraId="0D8D9B58"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Sex acts without a condom used </w:t>
            </w:r>
          </w:p>
        </w:tc>
        <w:tc>
          <w:tcPr>
            <w:tcW w:w="3305" w:type="pct"/>
          </w:tcPr>
          <w:p w14:paraId="0C8D3538"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Modest but significant reduction (mean reduction= 0.46; P&lt;0.001) comparing last follow-up visit to 7 days prior to enrollment.</w:t>
            </w:r>
          </w:p>
        </w:tc>
      </w:tr>
      <w:tr w:rsidR="00DB1C44" w:rsidRPr="00AE5E21" w14:paraId="485A7CE9"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tcPr>
          <w:p w14:paraId="3C2AA056" w14:textId="77777777" w:rsidR="00DB1C44" w:rsidRPr="00AE5E21" w:rsidRDefault="00DB1C44" w:rsidP="003C43B0">
            <w:pPr>
              <w:rPr>
                <w:rFonts w:ascii="Times New Roman" w:hAnsi="Times New Roman" w:cs="Times New Roman"/>
                <w:sz w:val="20"/>
                <w:szCs w:val="20"/>
              </w:rPr>
            </w:pPr>
            <w:proofErr w:type="spellStart"/>
            <w:r w:rsidRPr="00AE5E21">
              <w:rPr>
                <w:rFonts w:ascii="Times New Roman" w:hAnsi="Times New Roman" w:cs="Times New Roman"/>
                <w:sz w:val="20"/>
                <w:szCs w:val="20"/>
              </w:rPr>
              <w:t>iPrEx</w:t>
            </w:r>
            <w:proofErr w:type="spellEnd"/>
          </w:p>
        </w:tc>
        <w:tc>
          <w:tcPr>
            <w:tcW w:w="1059" w:type="pct"/>
          </w:tcPr>
          <w:p w14:paraId="4A55DF54"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Percent of receptive anal partners with which condoms used</w:t>
            </w:r>
          </w:p>
        </w:tc>
        <w:tc>
          <w:tcPr>
            <w:tcW w:w="3305" w:type="pct"/>
          </w:tcPr>
          <w:p w14:paraId="5B657C6B"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Baseline:50.38% in TDF-FTC; 51.04% in placebo</w:t>
            </w:r>
          </w:p>
          <w:p w14:paraId="5F630C15"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Follow-up (week 132) : 73.98% in TDF-FTC: 83.64% in placebo</w:t>
            </w:r>
          </w:p>
          <w:p w14:paraId="75D35B17"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Wald test treatment by visit interaction: p=0.36.</w:t>
            </w:r>
          </w:p>
        </w:tc>
      </w:tr>
      <w:tr w:rsidR="00DB1C44" w:rsidRPr="00AE5E21" w14:paraId="3320CE0F"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5276E4B7"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Partners PrEP</w:t>
            </w:r>
          </w:p>
        </w:tc>
        <w:tc>
          <w:tcPr>
            <w:tcW w:w="1059" w:type="pct"/>
          </w:tcPr>
          <w:p w14:paraId="363113CD"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Having sex without a condom with HIV-positive partners in prior month</w:t>
            </w:r>
          </w:p>
        </w:tc>
        <w:tc>
          <w:tcPr>
            <w:tcW w:w="3305" w:type="pct"/>
          </w:tcPr>
          <w:p w14:paraId="13D178B7"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Baseline: 27% </w:t>
            </w:r>
          </w:p>
          <w:p w14:paraId="6610C4C4"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Follow-up (12 months):  13% </w:t>
            </w:r>
          </w:p>
          <w:p w14:paraId="2C598D90"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Follow-up (24 months): 9% </w:t>
            </w:r>
          </w:p>
          <w:p w14:paraId="0298988B"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(similar across study groups)</w:t>
            </w:r>
          </w:p>
        </w:tc>
      </w:tr>
      <w:tr w:rsidR="00DB1C44" w:rsidRPr="00AE5E21" w14:paraId="447C7AF5"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tcPr>
          <w:p w14:paraId="0C8DECD2"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TDF2</w:t>
            </w:r>
          </w:p>
        </w:tc>
        <w:tc>
          <w:tcPr>
            <w:tcW w:w="1059" w:type="pct"/>
          </w:tcPr>
          <w:p w14:paraId="3BC2F6D3"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Protected sex episodes with main/ most recent casual partner</w:t>
            </w:r>
          </w:p>
        </w:tc>
        <w:tc>
          <w:tcPr>
            <w:tcW w:w="3305" w:type="pct"/>
          </w:tcPr>
          <w:p w14:paraId="4183E1E1"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Similar at enrollment (p=0.66) and remained stable over time</w:t>
            </w:r>
          </w:p>
          <w:p w14:paraId="7B7D5DC9"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TDF-FTC:  81.4% [range, 76.6 to 86.4] </w:t>
            </w:r>
          </w:p>
          <w:p w14:paraId="1383DB30"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Placebo:  79.2% [range, 71.6 to 87.6]</w:t>
            </w:r>
          </w:p>
        </w:tc>
      </w:tr>
      <w:tr w:rsidR="00DB1C44" w:rsidRPr="00AE5E21" w14:paraId="609217BB"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7685DD85"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West Africa PrEP Study</w:t>
            </w:r>
          </w:p>
        </w:tc>
        <w:tc>
          <w:tcPr>
            <w:tcW w:w="1059" w:type="pct"/>
          </w:tcPr>
          <w:p w14:paraId="08903354"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Condom use at last sex</w:t>
            </w:r>
          </w:p>
        </w:tc>
        <w:tc>
          <w:tcPr>
            <w:tcW w:w="3305" w:type="pct"/>
          </w:tcPr>
          <w:p w14:paraId="1F0DC24F"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Screening: 52% </w:t>
            </w:r>
          </w:p>
          <w:p w14:paraId="6DE40B4A"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12-month follow-up: 95% (for acts in past 7 days)</w:t>
            </w:r>
          </w:p>
        </w:tc>
      </w:tr>
      <w:tr w:rsidR="00DB1C44" w:rsidRPr="00AE5E21" w14:paraId="65501B9C"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2F2F2" w:themeFill="background1" w:themeFillShade="F2"/>
          </w:tcPr>
          <w:p w14:paraId="5FA558E4"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RCTs:  Comparisons between PrEP and no PrEP</w:t>
            </w:r>
          </w:p>
        </w:tc>
      </w:tr>
      <w:tr w:rsidR="00DB1C44" w:rsidRPr="00AE5E21" w14:paraId="6C641C84"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4D402862"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CDC Safety Study</w:t>
            </w:r>
          </w:p>
        </w:tc>
        <w:tc>
          <w:tcPr>
            <w:tcW w:w="1059" w:type="pct"/>
          </w:tcPr>
          <w:p w14:paraId="315A02FB"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Unprotected Anal Sex (UAS)</w:t>
            </w:r>
          </w:p>
          <w:p w14:paraId="653126AE"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A5D6B3"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A2A63AC"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Unprotected anal sex with HIV positive/ unknown status partner (UASPU)</w:t>
            </w:r>
          </w:p>
        </w:tc>
        <w:tc>
          <w:tcPr>
            <w:tcW w:w="3305" w:type="pct"/>
          </w:tcPr>
          <w:p w14:paraId="273EA4BD"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•Decrease from baseline: (57%) to months 3–9 (48%, P = 0.001) and months 12–24 (52%, P = 0.03). Change in proportion similar between immediate vs. delayed arms (P=0.15)</w:t>
            </w:r>
          </w:p>
          <w:p w14:paraId="2942A5AD"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•No statistical difference in UAS episodes between immediate vs. delayed arms during months 3–9 (P = 0.10) and no significant change when delayed group initiated study drug (P = 0.42) </w:t>
            </w:r>
          </w:p>
          <w:p w14:paraId="7CDAAE78"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•Mean UASPU remained stable or decreased during follow-up [2.02 at baseline vs. 1.51 during months 3–9(P = 0.22) and 1.37 during months 12–24 (P = 0.05)]</w:t>
            </w:r>
          </w:p>
        </w:tc>
      </w:tr>
      <w:tr w:rsidR="00DB1C44" w:rsidRPr="00AE5E21" w14:paraId="27D2CD02"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tcPr>
          <w:p w14:paraId="57A6D595"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 xml:space="preserve">Project </w:t>
            </w:r>
            <w:proofErr w:type="spellStart"/>
            <w:r w:rsidRPr="00AE5E21">
              <w:rPr>
                <w:rFonts w:ascii="Times New Roman" w:hAnsi="Times New Roman" w:cs="Times New Roman"/>
                <w:sz w:val="20"/>
                <w:szCs w:val="20"/>
              </w:rPr>
              <w:t>PrEPare</w:t>
            </w:r>
            <w:proofErr w:type="spellEnd"/>
          </w:p>
        </w:tc>
        <w:tc>
          <w:tcPr>
            <w:tcW w:w="1059" w:type="pct"/>
          </w:tcPr>
          <w:p w14:paraId="365CA90B"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Male-to-male unprotected anal sex acts</w:t>
            </w:r>
          </w:p>
        </w:tc>
        <w:tc>
          <w:tcPr>
            <w:tcW w:w="3305" w:type="pct"/>
          </w:tcPr>
          <w:p w14:paraId="1BCDE4C3"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•No significant differences among the 3 treatment groups across visits. </w:t>
            </w:r>
          </w:p>
          <w:p w14:paraId="44CDD78B"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•Insignificant trend from baseline to week 24 of decreasing unprotected anal sex acts across all treatment arms.</w:t>
            </w:r>
          </w:p>
        </w:tc>
      </w:tr>
      <w:tr w:rsidR="00DB1C44" w:rsidRPr="00AE5E21" w14:paraId="1CF580FE"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5D0F9393"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PROUD</w:t>
            </w:r>
          </w:p>
        </w:tc>
        <w:tc>
          <w:tcPr>
            <w:tcW w:w="1059" w:type="pct"/>
          </w:tcPr>
          <w:p w14:paraId="399D640A"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Incident STIs (proxy for unprotected sex)</w:t>
            </w:r>
          </w:p>
        </w:tc>
        <w:tc>
          <w:tcPr>
            <w:tcW w:w="3305" w:type="pct"/>
          </w:tcPr>
          <w:p w14:paraId="6613B437"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Proportion with confirmed rectal chlamydia/gonorrhea) was similar in immediate (29%) and delayed (27%) (P=0.50) arms.</w:t>
            </w:r>
          </w:p>
        </w:tc>
      </w:tr>
      <w:tr w:rsidR="00DB1C44" w:rsidRPr="00AE5E21" w14:paraId="03A55937"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2F2F2" w:themeFill="background1" w:themeFillShade="F2"/>
          </w:tcPr>
          <w:p w14:paraId="1162500A"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Observational studies and RCTs making longitudinal comparisons between pre/post PrEP use</w:t>
            </w:r>
          </w:p>
        </w:tc>
      </w:tr>
      <w:tr w:rsidR="00DB1C44" w:rsidRPr="00AE5E21" w14:paraId="7BFB07CC" w14:textId="77777777" w:rsidTr="003C43B0">
        <w:tc>
          <w:tcPr>
            <w:cnfStyle w:val="001000000000" w:firstRow="0" w:lastRow="0" w:firstColumn="1" w:lastColumn="0" w:oddVBand="0" w:evenVBand="0" w:oddHBand="0" w:evenHBand="0" w:firstRowFirstColumn="0" w:firstRowLastColumn="0" w:lastRowFirstColumn="0" w:lastRowLastColumn="0"/>
            <w:tcW w:w="636" w:type="pct"/>
          </w:tcPr>
          <w:p w14:paraId="795C54B0" w14:textId="77777777" w:rsidR="00DB1C44" w:rsidRPr="00AE5E21" w:rsidRDefault="00DB1C44" w:rsidP="003C43B0">
            <w:pPr>
              <w:rPr>
                <w:rFonts w:ascii="Times New Roman" w:hAnsi="Times New Roman" w:cs="Times New Roman"/>
                <w:sz w:val="20"/>
                <w:szCs w:val="20"/>
              </w:rPr>
            </w:pPr>
            <w:proofErr w:type="spellStart"/>
            <w:r w:rsidRPr="00AE5E21">
              <w:rPr>
                <w:rFonts w:ascii="Times New Roman" w:hAnsi="Times New Roman" w:cs="Times New Roman"/>
                <w:sz w:val="20"/>
                <w:szCs w:val="20"/>
              </w:rPr>
              <w:t>iPrEx</w:t>
            </w:r>
            <w:proofErr w:type="spellEnd"/>
            <w:r w:rsidRPr="00AE5E21">
              <w:rPr>
                <w:rFonts w:ascii="Times New Roman" w:hAnsi="Times New Roman" w:cs="Times New Roman"/>
                <w:sz w:val="20"/>
                <w:szCs w:val="20"/>
              </w:rPr>
              <w:t xml:space="preserve"> OLE</w:t>
            </w:r>
          </w:p>
        </w:tc>
        <w:tc>
          <w:tcPr>
            <w:tcW w:w="1059" w:type="pct"/>
          </w:tcPr>
          <w:p w14:paraId="6629EF9A"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Non-condom receptive anal intercourse </w:t>
            </w:r>
          </w:p>
          <w:p w14:paraId="71D9D6F6"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D188A69"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Syphilis incidence (proxy for  unprotected sex)</w:t>
            </w:r>
          </w:p>
        </w:tc>
        <w:tc>
          <w:tcPr>
            <w:tcW w:w="3305" w:type="pct"/>
          </w:tcPr>
          <w:p w14:paraId="4182BF7A"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•Decreased from 34% (377/1115) to 25% (232/926) among PrEP recipients (p=0</w:t>
            </w:r>
            <w:r w:rsidR="009C229E">
              <w:rPr>
                <w:rFonts w:ascii="Times New Roman" w:hAnsi="Times New Roman" w:cs="Times New Roman"/>
                <w:sz w:val="20"/>
                <w:szCs w:val="20"/>
              </w:rPr>
              <w:t>.</w:t>
            </w:r>
            <w:r w:rsidRPr="00AE5E21">
              <w:rPr>
                <w:rFonts w:ascii="Times New Roman" w:hAnsi="Times New Roman" w:cs="Times New Roman"/>
                <w:sz w:val="20"/>
                <w:szCs w:val="20"/>
              </w:rPr>
              <w:t>006), and from 27% (101/369) to 20% (61/304) among non-recipients (p=0</w:t>
            </w:r>
            <w:r w:rsidR="009C229E">
              <w:rPr>
                <w:rFonts w:ascii="Times New Roman" w:hAnsi="Times New Roman" w:cs="Times New Roman"/>
                <w:sz w:val="20"/>
                <w:szCs w:val="20"/>
              </w:rPr>
              <w:t>.</w:t>
            </w:r>
            <w:r w:rsidRPr="00AE5E21">
              <w:rPr>
                <w:rFonts w:ascii="Times New Roman" w:hAnsi="Times New Roman" w:cs="Times New Roman"/>
                <w:sz w:val="20"/>
                <w:szCs w:val="20"/>
              </w:rPr>
              <w:t>03).</w:t>
            </w:r>
          </w:p>
          <w:p w14:paraId="4FF88349"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•Decreases in non-condom receptive anal intercourse, non-condom </w:t>
            </w:r>
            <w:proofErr w:type="spellStart"/>
            <w:r w:rsidRPr="00AE5E21">
              <w:rPr>
                <w:rFonts w:ascii="Times New Roman" w:hAnsi="Times New Roman" w:cs="Times New Roman"/>
                <w:sz w:val="20"/>
                <w:szCs w:val="20"/>
              </w:rPr>
              <w:t>insertive</w:t>
            </w:r>
            <w:proofErr w:type="spellEnd"/>
            <w:r w:rsidRPr="00AE5E21">
              <w:rPr>
                <w:rFonts w:ascii="Times New Roman" w:hAnsi="Times New Roman" w:cs="Times New Roman"/>
                <w:sz w:val="20"/>
                <w:szCs w:val="20"/>
              </w:rPr>
              <w:t xml:space="preserve"> anal intercourse, were similar across groups (p=0</w:t>
            </w:r>
            <w:r w:rsidR="009C229E">
              <w:rPr>
                <w:rFonts w:ascii="Times New Roman" w:hAnsi="Times New Roman" w:cs="Times New Roman"/>
                <w:sz w:val="20"/>
                <w:szCs w:val="20"/>
              </w:rPr>
              <w:t>.</w:t>
            </w:r>
            <w:r w:rsidRPr="00AE5E21">
              <w:rPr>
                <w:rFonts w:ascii="Times New Roman" w:hAnsi="Times New Roman" w:cs="Times New Roman"/>
                <w:sz w:val="20"/>
                <w:szCs w:val="20"/>
              </w:rPr>
              <w:t>95 and p=0</w:t>
            </w:r>
            <w:r w:rsidR="009C229E">
              <w:rPr>
                <w:rFonts w:ascii="Times New Roman" w:hAnsi="Times New Roman" w:cs="Times New Roman"/>
                <w:sz w:val="20"/>
                <w:szCs w:val="20"/>
              </w:rPr>
              <w:t>.</w:t>
            </w:r>
            <w:r w:rsidRPr="00AE5E21">
              <w:rPr>
                <w:rFonts w:ascii="Times New Roman" w:hAnsi="Times New Roman" w:cs="Times New Roman"/>
                <w:sz w:val="20"/>
                <w:szCs w:val="20"/>
              </w:rPr>
              <w:t>56)</w:t>
            </w:r>
          </w:p>
          <w:p w14:paraId="0BD16ACE" w14:textId="77777777" w:rsidR="00DB1C44" w:rsidRPr="00AE5E21" w:rsidRDefault="00DB1C44" w:rsidP="003C4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•Syphilis incidence was similar among PrEP recipients and non-recipients (7</w:t>
            </w:r>
            <w:r w:rsidR="009C229E">
              <w:rPr>
                <w:rFonts w:ascii="Times New Roman" w:hAnsi="Times New Roman" w:cs="Times New Roman"/>
                <w:sz w:val="20"/>
                <w:szCs w:val="20"/>
              </w:rPr>
              <w:t>.</w:t>
            </w:r>
            <w:r w:rsidRPr="00AE5E21">
              <w:rPr>
                <w:rFonts w:ascii="Times New Roman" w:hAnsi="Times New Roman" w:cs="Times New Roman"/>
                <w:sz w:val="20"/>
                <w:szCs w:val="20"/>
              </w:rPr>
              <w:t>2 infections per 100 patient-years vs 5</w:t>
            </w:r>
            <w:r w:rsidR="009C229E">
              <w:rPr>
                <w:rFonts w:ascii="Times New Roman" w:hAnsi="Times New Roman" w:cs="Times New Roman"/>
                <w:sz w:val="20"/>
                <w:szCs w:val="20"/>
              </w:rPr>
              <w:t>.</w:t>
            </w:r>
            <w:r w:rsidRPr="00AE5E21">
              <w:rPr>
                <w:rFonts w:ascii="Times New Roman" w:hAnsi="Times New Roman" w:cs="Times New Roman"/>
                <w:sz w:val="20"/>
                <w:szCs w:val="20"/>
              </w:rPr>
              <w:t>4 infections per 100 patient-years, HR 1</w:t>
            </w:r>
            <w:r w:rsidR="009C229E">
              <w:rPr>
                <w:rFonts w:ascii="Times New Roman" w:hAnsi="Times New Roman" w:cs="Times New Roman"/>
                <w:sz w:val="20"/>
                <w:szCs w:val="20"/>
              </w:rPr>
              <w:t>.</w:t>
            </w:r>
            <w:r w:rsidRPr="00AE5E21">
              <w:rPr>
                <w:rFonts w:ascii="Times New Roman" w:hAnsi="Times New Roman" w:cs="Times New Roman"/>
                <w:sz w:val="20"/>
                <w:szCs w:val="20"/>
              </w:rPr>
              <w:t>35, 95 CI 0</w:t>
            </w:r>
            <w:r w:rsidR="009C229E">
              <w:rPr>
                <w:rFonts w:ascii="Times New Roman" w:hAnsi="Times New Roman" w:cs="Times New Roman"/>
                <w:sz w:val="20"/>
                <w:szCs w:val="20"/>
              </w:rPr>
              <w:t>.</w:t>
            </w:r>
            <w:r w:rsidRPr="00AE5E21">
              <w:rPr>
                <w:rFonts w:ascii="Times New Roman" w:hAnsi="Times New Roman" w:cs="Times New Roman"/>
                <w:sz w:val="20"/>
                <w:szCs w:val="20"/>
              </w:rPr>
              <w:t>83–2</w:t>
            </w:r>
            <w:r w:rsidR="009C229E">
              <w:rPr>
                <w:rFonts w:ascii="Times New Roman" w:hAnsi="Times New Roman" w:cs="Times New Roman"/>
                <w:sz w:val="20"/>
                <w:szCs w:val="20"/>
              </w:rPr>
              <w:t>.</w:t>
            </w:r>
            <w:r w:rsidRPr="00AE5E21">
              <w:rPr>
                <w:rFonts w:ascii="Times New Roman" w:hAnsi="Times New Roman" w:cs="Times New Roman"/>
                <w:sz w:val="20"/>
                <w:szCs w:val="20"/>
              </w:rPr>
              <w:t>19).</w:t>
            </w:r>
          </w:p>
        </w:tc>
      </w:tr>
      <w:tr w:rsidR="00DB1C44" w:rsidRPr="00AE5E21" w14:paraId="6EAF2DE4" w14:textId="77777777" w:rsidTr="003C4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tcPr>
          <w:p w14:paraId="68670854" w14:textId="77777777" w:rsidR="00DB1C44" w:rsidRPr="00AE5E21" w:rsidRDefault="00DB1C44" w:rsidP="003C43B0">
            <w:pPr>
              <w:rPr>
                <w:rFonts w:ascii="Times New Roman" w:hAnsi="Times New Roman" w:cs="Times New Roman"/>
                <w:sz w:val="20"/>
                <w:szCs w:val="20"/>
              </w:rPr>
            </w:pPr>
            <w:r w:rsidRPr="00AE5E21">
              <w:rPr>
                <w:rFonts w:ascii="Times New Roman" w:hAnsi="Times New Roman" w:cs="Times New Roman"/>
                <w:sz w:val="20"/>
                <w:szCs w:val="20"/>
              </w:rPr>
              <w:t xml:space="preserve">Partners PrEP Study </w:t>
            </w:r>
            <w:proofErr w:type="spellStart"/>
            <w:r w:rsidRPr="00AE5E21">
              <w:rPr>
                <w:rFonts w:ascii="Times New Roman" w:hAnsi="Times New Roman" w:cs="Times New Roman"/>
                <w:sz w:val="20"/>
                <w:szCs w:val="20"/>
              </w:rPr>
              <w:t>Continuation</w:t>
            </w:r>
            <w:r w:rsidRPr="00AE5E21">
              <w:rPr>
                <w:rFonts w:ascii="Times New Roman" w:hAnsi="Times New Roman" w:cs="Times New Roman"/>
                <w:sz w:val="20"/>
                <w:szCs w:val="20"/>
                <w:vertAlign w:val="superscript"/>
              </w:rPr>
              <w:t>a</w:t>
            </w:r>
            <w:proofErr w:type="spellEnd"/>
          </w:p>
        </w:tc>
        <w:tc>
          <w:tcPr>
            <w:tcW w:w="1059" w:type="pct"/>
          </w:tcPr>
          <w:p w14:paraId="53B77C05"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Unprotected sex</w:t>
            </w:r>
          </w:p>
        </w:tc>
        <w:tc>
          <w:tcPr>
            <w:tcW w:w="3305" w:type="pct"/>
          </w:tcPr>
          <w:p w14:paraId="411DAF2C"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•Trend toward decreasing frequency of unprotected sex with study partner during study before unmasking, and after  unmasking no significant chan</w:t>
            </w:r>
            <w:r w:rsidR="009C229E">
              <w:rPr>
                <w:rFonts w:ascii="Times New Roman" w:hAnsi="Times New Roman" w:cs="Times New Roman"/>
                <w:sz w:val="20"/>
                <w:szCs w:val="20"/>
              </w:rPr>
              <w:t>ges in the immediate level (p=0.</w:t>
            </w:r>
            <w:r w:rsidRPr="00AE5E21">
              <w:rPr>
                <w:rFonts w:ascii="Times New Roman" w:hAnsi="Times New Roman" w:cs="Times New Roman"/>
                <w:sz w:val="20"/>
                <w:szCs w:val="20"/>
              </w:rPr>
              <w:t>66) or trend (p=0</w:t>
            </w:r>
            <w:r w:rsidR="009C229E">
              <w:rPr>
                <w:rFonts w:ascii="Times New Roman" w:hAnsi="Times New Roman" w:cs="Times New Roman"/>
                <w:sz w:val="20"/>
                <w:szCs w:val="20"/>
              </w:rPr>
              <w:t>.</w:t>
            </w:r>
            <w:r w:rsidRPr="00AE5E21">
              <w:rPr>
                <w:rFonts w:ascii="Times New Roman" w:hAnsi="Times New Roman" w:cs="Times New Roman"/>
                <w:sz w:val="20"/>
                <w:szCs w:val="20"/>
              </w:rPr>
              <w:t>25) of unprotected sex</w:t>
            </w:r>
          </w:p>
          <w:p w14:paraId="2AD5FF48" w14:textId="77777777" w:rsidR="00DB1C44" w:rsidRPr="00AE5E21" w:rsidRDefault="00DB1C44" w:rsidP="003C4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E5E21">
              <w:rPr>
                <w:rFonts w:ascii="Times New Roman" w:hAnsi="Times New Roman" w:cs="Times New Roman"/>
                <w:sz w:val="20"/>
                <w:szCs w:val="20"/>
              </w:rPr>
              <w:t xml:space="preserve">•Significant increase in frequency of unprotected sex over </w:t>
            </w:r>
            <w:r w:rsidR="009C229E">
              <w:rPr>
                <w:rFonts w:ascii="Times New Roman" w:hAnsi="Times New Roman" w:cs="Times New Roman"/>
                <w:sz w:val="20"/>
                <w:szCs w:val="20"/>
              </w:rPr>
              <w:t>time with outside partners (p=0.</w:t>
            </w:r>
            <w:r w:rsidRPr="00AE5E21">
              <w:rPr>
                <w:rFonts w:ascii="Times New Roman" w:hAnsi="Times New Roman" w:cs="Times New Roman"/>
                <w:sz w:val="20"/>
                <w:szCs w:val="20"/>
              </w:rPr>
              <w:t>04). Consequence of this change in trend was a small difference in the estimated vs counterfactual annual average total frequency of unprotected sex acts</w:t>
            </w:r>
          </w:p>
        </w:tc>
      </w:tr>
    </w:tbl>
    <w:p w14:paraId="518081A2" w14:textId="77777777" w:rsidR="005A778C" w:rsidRDefault="005A778C">
      <w:pPr>
        <w:rPr>
          <w:rFonts w:ascii="Times New Roman" w:hAnsi="Times New Roman" w:cs="Times New Roman"/>
          <w:sz w:val="16"/>
          <w:szCs w:val="20"/>
        </w:rPr>
      </w:pPr>
      <w:proofErr w:type="gramStart"/>
      <w:r w:rsidRPr="00014AA9">
        <w:rPr>
          <w:rFonts w:ascii="Times New Roman" w:hAnsi="Times New Roman" w:cs="Times New Roman"/>
          <w:sz w:val="16"/>
          <w:szCs w:val="20"/>
          <w:vertAlign w:val="superscript"/>
        </w:rPr>
        <w:t>a</w:t>
      </w:r>
      <w:proofErr w:type="gramEnd"/>
      <w:r w:rsidRPr="00014AA9">
        <w:rPr>
          <w:rFonts w:ascii="Times New Roman" w:hAnsi="Times New Roman" w:cs="Times New Roman"/>
          <w:sz w:val="16"/>
          <w:szCs w:val="20"/>
        </w:rPr>
        <w:t xml:space="preserve"> Study contains data from placebo-controlled RCT and Continuation Study comparing TDF to FTC/TDF (no placebo)</w:t>
      </w:r>
      <w:r>
        <w:rPr>
          <w:rFonts w:ascii="Times New Roman" w:hAnsi="Times New Roman" w:cs="Times New Roman"/>
          <w:sz w:val="16"/>
          <w:szCs w:val="20"/>
        </w:rPr>
        <w:t>.</w:t>
      </w:r>
    </w:p>
    <w:p w14:paraId="49F9FCCB" w14:textId="77777777" w:rsidR="00EA3507" w:rsidRDefault="00EA3507">
      <w:pPr>
        <w:rPr>
          <w:rFonts w:ascii="Times New Roman" w:hAnsi="Times New Roman" w:cs="Times New Roman"/>
          <w:sz w:val="16"/>
          <w:szCs w:val="20"/>
        </w:rPr>
      </w:pPr>
    </w:p>
    <w:p w14:paraId="1663C287" w14:textId="77777777" w:rsidR="00EA3507" w:rsidRPr="003C43B0" w:rsidRDefault="00EA3507" w:rsidP="00EA3507">
      <w:pPr>
        <w:pStyle w:val="Heading1"/>
        <w:rPr>
          <w:rFonts w:ascii="Times New Roman" w:hAnsi="Times New Roman" w:cs="Times New Roman"/>
          <w:sz w:val="24"/>
        </w:rPr>
      </w:pPr>
      <w:bookmarkStart w:id="10" w:name="_Toc445111855"/>
      <w:proofErr w:type="gramStart"/>
      <w:r>
        <w:rPr>
          <w:rFonts w:ascii="Times New Roman" w:hAnsi="Times New Roman" w:cs="Times New Roman"/>
          <w:sz w:val="24"/>
        </w:rPr>
        <w:lastRenderedPageBreak/>
        <w:t>Table 9</w:t>
      </w:r>
      <w:r w:rsidR="001F68C2">
        <w:rPr>
          <w:rFonts w:ascii="Times New Roman" w:hAnsi="Times New Roman" w:cs="Times New Roman"/>
          <w:sz w:val="24"/>
        </w:rPr>
        <w:t>S</w:t>
      </w:r>
      <w:r>
        <w:rPr>
          <w:rFonts w:ascii="Times New Roman" w:hAnsi="Times New Roman" w:cs="Times New Roman"/>
          <w:sz w:val="24"/>
        </w:rPr>
        <w:t>.</w:t>
      </w:r>
      <w:proofErr w:type="gramEnd"/>
      <w:r>
        <w:rPr>
          <w:rFonts w:ascii="Times New Roman" w:hAnsi="Times New Roman" w:cs="Times New Roman"/>
          <w:sz w:val="24"/>
        </w:rPr>
        <w:t xml:space="preserve"> </w:t>
      </w:r>
      <w:r w:rsidRPr="003C43B0">
        <w:rPr>
          <w:rFonts w:ascii="Times New Roman" w:hAnsi="Times New Roman" w:cs="Times New Roman"/>
          <w:sz w:val="24"/>
        </w:rPr>
        <w:t xml:space="preserve">Drug detection among </w:t>
      </w:r>
      <w:proofErr w:type="spellStart"/>
      <w:r w:rsidRPr="003C43B0">
        <w:rPr>
          <w:rFonts w:ascii="Times New Roman" w:hAnsi="Times New Roman" w:cs="Times New Roman"/>
          <w:sz w:val="24"/>
        </w:rPr>
        <w:t>seroconverters</w:t>
      </w:r>
      <w:proofErr w:type="spellEnd"/>
      <w:r w:rsidRPr="003C43B0">
        <w:rPr>
          <w:rFonts w:ascii="Times New Roman" w:hAnsi="Times New Roman" w:cs="Times New Roman"/>
          <w:sz w:val="24"/>
        </w:rPr>
        <w:t xml:space="preserve"> and HIV-negative controls randomized to active study drug</w:t>
      </w:r>
      <w:bookmarkEnd w:id="10"/>
    </w:p>
    <w:tbl>
      <w:tblPr>
        <w:tblStyle w:val="TableGrid"/>
        <w:tblW w:w="10008" w:type="dxa"/>
        <w:tblLook w:val="04A0" w:firstRow="1" w:lastRow="0" w:firstColumn="1" w:lastColumn="0" w:noHBand="0" w:noVBand="1"/>
      </w:tblPr>
      <w:tblGrid>
        <w:gridCol w:w="1458"/>
        <w:gridCol w:w="2250"/>
        <w:gridCol w:w="1890"/>
        <w:gridCol w:w="2340"/>
        <w:gridCol w:w="2070"/>
      </w:tblGrid>
      <w:tr w:rsidR="00523DDD" w:rsidRPr="001669FD" w14:paraId="17589CD4" w14:textId="77777777" w:rsidTr="007A0082">
        <w:tc>
          <w:tcPr>
            <w:tcW w:w="1458" w:type="dxa"/>
          </w:tcPr>
          <w:p w14:paraId="5390B5A0" w14:textId="77777777" w:rsidR="00523DDD" w:rsidRPr="001669FD" w:rsidRDefault="00523DDD" w:rsidP="00BD1A84">
            <w:pPr>
              <w:rPr>
                <w:rFonts w:ascii="Times New Roman" w:hAnsi="Times New Roman" w:cs="Times New Roman"/>
                <w:sz w:val="20"/>
                <w:szCs w:val="20"/>
              </w:rPr>
            </w:pPr>
          </w:p>
        </w:tc>
        <w:tc>
          <w:tcPr>
            <w:tcW w:w="4140" w:type="dxa"/>
            <w:gridSpan w:val="2"/>
          </w:tcPr>
          <w:p w14:paraId="71948AC5" w14:textId="77777777" w:rsidR="00523DDD" w:rsidRPr="001669FD" w:rsidRDefault="00523DDD" w:rsidP="00BD1A84">
            <w:pPr>
              <w:jc w:val="center"/>
              <w:rPr>
                <w:rFonts w:ascii="Times New Roman" w:hAnsi="Times New Roman" w:cs="Times New Roman"/>
                <w:b/>
                <w:sz w:val="20"/>
                <w:szCs w:val="20"/>
              </w:rPr>
            </w:pPr>
            <w:proofErr w:type="spellStart"/>
            <w:r w:rsidRPr="001669FD">
              <w:rPr>
                <w:rFonts w:ascii="Times New Roman" w:hAnsi="Times New Roman" w:cs="Times New Roman"/>
                <w:b/>
                <w:sz w:val="20"/>
                <w:szCs w:val="20"/>
              </w:rPr>
              <w:t>Seroconverters</w:t>
            </w:r>
            <w:proofErr w:type="spellEnd"/>
            <w:r w:rsidRPr="001669FD">
              <w:rPr>
                <w:rFonts w:ascii="Times New Roman" w:hAnsi="Times New Roman" w:cs="Times New Roman"/>
                <w:b/>
                <w:sz w:val="20"/>
                <w:szCs w:val="20"/>
              </w:rPr>
              <w:t xml:space="preserve"> assigned to active study drug</w:t>
            </w:r>
          </w:p>
        </w:tc>
        <w:tc>
          <w:tcPr>
            <w:tcW w:w="4410" w:type="dxa"/>
            <w:gridSpan w:val="2"/>
          </w:tcPr>
          <w:p w14:paraId="6A9CAAFD" w14:textId="77777777" w:rsidR="00523DDD" w:rsidRPr="001669FD" w:rsidRDefault="00523DDD" w:rsidP="00BD1A84">
            <w:pPr>
              <w:jc w:val="center"/>
              <w:rPr>
                <w:rFonts w:ascii="Times New Roman" w:hAnsi="Times New Roman" w:cs="Times New Roman"/>
                <w:b/>
                <w:sz w:val="20"/>
                <w:szCs w:val="20"/>
              </w:rPr>
            </w:pPr>
            <w:r w:rsidRPr="001669FD">
              <w:rPr>
                <w:rFonts w:ascii="Times New Roman" w:hAnsi="Times New Roman" w:cs="Times New Roman"/>
                <w:b/>
                <w:sz w:val="20"/>
                <w:szCs w:val="20"/>
              </w:rPr>
              <w:t>HIV-negative controls assigned to active study drug</w:t>
            </w:r>
          </w:p>
        </w:tc>
      </w:tr>
      <w:tr w:rsidR="00523DDD" w:rsidRPr="001669FD" w14:paraId="71DB4791" w14:textId="77777777" w:rsidTr="00BD1A84">
        <w:tc>
          <w:tcPr>
            <w:tcW w:w="1458" w:type="dxa"/>
          </w:tcPr>
          <w:p w14:paraId="3D854097" w14:textId="77777777" w:rsidR="00523DDD" w:rsidRPr="001669FD" w:rsidRDefault="00523DDD" w:rsidP="00BD1A84">
            <w:pPr>
              <w:rPr>
                <w:rFonts w:ascii="Times New Roman" w:hAnsi="Times New Roman" w:cs="Times New Roman"/>
                <w:b/>
                <w:sz w:val="20"/>
                <w:szCs w:val="20"/>
              </w:rPr>
            </w:pPr>
            <w:r w:rsidRPr="001669FD">
              <w:rPr>
                <w:rFonts w:ascii="Times New Roman" w:hAnsi="Times New Roman" w:cs="Times New Roman"/>
                <w:b/>
                <w:sz w:val="20"/>
                <w:szCs w:val="20"/>
              </w:rPr>
              <w:t>Study</w:t>
            </w:r>
          </w:p>
        </w:tc>
        <w:tc>
          <w:tcPr>
            <w:tcW w:w="2250" w:type="dxa"/>
          </w:tcPr>
          <w:p w14:paraId="3C0BB6F3"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 xml:space="preserve">Proportion with detectable levels of TDF or FTC </w:t>
            </w:r>
          </w:p>
        </w:tc>
        <w:tc>
          <w:tcPr>
            <w:tcW w:w="1890" w:type="dxa"/>
          </w:tcPr>
          <w:p w14:paraId="287656CE"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Percent with detectable levels of TDF or FTC</w:t>
            </w:r>
          </w:p>
        </w:tc>
        <w:tc>
          <w:tcPr>
            <w:tcW w:w="2340" w:type="dxa"/>
          </w:tcPr>
          <w:p w14:paraId="5EECDE19"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Proportion with detectable levels of TDF or FTC</w:t>
            </w:r>
          </w:p>
        </w:tc>
        <w:tc>
          <w:tcPr>
            <w:tcW w:w="2070" w:type="dxa"/>
          </w:tcPr>
          <w:p w14:paraId="401146F0"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Percent with detectable levels of TDF or FTC</w:t>
            </w:r>
          </w:p>
        </w:tc>
      </w:tr>
      <w:tr w:rsidR="00523DDD" w:rsidRPr="001669FD" w14:paraId="0F52718A" w14:textId="77777777" w:rsidTr="00BD1A84">
        <w:tc>
          <w:tcPr>
            <w:tcW w:w="1458" w:type="dxa"/>
          </w:tcPr>
          <w:p w14:paraId="0455727A" w14:textId="77777777" w:rsidR="00523DDD" w:rsidRPr="001669FD" w:rsidRDefault="00523DDD" w:rsidP="00BD1A84">
            <w:pPr>
              <w:rPr>
                <w:rFonts w:ascii="Times New Roman" w:hAnsi="Times New Roman" w:cs="Times New Roman"/>
                <w:b/>
                <w:sz w:val="20"/>
                <w:szCs w:val="20"/>
              </w:rPr>
            </w:pPr>
            <w:r w:rsidRPr="001669FD">
              <w:rPr>
                <w:rFonts w:ascii="Times New Roman" w:hAnsi="Times New Roman" w:cs="Times New Roman"/>
                <w:b/>
                <w:sz w:val="20"/>
                <w:szCs w:val="20"/>
              </w:rPr>
              <w:t xml:space="preserve">Bangkok </w:t>
            </w:r>
            <w:proofErr w:type="spellStart"/>
            <w:r w:rsidRPr="001669FD">
              <w:rPr>
                <w:rFonts w:ascii="Times New Roman" w:hAnsi="Times New Roman" w:cs="Times New Roman"/>
                <w:b/>
                <w:sz w:val="20"/>
                <w:szCs w:val="20"/>
              </w:rPr>
              <w:t>Tenofovir</w:t>
            </w:r>
            <w:proofErr w:type="spellEnd"/>
            <w:r w:rsidRPr="001669FD">
              <w:rPr>
                <w:rFonts w:ascii="Times New Roman" w:hAnsi="Times New Roman" w:cs="Times New Roman"/>
                <w:b/>
                <w:sz w:val="20"/>
                <w:szCs w:val="20"/>
              </w:rPr>
              <w:t xml:space="preserve"> Study</w:t>
            </w:r>
          </w:p>
        </w:tc>
        <w:tc>
          <w:tcPr>
            <w:tcW w:w="2250" w:type="dxa"/>
          </w:tcPr>
          <w:p w14:paraId="5D155BE7"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5/39</w:t>
            </w:r>
          </w:p>
        </w:tc>
        <w:tc>
          <w:tcPr>
            <w:tcW w:w="1890" w:type="dxa"/>
          </w:tcPr>
          <w:p w14:paraId="1773A5DB"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39%</w:t>
            </w:r>
          </w:p>
        </w:tc>
        <w:tc>
          <w:tcPr>
            <w:tcW w:w="2340" w:type="dxa"/>
          </w:tcPr>
          <w:p w14:paraId="4AAE7C7A"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93/138</w:t>
            </w:r>
          </w:p>
        </w:tc>
        <w:tc>
          <w:tcPr>
            <w:tcW w:w="2070" w:type="dxa"/>
          </w:tcPr>
          <w:p w14:paraId="22EA3DD2"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67%</w:t>
            </w:r>
          </w:p>
        </w:tc>
      </w:tr>
      <w:tr w:rsidR="00523DDD" w:rsidRPr="001669FD" w14:paraId="68B3AA91" w14:textId="77777777" w:rsidTr="00BD1A84">
        <w:tc>
          <w:tcPr>
            <w:tcW w:w="1458" w:type="dxa"/>
          </w:tcPr>
          <w:p w14:paraId="68DA8336" w14:textId="77777777" w:rsidR="00523DDD" w:rsidRPr="001669FD" w:rsidRDefault="00523DDD" w:rsidP="00BD1A84">
            <w:pPr>
              <w:rPr>
                <w:rFonts w:ascii="Times New Roman" w:hAnsi="Times New Roman" w:cs="Times New Roman"/>
                <w:b/>
                <w:sz w:val="20"/>
                <w:szCs w:val="20"/>
              </w:rPr>
            </w:pPr>
            <w:r w:rsidRPr="001669FD">
              <w:rPr>
                <w:rFonts w:ascii="Times New Roman" w:hAnsi="Times New Roman" w:cs="Times New Roman"/>
                <w:b/>
                <w:sz w:val="20"/>
                <w:szCs w:val="20"/>
              </w:rPr>
              <w:t xml:space="preserve">CDC Safety Study </w:t>
            </w:r>
          </w:p>
        </w:tc>
        <w:tc>
          <w:tcPr>
            <w:tcW w:w="2250" w:type="dxa"/>
          </w:tcPr>
          <w:p w14:paraId="21E8A4C8"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Not reported</w:t>
            </w:r>
          </w:p>
        </w:tc>
        <w:tc>
          <w:tcPr>
            <w:tcW w:w="1890" w:type="dxa"/>
          </w:tcPr>
          <w:p w14:paraId="7506514A"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Not reported</w:t>
            </w:r>
          </w:p>
        </w:tc>
        <w:tc>
          <w:tcPr>
            <w:tcW w:w="2340" w:type="dxa"/>
          </w:tcPr>
          <w:p w14:paraId="0E696C69" w14:textId="77777777" w:rsidR="00523DDD" w:rsidRPr="001669FD" w:rsidRDefault="00523DDD" w:rsidP="00BD1A84">
            <w:pPr>
              <w:rPr>
                <w:rFonts w:ascii="Times New Roman" w:hAnsi="Times New Roman" w:cs="Times New Roman"/>
                <w:sz w:val="20"/>
                <w:szCs w:val="20"/>
                <w:vertAlign w:val="superscript"/>
              </w:rPr>
            </w:pPr>
            <w:r w:rsidRPr="001669FD">
              <w:rPr>
                <w:rFonts w:ascii="Times New Roman" w:hAnsi="Times New Roman" w:cs="Times New Roman"/>
                <w:sz w:val="20"/>
                <w:szCs w:val="20"/>
              </w:rPr>
              <w:t>44/47</w:t>
            </w:r>
            <w:r w:rsidRPr="001669FD">
              <w:rPr>
                <w:rFonts w:ascii="Times New Roman" w:hAnsi="Times New Roman" w:cs="Times New Roman"/>
                <w:sz w:val="20"/>
                <w:szCs w:val="20"/>
                <w:vertAlign w:val="superscript"/>
              </w:rPr>
              <w:t>a</w:t>
            </w:r>
          </w:p>
        </w:tc>
        <w:tc>
          <w:tcPr>
            <w:tcW w:w="2070" w:type="dxa"/>
          </w:tcPr>
          <w:p w14:paraId="7D70BA9A"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94%</w:t>
            </w:r>
          </w:p>
        </w:tc>
      </w:tr>
      <w:tr w:rsidR="00523DDD" w:rsidRPr="001669FD" w14:paraId="38E16AB3" w14:textId="77777777" w:rsidTr="00BD1A84">
        <w:tc>
          <w:tcPr>
            <w:tcW w:w="1458" w:type="dxa"/>
          </w:tcPr>
          <w:p w14:paraId="4FA369FF" w14:textId="77777777" w:rsidR="00523DDD" w:rsidRPr="001669FD" w:rsidRDefault="00523DDD" w:rsidP="00BD1A84">
            <w:pPr>
              <w:rPr>
                <w:rFonts w:ascii="Times New Roman" w:hAnsi="Times New Roman" w:cs="Times New Roman"/>
                <w:b/>
                <w:sz w:val="20"/>
                <w:szCs w:val="20"/>
              </w:rPr>
            </w:pPr>
            <w:r w:rsidRPr="001669FD">
              <w:rPr>
                <w:rFonts w:ascii="Times New Roman" w:hAnsi="Times New Roman" w:cs="Times New Roman"/>
                <w:b/>
                <w:sz w:val="20"/>
                <w:szCs w:val="20"/>
              </w:rPr>
              <w:t>FEM-</w:t>
            </w:r>
            <w:proofErr w:type="spellStart"/>
            <w:r w:rsidRPr="001669FD">
              <w:rPr>
                <w:rFonts w:ascii="Times New Roman" w:hAnsi="Times New Roman" w:cs="Times New Roman"/>
                <w:b/>
                <w:sz w:val="20"/>
                <w:szCs w:val="20"/>
              </w:rPr>
              <w:t>PrEP</w:t>
            </w:r>
            <w:r w:rsidRPr="001669FD">
              <w:rPr>
                <w:rFonts w:ascii="Times New Roman" w:hAnsi="Times New Roman" w:cs="Times New Roman"/>
                <w:b/>
                <w:sz w:val="20"/>
                <w:szCs w:val="20"/>
                <w:vertAlign w:val="superscript"/>
              </w:rPr>
              <w:t>b</w:t>
            </w:r>
            <w:proofErr w:type="spellEnd"/>
          </w:p>
        </w:tc>
        <w:tc>
          <w:tcPr>
            <w:tcW w:w="2250" w:type="dxa"/>
          </w:tcPr>
          <w:p w14:paraId="4B263600"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7/27 (beginning of infection window)</w:t>
            </w:r>
          </w:p>
          <w:p w14:paraId="13F27A17"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7/33 (end of window)</w:t>
            </w:r>
          </w:p>
          <w:p w14:paraId="584280E5"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4/27 (both visits)</w:t>
            </w:r>
          </w:p>
        </w:tc>
        <w:tc>
          <w:tcPr>
            <w:tcW w:w="1890" w:type="dxa"/>
          </w:tcPr>
          <w:p w14:paraId="0A57C868"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26%</w:t>
            </w:r>
          </w:p>
          <w:p w14:paraId="64AFF0E1" w14:textId="77777777" w:rsidR="00523DDD" w:rsidRPr="001669FD" w:rsidRDefault="00523DDD" w:rsidP="00BD1A84">
            <w:pPr>
              <w:rPr>
                <w:rFonts w:ascii="Times New Roman" w:hAnsi="Times New Roman" w:cs="Times New Roman"/>
                <w:sz w:val="20"/>
                <w:szCs w:val="20"/>
              </w:rPr>
            </w:pPr>
          </w:p>
          <w:p w14:paraId="4CB8E34B"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21%</w:t>
            </w:r>
          </w:p>
          <w:p w14:paraId="6BF4A23D"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15%</w:t>
            </w:r>
          </w:p>
        </w:tc>
        <w:tc>
          <w:tcPr>
            <w:tcW w:w="2340" w:type="dxa"/>
          </w:tcPr>
          <w:p w14:paraId="2300F0E1"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27/48</w:t>
            </w:r>
            <w:r w:rsidR="00211E4D">
              <w:rPr>
                <w:rFonts w:ascii="Times New Roman" w:hAnsi="Times New Roman" w:cs="Times New Roman"/>
                <w:sz w:val="20"/>
                <w:szCs w:val="20"/>
              </w:rPr>
              <w:t xml:space="preserve"> </w:t>
            </w:r>
            <w:r w:rsidRPr="001669FD">
              <w:rPr>
                <w:rFonts w:ascii="Times New Roman" w:hAnsi="Times New Roman" w:cs="Times New Roman"/>
                <w:sz w:val="20"/>
                <w:szCs w:val="20"/>
              </w:rPr>
              <w:t>(beginning of infection window)</w:t>
            </w:r>
          </w:p>
          <w:p w14:paraId="76259ECF"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35/95 (end of window)</w:t>
            </w:r>
          </w:p>
          <w:p w14:paraId="1C4A5872"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19/78 (both visits)</w:t>
            </w:r>
          </w:p>
        </w:tc>
        <w:tc>
          <w:tcPr>
            <w:tcW w:w="2070" w:type="dxa"/>
          </w:tcPr>
          <w:p w14:paraId="6B2FE0F5"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35%</w:t>
            </w:r>
          </w:p>
          <w:p w14:paraId="26D60526" w14:textId="77777777" w:rsidR="00523DDD" w:rsidRPr="001669FD" w:rsidRDefault="00523DDD" w:rsidP="00BD1A84">
            <w:pPr>
              <w:rPr>
                <w:rFonts w:ascii="Times New Roman" w:hAnsi="Times New Roman" w:cs="Times New Roman"/>
                <w:sz w:val="20"/>
                <w:szCs w:val="20"/>
              </w:rPr>
            </w:pPr>
          </w:p>
          <w:p w14:paraId="7B905D3D"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37%</w:t>
            </w:r>
          </w:p>
          <w:p w14:paraId="6C55F694"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15%</w:t>
            </w:r>
          </w:p>
        </w:tc>
      </w:tr>
      <w:tr w:rsidR="00523DDD" w:rsidRPr="001669FD" w14:paraId="23D431CB" w14:textId="77777777" w:rsidTr="00BD1A84">
        <w:tc>
          <w:tcPr>
            <w:tcW w:w="1458" w:type="dxa"/>
          </w:tcPr>
          <w:p w14:paraId="3AC73443" w14:textId="77777777" w:rsidR="00523DDD" w:rsidRPr="001669FD" w:rsidRDefault="00523DDD" w:rsidP="00BD1A84">
            <w:pPr>
              <w:rPr>
                <w:rFonts w:ascii="Times New Roman" w:hAnsi="Times New Roman" w:cs="Times New Roman"/>
                <w:b/>
                <w:sz w:val="20"/>
                <w:szCs w:val="20"/>
              </w:rPr>
            </w:pPr>
            <w:proofErr w:type="spellStart"/>
            <w:r w:rsidRPr="001669FD">
              <w:rPr>
                <w:rFonts w:ascii="Times New Roman" w:hAnsi="Times New Roman" w:cs="Times New Roman"/>
                <w:b/>
                <w:sz w:val="20"/>
                <w:szCs w:val="20"/>
              </w:rPr>
              <w:t>iPrEx</w:t>
            </w:r>
            <w:proofErr w:type="spellEnd"/>
          </w:p>
        </w:tc>
        <w:tc>
          <w:tcPr>
            <w:tcW w:w="2250" w:type="dxa"/>
          </w:tcPr>
          <w:p w14:paraId="072CC303"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3/34</w:t>
            </w:r>
          </w:p>
        </w:tc>
        <w:tc>
          <w:tcPr>
            <w:tcW w:w="1890" w:type="dxa"/>
          </w:tcPr>
          <w:p w14:paraId="5B42074E"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1%</w:t>
            </w:r>
          </w:p>
        </w:tc>
        <w:tc>
          <w:tcPr>
            <w:tcW w:w="2340" w:type="dxa"/>
          </w:tcPr>
          <w:p w14:paraId="0F1F248A"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22/43</w:t>
            </w:r>
          </w:p>
        </w:tc>
        <w:tc>
          <w:tcPr>
            <w:tcW w:w="2070" w:type="dxa"/>
          </w:tcPr>
          <w:p w14:paraId="38C97682"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51%</w:t>
            </w:r>
          </w:p>
        </w:tc>
      </w:tr>
      <w:tr w:rsidR="00523DDD" w:rsidRPr="001669FD" w14:paraId="7C83D205" w14:textId="77777777" w:rsidTr="00BD1A84">
        <w:tc>
          <w:tcPr>
            <w:tcW w:w="1458" w:type="dxa"/>
          </w:tcPr>
          <w:p w14:paraId="1E87070C" w14:textId="77777777" w:rsidR="00523DDD" w:rsidRPr="001669FD" w:rsidRDefault="00523DDD" w:rsidP="00BD1A84">
            <w:pPr>
              <w:rPr>
                <w:rFonts w:ascii="Times New Roman" w:hAnsi="Times New Roman" w:cs="Times New Roman"/>
                <w:b/>
                <w:sz w:val="20"/>
                <w:szCs w:val="20"/>
              </w:rPr>
            </w:pPr>
            <w:r w:rsidRPr="001669FD">
              <w:rPr>
                <w:rFonts w:ascii="Times New Roman" w:hAnsi="Times New Roman" w:cs="Times New Roman"/>
                <w:b/>
                <w:sz w:val="20"/>
                <w:szCs w:val="20"/>
              </w:rPr>
              <w:t>Partners PrEP Study</w:t>
            </w:r>
          </w:p>
        </w:tc>
        <w:tc>
          <w:tcPr>
            <w:tcW w:w="2250" w:type="dxa"/>
          </w:tcPr>
          <w:p w14:paraId="3D262A15"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29</w:t>
            </w:r>
          </w:p>
        </w:tc>
        <w:tc>
          <w:tcPr>
            <w:tcW w:w="1890" w:type="dxa"/>
          </w:tcPr>
          <w:p w14:paraId="7C292F7B"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31%</w:t>
            </w:r>
          </w:p>
        </w:tc>
        <w:tc>
          <w:tcPr>
            <w:tcW w:w="2340" w:type="dxa"/>
          </w:tcPr>
          <w:p w14:paraId="530F894E"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902</w:t>
            </w:r>
          </w:p>
        </w:tc>
        <w:tc>
          <w:tcPr>
            <w:tcW w:w="2070" w:type="dxa"/>
          </w:tcPr>
          <w:p w14:paraId="1613467C"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82%</w:t>
            </w:r>
          </w:p>
        </w:tc>
      </w:tr>
      <w:tr w:rsidR="00523DDD" w:rsidRPr="001669FD" w14:paraId="52F0AA15" w14:textId="77777777" w:rsidTr="00BD1A84">
        <w:tc>
          <w:tcPr>
            <w:tcW w:w="1458" w:type="dxa"/>
          </w:tcPr>
          <w:p w14:paraId="681CF4E3" w14:textId="77777777" w:rsidR="00523DDD" w:rsidRPr="001669FD" w:rsidRDefault="00523DDD" w:rsidP="00BD1A84">
            <w:pPr>
              <w:rPr>
                <w:rFonts w:ascii="Times New Roman" w:hAnsi="Times New Roman" w:cs="Times New Roman"/>
                <w:b/>
                <w:sz w:val="20"/>
                <w:szCs w:val="20"/>
              </w:rPr>
            </w:pPr>
            <w:r w:rsidRPr="001669FD">
              <w:rPr>
                <w:rFonts w:ascii="Times New Roman" w:hAnsi="Times New Roman" w:cs="Times New Roman"/>
                <w:b/>
                <w:sz w:val="20"/>
                <w:szCs w:val="20"/>
              </w:rPr>
              <w:t>TDF2</w:t>
            </w:r>
          </w:p>
        </w:tc>
        <w:tc>
          <w:tcPr>
            <w:tcW w:w="2250" w:type="dxa"/>
          </w:tcPr>
          <w:p w14:paraId="39EB9809"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2/4</w:t>
            </w:r>
          </w:p>
        </w:tc>
        <w:tc>
          <w:tcPr>
            <w:tcW w:w="1890" w:type="dxa"/>
          </w:tcPr>
          <w:p w14:paraId="1E345681"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50%</w:t>
            </w:r>
          </w:p>
        </w:tc>
        <w:tc>
          <w:tcPr>
            <w:tcW w:w="2340" w:type="dxa"/>
          </w:tcPr>
          <w:p w14:paraId="58E76668"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55/69</w:t>
            </w:r>
          </w:p>
        </w:tc>
        <w:tc>
          <w:tcPr>
            <w:tcW w:w="2070" w:type="dxa"/>
          </w:tcPr>
          <w:p w14:paraId="405091ED"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80% had TDF</w:t>
            </w:r>
          </w:p>
          <w:p w14:paraId="6DFB0B62"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81% had FTC</w:t>
            </w:r>
          </w:p>
        </w:tc>
      </w:tr>
      <w:tr w:rsidR="00523DDD" w:rsidRPr="001669FD" w14:paraId="4F29BA17" w14:textId="77777777" w:rsidTr="00BD1A84">
        <w:tc>
          <w:tcPr>
            <w:tcW w:w="1458" w:type="dxa"/>
          </w:tcPr>
          <w:p w14:paraId="75B9CEA7" w14:textId="489100B3" w:rsidR="00523DDD" w:rsidRPr="00BD1A84" w:rsidRDefault="00523DDD" w:rsidP="00BD1A84">
            <w:pPr>
              <w:rPr>
                <w:rFonts w:ascii="Times New Roman" w:hAnsi="Times New Roman" w:cs="Times New Roman"/>
                <w:b/>
                <w:sz w:val="20"/>
                <w:szCs w:val="20"/>
                <w:vertAlign w:val="superscript"/>
              </w:rPr>
            </w:pPr>
            <w:proofErr w:type="spellStart"/>
            <w:r w:rsidRPr="001669FD">
              <w:rPr>
                <w:rFonts w:ascii="Times New Roman" w:hAnsi="Times New Roman" w:cs="Times New Roman"/>
                <w:b/>
                <w:sz w:val="20"/>
                <w:szCs w:val="20"/>
              </w:rPr>
              <w:t>VOICE</w:t>
            </w:r>
            <w:r w:rsidR="00BD1A84">
              <w:rPr>
                <w:rFonts w:ascii="Times New Roman" w:hAnsi="Times New Roman" w:cs="Times New Roman"/>
                <w:b/>
                <w:sz w:val="20"/>
                <w:szCs w:val="20"/>
                <w:vertAlign w:val="superscript"/>
              </w:rPr>
              <w:t>c</w:t>
            </w:r>
            <w:proofErr w:type="spellEnd"/>
          </w:p>
        </w:tc>
        <w:tc>
          <w:tcPr>
            <w:tcW w:w="2250" w:type="dxa"/>
          </w:tcPr>
          <w:p w14:paraId="7439D380"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12/51 (TDF group)</w:t>
            </w:r>
          </w:p>
          <w:p w14:paraId="6973D8FF"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17/57 (FTC-TDF group)</w:t>
            </w:r>
          </w:p>
        </w:tc>
        <w:tc>
          <w:tcPr>
            <w:tcW w:w="1890" w:type="dxa"/>
          </w:tcPr>
          <w:p w14:paraId="1C58A673"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24%</w:t>
            </w:r>
          </w:p>
          <w:p w14:paraId="0FF64E44" w14:textId="77777777"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30%</w:t>
            </w:r>
          </w:p>
        </w:tc>
        <w:tc>
          <w:tcPr>
            <w:tcW w:w="2340" w:type="dxa"/>
          </w:tcPr>
          <w:p w14:paraId="2647499F" w14:textId="20243759" w:rsidR="00BD1A84" w:rsidRDefault="00BD1A84" w:rsidP="00BD1A84">
            <w:pPr>
              <w:rPr>
                <w:rFonts w:ascii="Times New Roman" w:hAnsi="Times New Roman" w:cs="Times New Roman"/>
                <w:sz w:val="20"/>
                <w:szCs w:val="20"/>
              </w:rPr>
            </w:pPr>
            <w:r>
              <w:rPr>
                <w:rFonts w:ascii="Times New Roman" w:hAnsi="Times New Roman" w:cs="Times New Roman"/>
                <w:sz w:val="20"/>
                <w:szCs w:val="20"/>
              </w:rPr>
              <w:t xml:space="preserve">50/145 </w:t>
            </w:r>
            <w:r w:rsidRPr="001669FD">
              <w:rPr>
                <w:rFonts w:ascii="Times New Roman" w:hAnsi="Times New Roman" w:cs="Times New Roman"/>
                <w:sz w:val="20"/>
                <w:szCs w:val="20"/>
              </w:rPr>
              <w:t>(TDF group)</w:t>
            </w:r>
          </w:p>
          <w:p w14:paraId="6A528716" w14:textId="286C1FA2" w:rsidR="00523DDD" w:rsidRPr="001669FD" w:rsidRDefault="00BD1A84" w:rsidP="00BD1A84">
            <w:pPr>
              <w:rPr>
                <w:rFonts w:ascii="Times New Roman" w:hAnsi="Times New Roman" w:cs="Times New Roman"/>
                <w:sz w:val="20"/>
                <w:szCs w:val="20"/>
              </w:rPr>
            </w:pPr>
            <w:r>
              <w:rPr>
                <w:rFonts w:ascii="Times New Roman" w:hAnsi="Times New Roman" w:cs="Times New Roman"/>
                <w:sz w:val="20"/>
                <w:szCs w:val="20"/>
              </w:rPr>
              <w:t>45/132 (TDF-FTC group)</w:t>
            </w:r>
          </w:p>
        </w:tc>
        <w:tc>
          <w:tcPr>
            <w:tcW w:w="2070" w:type="dxa"/>
          </w:tcPr>
          <w:p w14:paraId="7B1553E5" w14:textId="5E822C48"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3</w:t>
            </w:r>
            <w:r w:rsidR="00BD1A84">
              <w:rPr>
                <w:rFonts w:ascii="Times New Roman" w:hAnsi="Times New Roman" w:cs="Times New Roman"/>
                <w:sz w:val="20"/>
                <w:szCs w:val="20"/>
              </w:rPr>
              <w:t>4</w:t>
            </w:r>
            <w:r w:rsidRPr="001669FD">
              <w:rPr>
                <w:rFonts w:ascii="Times New Roman" w:hAnsi="Times New Roman" w:cs="Times New Roman"/>
                <w:sz w:val="20"/>
                <w:szCs w:val="20"/>
              </w:rPr>
              <w:t xml:space="preserve">% </w:t>
            </w:r>
          </w:p>
          <w:p w14:paraId="7C407086" w14:textId="31F85D68" w:rsidR="00523DDD" w:rsidRPr="001669FD" w:rsidRDefault="00523DDD" w:rsidP="00BD1A84">
            <w:pPr>
              <w:rPr>
                <w:rFonts w:ascii="Times New Roman" w:hAnsi="Times New Roman" w:cs="Times New Roman"/>
                <w:sz w:val="20"/>
                <w:szCs w:val="20"/>
              </w:rPr>
            </w:pPr>
            <w:r w:rsidRPr="001669FD">
              <w:rPr>
                <w:rFonts w:ascii="Times New Roman" w:hAnsi="Times New Roman" w:cs="Times New Roman"/>
                <w:sz w:val="20"/>
                <w:szCs w:val="20"/>
              </w:rPr>
              <w:t>2</w:t>
            </w:r>
            <w:r w:rsidR="00BD1A84">
              <w:rPr>
                <w:rFonts w:ascii="Times New Roman" w:hAnsi="Times New Roman" w:cs="Times New Roman"/>
                <w:sz w:val="20"/>
                <w:szCs w:val="20"/>
              </w:rPr>
              <w:t xml:space="preserve">2% </w:t>
            </w:r>
          </w:p>
        </w:tc>
      </w:tr>
    </w:tbl>
    <w:p w14:paraId="0ED4F679" w14:textId="6B73068E" w:rsidR="00523DDD" w:rsidRPr="00BD1A84" w:rsidRDefault="00523DDD" w:rsidP="00BD1A84">
      <w:pPr>
        <w:pStyle w:val="NoSpacing"/>
        <w:rPr>
          <w:rFonts w:ascii="Times New Roman" w:hAnsi="Times New Roman" w:cs="Times New Roman"/>
          <w:sz w:val="18"/>
          <w:szCs w:val="18"/>
        </w:rPr>
      </w:pPr>
      <w:proofErr w:type="spellStart"/>
      <w:proofErr w:type="gramStart"/>
      <w:r w:rsidRPr="00BD1A84">
        <w:rPr>
          <w:rFonts w:ascii="Times New Roman" w:hAnsi="Times New Roman" w:cs="Times New Roman"/>
          <w:sz w:val="18"/>
          <w:szCs w:val="18"/>
          <w:vertAlign w:val="superscript"/>
        </w:rPr>
        <w:t>a</w:t>
      </w:r>
      <w:proofErr w:type="spellEnd"/>
      <w:proofErr w:type="gramEnd"/>
      <w:r w:rsidR="00BD1A84" w:rsidRPr="00BD1A84">
        <w:rPr>
          <w:rFonts w:ascii="Times New Roman" w:hAnsi="Times New Roman" w:cs="Times New Roman"/>
          <w:sz w:val="18"/>
          <w:szCs w:val="18"/>
          <w:vertAlign w:val="superscript"/>
        </w:rPr>
        <w:t xml:space="preserve"> </w:t>
      </w:r>
      <w:r w:rsidRPr="00BD1A84">
        <w:rPr>
          <w:rFonts w:ascii="Times New Roman" w:hAnsi="Times New Roman" w:cs="Times New Roman"/>
          <w:sz w:val="18"/>
          <w:szCs w:val="18"/>
        </w:rPr>
        <w:t xml:space="preserve">This measure includes drug detection using plasma. The study also assessed </w:t>
      </w:r>
      <w:proofErr w:type="spellStart"/>
      <w:r w:rsidR="00BD1A84" w:rsidRPr="00BD1A84">
        <w:rPr>
          <w:rFonts w:ascii="Times New Roman" w:hAnsi="Times New Roman" w:cs="Times New Roman"/>
          <w:sz w:val="18"/>
          <w:szCs w:val="18"/>
        </w:rPr>
        <w:t>Tenofovir</w:t>
      </w:r>
      <w:proofErr w:type="spellEnd"/>
      <w:r w:rsidR="00BD1A84" w:rsidRPr="00BD1A84">
        <w:rPr>
          <w:rFonts w:ascii="Times New Roman" w:hAnsi="Times New Roman" w:cs="Times New Roman"/>
          <w:sz w:val="18"/>
          <w:szCs w:val="18"/>
        </w:rPr>
        <w:t xml:space="preserve"> (TFV) </w:t>
      </w:r>
      <w:r w:rsidRPr="00BD1A84">
        <w:rPr>
          <w:rFonts w:ascii="Times New Roman" w:hAnsi="Times New Roman" w:cs="Times New Roman"/>
          <w:sz w:val="18"/>
          <w:szCs w:val="18"/>
        </w:rPr>
        <w:t xml:space="preserve">detection using </w:t>
      </w:r>
      <w:r w:rsidR="007A0082" w:rsidRPr="00BD1A84">
        <w:rPr>
          <w:rFonts w:ascii="Times New Roman" w:hAnsi="Times New Roman" w:cs="Times New Roman"/>
          <w:sz w:val="18"/>
          <w:szCs w:val="18"/>
        </w:rPr>
        <w:t>peripheral blood mononuclear cells (</w:t>
      </w:r>
      <w:r w:rsidRPr="00BD1A84">
        <w:rPr>
          <w:rFonts w:ascii="Times New Roman" w:hAnsi="Times New Roman" w:cs="Times New Roman"/>
          <w:sz w:val="18"/>
          <w:szCs w:val="18"/>
        </w:rPr>
        <w:t>PBMC</w:t>
      </w:r>
      <w:r w:rsidR="007A0082" w:rsidRPr="00BD1A84">
        <w:rPr>
          <w:rFonts w:ascii="Times New Roman" w:hAnsi="Times New Roman" w:cs="Times New Roman"/>
          <w:sz w:val="18"/>
          <w:szCs w:val="18"/>
        </w:rPr>
        <w:t>)</w:t>
      </w:r>
      <w:r w:rsidRPr="00BD1A84">
        <w:rPr>
          <w:rFonts w:ascii="Times New Roman" w:hAnsi="Times New Roman" w:cs="Times New Roman"/>
          <w:sz w:val="18"/>
          <w:szCs w:val="18"/>
        </w:rPr>
        <w:t xml:space="preserve"> and hair samples. The three specimens that did not have detectable TFV levels in plasma did have detectable TFV levels in either hair and/or PBMC samples. Results from plasma </w:t>
      </w:r>
      <w:r w:rsidR="00211E4D" w:rsidRPr="00BD1A84">
        <w:rPr>
          <w:rFonts w:ascii="Times New Roman" w:hAnsi="Times New Roman" w:cs="Times New Roman"/>
          <w:sz w:val="18"/>
          <w:szCs w:val="18"/>
        </w:rPr>
        <w:t xml:space="preserve">are presented here </w:t>
      </w:r>
      <w:r w:rsidRPr="00BD1A84">
        <w:rPr>
          <w:rFonts w:ascii="Times New Roman" w:hAnsi="Times New Roman" w:cs="Times New Roman"/>
          <w:sz w:val="18"/>
          <w:szCs w:val="18"/>
        </w:rPr>
        <w:t xml:space="preserve">as this </w:t>
      </w:r>
      <w:r w:rsidR="0076364A" w:rsidRPr="00BD1A84">
        <w:rPr>
          <w:rFonts w:ascii="Times New Roman" w:hAnsi="Times New Roman" w:cs="Times New Roman"/>
          <w:sz w:val="18"/>
          <w:szCs w:val="18"/>
        </w:rPr>
        <w:t xml:space="preserve">method </w:t>
      </w:r>
      <w:r w:rsidRPr="00BD1A84">
        <w:rPr>
          <w:rFonts w:ascii="Times New Roman" w:hAnsi="Times New Roman" w:cs="Times New Roman"/>
          <w:sz w:val="18"/>
          <w:szCs w:val="18"/>
        </w:rPr>
        <w:t>was most similar to methods used by other studies.</w:t>
      </w:r>
    </w:p>
    <w:p w14:paraId="1B004BF0" w14:textId="3B572C4A" w:rsidR="00523DDD" w:rsidRPr="00BD1A84" w:rsidRDefault="00523DDD" w:rsidP="00BD1A84">
      <w:pPr>
        <w:pStyle w:val="NoSpacing"/>
        <w:rPr>
          <w:rFonts w:ascii="Times New Roman" w:hAnsi="Times New Roman" w:cs="Times New Roman"/>
          <w:sz w:val="18"/>
          <w:szCs w:val="18"/>
        </w:rPr>
      </w:pPr>
      <w:proofErr w:type="gramStart"/>
      <w:r w:rsidRPr="00BD1A84">
        <w:rPr>
          <w:rFonts w:ascii="Times New Roman" w:hAnsi="Times New Roman" w:cs="Times New Roman"/>
          <w:sz w:val="18"/>
          <w:szCs w:val="18"/>
          <w:vertAlign w:val="superscript"/>
        </w:rPr>
        <w:t>b</w:t>
      </w:r>
      <w:proofErr w:type="gramEnd"/>
      <w:r w:rsidRPr="00BD1A84">
        <w:rPr>
          <w:rFonts w:ascii="Times New Roman" w:hAnsi="Times New Roman" w:cs="Times New Roman"/>
          <w:sz w:val="18"/>
          <w:szCs w:val="18"/>
        </w:rPr>
        <w:t xml:space="preserve"> FEM-PrEP defined drug detection as ≥10 </w:t>
      </w:r>
      <w:proofErr w:type="spellStart"/>
      <w:r w:rsidRPr="00BD1A84">
        <w:rPr>
          <w:rFonts w:ascii="Times New Roman" w:hAnsi="Times New Roman" w:cs="Times New Roman"/>
          <w:sz w:val="18"/>
          <w:szCs w:val="18"/>
        </w:rPr>
        <w:t>n</w:t>
      </w:r>
      <w:r w:rsidR="00211E4D" w:rsidRPr="00BD1A84">
        <w:rPr>
          <w:rFonts w:ascii="Times New Roman" w:hAnsi="Times New Roman" w:cs="Times New Roman"/>
          <w:sz w:val="18"/>
          <w:szCs w:val="18"/>
        </w:rPr>
        <w:t>anograms</w:t>
      </w:r>
      <w:proofErr w:type="spellEnd"/>
      <w:r w:rsidRPr="00BD1A84">
        <w:rPr>
          <w:rFonts w:ascii="Times New Roman" w:hAnsi="Times New Roman" w:cs="Times New Roman"/>
          <w:sz w:val="18"/>
          <w:szCs w:val="18"/>
        </w:rPr>
        <w:t xml:space="preserve"> per milliliter.</w:t>
      </w:r>
    </w:p>
    <w:p w14:paraId="756DF0B4" w14:textId="1F4ECB47" w:rsidR="00EA3507" w:rsidRPr="00BD1A84" w:rsidRDefault="00BD1A84" w:rsidP="00BD1A84">
      <w:pPr>
        <w:pStyle w:val="NoSpacing"/>
        <w:rPr>
          <w:rFonts w:ascii="Times New Roman" w:hAnsi="Times New Roman" w:cs="Times New Roman"/>
          <w:sz w:val="18"/>
          <w:szCs w:val="18"/>
        </w:rPr>
      </w:pPr>
      <w:proofErr w:type="gramStart"/>
      <w:r w:rsidRPr="00BD1A84">
        <w:rPr>
          <w:rFonts w:ascii="Times New Roman" w:hAnsi="Times New Roman" w:cs="Times New Roman"/>
          <w:sz w:val="18"/>
          <w:szCs w:val="18"/>
          <w:vertAlign w:val="superscript"/>
        </w:rPr>
        <w:t>c</w:t>
      </w:r>
      <w:proofErr w:type="gramEnd"/>
      <w:r w:rsidRPr="00BD1A84">
        <w:rPr>
          <w:rFonts w:ascii="Times New Roman" w:hAnsi="Times New Roman" w:cs="Times New Roman"/>
          <w:sz w:val="18"/>
          <w:szCs w:val="18"/>
        </w:rPr>
        <w:t xml:space="preserve"> Results from the VOICE trial presented here come from the </w:t>
      </w:r>
      <w:proofErr w:type="spellStart"/>
      <w:r w:rsidRPr="00BD1A84">
        <w:rPr>
          <w:rFonts w:ascii="Times New Roman" w:hAnsi="Times New Roman" w:cs="Times New Roman"/>
          <w:sz w:val="18"/>
          <w:szCs w:val="18"/>
        </w:rPr>
        <w:t>Marrazzo</w:t>
      </w:r>
      <w:proofErr w:type="spellEnd"/>
      <w:r w:rsidRPr="00BD1A84">
        <w:rPr>
          <w:rFonts w:ascii="Times New Roman" w:hAnsi="Times New Roman" w:cs="Times New Roman"/>
          <w:sz w:val="18"/>
          <w:szCs w:val="18"/>
        </w:rPr>
        <w:t xml:space="preserve"> et al., 2015 Supplementary Appendix Table S6B and reflect the number of women in each study arm that had detectable drug levels at their first quarterly visit. </w:t>
      </w:r>
      <w:proofErr w:type="spellStart"/>
      <w:r w:rsidRPr="00BD1A84">
        <w:rPr>
          <w:rFonts w:ascii="Times New Roman" w:hAnsi="Times New Roman" w:cs="Times New Roman"/>
          <w:sz w:val="18"/>
          <w:szCs w:val="18"/>
        </w:rPr>
        <w:t>Marrazzo</w:t>
      </w:r>
      <w:proofErr w:type="spellEnd"/>
      <w:r w:rsidRPr="00BD1A84">
        <w:rPr>
          <w:rFonts w:ascii="Times New Roman" w:hAnsi="Times New Roman" w:cs="Times New Roman"/>
          <w:sz w:val="18"/>
          <w:szCs w:val="18"/>
        </w:rPr>
        <w:t xml:space="preserve"> et al. also reports that among a random sample of participants assigned to active</w:t>
      </w:r>
      <w:r>
        <w:rPr>
          <w:rFonts w:ascii="Times New Roman" w:hAnsi="Times New Roman" w:cs="Times New Roman"/>
          <w:sz w:val="18"/>
          <w:szCs w:val="18"/>
        </w:rPr>
        <w:t xml:space="preserve"> study drug (Ns not reported), </w:t>
      </w:r>
      <w:proofErr w:type="spellStart"/>
      <w:r>
        <w:rPr>
          <w:rFonts w:ascii="Times New Roman" w:hAnsi="Times New Roman" w:cs="Times New Roman"/>
          <w:sz w:val="18"/>
          <w:szCs w:val="18"/>
        </w:rPr>
        <w:t>Tenofovir</w:t>
      </w:r>
      <w:proofErr w:type="spellEnd"/>
      <w:r>
        <w:rPr>
          <w:rFonts w:ascii="Times New Roman" w:hAnsi="Times New Roman" w:cs="Times New Roman"/>
          <w:sz w:val="18"/>
          <w:szCs w:val="18"/>
        </w:rPr>
        <w:t xml:space="preserve"> was detected in</w:t>
      </w:r>
      <w:r w:rsidRPr="00BD1A84">
        <w:rPr>
          <w:rFonts w:ascii="Times New Roman" w:hAnsi="Times New Roman" w:cs="Times New Roman"/>
          <w:sz w:val="18"/>
          <w:szCs w:val="18"/>
        </w:rPr>
        <w:t xml:space="preserve"> 30% of participants assigned to TDF and </w:t>
      </w:r>
      <w:r>
        <w:rPr>
          <w:rFonts w:ascii="Times New Roman" w:hAnsi="Times New Roman" w:cs="Times New Roman"/>
          <w:sz w:val="18"/>
          <w:szCs w:val="18"/>
        </w:rPr>
        <w:t xml:space="preserve">in </w:t>
      </w:r>
      <w:r w:rsidRPr="00BD1A84">
        <w:rPr>
          <w:rFonts w:ascii="Times New Roman" w:hAnsi="Times New Roman" w:cs="Times New Roman"/>
          <w:sz w:val="18"/>
          <w:szCs w:val="18"/>
        </w:rPr>
        <w:t xml:space="preserve">29% of participants assigned to TDF-FTC. </w:t>
      </w:r>
      <w:r>
        <w:rPr>
          <w:rFonts w:ascii="Times New Roman" w:hAnsi="Times New Roman" w:cs="Times New Roman"/>
          <w:sz w:val="18"/>
          <w:szCs w:val="18"/>
        </w:rPr>
        <w:t>For meta-analysis,</w:t>
      </w:r>
      <w:r w:rsidRPr="00BD1A84">
        <w:rPr>
          <w:rFonts w:ascii="Times New Roman" w:hAnsi="Times New Roman" w:cs="Times New Roman"/>
          <w:sz w:val="18"/>
          <w:szCs w:val="18"/>
        </w:rPr>
        <w:t xml:space="preserve"> the reported proportion of participants from the random sample was used as</w:t>
      </w:r>
      <w:r>
        <w:rPr>
          <w:rFonts w:ascii="Times New Roman" w:hAnsi="Times New Roman" w:cs="Times New Roman"/>
          <w:sz w:val="18"/>
          <w:szCs w:val="18"/>
        </w:rPr>
        <w:t xml:space="preserve"> the marker of</w:t>
      </w:r>
      <w:r w:rsidRPr="00BD1A84">
        <w:rPr>
          <w:rFonts w:ascii="Times New Roman" w:hAnsi="Times New Roman" w:cs="Times New Roman"/>
          <w:sz w:val="18"/>
          <w:szCs w:val="18"/>
        </w:rPr>
        <w:t xml:space="preserve"> </w:t>
      </w:r>
      <w:r>
        <w:rPr>
          <w:rFonts w:ascii="Times New Roman" w:hAnsi="Times New Roman" w:cs="Times New Roman"/>
          <w:sz w:val="18"/>
          <w:szCs w:val="18"/>
        </w:rPr>
        <w:t xml:space="preserve">overall </w:t>
      </w:r>
      <w:r w:rsidRPr="00BD1A84">
        <w:rPr>
          <w:rFonts w:ascii="Times New Roman" w:hAnsi="Times New Roman" w:cs="Times New Roman"/>
          <w:sz w:val="18"/>
          <w:szCs w:val="18"/>
        </w:rPr>
        <w:t>tri</w:t>
      </w:r>
      <w:bookmarkStart w:id="11" w:name="_GoBack"/>
      <w:bookmarkEnd w:id="11"/>
      <w:r w:rsidRPr="00BD1A84">
        <w:rPr>
          <w:rFonts w:ascii="Times New Roman" w:hAnsi="Times New Roman" w:cs="Times New Roman"/>
          <w:sz w:val="18"/>
          <w:szCs w:val="18"/>
        </w:rPr>
        <w:t>al-level adherence.</w:t>
      </w:r>
    </w:p>
    <w:sectPr w:rsidR="00EA3507" w:rsidRPr="00BD1A8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768B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6CC"/>
    <w:multiLevelType w:val="hybridMultilevel"/>
    <w:tmpl w:val="81D66FCA"/>
    <w:lvl w:ilvl="0" w:tplc="3B185A1E">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2F6B64"/>
    <w:multiLevelType w:val="hybridMultilevel"/>
    <w:tmpl w:val="640CA5C6"/>
    <w:lvl w:ilvl="0" w:tplc="3B185A1E">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C10240"/>
    <w:multiLevelType w:val="hybridMultilevel"/>
    <w:tmpl w:val="01E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F3410"/>
    <w:multiLevelType w:val="hybridMultilevel"/>
    <w:tmpl w:val="13E0E5FE"/>
    <w:lvl w:ilvl="0" w:tplc="3B185A1E">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8C7341C"/>
    <w:multiLevelType w:val="hybridMultilevel"/>
    <w:tmpl w:val="6194E6E6"/>
    <w:lvl w:ilvl="0" w:tplc="8E4A311C">
      <w:start w:val="1"/>
      <w:numFmt w:val="bullet"/>
      <w:suff w:val="space"/>
      <w:lvlText w:val=""/>
      <w:lvlJc w:val="left"/>
      <w:pPr>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3333E0"/>
    <w:multiLevelType w:val="hybridMultilevel"/>
    <w:tmpl w:val="920A18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CE718E"/>
    <w:multiLevelType w:val="hybridMultilevel"/>
    <w:tmpl w:val="C8DAF3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3AF"/>
    <w:multiLevelType w:val="hybridMultilevel"/>
    <w:tmpl w:val="2E0E4DF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2096778"/>
    <w:multiLevelType w:val="hybridMultilevel"/>
    <w:tmpl w:val="8B84E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20B38AD"/>
    <w:multiLevelType w:val="hybridMultilevel"/>
    <w:tmpl w:val="4B66F2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082E66C">
      <w:start w:val="1"/>
      <w:numFmt w:val="lowerLetter"/>
      <w:lvlText w:val="%5)"/>
      <w:lvlJc w:val="left"/>
      <w:pPr>
        <w:ind w:left="3600" w:hanging="360"/>
      </w:pPr>
      <w:rPr>
        <w:rFonts w:cs="Times New Roman" w:hint="default"/>
        <w:b/>
        <w:color w:val="00000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3E43BB"/>
    <w:multiLevelType w:val="hybridMultilevel"/>
    <w:tmpl w:val="3C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D5651"/>
    <w:multiLevelType w:val="hybridMultilevel"/>
    <w:tmpl w:val="B1F0C3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D73236"/>
    <w:multiLevelType w:val="hybridMultilevel"/>
    <w:tmpl w:val="0E8EC4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D148C9"/>
    <w:multiLevelType w:val="hybridMultilevel"/>
    <w:tmpl w:val="17987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
  </w:num>
  <w:num w:numId="6">
    <w:abstractNumId w:val="7"/>
  </w:num>
  <w:num w:numId="7">
    <w:abstractNumId w:val="8"/>
  </w:num>
  <w:num w:numId="8">
    <w:abstractNumId w:val="6"/>
  </w:num>
  <w:num w:numId="9">
    <w:abstractNumId w:val="12"/>
  </w:num>
  <w:num w:numId="10">
    <w:abstractNumId w:val="11"/>
  </w:num>
  <w:num w:numId="11">
    <w:abstractNumId w:val="4"/>
  </w:num>
  <w:num w:numId="12">
    <w:abstractNumId w:val="10"/>
  </w:num>
  <w:num w:numId="13">
    <w:abstractNumId w:val="2"/>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in">
    <w15:presenceInfo w15:providerId="None" w15:userId="Cait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C4"/>
    <w:rsid w:val="001669FD"/>
    <w:rsid w:val="001F68C2"/>
    <w:rsid w:val="00211E4D"/>
    <w:rsid w:val="00276982"/>
    <w:rsid w:val="003C43B0"/>
    <w:rsid w:val="00440678"/>
    <w:rsid w:val="0050588E"/>
    <w:rsid w:val="00523DDD"/>
    <w:rsid w:val="005A778C"/>
    <w:rsid w:val="005C1C9C"/>
    <w:rsid w:val="0076364A"/>
    <w:rsid w:val="007A0082"/>
    <w:rsid w:val="00840D43"/>
    <w:rsid w:val="0092790E"/>
    <w:rsid w:val="009C229E"/>
    <w:rsid w:val="009C2EC4"/>
    <w:rsid w:val="009E2689"/>
    <w:rsid w:val="00A60A4E"/>
    <w:rsid w:val="00AA44BC"/>
    <w:rsid w:val="00B72917"/>
    <w:rsid w:val="00BD1A84"/>
    <w:rsid w:val="00DB1C44"/>
    <w:rsid w:val="00E76101"/>
    <w:rsid w:val="00EA3507"/>
    <w:rsid w:val="00EF4BF8"/>
    <w:rsid w:val="00F03095"/>
    <w:rsid w:val="00FE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78C"/>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zh-CN"/>
    </w:rPr>
  </w:style>
  <w:style w:type="paragraph" w:styleId="Heading2">
    <w:name w:val="heading 2"/>
    <w:basedOn w:val="Normal"/>
    <w:next w:val="Normal"/>
    <w:link w:val="Heading2Char"/>
    <w:uiPriority w:val="9"/>
    <w:unhideWhenUsed/>
    <w:qFormat/>
    <w:rsid w:val="005A778C"/>
    <w:pPr>
      <w:keepNext/>
      <w:keepLines/>
      <w:spacing w:before="200" w:after="0"/>
      <w:outlineLvl w:val="1"/>
    </w:pPr>
    <w:rPr>
      <w:rFonts w:asciiTheme="majorHAnsi" w:eastAsiaTheme="majorEastAsia" w:hAnsiTheme="majorHAnsi" w:cstheme="majorBidi"/>
      <w:b/>
      <w:bCs/>
      <w:color w:val="4F81BD" w:themeColor="accent1"/>
      <w:sz w:val="26"/>
      <w:szCs w:val="26"/>
      <w:lang w:val="en-GB" w:eastAsia="zh-CN"/>
    </w:rPr>
  </w:style>
  <w:style w:type="paragraph" w:styleId="Heading3">
    <w:name w:val="heading 3"/>
    <w:basedOn w:val="Normal"/>
    <w:next w:val="Normal"/>
    <w:link w:val="Heading3Char"/>
    <w:uiPriority w:val="9"/>
    <w:unhideWhenUsed/>
    <w:qFormat/>
    <w:rsid w:val="005A778C"/>
    <w:pPr>
      <w:keepNext/>
      <w:keepLines/>
      <w:spacing w:before="200" w:after="0"/>
      <w:outlineLvl w:val="2"/>
    </w:pPr>
    <w:rPr>
      <w:rFonts w:asciiTheme="majorHAnsi" w:eastAsiaTheme="majorEastAsia" w:hAnsiTheme="majorHAnsi" w:cstheme="majorBidi"/>
      <w:b/>
      <w:bCs/>
      <w:color w:val="4F81BD" w:themeColor="accent1"/>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78C"/>
    <w:rPr>
      <w:rFonts w:asciiTheme="majorHAnsi" w:eastAsiaTheme="majorEastAsia" w:hAnsiTheme="majorHAnsi"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rsid w:val="005A778C"/>
    <w:rPr>
      <w:rFonts w:asciiTheme="majorHAnsi" w:eastAsiaTheme="majorEastAsia" w:hAnsiTheme="majorHAnsi" w:cstheme="majorBidi"/>
      <w:b/>
      <w:bCs/>
      <w:color w:val="4F81BD" w:themeColor="accent1"/>
      <w:sz w:val="26"/>
      <w:szCs w:val="26"/>
      <w:lang w:val="en-GB" w:eastAsia="zh-CN"/>
    </w:rPr>
  </w:style>
  <w:style w:type="character" w:customStyle="1" w:styleId="Heading3Char">
    <w:name w:val="Heading 3 Char"/>
    <w:basedOn w:val="DefaultParagraphFont"/>
    <w:link w:val="Heading3"/>
    <w:uiPriority w:val="9"/>
    <w:rsid w:val="005A778C"/>
    <w:rPr>
      <w:rFonts w:asciiTheme="majorHAnsi" w:eastAsiaTheme="majorEastAsia" w:hAnsiTheme="majorHAnsi" w:cstheme="majorBidi"/>
      <w:b/>
      <w:bCs/>
      <w:color w:val="4F81BD" w:themeColor="accent1"/>
      <w:lang w:val="en-GB" w:eastAsia="zh-CN"/>
    </w:rPr>
  </w:style>
  <w:style w:type="paragraph" w:styleId="FootnoteText">
    <w:name w:val="footnote text"/>
    <w:basedOn w:val="Normal"/>
    <w:link w:val="FootnoteTextChar"/>
    <w:uiPriority w:val="99"/>
    <w:semiHidden/>
    <w:unhideWhenUsed/>
    <w:rsid w:val="005A778C"/>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5A778C"/>
    <w:rPr>
      <w:rFonts w:ascii="Arial" w:eastAsia="Times New Roman" w:hAnsi="Arial" w:cs="Times New Roman"/>
      <w:sz w:val="20"/>
      <w:szCs w:val="20"/>
    </w:rPr>
  </w:style>
  <w:style w:type="character" w:styleId="Hyperlink">
    <w:name w:val="Hyperlink"/>
    <w:uiPriority w:val="99"/>
    <w:rsid w:val="005A778C"/>
    <w:rPr>
      <w:color w:val="0000FF"/>
      <w:u w:val="single"/>
    </w:rPr>
  </w:style>
  <w:style w:type="paragraph" w:styleId="TOCHeading">
    <w:name w:val="TOC Heading"/>
    <w:basedOn w:val="Heading1"/>
    <w:next w:val="Normal"/>
    <w:uiPriority w:val="39"/>
    <w:unhideWhenUsed/>
    <w:qFormat/>
    <w:rsid w:val="005A778C"/>
    <w:pPr>
      <w:outlineLvl w:val="9"/>
    </w:pPr>
    <w:rPr>
      <w:lang w:val="en-US" w:eastAsia="ja-JP"/>
    </w:rPr>
  </w:style>
  <w:style w:type="paragraph" w:styleId="TOC2">
    <w:name w:val="toc 2"/>
    <w:basedOn w:val="Normal"/>
    <w:next w:val="Normal"/>
    <w:autoRedefine/>
    <w:uiPriority w:val="39"/>
    <w:unhideWhenUsed/>
    <w:rsid w:val="005A778C"/>
    <w:pPr>
      <w:spacing w:after="100"/>
      <w:ind w:left="220"/>
    </w:pPr>
    <w:rPr>
      <w:rFonts w:eastAsiaTheme="minorEastAsia"/>
      <w:lang w:val="en-GB" w:eastAsia="zh-CN"/>
    </w:rPr>
  </w:style>
  <w:style w:type="character" w:customStyle="1" w:styleId="BalloonTextChar">
    <w:name w:val="Balloon Text Char"/>
    <w:basedOn w:val="DefaultParagraphFont"/>
    <w:link w:val="BalloonText"/>
    <w:uiPriority w:val="99"/>
    <w:semiHidden/>
    <w:rsid w:val="005A778C"/>
    <w:rPr>
      <w:rFonts w:ascii="Tahoma" w:eastAsiaTheme="minorEastAsia" w:hAnsi="Tahoma" w:cs="Tahoma"/>
      <w:sz w:val="16"/>
      <w:szCs w:val="16"/>
      <w:lang w:val="en-GB" w:eastAsia="zh-CN"/>
    </w:rPr>
  </w:style>
  <w:style w:type="paragraph" w:styleId="BalloonText">
    <w:name w:val="Balloon Text"/>
    <w:basedOn w:val="Normal"/>
    <w:link w:val="BalloonTextChar"/>
    <w:uiPriority w:val="99"/>
    <w:semiHidden/>
    <w:unhideWhenUsed/>
    <w:rsid w:val="005A778C"/>
    <w:pPr>
      <w:spacing w:after="0" w:line="240" w:lineRule="auto"/>
    </w:pPr>
    <w:rPr>
      <w:rFonts w:ascii="Tahoma" w:eastAsiaTheme="minorEastAsia" w:hAnsi="Tahoma" w:cs="Tahoma"/>
      <w:sz w:val="16"/>
      <w:szCs w:val="16"/>
      <w:lang w:val="en-GB" w:eastAsia="zh-CN"/>
    </w:rPr>
  </w:style>
  <w:style w:type="paragraph" w:styleId="TOC3">
    <w:name w:val="toc 3"/>
    <w:basedOn w:val="Normal"/>
    <w:next w:val="Normal"/>
    <w:autoRedefine/>
    <w:uiPriority w:val="39"/>
    <w:unhideWhenUsed/>
    <w:rsid w:val="005A778C"/>
    <w:pPr>
      <w:spacing w:after="100"/>
      <w:ind w:left="440"/>
    </w:pPr>
    <w:rPr>
      <w:rFonts w:eastAsiaTheme="minorEastAsia"/>
      <w:lang w:val="en-GB" w:eastAsia="zh-CN"/>
    </w:rPr>
  </w:style>
  <w:style w:type="table" w:styleId="TableGrid">
    <w:name w:val="Table Grid"/>
    <w:basedOn w:val="TableNormal"/>
    <w:uiPriority w:val="59"/>
    <w:rsid w:val="005A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78C"/>
    <w:pPr>
      <w:spacing w:after="0" w:line="240" w:lineRule="auto"/>
    </w:pPr>
  </w:style>
  <w:style w:type="table" w:styleId="LightShading">
    <w:name w:val="Light Shading"/>
    <w:basedOn w:val="TableNormal"/>
    <w:uiPriority w:val="60"/>
    <w:rsid w:val="005A77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A77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autoRedefine/>
    <w:uiPriority w:val="39"/>
    <w:unhideWhenUsed/>
    <w:rsid w:val="005A778C"/>
    <w:pPr>
      <w:spacing w:after="100"/>
    </w:pPr>
  </w:style>
  <w:style w:type="paragraph" w:styleId="ListParagraph">
    <w:name w:val="List Paragraph"/>
    <w:basedOn w:val="Normal"/>
    <w:uiPriority w:val="34"/>
    <w:qFormat/>
    <w:rsid w:val="005A778C"/>
    <w:pPr>
      <w:ind w:left="720"/>
      <w:contextualSpacing/>
    </w:pPr>
  </w:style>
  <w:style w:type="paragraph" w:styleId="Title">
    <w:name w:val="Title"/>
    <w:basedOn w:val="Normal"/>
    <w:next w:val="Normal"/>
    <w:link w:val="TitleChar"/>
    <w:uiPriority w:val="10"/>
    <w:qFormat/>
    <w:rsid w:val="005A7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78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A778C"/>
    <w:pPr>
      <w:tabs>
        <w:tab w:val="center" w:pos="4680"/>
        <w:tab w:val="right" w:pos="9360"/>
      </w:tabs>
      <w:spacing w:after="0" w:line="240" w:lineRule="auto"/>
    </w:pPr>
    <w:rPr>
      <w:rFonts w:eastAsiaTheme="minorEastAsia"/>
      <w:lang w:val="en-GB" w:eastAsia="zh-CN"/>
    </w:rPr>
  </w:style>
  <w:style w:type="character" w:customStyle="1" w:styleId="HeaderChar">
    <w:name w:val="Header Char"/>
    <w:basedOn w:val="DefaultParagraphFont"/>
    <w:link w:val="Header"/>
    <w:uiPriority w:val="99"/>
    <w:rsid w:val="005A778C"/>
    <w:rPr>
      <w:rFonts w:eastAsiaTheme="minorEastAsia"/>
      <w:lang w:val="en-GB" w:eastAsia="zh-CN"/>
    </w:rPr>
  </w:style>
  <w:style w:type="paragraph" w:styleId="Footer">
    <w:name w:val="footer"/>
    <w:basedOn w:val="Normal"/>
    <w:link w:val="FooterChar"/>
    <w:uiPriority w:val="99"/>
    <w:unhideWhenUsed/>
    <w:rsid w:val="005A778C"/>
    <w:pPr>
      <w:tabs>
        <w:tab w:val="center" w:pos="4680"/>
        <w:tab w:val="right" w:pos="9360"/>
      </w:tabs>
      <w:spacing w:after="0" w:line="240" w:lineRule="auto"/>
    </w:pPr>
    <w:rPr>
      <w:rFonts w:eastAsiaTheme="minorEastAsia"/>
      <w:lang w:val="en-GB" w:eastAsia="zh-CN"/>
    </w:rPr>
  </w:style>
  <w:style w:type="character" w:customStyle="1" w:styleId="FooterChar">
    <w:name w:val="Footer Char"/>
    <w:basedOn w:val="DefaultParagraphFont"/>
    <w:link w:val="Footer"/>
    <w:uiPriority w:val="99"/>
    <w:rsid w:val="005A778C"/>
    <w:rPr>
      <w:rFonts w:eastAsiaTheme="minorEastAsia"/>
      <w:lang w:val="en-GB" w:eastAsia="zh-CN"/>
    </w:rPr>
  </w:style>
  <w:style w:type="paragraph" w:styleId="NormalWeb">
    <w:name w:val="Normal (Web)"/>
    <w:basedOn w:val="Normal"/>
    <w:uiPriority w:val="99"/>
    <w:unhideWhenUsed/>
    <w:rsid w:val="005A778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5A778C"/>
    <w:pPr>
      <w:spacing w:line="240" w:lineRule="auto"/>
    </w:pPr>
    <w:rPr>
      <w:rFonts w:eastAsiaTheme="minorEastAsia"/>
      <w:sz w:val="24"/>
      <w:szCs w:val="24"/>
      <w:lang w:val="en-GB" w:eastAsia="zh-CN"/>
    </w:rPr>
  </w:style>
  <w:style w:type="character" w:customStyle="1" w:styleId="CommentTextChar">
    <w:name w:val="Comment Text Char"/>
    <w:basedOn w:val="DefaultParagraphFont"/>
    <w:link w:val="CommentText"/>
    <w:uiPriority w:val="99"/>
    <w:rsid w:val="005A778C"/>
    <w:rPr>
      <w:rFonts w:eastAsiaTheme="minorEastAsia"/>
      <w:sz w:val="24"/>
      <w:szCs w:val="24"/>
      <w:lang w:val="en-GB" w:eastAsia="zh-CN"/>
    </w:rPr>
  </w:style>
  <w:style w:type="character" w:customStyle="1" w:styleId="CommentSubjectChar">
    <w:name w:val="Comment Subject Char"/>
    <w:basedOn w:val="CommentTextChar"/>
    <w:link w:val="CommentSubject"/>
    <w:uiPriority w:val="99"/>
    <w:semiHidden/>
    <w:rsid w:val="005A778C"/>
    <w:rPr>
      <w:rFonts w:eastAsiaTheme="minorEastAsia"/>
      <w:b/>
      <w:bCs/>
      <w:sz w:val="20"/>
      <w:szCs w:val="20"/>
      <w:lang w:val="en-GB" w:eastAsia="zh-CN"/>
    </w:rPr>
  </w:style>
  <w:style w:type="paragraph" w:styleId="CommentSubject">
    <w:name w:val="annotation subject"/>
    <w:basedOn w:val="CommentText"/>
    <w:next w:val="CommentText"/>
    <w:link w:val="CommentSubjectChar"/>
    <w:uiPriority w:val="99"/>
    <w:semiHidden/>
    <w:unhideWhenUsed/>
    <w:rsid w:val="005A778C"/>
    <w:rPr>
      <w:b/>
      <w:bCs/>
      <w:sz w:val="20"/>
      <w:szCs w:val="20"/>
    </w:rPr>
  </w:style>
  <w:style w:type="character" w:styleId="CommentReference">
    <w:name w:val="annotation reference"/>
    <w:basedOn w:val="DefaultParagraphFont"/>
    <w:uiPriority w:val="99"/>
    <w:semiHidden/>
    <w:unhideWhenUsed/>
    <w:rsid w:val="00211E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78C"/>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zh-CN"/>
    </w:rPr>
  </w:style>
  <w:style w:type="paragraph" w:styleId="Heading2">
    <w:name w:val="heading 2"/>
    <w:basedOn w:val="Normal"/>
    <w:next w:val="Normal"/>
    <w:link w:val="Heading2Char"/>
    <w:uiPriority w:val="9"/>
    <w:unhideWhenUsed/>
    <w:qFormat/>
    <w:rsid w:val="005A778C"/>
    <w:pPr>
      <w:keepNext/>
      <w:keepLines/>
      <w:spacing w:before="200" w:after="0"/>
      <w:outlineLvl w:val="1"/>
    </w:pPr>
    <w:rPr>
      <w:rFonts w:asciiTheme="majorHAnsi" w:eastAsiaTheme="majorEastAsia" w:hAnsiTheme="majorHAnsi" w:cstheme="majorBidi"/>
      <w:b/>
      <w:bCs/>
      <w:color w:val="4F81BD" w:themeColor="accent1"/>
      <w:sz w:val="26"/>
      <w:szCs w:val="26"/>
      <w:lang w:val="en-GB" w:eastAsia="zh-CN"/>
    </w:rPr>
  </w:style>
  <w:style w:type="paragraph" w:styleId="Heading3">
    <w:name w:val="heading 3"/>
    <w:basedOn w:val="Normal"/>
    <w:next w:val="Normal"/>
    <w:link w:val="Heading3Char"/>
    <w:uiPriority w:val="9"/>
    <w:unhideWhenUsed/>
    <w:qFormat/>
    <w:rsid w:val="005A778C"/>
    <w:pPr>
      <w:keepNext/>
      <w:keepLines/>
      <w:spacing w:before="200" w:after="0"/>
      <w:outlineLvl w:val="2"/>
    </w:pPr>
    <w:rPr>
      <w:rFonts w:asciiTheme="majorHAnsi" w:eastAsiaTheme="majorEastAsia" w:hAnsiTheme="majorHAnsi" w:cstheme="majorBidi"/>
      <w:b/>
      <w:bCs/>
      <w:color w:val="4F81BD" w:themeColor="accent1"/>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78C"/>
    <w:rPr>
      <w:rFonts w:asciiTheme="majorHAnsi" w:eastAsiaTheme="majorEastAsia" w:hAnsiTheme="majorHAnsi"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rsid w:val="005A778C"/>
    <w:rPr>
      <w:rFonts w:asciiTheme="majorHAnsi" w:eastAsiaTheme="majorEastAsia" w:hAnsiTheme="majorHAnsi" w:cstheme="majorBidi"/>
      <w:b/>
      <w:bCs/>
      <w:color w:val="4F81BD" w:themeColor="accent1"/>
      <w:sz w:val="26"/>
      <w:szCs w:val="26"/>
      <w:lang w:val="en-GB" w:eastAsia="zh-CN"/>
    </w:rPr>
  </w:style>
  <w:style w:type="character" w:customStyle="1" w:styleId="Heading3Char">
    <w:name w:val="Heading 3 Char"/>
    <w:basedOn w:val="DefaultParagraphFont"/>
    <w:link w:val="Heading3"/>
    <w:uiPriority w:val="9"/>
    <w:rsid w:val="005A778C"/>
    <w:rPr>
      <w:rFonts w:asciiTheme="majorHAnsi" w:eastAsiaTheme="majorEastAsia" w:hAnsiTheme="majorHAnsi" w:cstheme="majorBidi"/>
      <w:b/>
      <w:bCs/>
      <w:color w:val="4F81BD" w:themeColor="accent1"/>
      <w:lang w:val="en-GB" w:eastAsia="zh-CN"/>
    </w:rPr>
  </w:style>
  <w:style w:type="paragraph" w:styleId="FootnoteText">
    <w:name w:val="footnote text"/>
    <w:basedOn w:val="Normal"/>
    <w:link w:val="FootnoteTextChar"/>
    <w:uiPriority w:val="99"/>
    <w:semiHidden/>
    <w:unhideWhenUsed/>
    <w:rsid w:val="005A778C"/>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5A778C"/>
    <w:rPr>
      <w:rFonts w:ascii="Arial" w:eastAsia="Times New Roman" w:hAnsi="Arial" w:cs="Times New Roman"/>
      <w:sz w:val="20"/>
      <w:szCs w:val="20"/>
    </w:rPr>
  </w:style>
  <w:style w:type="character" w:styleId="Hyperlink">
    <w:name w:val="Hyperlink"/>
    <w:uiPriority w:val="99"/>
    <w:rsid w:val="005A778C"/>
    <w:rPr>
      <w:color w:val="0000FF"/>
      <w:u w:val="single"/>
    </w:rPr>
  </w:style>
  <w:style w:type="paragraph" w:styleId="TOCHeading">
    <w:name w:val="TOC Heading"/>
    <w:basedOn w:val="Heading1"/>
    <w:next w:val="Normal"/>
    <w:uiPriority w:val="39"/>
    <w:unhideWhenUsed/>
    <w:qFormat/>
    <w:rsid w:val="005A778C"/>
    <w:pPr>
      <w:outlineLvl w:val="9"/>
    </w:pPr>
    <w:rPr>
      <w:lang w:val="en-US" w:eastAsia="ja-JP"/>
    </w:rPr>
  </w:style>
  <w:style w:type="paragraph" w:styleId="TOC2">
    <w:name w:val="toc 2"/>
    <w:basedOn w:val="Normal"/>
    <w:next w:val="Normal"/>
    <w:autoRedefine/>
    <w:uiPriority w:val="39"/>
    <w:unhideWhenUsed/>
    <w:rsid w:val="005A778C"/>
    <w:pPr>
      <w:spacing w:after="100"/>
      <w:ind w:left="220"/>
    </w:pPr>
    <w:rPr>
      <w:rFonts w:eastAsiaTheme="minorEastAsia"/>
      <w:lang w:val="en-GB" w:eastAsia="zh-CN"/>
    </w:rPr>
  </w:style>
  <w:style w:type="character" w:customStyle="1" w:styleId="BalloonTextChar">
    <w:name w:val="Balloon Text Char"/>
    <w:basedOn w:val="DefaultParagraphFont"/>
    <w:link w:val="BalloonText"/>
    <w:uiPriority w:val="99"/>
    <w:semiHidden/>
    <w:rsid w:val="005A778C"/>
    <w:rPr>
      <w:rFonts w:ascii="Tahoma" w:eastAsiaTheme="minorEastAsia" w:hAnsi="Tahoma" w:cs="Tahoma"/>
      <w:sz w:val="16"/>
      <w:szCs w:val="16"/>
      <w:lang w:val="en-GB" w:eastAsia="zh-CN"/>
    </w:rPr>
  </w:style>
  <w:style w:type="paragraph" w:styleId="BalloonText">
    <w:name w:val="Balloon Text"/>
    <w:basedOn w:val="Normal"/>
    <w:link w:val="BalloonTextChar"/>
    <w:uiPriority w:val="99"/>
    <w:semiHidden/>
    <w:unhideWhenUsed/>
    <w:rsid w:val="005A778C"/>
    <w:pPr>
      <w:spacing w:after="0" w:line="240" w:lineRule="auto"/>
    </w:pPr>
    <w:rPr>
      <w:rFonts w:ascii="Tahoma" w:eastAsiaTheme="minorEastAsia" w:hAnsi="Tahoma" w:cs="Tahoma"/>
      <w:sz w:val="16"/>
      <w:szCs w:val="16"/>
      <w:lang w:val="en-GB" w:eastAsia="zh-CN"/>
    </w:rPr>
  </w:style>
  <w:style w:type="paragraph" w:styleId="TOC3">
    <w:name w:val="toc 3"/>
    <w:basedOn w:val="Normal"/>
    <w:next w:val="Normal"/>
    <w:autoRedefine/>
    <w:uiPriority w:val="39"/>
    <w:unhideWhenUsed/>
    <w:rsid w:val="005A778C"/>
    <w:pPr>
      <w:spacing w:after="100"/>
      <w:ind w:left="440"/>
    </w:pPr>
    <w:rPr>
      <w:rFonts w:eastAsiaTheme="minorEastAsia"/>
      <w:lang w:val="en-GB" w:eastAsia="zh-CN"/>
    </w:rPr>
  </w:style>
  <w:style w:type="table" w:styleId="TableGrid">
    <w:name w:val="Table Grid"/>
    <w:basedOn w:val="TableNormal"/>
    <w:uiPriority w:val="59"/>
    <w:rsid w:val="005A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78C"/>
    <w:pPr>
      <w:spacing w:after="0" w:line="240" w:lineRule="auto"/>
    </w:pPr>
  </w:style>
  <w:style w:type="table" w:styleId="LightShading">
    <w:name w:val="Light Shading"/>
    <w:basedOn w:val="TableNormal"/>
    <w:uiPriority w:val="60"/>
    <w:rsid w:val="005A77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A77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autoRedefine/>
    <w:uiPriority w:val="39"/>
    <w:unhideWhenUsed/>
    <w:rsid w:val="005A778C"/>
    <w:pPr>
      <w:spacing w:after="100"/>
    </w:pPr>
  </w:style>
  <w:style w:type="paragraph" w:styleId="ListParagraph">
    <w:name w:val="List Paragraph"/>
    <w:basedOn w:val="Normal"/>
    <w:uiPriority w:val="34"/>
    <w:qFormat/>
    <w:rsid w:val="005A778C"/>
    <w:pPr>
      <w:ind w:left="720"/>
      <w:contextualSpacing/>
    </w:pPr>
  </w:style>
  <w:style w:type="paragraph" w:styleId="Title">
    <w:name w:val="Title"/>
    <w:basedOn w:val="Normal"/>
    <w:next w:val="Normal"/>
    <w:link w:val="TitleChar"/>
    <w:uiPriority w:val="10"/>
    <w:qFormat/>
    <w:rsid w:val="005A7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78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A778C"/>
    <w:pPr>
      <w:tabs>
        <w:tab w:val="center" w:pos="4680"/>
        <w:tab w:val="right" w:pos="9360"/>
      </w:tabs>
      <w:spacing w:after="0" w:line="240" w:lineRule="auto"/>
    </w:pPr>
    <w:rPr>
      <w:rFonts w:eastAsiaTheme="minorEastAsia"/>
      <w:lang w:val="en-GB" w:eastAsia="zh-CN"/>
    </w:rPr>
  </w:style>
  <w:style w:type="character" w:customStyle="1" w:styleId="HeaderChar">
    <w:name w:val="Header Char"/>
    <w:basedOn w:val="DefaultParagraphFont"/>
    <w:link w:val="Header"/>
    <w:uiPriority w:val="99"/>
    <w:rsid w:val="005A778C"/>
    <w:rPr>
      <w:rFonts w:eastAsiaTheme="minorEastAsia"/>
      <w:lang w:val="en-GB" w:eastAsia="zh-CN"/>
    </w:rPr>
  </w:style>
  <w:style w:type="paragraph" w:styleId="Footer">
    <w:name w:val="footer"/>
    <w:basedOn w:val="Normal"/>
    <w:link w:val="FooterChar"/>
    <w:uiPriority w:val="99"/>
    <w:unhideWhenUsed/>
    <w:rsid w:val="005A778C"/>
    <w:pPr>
      <w:tabs>
        <w:tab w:val="center" w:pos="4680"/>
        <w:tab w:val="right" w:pos="9360"/>
      </w:tabs>
      <w:spacing w:after="0" w:line="240" w:lineRule="auto"/>
    </w:pPr>
    <w:rPr>
      <w:rFonts w:eastAsiaTheme="minorEastAsia"/>
      <w:lang w:val="en-GB" w:eastAsia="zh-CN"/>
    </w:rPr>
  </w:style>
  <w:style w:type="character" w:customStyle="1" w:styleId="FooterChar">
    <w:name w:val="Footer Char"/>
    <w:basedOn w:val="DefaultParagraphFont"/>
    <w:link w:val="Footer"/>
    <w:uiPriority w:val="99"/>
    <w:rsid w:val="005A778C"/>
    <w:rPr>
      <w:rFonts w:eastAsiaTheme="minorEastAsia"/>
      <w:lang w:val="en-GB" w:eastAsia="zh-CN"/>
    </w:rPr>
  </w:style>
  <w:style w:type="paragraph" w:styleId="NormalWeb">
    <w:name w:val="Normal (Web)"/>
    <w:basedOn w:val="Normal"/>
    <w:uiPriority w:val="99"/>
    <w:unhideWhenUsed/>
    <w:rsid w:val="005A778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5A778C"/>
    <w:pPr>
      <w:spacing w:line="240" w:lineRule="auto"/>
    </w:pPr>
    <w:rPr>
      <w:rFonts w:eastAsiaTheme="minorEastAsia"/>
      <w:sz w:val="24"/>
      <w:szCs w:val="24"/>
      <w:lang w:val="en-GB" w:eastAsia="zh-CN"/>
    </w:rPr>
  </w:style>
  <w:style w:type="character" w:customStyle="1" w:styleId="CommentTextChar">
    <w:name w:val="Comment Text Char"/>
    <w:basedOn w:val="DefaultParagraphFont"/>
    <w:link w:val="CommentText"/>
    <w:uiPriority w:val="99"/>
    <w:rsid w:val="005A778C"/>
    <w:rPr>
      <w:rFonts w:eastAsiaTheme="minorEastAsia"/>
      <w:sz w:val="24"/>
      <w:szCs w:val="24"/>
      <w:lang w:val="en-GB" w:eastAsia="zh-CN"/>
    </w:rPr>
  </w:style>
  <w:style w:type="character" w:customStyle="1" w:styleId="CommentSubjectChar">
    <w:name w:val="Comment Subject Char"/>
    <w:basedOn w:val="CommentTextChar"/>
    <w:link w:val="CommentSubject"/>
    <w:uiPriority w:val="99"/>
    <w:semiHidden/>
    <w:rsid w:val="005A778C"/>
    <w:rPr>
      <w:rFonts w:eastAsiaTheme="minorEastAsia"/>
      <w:b/>
      <w:bCs/>
      <w:sz w:val="20"/>
      <w:szCs w:val="20"/>
      <w:lang w:val="en-GB" w:eastAsia="zh-CN"/>
    </w:rPr>
  </w:style>
  <w:style w:type="paragraph" w:styleId="CommentSubject">
    <w:name w:val="annotation subject"/>
    <w:basedOn w:val="CommentText"/>
    <w:next w:val="CommentText"/>
    <w:link w:val="CommentSubjectChar"/>
    <w:uiPriority w:val="99"/>
    <w:semiHidden/>
    <w:unhideWhenUsed/>
    <w:rsid w:val="005A778C"/>
    <w:rPr>
      <w:b/>
      <w:bCs/>
      <w:sz w:val="20"/>
      <w:szCs w:val="20"/>
    </w:rPr>
  </w:style>
  <w:style w:type="character" w:styleId="CommentReference">
    <w:name w:val="annotation reference"/>
    <w:basedOn w:val="DefaultParagraphFont"/>
    <w:uiPriority w:val="99"/>
    <w:semiHidden/>
    <w:unhideWhenUsed/>
    <w:rsid w:val="002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Fonner</dc:creator>
  <cp:lastModifiedBy>Ginny Fonner</cp:lastModifiedBy>
  <cp:revision>5</cp:revision>
  <dcterms:created xsi:type="dcterms:W3CDTF">2016-03-30T05:46:00Z</dcterms:created>
  <dcterms:modified xsi:type="dcterms:W3CDTF">2016-04-07T07:01:00Z</dcterms:modified>
</cp:coreProperties>
</file>