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AE" w:rsidRDefault="001300AE">
      <w:pPr>
        <w:pStyle w:val="NoSpacing"/>
        <w:rPr>
          <w:rFonts w:ascii="Times New Roman" w:hAnsi="Times New Roman" w:cs="Times New Roman"/>
        </w:rPr>
      </w:pPr>
      <w:r>
        <w:rPr>
          <w:rFonts w:ascii="Times New Roman" w:hAnsi="Times New Roman" w:cs="Times New Roman"/>
          <w:b/>
          <w:bCs/>
        </w:rPr>
        <w:t xml:space="preserve">Table S1. </w:t>
      </w:r>
      <w:r>
        <w:rPr>
          <w:rFonts w:ascii="Times New Roman" w:hAnsi="Times New Roman" w:cs="Times New Roman"/>
        </w:rPr>
        <w:t xml:space="preserve">Alternate specifications of primary models with exponential and Weibull distributions. </w:t>
      </w:r>
    </w:p>
    <w:tbl>
      <w:tblPr>
        <w:tblW w:w="9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5"/>
        <w:gridCol w:w="3420"/>
        <w:gridCol w:w="3510"/>
      </w:tblGrid>
      <w:tr w:rsidR="001300AE">
        <w:tc>
          <w:tcPr>
            <w:tcW w:w="2245" w:type="dxa"/>
          </w:tcPr>
          <w:p w:rsidR="001300AE" w:rsidRDefault="001300AE">
            <w:pPr>
              <w:pStyle w:val="NoSpacing"/>
              <w:jc w:val="center"/>
              <w:rPr>
                <w:rFonts w:ascii="Times New Roman" w:hAnsi="Times New Roman" w:cs="Times New Roman"/>
                <w:b/>
                <w:bCs/>
              </w:rPr>
            </w:pPr>
            <w:r>
              <w:rPr>
                <w:rFonts w:ascii="Times New Roman" w:hAnsi="Times New Roman" w:cs="Times New Roman"/>
                <w:b/>
                <w:bCs/>
              </w:rPr>
              <w:t>Range</w:t>
            </w:r>
          </w:p>
        </w:tc>
        <w:tc>
          <w:tcPr>
            <w:tcW w:w="3420" w:type="dxa"/>
            <w:vAlign w:val="center"/>
          </w:tcPr>
          <w:p w:rsidR="001300AE" w:rsidRDefault="001300AE">
            <w:pPr>
              <w:pStyle w:val="NoSpacing"/>
              <w:jc w:val="center"/>
              <w:rPr>
                <w:rFonts w:ascii="Times New Roman" w:hAnsi="Times New Roman" w:cs="Times New Roman"/>
                <w:b/>
                <w:bCs/>
                <w:i/>
                <w:iCs/>
              </w:rPr>
            </w:pPr>
            <w:r>
              <w:rPr>
                <w:rFonts w:ascii="Times New Roman" w:hAnsi="Times New Roman" w:cs="Times New Roman"/>
                <w:b/>
                <w:bCs/>
              </w:rPr>
              <w:t>Exponential</w:t>
            </w:r>
          </w:p>
        </w:tc>
        <w:tc>
          <w:tcPr>
            <w:tcW w:w="3510" w:type="dxa"/>
            <w:vAlign w:val="center"/>
          </w:tcPr>
          <w:p w:rsidR="001300AE" w:rsidRDefault="001300AE">
            <w:pPr>
              <w:pStyle w:val="NoSpacing"/>
              <w:jc w:val="center"/>
              <w:rPr>
                <w:rFonts w:ascii="Times New Roman" w:hAnsi="Times New Roman" w:cs="Times New Roman"/>
                <w:b/>
                <w:bCs/>
                <w:i/>
                <w:iCs/>
              </w:rPr>
            </w:pPr>
            <w:r>
              <w:rPr>
                <w:rFonts w:ascii="Times New Roman" w:hAnsi="Times New Roman" w:cs="Times New Roman"/>
                <w:b/>
                <w:bCs/>
              </w:rPr>
              <w:t>Weibull</w:t>
            </w:r>
          </w:p>
        </w:tc>
      </w:tr>
      <w:tr w:rsidR="001300AE">
        <w:tc>
          <w:tcPr>
            <w:tcW w:w="2245" w:type="dxa"/>
          </w:tcPr>
          <w:p w:rsidR="001300AE" w:rsidRDefault="001300AE">
            <w:pPr>
              <w:pStyle w:val="NoSpacing"/>
              <w:rPr>
                <w:rFonts w:ascii="Times New Roman" w:hAnsi="Times New Roman" w:cs="Times New Roman"/>
                <w:i/>
                <w:iCs/>
              </w:rPr>
            </w:pPr>
            <w:r>
              <w:rPr>
                <w:rFonts w:ascii="Times New Roman" w:hAnsi="Times New Roman" w:cs="Times New Roman"/>
                <w:i/>
                <w:iCs/>
              </w:rPr>
              <w:t>0-350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vertAlign w:val="superscript"/>
              </w:rPr>
            </w:pPr>
            <w:r>
              <w:rPr>
                <w:rFonts w:ascii="Times New Roman" w:hAnsi="Times New Roman" w:cs="Times New Roman"/>
              </w:rPr>
              <w:t>Slope above</w:t>
            </w:r>
            <w:r>
              <w:rPr>
                <w:rFonts w:ascii="Times New Roman" w:hAnsi="Times New Roman" w:cs="Times New Roman"/>
                <w:vertAlign w:val="superscript"/>
              </w:rPr>
              <w:t>1</w:t>
            </w:r>
          </w:p>
          <w:p w:rsidR="001300AE" w:rsidRDefault="001300AE">
            <w:pPr>
              <w:pStyle w:val="NoSpacing"/>
              <w:jc w:val="center"/>
              <w:rPr>
                <w:rFonts w:ascii="Times New Roman" w:hAnsi="Times New Roman" w:cs="Times New Roman"/>
                <w:b/>
                <w:bCs/>
              </w:rPr>
            </w:pPr>
            <w:r>
              <w:rPr>
                <w:rFonts w:ascii="Times New Roman" w:hAnsi="Times New Roman" w:cs="Times New Roman"/>
              </w:rPr>
              <w:t>Slope below</w:t>
            </w:r>
            <w:r>
              <w:rPr>
                <w:rFonts w:ascii="Times New Roman" w:hAnsi="Times New Roman" w:cs="Times New Roman"/>
                <w:vertAlign w:val="superscript"/>
              </w:rPr>
              <w:t>2</w:t>
            </w:r>
          </w:p>
        </w:tc>
        <w:tc>
          <w:tcPr>
            <w:tcW w:w="342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0.68 (0.46 to 1.02)</w:t>
            </w:r>
          </w:p>
          <w:p w:rsidR="001300AE" w:rsidRDefault="001300AE">
            <w:pPr>
              <w:pStyle w:val="NoSpacing"/>
              <w:jc w:val="center"/>
              <w:rPr>
                <w:rFonts w:ascii="Times New Roman" w:hAnsi="Times New Roman" w:cs="Times New Roman"/>
              </w:rPr>
            </w:pPr>
            <w:r>
              <w:rPr>
                <w:rFonts w:ascii="Times New Roman" w:hAnsi="Times New Roman" w:cs="Times New Roman"/>
              </w:rPr>
              <w:t>1.000 (0.996 to 1.003)</w:t>
            </w:r>
          </w:p>
          <w:p w:rsidR="001300AE" w:rsidRDefault="001300AE">
            <w:pPr>
              <w:pStyle w:val="NoSpacing"/>
              <w:jc w:val="center"/>
              <w:rPr>
                <w:rFonts w:ascii="Times New Roman" w:hAnsi="Times New Roman" w:cs="Times New Roman"/>
              </w:rPr>
            </w:pPr>
            <w:r>
              <w:rPr>
                <w:rFonts w:ascii="Times New Roman" w:hAnsi="Times New Roman" w:cs="Times New Roman"/>
              </w:rPr>
              <w:t>0.997 (0.993 to 1.002)</w:t>
            </w:r>
          </w:p>
        </w:tc>
        <w:tc>
          <w:tcPr>
            <w:tcW w:w="351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0.68 (0.46 to 1.01)</w:t>
            </w:r>
          </w:p>
          <w:p w:rsidR="001300AE" w:rsidRDefault="001300AE">
            <w:pPr>
              <w:pStyle w:val="NoSpacing"/>
              <w:jc w:val="center"/>
              <w:rPr>
                <w:rFonts w:ascii="Times New Roman" w:hAnsi="Times New Roman" w:cs="Times New Roman"/>
              </w:rPr>
            </w:pPr>
            <w:r>
              <w:rPr>
                <w:rFonts w:ascii="Times New Roman" w:hAnsi="Times New Roman" w:cs="Times New Roman"/>
              </w:rPr>
              <w:t>0.999 (0.996 to 1.003)</w:t>
            </w:r>
          </w:p>
          <w:p w:rsidR="001300AE" w:rsidRDefault="001300AE">
            <w:pPr>
              <w:pStyle w:val="NoSpacing"/>
              <w:jc w:val="center"/>
              <w:rPr>
                <w:rFonts w:ascii="Times New Roman" w:hAnsi="Times New Roman" w:cs="Times New Roman"/>
              </w:rPr>
            </w:pPr>
            <w:r>
              <w:rPr>
                <w:rFonts w:ascii="Times New Roman" w:hAnsi="Times New Roman" w:cs="Times New Roman"/>
              </w:rPr>
              <w:t>0.998 (0.993 to 1.002)</w:t>
            </w:r>
          </w:p>
        </w:tc>
      </w:tr>
      <w:tr w:rsidR="001300AE">
        <w:tc>
          <w:tcPr>
            <w:tcW w:w="2245" w:type="dxa"/>
          </w:tcPr>
          <w:p w:rsidR="001300AE" w:rsidRDefault="001300AE">
            <w:pPr>
              <w:pStyle w:val="NoSpacing"/>
              <w:rPr>
                <w:rFonts w:ascii="Times New Roman" w:hAnsi="Times New Roman" w:cs="Times New Roman"/>
                <w:i/>
                <w:iCs/>
              </w:rPr>
            </w:pPr>
            <w:r>
              <w:rPr>
                <w:rFonts w:ascii="Times New Roman" w:hAnsi="Times New Roman" w:cs="Times New Roman"/>
                <w:i/>
                <w:iCs/>
              </w:rPr>
              <w:t>50-350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vertAlign w:val="superscript"/>
              </w:rPr>
            </w:pPr>
            <w:r>
              <w:rPr>
                <w:rFonts w:ascii="Times New Roman" w:hAnsi="Times New Roman" w:cs="Times New Roman"/>
              </w:rPr>
              <w:t>Slope above</w:t>
            </w:r>
            <w:r>
              <w:rPr>
                <w:rFonts w:ascii="Times New Roman" w:hAnsi="Times New Roman" w:cs="Times New Roman"/>
                <w:vertAlign w:val="superscript"/>
              </w:rPr>
              <w:t>1</w:t>
            </w:r>
          </w:p>
          <w:p w:rsidR="001300AE" w:rsidRDefault="001300AE">
            <w:pPr>
              <w:pStyle w:val="NoSpacing"/>
              <w:jc w:val="center"/>
              <w:rPr>
                <w:rFonts w:ascii="Times New Roman" w:hAnsi="Times New Roman" w:cs="Times New Roman"/>
                <w:b/>
                <w:bCs/>
              </w:rPr>
            </w:pPr>
            <w:r>
              <w:rPr>
                <w:rFonts w:ascii="Times New Roman" w:hAnsi="Times New Roman" w:cs="Times New Roman"/>
              </w:rPr>
              <w:t>Slope below</w:t>
            </w:r>
            <w:r>
              <w:rPr>
                <w:rFonts w:ascii="Times New Roman" w:hAnsi="Times New Roman" w:cs="Times New Roman"/>
                <w:vertAlign w:val="superscript"/>
              </w:rPr>
              <w:t>2</w:t>
            </w:r>
          </w:p>
        </w:tc>
        <w:tc>
          <w:tcPr>
            <w:tcW w:w="342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0.55 (0.35 to 0.87)</w:t>
            </w:r>
          </w:p>
          <w:p w:rsidR="001300AE" w:rsidRDefault="001300AE">
            <w:pPr>
              <w:pStyle w:val="NoSpacing"/>
              <w:jc w:val="center"/>
              <w:rPr>
                <w:rFonts w:ascii="Times New Roman" w:hAnsi="Times New Roman" w:cs="Times New Roman"/>
              </w:rPr>
            </w:pPr>
            <w:r>
              <w:rPr>
                <w:rFonts w:ascii="Times New Roman" w:hAnsi="Times New Roman" w:cs="Times New Roman"/>
              </w:rPr>
              <w:t>0.997 (0.990 to 1.005)</w:t>
            </w:r>
          </w:p>
          <w:p w:rsidR="001300AE" w:rsidRDefault="001300AE">
            <w:pPr>
              <w:pStyle w:val="NoSpacing"/>
              <w:jc w:val="center"/>
              <w:rPr>
                <w:rFonts w:ascii="Times New Roman" w:hAnsi="Times New Roman" w:cs="Times New Roman"/>
              </w:rPr>
            </w:pPr>
            <w:r>
              <w:rPr>
                <w:rFonts w:ascii="Times New Roman" w:hAnsi="Times New Roman" w:cs="Times New Roman"/>
              </w:rPr>
              <w:t>0.996 (0.986 to 1.007)</w:t>
            </w:r>
          </w:p>
        </w:tc>
        <w:tc>
          <w:tcPr>
            <w:tcW w:w="351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0.55 (0.35 to 0.86)</w:t>
            </w:r>
          </w:p>
          <w:p w:rsidR="001300AE" w:rsidRDefault="001300AE">
            <w:pPr>
              <w:pStyle w:val="NoSpacing"/>
              <w:jc w:val="center"/>
              <w:rPr>
                <w:rFonts w:ascii="Times New Roman" w:hAnsi="Times New Roman" w:cs="Times New Roman"/>
              </w:rPr>
            </w:pPr>
            <w:r>
              <w:rPr>
                <w:rFonts w:ascii="Times New Roman" w:hAnsi="Times New Roman" w:cs="Times New Roman"/>
              </w:rPr>
              <w:t>0.999 (0.996 to 1.003)</w:t>
            </w:r>
          </w:p>
          <w:p w:rsidR="001300AE" w:rsidRDefault="001300AE">
            <w:pPr>
              <w:pStyle w:val="NoSpacing"/>
              <w:jc w:val="center"/>
              <w:rPr>
                <w:rFonts w:ascii="Times New Roman" w:hAnsi="Times New Roman" w:cs="Times New Roman"/>
              </w:rPr>
            </w:pPr>
            <w:r>
              <w:rPr>
                <w:rFonts w:ascii="Times New Roman" w:hAnsi="Times New Roman" w:cs="Times New Roman"/>
              </w:rPr>
              <w:t>0.994 (0.989 to 0.999)</w:t>
            </w:r>
          </w:p>
        </w:tc>
      </w:tr>
      <w:tr w:rsidR="001300AE">
        <w:tc>
          <w:tcPr>
            <w:tcW w:w="2245" w:type="dxa"/>
          </w:tcPr>
          <w:p w:rsidR="001300AE" w:rsidRDefault="001300AE">
            <w:pPr>
              <w:pStyle w:val="NoSpacing"/>
              <w:rPr>
                <w:rFonts w:ascii="Times New Roman" w:hAnsi="Times New Roman" w:cs="Times New Roman"/>
                <w:i/>
                <w:iCs/>
              </w:rPr>
            </w:pPr>
            <w:r>
              <w:rPr>
                <w:rFonts w:ascii="Times New Roman" w:hAnsi="Times New Roman" w:cs="Times New Roman"/>
                <w:i/>
                <w:iCs/>
              </w:rPr>
              <w:t>105-295**</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vertAlign w:val="superscript"/>
              </w:rPr>
            </w:pPr>
            <w:r>
              <w:rPr>
                <w:rFonts w:ascii="Times New Roman" w:hAnsi="Times New Roman" w:cs="Times New Roman"/>
              </w:rPr>
              <w:t>Slope above</w:t>
            </w:r>
            <w:r>
              <w:rPr>
                <w:rFonts w:ascii="Times New Roman" w:hAnsi="Times New Roman" w:cs="Times New Roman"/>
                <w:vertAlign w:val="superscript"/>
              </w:rPr>
              <w:t>1</w:t>
            </w:r>
          </w:p>
          <w:p w:rsidR="001300AE" w:rsidRDefault="001300AE">
            <w:pPr>
              <w:pStyle w:val="NoSpacing"/>
              <w:jc w:val="center"/>
              <w:rPr>
                <w:rFonts w:ascii="Times New Roman" w:hAnsi="Times New Roman" w:cs="Times New Roman"/>
                <w:b/>
                <w:bCs/>
              </w:rPr>
            </w:pPr>
            <w:r>
              <w:rPr>
                <w:rFonts w:ascii="Times New Roman" w:hAnsi="Times New Roman" w:cs="Times New Roman"/>
              </w:rPr>
              <w:t>Slope below</w:t>
            </w:r>
            <w:r>
              <w:rPr>
                <w:rFonts w:ascii="Times New Roman" w:hAnsi="Times New Roman" w:cs="Times New Roman"/>
                <w:vertAlign w:val="superscript"/>
              </w:rPr>
              <w:t>2</w:t>
            </w:r>
          </w:p>
        </w:tc>
        <w:tc>
          <w:tcPr>
            <w:tcW w:w="342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0.52 (0.29 to 0.93)</w:t>
            </w:r>
          </w:p>
          <w:p w:rsidR="001300AE" w:rsidRDefault="001300AE">
            <w:pPr>
              <w:pStyle w:val="NoSpacing"/>
              <w:jc w:val="center"/>
              <w:rPr>
                <w:rFonts w:ascii="Times New Roman" w:hAnsi="Times New Roman" w:cs="Times New Roman"/>
              </w:rPr>
            </w:pPr>
            <w:r>
              <w:rPr>
                <w:rFonts w:ascii="Times New Roman" w:hAnsi="Times New Roman" w:cs="Times New Roman"/>
              </w:rPr>
              <w:t>1.000 (0.994 to 1.008)</w:t>
            </w:r>
          </w:p>
          <w:p w:rsidR="001300AE" w:rsidRDefault="001300AE">
            <w:pPr>
              <w:pStyle w:val="NoSpacing"/>
              <w:jc w:val="center"/>
              <w:rPr>
                <w:rFonts w:ascii="Times New Roman" w:hAnsi="Times New Roman" w:cs="Times New Roman"/>
              </w:rPr>
            </w:pPr>
            <w:r>
              <w:rPr>
                <w:rFonts w:ascii="Times New Roman" w:hAnsi="Times New Roman" w:cs="Times New Roman"/>
              </w:rPr>
              <w:t>0.994 (0.984 to 1.003)</w:t>
            </w:r>
          </w:p>
        </w:tc>
        <w:tc>
          <w:tcPr>
            <w:tcW w:w="351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0.52 (0.29 to 0.93)</w:t>
            </w:r>
          </w:p>
          <w:p w:rsidR="001300AE" w:rsidRDefault="001300AE">
            <w:pPr>
              <w:pStyle w:val="NoSpacing"/>
              <w:jc w:val="center"/>
              <w:rPr>
                <w:rFonts w:ascii="Times New Roman" w:hAnsi="Times New Roman" w:cs="Times New Roman"/>
              </w:rPr>
            </w:pPr>
            <w:r>
              <w:rPr>
                <w:rFonts w:ascii="Times New Roman" w:hAnsi="Times New Roman" w:cs="Times New Roman"/>
              </w:rPr>
              <w:t>0.998 (0.990 to 1.005)</w:t>
            </w:r>
          </w:p>
          <w:p w:rsidR="001300AE" w:rsidRDefault="001300AE">
            <w:pPr>
              <w:pStyle w:val="NoSpacing"/>
              <w:jc w:val="center"/>
              <w:rPr>
                <w:rFonts w:ascii="Times New Roman" w:hAnsi="Times New Roman" w:cs="Times New Roman"/>
              </w:rPr>
            </w:pPr>
            <w:r>
              <w:rPr>
                <w:rFonts w:ascii="Times New Roman" w:hAnsi="Times New Roman" w:cs="Times New Roman"/>
              </w:rPr>
              <w:t>0.996 (0.986 to 1.006)</w:t>
            </w:r>
          </w:p>
        </w:tc>
      </w:tr>
      <w:tr w:rsidR="001300AE">
        <w:tc>
          <w:tcPr>
            <w:tcW w:w="2245" w:type="dxa"/>
          </w:tcPr>
          <w:p w:rsidR="001300AE" w:rsidRDefault="001300AE">
            <w:pPr>
              <w:pStyle w:val="NoSpacing"/>
              <w:rPr>
                <w:rFonts w:ascii="Times New Roman" w:hAnsi="Times New Roman" w:cs="Times New Roman"/>
                <w:i/>
                <w:iCs/>
              </w:rPr>
            </w:pPr>
            <w:r>
              <w:rPr>
                <w:rFonts w:ascii="Times New Roman" w:hAnsi="Times New Roman" w:cs="Times New Roman"/>
                <w:i/>
                <w:iCs/>
              </w:rPr>
              <w:t>150-250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vertAlign w:val="superscript"/>
              </w:rPr>
            </w:pPr>
            <w:r>
              <w:rPr>
                <w:rFonts w:ascii="Times New Roman" w:hAnsi="Times New Roman" w:cs="Times New Roman"/>
              </w:rPr>
              <w:t>Slope above</w:t>
            </w:r>
            <w:r>
              <w:rPr>
                <w:rFonts w:ascii="Times New Roman" w:hAnsi="Times New Roman" w:cs="Times New Roman"/>
                <w:vertAlign w:val="superscript"/>
              </w:rPr>
              <w:t>1</w:t>
            </w:r>
          </w:p>
          <w:p w:rsidR="001300AE" w:rsidRDefault="001300AE">
            <w:pPr>
              <w:pStyle w:val="NoSpacing"/>
              <w:jc w:val="center"/>
              <w:rPr>
                <w:rFonts w:ascii="Times New Roman" w:hAnsi="Times New Roman" w:cs="Times New Roman"/>
                <w:b/>
                <w:bCs/>
              </w:rPr>
            </w:pPr>
            <w:r>
              <w:rPr>
                <w:rFonts w:ascii="Times New Roman" w:hAnsi="Times New Roman" w:cs="Times New Roman"/>
              </w:rPr>
              <w:t>Slope below</w:t>
            </w:r>
            <w:r>
              <w:rPr>
                <w:rFonts w:ascii="Times New Roman" w:hAnsi="Times New Roman" w:cs="Times New Roman"/>
                <w:vertAlign w:val="superscript"/>
              </w:rPr>
              <w:t>2</w:t>
            </w:r>
          </w:p>
        </w:tc>
        <w:tc>
          <w:tcPr>
            <w:tcW w:w="342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0.47 (0.23 to 0.98)</w:t>
            </w:r>
          </w:p>
          <w:p w:rsidR="001300AE" w:rsidRDefault="001300AE">
            <w:pPr>
              <w:pStyle w:val="NoSpacing"/>
              <w:jc w:val="center"/>
              <w:rPr>
                <w:rFonts w:ascii="Times New Roman" w:hAnsi="Times New Roman" w:cs="Times New Roman"/>
              </w:rPr>
            </w:pPr>
            <w:r>
              <w:rPr>
                <w:rFonts w:ascii="Times New Roman" w:hAnsi="Times New Roman" w:cs="Times New Roman"/>
              </w:rPr>
              <w:t>0.986 (0.969 to 1.002)</w:t>
            </w:r>
          </w:p>
          <w:p w:rsidR="001300AE" w:rsidRDefault="001300AE">
            <w:pPr>
              <w:pStyle w:val="NoSpacing"/>
              <w:jc w:val="center"/>
              <w:rPr>
                <w:rFonts w:ascii="Times New Roman" w:hAnsi="Times New Roman" w:cs="Times New Roman"/>
              </w:rPr>
            </w:pPr>
            <w:r>
              <w:rPr>
                <w:rFonts w:ascii="Times New Roman" w:hAnsi="Times New Roman" w:cs="Times New Roman"/>
              </w:rPr>
              <w:t>1.014 (0.988 to 1.040)</w:t>
            </w:r>
          </w:p>
        </w:tc>
        <w:tc>
          <w:tcPr>
            <w:tcW w:w="351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0.47 (0.23 to 0.98)</w:t>
            </w:r>
          </w:p>
          <w:p w:rsidR="001300AE" w:rsidRDefault="001300AE">
            <w:pPr>
              <w:pStyle w:val="NoSpacing"/>
              <w:jc w:val="center"/>
              <w:rPr>
                <w:rFonts w:ascii="Times New Roman" w:hAnsi="Times New Roman" w:cs="Times New Roman"/>
              </w:rPr>
            </w:pPr>
            <w:r>
              <w:rPr>
                <w:rFonts w:ascii="Times New Roman" w:hAnsi="Times New Roman" w:cs="Times New Roman"/>
              </w:rPr>
              <w:t>0.986 (0.969 to 1.002)</w:t>
            </w:r>
          </w:p>
          <w:p w:rsidR="001300AE" w:rsidRDefault="001300AE">
            <w:pPr>
              <w:pStyle w:val="NoSpacing"/>
              <w:jc w:val="center"/>
              <w:rPr>
                <w:rFonts w:ascii="Times New Roman" w:hAnsi="Times New Roman" w:cs="Times New Roman"/>
              </w:rPr>
            </w:pPr>
            <w:r>
              <w:rPr>
                <w:rFonts w:ascii="Times New Roman" w:hAnsi="Times New Roman" w:cs="Times New Roman"/>
              </w:rPr>
              <w:t>1.014 (0.988 to 1.040)</w:t>
            </w:r>
          </w:p>
        </w:tc>
      </w:tr>
      <w:tr w:rsidR="001300AE">
        <w:trPr>
          <w:trHeight w:val="1070"/>
        </w:trPr>
        <w:tc>
          <w:tcPr>
            <w:tcW w:w="2245" w:type="dxa"/>
          </w:tcPr>
          <w:p w:rsidR="001300AE" w:rsidRDefault="001300AE">
            <w:pPr>
              <w:pStyle w:val="NoSpacing"/>
              <w:rPr>
                <w:rFonts w:ascii="Times New Roman" w:hAnsi="Times New Roman" w:cs="Times New Roman"/>
                <w:i/>
                <w:iCs/>
              </w:rPr>
            </w:pPr>
            <w:r>
              <w:rPr>
                <w:rFonts w:ascii="Times New Roman" w:hAnsi="Times New Roman" w:cs="Times New Roman"/>
                <w:i/>
                <w:iCs/>
              </w:rPr>
              <w:t>175-225</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vertAlign w:val="superscript"/>
              </w:rPr>
            </w:pPr>
            <w:r>
              <w:rPr>
                <w:rFonts w:ascii="Times New Roman" w:hAnsi="Times New Roman" w:cs="Times New Roman"/>
              </w:rPr>
              <w:t>Slope above</w:t>
            </w:r>
            <w:r>
              <w:rPr>
                <w:rFonts w:ascii="Times New Roman" w:hAnsi="Times New Roman" w:cs="Times New Roman"/>
                <w:vertAlign w:val="superscript"/>
              </w:rPr>
              <w:t>1</w:t>
            </w:r>
          </w:p>
          <w:p w:rsidR="001300AE" w:rsidRDefault="001300AE">
            <w:pPr>
              <w:pStyle w:val="NoSpacing"/>
              <w:jc w:val="center"/>
              <w:rPr>
                <w:rFonts w:ascii="Times New Roman" w:hAnsi="Times New Roman" w:cs="Times New Roman"/>
                <w:b/>
                <w:bCs/>
              </w:rPr>
            </w:pPr>
            <w:r>
              <w:rPr>
                <w:rFonts w:ascii="Times New Roman" w:hAnsi="Times New Roman" w:cs="Times New Roman"/>
              </w:rPr>
              <w:t>Slope below</w:t>
            </w:r>
            <w:r>
              <w:rPr>
                <w:rFonts w:ascii="Times New Roman" w:hAnsi="Times New Roman" w:cs="Times New Roman"/>
                <w:vertAlign w:val="superscript"/>
              </w:rPr>
              <w:t>2</w:t>
            </w:r>
          </w:p>
        </w:tc>
        <w:tc>
          <w:tcPr>
            <w:tcW w:w="342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0.39 (0.14 to 1.13)</w:t>
            </w:r>
          </w:p>
          <w:p w:rsidR="001300AE" w:rsidRDefault="001300AE">
            <w:pPr>
              <w:pStyle w:val="NoSpacing"/>
              <w:jc w:val="center"/>
              <w:rPr>
                <w:rFonts w:ascii="Times New Roman" w:hAnsi="Times New Roman" w:cs="Times New Roman"/>
              </w:rPr>
            </w:pPr>
            <w:r>
              <w:rPr>
                <w:rFonts w:ascii="Times New Roman" w:hAnsi="Times New Roman" w:cs="Times New Roman"/>
              </w:rPr>
              <w:t>0.979 (0.937 to 1.023)</w:t>
            </w:r>
          </w:p>
          <w:p w:rsidR="001300AE" w:rsidRDefault="001300AE">
            <w:pPr>
              <w:pStyle w:val="NoSpacing"/>
              <w:jc w:val="center"/>
              <w:rPr>
                <w:rFonts w:ascii="Times New Roman" w:hAnsi="Times New Roman" w:cs="Times New Roman"/>
              </w:rPr>
            </w:pPr>
            <w:r>
              <w:rPr>
                <w:rFonts w:ascii="Times New Roman" w:hAnsi="Times New Roman" w:cs="Times New Roman"/>
              </w:rPr>
              <w:t>1.008 (0.939 to 1.081)</w:t>
            </w:r>
          </w:p>
        </w:tc>
        <w:tc>
          <w:tcPr>
            <w:tcW w:w="351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0.40 (0.14 to 1.13)</w:t>
            </w:r>
          </w:p>
          <w:p w:rsidR="001300AE" w:rsidRDefault="001300AE">
            <w:pPr>
              <w:pStyle w:val="NoSpacing"/>
              <w:jc w:val="center"/>
              <w:rPr>
                <w:rFonts w:ascii="Times New Roman" w:hAnsi="Times New Roman" w:cs="Times New Roman"/>
              </w:rPr>
            </w:pPr>
            <w:r>
              <w:rPr>
                <w:rFonts w:ascii="Times New Roman" w:hAnsi="Times New Roman" w:cs="Times New Roman"/>
              </w:rPr>
              <w:t>0.979 (0.938 to 1.023)</w:t>
            </w:r>
          </w:p>
          <w:p w:rsidR="001300AE" w:rsidRDefault="001300AE">
            <w:pPr>
              <w:pStyle w:val="NoSpacing"/>
              <w:jc w:val="center"/>
              <w:rPr>
                <w:rFonts w:ascii="Times New Roman" w:hAnsi="Times New Roman" w:cs="Times New Roman"/>
              </w:rPr>
            </w:pPr>
            <w:r>
              <w:rPr>
                <w:rFonts w:ascii="Times New Roman" w:hAnsi="Times New Roman" w:cs="Times New Roman"/>
              </w:rPr>
              <w:t>1.007 (0.939 to 1.081)</w:t>
            </w:r>
          </w:p>
        </w:tc>
      </w:tr>
    </w:tbl>
    <w:p w:rsidR="001300AE" w:rsidRDefault="001300AE">
      <w:pPr>
        <w:rPr>
          <w:rFonts w:ascii="Times New Roman" w:hAnsi="Times New Roman" w:cs="Times New Roman"/>
        </w:rPr>
        <w:sectPr w:rsidR="001300AE">
          <w:pgSz w:w="15840" w:h="12240" w:orient="landscape"/>
          <w:pgMar w:top="1440" w:right="1440" w:bottom="1440" w:left="1440" w:header="720" w:footer="720" w:gutter="0"/>
          <w:cols w:space="720"/>
          <w:docGrid w:linePitch="360"/>
        </w:sectPr>
      </w:pPr>
      <w:r>
        <w:rPr>
          <w:rFonts w:ascii="Times New Roman" w:hAnsi="Times New Roman" w:cs="Times New Roman"/>
          <w:vertAlign w:val="superscript"/>
        </w:rPr>
        <w:t>**</w:t>
      </w:r>
      <w:r>
        <w:rPr>
          <w:rFonts w:ascii="Times New Roman" w:hAnsi="Times New Roman" w:cs="Times New Roman"/>
        </w:rPr>
        <w:t xml:space="preserve">Optimal bandwidth per Imbens-Kalyanaraman algorithm; </w:t>
      </w:r>
      <w:r>
        <w:rPr>
          <w:rFonts w:ascii="Times New Roman" w:hAnsi="Times New Roman" w:cs="Times New Roman"/>
          <w:vertAlign w:val="superscript"/>
        </w:rPr>
        <w:t>1</w:t>
      </w:r>
      <w:r>
        <w:rPr>
          <w:rFonts w:ascii="Times New Roman" w:hAnsi="Times New Roman" w:cs="Times New Roman"/>
        </w:rPr>
        <w:t>Difference in slope of CD4 count above the 200 cell/</w:t>
      </w:r>
      <w:r>
        <w:rPr>
          <w:rFonts w:ascii="Times New Roman" w:hAnsi="Times New Roman" w:cs="Times New Roman"/>
        </w:rPr>
        <w:sym w:font="Symbol" w:char="F06D"/>
      </w:r>
      <w:r>
        <w:rPr>
          <w:rFonts w:ascii="Times New Roman" w:hAnsi="Times New Roman" w:cs="Times New Roman"/>
        </w:rPr>
        <w:t xml:space="preserve">l threshold; </w:t>
      </w:r>
      <w:r>
        <w:rPr>
          <w:rFonts w:ascii="Times New Roman" w:hAnsi="Times New Roman" w:cs="Times New Roman"/>
          <w:vertAlign w:val="superscript"/>
        </w:rPr>
        <w:t>2</w:t>
      </w:r>
      <w:r>
        <w:rPr>
          <w:rFonts w:ascii="Times New Roman" w:hAnsi="Times New Roman" w:cs="Times New Roman"/>
        </w:rPr>
        <w:t>Difference in slope of CD4 count bellow the 200 cell/</w:t>
      </w:r>
      <w:r>
        <w:rPr>
          <w:rFonts w:ascii="Times New Roman" w:hAnsi="Times New Roman" w:cs="Times New Roman"/>
        </w:rPr>
        <w:sym w:font="Symbol" w:char="F06D"/>
      </w:r>
      <w:r>
        <w:rPr>
          <w:rFonts w:ascii="Times New Roman" w:hAnsi="Times New Roman" w:cs="Times New Roman"/>
        </w:rPr>
        <w:t>l threshold</w:t>
      </w:r>
    </w:p>
    <w:p w:rsidR="001300AE" w:rsidRDefault="001300AE">
      <w:pPr>
        <w:pStyle w:val="NoSpacing"/>
        <w:rPr>
          <w:rFonts w:ascii="Times New Roman" w:hAnsi="Times New Roman" w:cs="Times New Roman"/>
        </w:rPr>
      </w:pPr>
      <w:r>
        <w:rPr>
          <w:rFonts w:ascii="Times New Roman" w:hAnsi="Times New Roman" w:cs="Times New Roman"/>
          <w:b/>
          <w:bCs/>
        </w:rPr>
        <w:t xml:space="preserve">Table S2. </w:t>
      </w:r>
      <w:r>
        <w:rPr>
          <w:rFonts w:ascii="Times New Roman" w:hAnsi="Times New Roman" w:cs="Times New Roman"/>
        </w:rPr>
        <w:t>Sensitivity analyses for the intention-to-treat effect of ART eligibility on household HIV incidence</w:t>
      </w:r>
    </w:p>
    <w:tbl>
      <w:tblPr>
        <w:tblW w:w="11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89"/>
        <w:gridCol w:w="2472"/>
        <w:gridCol w:w="2923"/>
        <w:gridCol w:w="2700"/>
      </w:tblGrid>
      <w:tr w:rsidR="001300AE">
        <w:tc>
          <w:tcPr>
            <w:tcW w:w="2340"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b/>
                <w:bCs/>
              </w:rPr>
              <w:t>Range</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b/>
                <w:bCs/>
              </w:rPr>
              <w:t>N</w:t>
            </w:r>
          </w:p>
        </w:tc>
        <w:tc>
          <w:tcPr>
            <w:tcW w:w="2472"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b/>
                <w:bCs/>
              </w:rPr>
              <w:t>Spline</w:t>
            </w:r>
          </w:p>
        </w:tc>
        <w:tc>
          <w:tcPr>
            <w:tcW w:w="2923" w:type="dxa"/>
          </w:tcPr>
          <w:p w:rsidR="001300AE" w:rsidRDefault="001300AE">
            <w:pPr>
              <w:pStyle w:val="NoSpacing"/>
              <w:jc w:val="center"/>
              <w:rPr>
                <w:rFonts w:ascii="Times New Roman" w:hAnsi="Times New Roman" w:cs="Times New Roman"/>
                <w:b/>
                <w:bCs/>
              </w:rPr>
            </w:pPr>
            <w:r>
              <w:rPr>
                <w:rFonts w:ascii="Times New Roman" w:hAnsi="Times New Roman" w:cs="Times New Roman"/>
                <w:b/>
                <w:bCs/>
              </w:rPr>
              <w:t>Adjustment for Age and Sex</w:t>
            </w:r>
          </w:p>
        </w:tc>
        <w:tc>
          <w:tcPr>
            <w:tcW w:w="2700" w:type="dxa"/>
          </w:tcPr>
          <w:p w:rsidR="001300AE" w:rsidRDefault="001300AE">
            <w:pPr>
              <w:pStyle w:val="NoSpacing"/>
              <w:jc w:val="center"/>
              <w:rPr>
                <w:rFonts w:ascii="Times New Roman" w:hAnsi="Times New Roman" w:cs="Times New Roman"/>
                <w:b/>
                <w:bCs/>
              </w:rPr>
            </w:pPr>
            <w:r>
              <w:rPr>
                <w:rFonts w:ascii="Times New Roman" w:hAnsi="Times New Roman" w:cs="Times New Roman"/>
                <w:b/>
                <w:bCs/>
              </w:rPr>
              <w:t>Spline + Adjustment for Age and Sex</w:t>
            </w:r>
          </w:p>
        </w:tc>
      </w:tr>
      <w:tr w:rsidR="001300AE">
        <w:tc>
          <w:tcPr>
            <w:tcW w:w="2340" w:type="dxa"/>
          </w:tcPr>
          <w:p w:rsidR="001300AE" w:rsidRDefault="001300AE">
            <w:pPr>
              <w:pStyle w:val="NoSpacing"/>
              <w:rPr>
                <w:rFonts w:ascii="Times New Roman" w:hAnsi="Times New Roman" w:cs="Times New Roman"/>
                <w:i/>
                <w:iCs/>
              </w:rPr>
            </w:pPr>
            <w:r>
              <w:rPr>
                <w:rFonts w:ascii="Times New Roman" w:hAnsi="Times New Roman" w:cs="Times New Roman"/>
                <w:i/>
                <w:iCs/>
              </w:rPr>
              <w:t>0-350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rPr>
            </w:pPr>
            <w:r>
              <w:rPr>
                <w:rFonts w:ascii="Times New Roman" w:hAnsi="Times New Roman" w:cs="Times New Roman"/>
              </w:rPr>
              <w:t>Slope above</w:t>
            </w:r>
          </w:p>
          <w:p w:rsidR="001300AE" w:rsidRDefault="001300AE">
            <w:pPr>
              <w:pStyle w:val="NoSpacing"/>
              <w:jc w:val="right"/>
              <w:rPr>
                <w:rFonts w:ascii="Times New Roman" w:hAnsi="Times New Roman" w:cs="Times New Roman"/>
                <w:b/>
                <w:bCs/>
              </w:rPr>
            </w:pPr>
            <w:r>
              <w:rPr>
                <w:rFonts w:ascii="Times New Roman" w:hAnsi="Times New Roman" w:cs="Times New Roman"/>
              </w:rPr>
              <w:t>Slope below</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rPr>
              <w:t>4,115</w:t>
            </w:r>
          </w:p>
        </w:tc>
        <w:tc>
          <w:tcPr>
            <w:tcW w:w="2472"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0.48 (0.26 to 0.88)</w:t>
            </w:r>
          </w:p>
          <w:p w:rsidR="001300AE" w:rsidRDefault="001300AE">
            <w:pPr>
              <w:pStyle w:val="NoSpacing"/>
              <w:jc w:val="center"/>
              <w:rPr>
                <w:rFonts w:ascii="Times New Roman" w:hAnsi="Times New Roman" w:cs="Times New Roman"/>
              </w:rPr>
            </w:pPr>
            <w:r>
              <w:rPr>
                <w:rFonts w:ascii="Times New Roman" w:hAnsi="Times New Roman" w:cs="Times New Roman"/>
              </w:rPr>
              <w:t>0.996 (0.987 to 1.006)</w:t>
            </w:r>
          </w:p>
          <w:p w:rsidR="001300AE" w:rsidRDefault="001300AE">
            <w:pPr>
              <w:pStyle w:val="NoSpacing"/>
              <w:jc w:val="center"/>
              <w:rPr>
                <w:rFonts w:ascii="Times New Roman" w:hAnsi="Times New Roman" w:cs="Times New Roman"/>
              </w:rPr>
            </w:pPr>
            <w:r>
              <w:rPr>
                <w:rFonts w:ascii="Times New Roman" w:hAnsi="Times New Roman" w:cs="Times New Roman"/>
              </w:rPr>
              <w:t>1.006 (0.994 to 1.018)</w:t>
            </w:r>
          </w:p>
        </w:tc>
        <w:tc>
          <w:tcPr>
            <w:tcW w:w="2923"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0.63 (0.42 to 0.95)</w:t>
            </w:r>
          </w:p>
          <w:p w:rsidR="001300AE" w:rsidRDefault="001300AE">
            <w:pPr>
              <w:pStyle w:val="NoSpacing"/>
              <w:jc w:val="center"/>
              <w:rPr>
                <w:rFonts w:ascii="Times New Roman" w:hAnsi="Times New Roman" w:cs="Times New Roman"/>
              </w:rPr>
            </w:pPr>
            <w:r>
              <w:rPr>
                <w:rFonts w:ascii="Times New Roman" w:hAnsi="Times New Roman" w:cs="Times New Roman"/>
              </w:rPr>
              <w:t>0.999 (0.995 to 1.003)</w:t>
            </w:r>
          </w:p>
          <w:p w:rsidR="001300AE" w:rsidRDefault="001300AE">
            <w:pPr>
              <w:pStyle w:val="NoSpacing"/>
              <w:jc w:val="center"/>
              <w:rPr>
                <w:rFonts w:ascii="Times New Roman" w:hAnsi="Times New Roman" w:cs="Times New Roman"/>
                <w:b/>
                <w:bCs/>
              </w:rPr>
            </w:pPr>
            <w:r>
              <w:rPr>
                <w:rFonts w:ascii="Times New Roman" w:hAnsi="Times New Roman" w:cs="Times New Roman"/>
              </w:rPr>
              <w:t>0.997 (0.993 to 1.002)</w:t>
            </w:r>
          </w:p>
        </w:tc>
        <w:tc>
          <w:tcPr>
            <w:tcW w:w="270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0.48 (0.27 to 0.88)</w:t>
            </w:r>
          </w:p>
          <w:p w:rsidR="001300AE" w:rsidRDefault="001300AE">
            <w:pPr>
              <w:pStyle w:val="NoSpacing"/>
              <w:jc w:val="center"/>
              <w:rPr>
                <w:rFonts w:ascii="Times New Roman" w:hAnsi="Times New Roman" w:cs="Times New Roman"/>
              </w:rPr>
            </w:pPr>
            <w:r>
              <w:rPr>
                <w:rFonts w:ascii="Times New Roman" w:hAnsi="Times New Roman" w:cs="Times New Roman"/>
              </w:rPr>
              <w:t>0.995 (0.986 to 1.005)</w:t>
            </w:r>
          </w:p>
          <w:p w:rsidR="001300AE" w:rsidRDefault="001300AE">
            <w:pPr>
              <w:pStyle w:val="NoSpacing"/>
              <w:jc w:val="center"/>
              <w:rPr>
                <w:rFonts w:ascii="Times New Roman" w:hAnsi="Times New Roman" w:cs="Times New Roman"/>
              </w:rPr>
            </w:pPr>
            <w:r>
              <w:rPr>
                <w:rFonts w:ascii="Times New Roman" w:hAnsi="Times New Roman" w:cs="Times New Roman"/>
              </w:rPr>
              <w:t>1.004 (0.992 to 1.016)</w:t>
            </w:r>
          </w:p>
        </w:tc>
      </w:tr>
      <w:tr w:rsidR="001300AE">
        <w:tc>
          <w:tcPr>
            <w:tcW w:w="2340" w:type="dxa"/>
          </w:tcPr>
          <w:p w:rsidR="001300AE" w:rsidRDefault="001300AE">
            <w:pPr>
              <w:pStyle w:val="NoSpacing"/>
              <w:rPr>
                <w:rFonts w:ascii="Times New Roman" w:hAnsi="Times New Roman" w:cs="Times New Roman"/>
                <w:i/>
                <w:iCs/>
              </w:rPr>
            </w:pPr>
            <w:r>
              <w:rPr>
                <w:rFonts w:ascii="Times New Roman" w:hAnsi="Times New Roman" w:cs="Times New Roman"/>
                <w:i/>
                <w:iCs/>
              </w:rPr>
              <w:t>50-350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rPr>
            </w:pPr>
            <w:r>
              <w:rPr>
                <w:rFonts w:ascii="Times New Roman" w:hAnsi="Times New Roman" w:cs="Times New Roman"/>
              </w:rPr>
              <w:t>Slope above</w:t>
            </w:r>
          </w:p>
          <w:p w:rsidR="001300AE" w:rsidRDefault="001300AE">
            <w:pPr>
              <w:pStyle w:val="NoSpacing"/>
              <w:jc w:val="right"/>
              <w:rPr>
                <w:rFonts w:ascii="Times New Roman" w:hAnsi="Times New Roman" w:cs="Times New Roman"/>
                <w:b/>
                <w:bCs/>
              </w:rPr>
            </w:pPr>
            <w:r>
              <w:rPr>
                <w:rFonts w:ascii="Times New Roman" w:hAnsi="Times New Roman" w:cs="Times New Roman"/>
              </w:rPr>
              <w:t>Slope below</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rPr>
              <w:t>3,531</w:t>
            </w:r>
          </w:p>
        </w:tc>
        <w:tc>
          <w:tcPr>
            <w:tcW w:w="2472"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0.57 (0.31 to 1.05)</w:t>
            </w:r>
          </w:p>
          <w:p w:rsidR="001300AE" w:rsidRDefault="001300AE">
            <w:pPr>
              <w:pStyle w:val="NoSpacing"/>
              <w:jc w:val="center"/>
              <w:rPr>
                <w:rFonts w:ascii="Times New Roman" w:hAnsi="Times New Roman" w:cs="Times New Roman"/>
              </w:rPr>
            </w:pPr>
            <w:r>
              <w:rPr>
                <w:rFonts w:ascii="Times New Roman" w:hAnsi="Times New Roman" w:cs="Times New Roman"/>
              </w:rPr>
              <w:t>0.996 (0.987 to 1.006)</w:t>
            </w:r>
          </w:p>
          <w:p w:rsidR="001300AE" w:rsidRDefault="001300AE">
            <w:pPr>
              <w:pStyle w:val="NoSpacing"/>
              <w:jc w:val="center"/>
              <w:rPr>
                <w:rFonts w:ascii="Times New Roman" w:hAnsi="Times New Roman" w:cs="Times New Roman"/>
              </w:rPr>
            </w:pPr>
            <w:r>
              <w:rPr>
                <w:rFonts w:ascii="Times New Roman" w:hAnsi="Times New Roman" w:cs="Times New Roman"/>
              </w:rPr>
              <w:t>0.990 (0.971 to 1.010)</w:t>
            </w:r>
          </w:p>
        </w:tc>
        <w:tc>
          <w:tcPr>
            <w:tcW w:w="2923"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0.54 (0.34 to 0.85)</w:t>
            </w:r>
          </w:p>
          <w:p w:rsidR="001300AE" w:rsidRDefault="001300AE">
            <w:pPr>
              <w:pStyle w:val="NoSpacing"/>
              <w:jc w:val="center"/>
              <w:rPr>
                <w:rFonts w:ascii="Times New Roman" w:hAnsi="Times New Roman" w:cs="Times New Roman"/>
              </w:rPr>
            </w:pPr>
            <w:r>
              <w:rPr>
                <w:rFonts w:ascii="Times New Roman" w:hAnsi="Times New Roman" w:cs="Times New Roman"/>
              </w:rPr>
              <w:t>0.999 (0.995 to 1.003)</w:t>
            </w:r>
          </w:p>
          <w:p w:rsidR="001300AE" w:rsidRDefault="001300AE">
            <w:pPr>
              <w:pStyle w:val="NoSpacing"/>
              <w:jc w:val="center"/>
              <w:rPr>
                <w:rFonts w:ascii="Times New Roman" w:hAnsi="Times New Roman" w:cs="Times New Roman"/>
                <w:b/>
                <w:bCs/>
              </w:rPr>
            </w:pPr>
            <w:r>
              <w:rPr>
                <w:rFonts w:ascii="Times New Roman" w:hAnsi="Times New Roman" w:cs="Times New Roman"/>
              </w:rPr>
              <w:t>0.995 (0.990 to 1.000)</w:t>
            </w:r>
          </w:p>
        </w:tc>
        <w:tc>
          <w:tcPr>
            <w:tcW w:w="270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0.56 (0.30 to 1.02)</w:t>
            </w:r>
          </w:p>
          <w:p w:rsidR="001300AE" w:rsidRDefault="001300AE">
            <w:pPr>
              <w:pStyle w:val="NoSpacing"/>
              <w:jc w:val="center"/>
              <w:rPr>
                <w:rFonts w:ascii="Times New Roman" w:hAnsi="Times New Roman" w:cs="Times New Roman"/>
              </w:rPr>
            </w:pPr>
            <w:r>
              <w:rPr>
                <w:rFonts w:ascii="Times New Roman" w:hAnsi="Times New Roman" w:cs="Times New Roman"/>
              </w:rPr>
              <w:t>0.995 (0.986 to 1.005)</w:t>
            </w:r>
          </w:p>
          <w:p w:rsidR="001300AE" w:rsidRDefault="001300AE">
            <w:pPr>
              <w:pStyle w:val="NoSpacing"/>
              <w:jc w:val="center"/>
              <w:rPr>
                <w:rFonts w:ascii="Times New Roman" w:hAnsi="Times New Roman" w:cs="Times New Roman"/>
              </w:rPr>
            </w:pPr>
            <w:r>
              <w:rPr>
                <w:rFonts w:ascii="Times New Roman" w:hAnsi="Times New Roman" w:cs="Times New Roman"/>
              </w:rPr>
              <w:t>0.991 (0.972 to 1.010)</w:t>
            </w:r>
          </w:p>
        </w:tc>
      </w:tr>
      <w:tr w:rsidR="001300AE">
        <w:tc>
          <w:tcPr>
            <w:tcW w:w="2340" w:type="dxa"/>
          </w:tcPr>
          <w:p w:rsidR="001300AE" w:rsidRDefault="001300AE">
            <w:pPr>
              <w:pStyle w:val="NoSpacing"/>
              <w:rPr>
                <w:rFonts w:ascii="Times New Roman" w:hAnsi="Times New Roman" w:cs="Times New Roman"/>
                <w:i/>
                <w:iCs/>
              </w:rPr>
            </w:pPr>
            <w:r>
              <w:rPr>
                <w:rFonts w:ascii="Times New Roman" w:hAnsi="Times New Roman" w:cs="Times New Roman"/>
                <w:i/>
                <w:iCs/>
              </w:rPr>
              <w:t>105-295</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rPr>
            </w:pPr>
            <w:r>
              <w:rPr>
                <w:rFonts w:ascii="Times New Roman" w:hAnsi="Times New Roman" w:cs="Times New Roman"/>
              </w:rPr>
              <w:t>Slope above</w:t>
            </w:r>
          </w:p>
          <w:p w:rsidR="001300AE" w:rsidRDefault="001300AE">
            <w:pPr>
              <w:pStyle w:val="NoSpacing"/>
              <w:jc w:val="right"/>
              <w:rPr>
                <w:rFonts w:ascii="Times New Roman" w:hAnsi="Times New Roman" w:cs="Times New Roman"/>
                <w:b/>
                <w:bCs/>
              </w:rPr>
            </w:pPr>
            <w:r>
              <w:rPr>
                <w:rFonts w:ascii="Times New Roman" w:hAnsi="Times New Roman" w:cs="Times New Roman"/>
              </w:rPr>
              <w:t>Slope below</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rPr>
              <w:t>2,356</w:t>
            </w:r>
          </w:p>
        </w:tc>
        <w:tc>
          <w:tcPr>
            <w:tcW w:w="2472"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0.48 (0.24 to 0.98)</w:t>
            </w:r>
          </w:p>
          <w:p w:rsidR="001300AE" w:rsidRDefault="001300AE">
            <w:pPr>
              <w:pStyle w:val="NoSpacing"/>
              <w:jc w:val="center"/>
              <w:rPr>
                <w:rFonts w:ascii="Times New Roman" w:hAnsi="Times New Roman" w:cs="Times New Roman"/>
              </w:rPr>
            </w:pPr>
            <w:r>
              <w:rPr>
                <w:rFonts w:ascii="Times New Roman" w:hAnsi="Times New Roman" w:cs="Times New Roman"/>
              </w:rPr>
              <w:t>0.983 (0.968 to 0.999)</w:t>
            </w:r>
          </w:p>
          <w:p w:rsidR="001300AE" w:rsidRDefault="001300AE">
            <w:pPr>
              <w:pStyle w:val="NoSpacing"/>
              <w:jc w:val="center"/>
              <w:rPr>
                <w:rFonts w:ascii="Times New Roman" w:hAnsi="Times New Roman" w:cs="Times New Roman"/>
              </w:rPr>
            </w:pPr>
            <w:r>
              <w:rPr>
                <w:rFonts w:ascii="Times New Roman" w:hAnsi="Times New Roman" w:cs="Times New Roman"/>
              </w:rPr>
              <w:t>0.941 (0.854 to 1.037)</w:t>
            </w:r>
          </w:p>
        </w:tc>
        <w:tc>
          <w:tcPr>
            <w:tcW w:w="2923"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0.51 (0.29 to 0.92)</w:t>
            </w:r>
          </w:p>
          <w:p w:rsidR="001300AE" w:rsidRDefault="001300AE">
            <w:pPr>
              <w:pStyle w:val="NoSpacing"/>
              <w:jc w:val="center"/>
              <w:rPr>
                <w:rFonts w:ascii="Times New Roman" w:hAnsi="Times New Roman" w:cs="Times New Roman"/>
              </w:rPr>
            </w:pPr>
            <w:r>
              <w:rPr>
                <w:rFonts w:ascii="Times New Roman" w:hAnsi="Times New Roman" w:cs="Times New Roman"/>
              </w:rPr>
              <w:t>0.997 (0.99 to 1.005)</w:t>
            </w:r>
          </w:p>
          <w:p w:rsidR="001300AE" w:rsidRDefault="001300AE">
            <w:pPr>
              <w:pStyle w:val="NoSpacing"/>
              <w:jc w:val="center"/>
              <w:rPr>
                <w:rFonts w:ascii="Times New Roman" w:hAnsi="Times New Roman" w:cs="Times New Roman"/>
                <w:b/>
                <w:bCs/>
              </w:rPr>
            </w:pPr>
            <w:r>
              <w:rPr>
                <w:rFonts w:ascii="Times New Roman" w:hAnsi="Times New Roman" w:cs="Times New Roman"/>
              </w:rPr>
              <w:t>0.993 (0.986 to 1.001)</w:t>
            </w:r>
          </w:p>
        </w:tc>
        <w:tc>
          <w:tcPr>
            <w:tcW w:w="2700"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0.47 (0.23 to 0.96)</w:t>
            </w:r>
          </w:p>
          <w:p w:rsidR="001300AE" w:rsidRDefault="001300AE">
            <w:pPr>
              <w:pStyle w:val="NoSpacing"/>
              <w:jc w:val="center"/>
              <w:rPr>
                <w:rFonts w:ascii="Times New Roman" w:hAnsi="Times New Roman" w:cs="Times New Roman"/>
              </w:rPr>
            </w:pPr>
            <w:r>
              <w:rPr>
                <w:rFonts w:ascii="Times New Roman" w:hAnsi="Times New Roman" w:cs="Times New Roman"/>
              </w:rPr>
              <w:t>0.985 (0.970 to 1.001)</w:t>
            </w:r>
          </w:p>
          <w:p w:rsidR="001300AE" w:rsidRDefault="001300AE">
            <w:pPr>
              <w:pStyle w:val="NoSpacing"/>
              <w:jc w:val="center"/>
              <w:rPr>
                <w:rFonts w:ascii="Times New Roman" w:hAnsi="Times New Roman" w:cs="Times New Roman"/>
              </w:rPr>
            </w:pPr>
            <w:r>
              <w:rPr>
                <w:rFonts w:ascii="Times New Roman" w:hAnsi="Times New Roman" w:cs="Times New Roman"/>
              </w:rPr>
              <w:t>0.953 (0.866 to 1.049)</w:t>
            </w:r>
          </w:p>
        </w:tc>
      </w:tr>
      <w:tr w:rsidR="001300AE">
        <w:tc>
          <w:tcPr>
            <w:tcW w:w="2340" w:type="dxa"/>
          </w:tcPr>
          <w:p w:rsidR="001300AE" w:rsidRDefault="001300AE">
            <w:pPr>
              <w:pStyle w:val="NoSpacing"/>
              <w:rPr>
                <w:rFonts w:ascii="Times New Roman" w:hAnsi="Times New Roman" w:cs="Times New Roman"/>
                <w:i/>
                <w:iCs/>
              </w:rPr>
            </w:pPr>
            <w:r>
              <w:rPr>
                <w:rFonts w:ascii="Times New Roman" w:hAnsi="Times New Roman" w:cs="Times New Roman"/>
                <w:i/>
                <w:iCs/>
              </w:rPr>
              <w:t>150-250</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rPr>
            </w:pPr>
            <w:r>
              <w:rPr>
                <w:rFonts w:ascii="Times New Roman" w:hAnsi="Times New Roman" w:cs="Times New Roman"/>
              </w:rPr>
              <w:t>Slope above</w:t>
            </w:r>
          </w:p>
          <w:p w:rsidR="001300AE" w:rsidRDefault="001300AE">
            <w:pPr>
              <w:pStyle w:val="NoSpacing"/>
              <w:jc w:val="right"/>
              <w:rPr>
                <w:rFonts w:ascii="Times New Roman" w:hAnsi="Times New Roman" w:cs="Times New Roman"/>
                <w:b/>
                <w:bCs/>
              </w:rPr>
            </w:pPr>
            <w:r>
              <w:rPr>
                <w:rFonts w:ascii="Times New Roman" w:hAnsi="Times New Roman" w:cs="Times New Roman"/>
              </w:rPr>
              <w:t>Slope below</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rPr>
              <w:t>1,268</w:t>
            </w:r>
          </w:p>
        </w:tc>
        <w:tc>
          <w:tcPr>
            <w:tcW w:w="2472" w:type="dxa"/>
            <w:shd w:val="clear" w:color="auto" w:fill="BFBFBF"/>
            <w:vAlign w:val="bottom"/>
          </w:tcPr>
          <w:p w:rsidR="001300AE" w:rsidRDefault="001300AE">
            <w:pPr>
              <w:pStyle w:val="NoSpacing"/>
              <w:jc w:val="center"/>
              <w:rPr>
                <w:rFonts w:ascii="Times New Roman" w:hAnsi="Times New Roman" w:cs="Times New Roman"/>
                <w:b/>
                <w:bCs/>
              </w:rPr>
            </w:pPr>
          </w:p>
        </w:tc>
        <w:tc>
          <w:tcPr>
            <w:tcW w:w="2923"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0.46 (0.22 to 0.96)</w:t>
            </w:r>
          </w:p>
          <w:p w:rsidR="001300AE" w:rsidRDefault="001300AE">
            <w:pPr>
              <w:pStyle w:val="NoSpacing"/>
              <w:jc w:val="center"/>
              <w:rPr>
                <w:rFonts w:ascii="Times New Roman" w:hAnsi="Times New Roman" w:cs="Times New Roman"/>
              </w:rPr>
            </w:pPr>
            <w:r>
              <w:rPr>
                <w:rFonts w:ascii="Times New Roman" w:hAnsi="Times New Roman" w:cs="Times New Roman"/>
              </w:rPr>
              <w:t>0.986 (0.970 to 1.002)</w:t>
            </w:r>
          </w:p>
          <w:p w:rsidR="001300AE" w:rsidRDefault="001300AE">
            <w:pPr>
              <w:pStyle w:val="NoSpacing"/>
              <w:jc w:val="center"/>
              <w:rPr>
                <w:rFonts w:ascii="Times New Roman" w:hAnsi="Times New Roman" w:cs="Times New Roman"/>
                <w:b/>
                <w:bCs/>
              </w:rPr>
            </w:pPr>
            <w:r>
              <w:rPr>
                <w:rFonts w:ascii="Times New Roman" w:hAnsi="Times New Roman" w:cs="Times New Roman"/>
              </w:rPr>
              <w:t>1.013 (0.987 to 1.039)</w:t>
            </w:r>
          </w:p>
        </w:tc>
        <w:tc>
          <w:tcPr>
            <w:tcW w:w="2700" w:type="dxa"/>
            <w:shd w:val="clear" w:color="auto" w:fill="BFBFBF"/>
            <w:vAlign w:val="bottom"/>
          </w:tcPr>
          <w:p w:rsidR="001300AE" w:rsidRDefault="001300AE">
            <w:pPr>
              <w:pStyle w:val="NoSpacing"/>
              <w:jc w:val="center"/>
              <w:rPr>
                <w:rFonts w:ascii="Times New Roman" w:hAnsi="Times New Roman" w:cs="Times New Roman"/>
                <w:b/>
                <w:bCs/>
              </w:rPr>
            </w:pPr>
          </w:p>
        </w:tc>
      </w:tr>
      <w:tr w:rsidR="001300AE">
        <w:trPr>
          <w:trHeight w:val="1088"/>
        </w:trPr>
        <w:tc>
          <w:tcPr>
            <w:tcW w:w="2340" w:type="dxa"/>
          </w:tcPr>
          <w:p w:rsidR="001300AE" w:rsidRDefault="001300AE">
            <w:pPr>
              <w:pStyle w:val="NoSpacing"/>
              <w:rPr>
                <w:rFonts w:ascii="Times New Roman" w:hAnsi="Times New Roman" w:cs="Times New Roman"/>
                <w:i/>
                <w:iCs/>
              </w:rPr>
            </w:pPr>
            <w:r>
              <w:rPr>
                <w:rFonts w:ascii="Times New Roman" w:hAnsi="Times New Roman" w:cs="Times New Roman"/>
                <w:i/>
                <w:iCs/>
              </w:rPr>
              <w:t>175-225</w:t>
            </w:r>
          </w:p>
          <w:p w:rsidR="001300AE" w:rsidRDefault="001300AE">
            <w:pPr>
              <w:pStyle w:val="NoSpacing"/>
              <w:jc w:val="right"/>
              <w:rPr>
                <w:rFonts w:ascii="Times New Roman" w:hAnsi="Times New Roman" w:cs="Times New Roman"/>
              </w:rPr>
            </w:pPr>
            <w:r>
              <w:rPr>
                <w:rFonts w:ascii="Times New Roman" w:hAnsi="Times New Roman" w:cs="Times New Roman"/>
              </w:rPr>
              <w:t>Immediate ART</w:t>
            </w:r>
          </w:p>
          <w:p w:rsidR="001300AE" w:rsidRDefault="001300AE">
            <w:pPr>
              <w:pStyle w:val="NoSpacing"/>
              <w:jc w:val="right"/>
              <w:rPr>
                <w:rFonts w:ascii="Times New Roman" w:hAnsi="Times New Roman" w:cs="Times New Roman"/>
              </w:rPr>
            </w:pPr>
            <w:r>
              <w:rPr>
                <w:rFonts w:ascii="Times New Roman" w:hAnsi="Times New Roman" w:cs="Times New Roman"/>
              </w:rPr>
              <w:t>Slope above</w:t>
            </w:r>
          </w:p>
          <w:p w:rsidR="001300AE" w:rsidRDefault="001300AE">
            <w:pPr>
              <w:pStyle w:val="NoSpacing"/>
              <w:jc w:val="right"/>
              <w:rPr>
                <w:rFonts w:ascii="Times New Roman" w:hAnsi="Times New Roman" w:cs="Times New Roman"/>
                <w:b/>
                <w:bCs/>
              </w:rPr>
            </w:pPr>
            <w:r>
              <w:rPr>
                <w:rFonts w:ascii="Times New Roman" w:hAnsi="Times New Roman" w:cs="Times New Roman"/>
              </w:rPr>
              <w:t>Slope below</w:t>
            </w:r>
          </w:p>
        </w:tc>
        <w:tc>
          <w:tcPr>
            <w:tcW w:w="989" w:type="dxa"/>
            <w:vAlign w:val="center"/>
          </w:tcPr>
          <w:p w:rsidR="001300AE" w:rsidRDefault="001300AE">
            <w:pPr>
              <w:pStyle w:val="NoSpacing"/>
              <w:jc w:val="center"/>
              <w:rPr>
                <w:rFonts w:ascii="Times New Roman" w:hAnsi="Times New Roman" w:cs="Times New Roman"/>
                <w:b/>
                <w:bCs/>
              </w:rPr>
            </w:pPr>
            <w:r>
              <w:rPr>
                <w:rFonts w:ascii="Times New Roman" w:hAnsi="Times New Roman" w:cs="Times New Roman"/>
              </w:rPr>
              <w:t>615</w:t>
            </w:r>
          </w:p>
        </w:tc>
        <w:tc>
          <w:tcPr>
            <w:tcW w:w="2472" w:type="dxa"/>
            <w:shd w:val="clear" w:color="auto" w:fill="BFBFBF"/>
            <w:vAlign w:val="bottom"/>
          </w:tcPr>
          <w:p w:rsidR="001300AE" w:rsidRDefault="001300AE">
            <w:pPr>
              <w:pStyle w:val="NoSpacing"/>
              <w:jc w:val="center"/>
              <w:rPr>
                <w:rFonts w:ascii="Times New Roman" w:hAnsi="Times New Roman" w:cs="Times New Roman"/>
                <w:b/>
                <w:bCs/>
              </w:rPr>
            </w:pPr>
          </w:p>
        </w:tc>
        <w:tc>
          <w:tcPr>
            <w:tcW w:w="2923" w:type="dxa"/>
            <w:vAlign w:val="bottom"/>
          </w:tcPr>
          <w:p w:rsidR="001300AE" w:rsidRDefault="001300AE">
            <w:pPr>
              <w:pStyle w:val="NoSpacing"/>
              <w:jc w:val="center"/>
              <w:rPr>
                <w:rFonts w:ascii="Times New Roman" w:hAnsi="Times New Roman" w:cs="Times New Roman"/>
                <w:b/>
                <w:bCs/>
              </w:rPr>
            </w:pPr>
            <w:r>
              <w:rPr>
                <w:rFonts w:ascii="Times New Roman" w:hAnsi="Times New Roman" w:cs="Times New Roman"/>
                <w:b/>
                <w:bCs/>
              </w:rPr>
              <w:t>0.35 (0.12 to 1.01)</w:t>
            </w:r>
          </w:p>
          <w:p w:rsidR="001300AE" w:rsidRDefault="001300AE">
            <w:pPr>
              <w:pStyle w:val="NoSpacing"/>
              <w:jc w:val="center"/>
              <w:rPr>
                <w:rFonts w:ascii="Times New Roman" w:hAnsi="Times New Roman" w:cs="Times New Roman"/>
              </w:rPr>
            </w:pPr>
            <w:r>
              <w:rPr>
                <w:rFonts w:ascii="Times New Roman" w:hAnsi="Times New Roman" w:cs="Times New Roman"/>
              </w:rPr>
              <w:t>0.982 (0.940 to 1.025)</w:t>
            </w:r>
          </w:p>
          <w:p w:rsidR="001300AE" w:rsidRDefault="001300AE">
            <w:pPr>
              <w:pStyle w:val="NoSpacing"/>
              <w:jc w:val="center"/>
              <w:rPr>
                <w:rFonts w:ascii="Times New Roman" w:hAnsi="Times New Roman" w:cs="Times New Roman"/>
                <w:b/>
                <w:bCs/>
              </w:rPr>
            </w:pPr>
            <w:r>
              <w:rPr>
                <w:rFonts w:ascii="Times New Roman" w:hAnsi="Times New Roman" w:cs="Times New Roman"/>
              </w:rPr>
              <w:t>0.995 (0.925 to 1.071)</w:t>
            </w:r>
          </w:p>
        </w:tc>
        <w:tc>
          <w:tcPr>
            <w:tcW w:w="2700" w:type="dxa"/>
            <w:shd w:val="clear" w:color="auto" w:fill="BFBFBF"/>
            <w:vAlign w:val="bottom"/>
          </w:tcPr>
          <w:p w:rsidR="001300AE" w:rsidRDefault="001300AE">
            <w:pPr>
              <w:pStyle w:val="NoSpacing"/>
              <w:jc w:val="center"/>
              <w:rPr>
                <w:rFonts w:ascii="Times New Roman" w:hAnsi="Times New Roman" w:cs="Times New Roman"/>
                <w:b/>
                <w:bCs/>
              </w:rPr>
            </w:pPr>
          </w:p>
        </w:tc>
      </w:tr>
    </w:tbl>
    <w:p w:rsidR="001300AE" w:rsidRDefault="001300AE">
      <w:pPr>
        <w:rPr>
          <w:rFonts w:ascii="Times New Roman" w:hAnsi="Times New Roman" w:cs="Times New Roman"/>
        </w:rPr>
      </w:pPr>
    </w:p>
    <w:p w:rsidR="001300AE" w:rsidRDefault="001300AE">
      <w:pPr>
        <w:pStyle w:val="NoSpacing"/>
        <w:rPr>
          <w:rFonts w:ascii="Times New Roman" w:hAnsi="Times New Roman" w:cs="Times New Roman"/>
          <w:b/>
          <w:bCs/>
        </w:rPr>
        <w:sectPr w:rsidR="001300AE">
          <w:headerReference w:type="default" r:id="rId6"/>
          <w:footerReference w:type="default" r:id="rId7"/>
          <w:pgSz w:w="15840" w:h="12240" w:orient="landscape" w:code="1"/>
          <w:pgMar w:top="1440" w:right="1440" w:bottom="1440" w:left="1440" w:header="720" w:footer="720" w:gutter="0"/>
          <w:cols w:space="720"/>
          <w:docGrid w:linePitch="360"/>
        </w:sectPr>
      </w:pPr>
    </w:p>
    <w:p w:rsidR="001300AE" w:rsidRDefault="001300AE">
      <w:pPr>
        <w:pStyle w:val="NoSpacing"/>
        <w:rPr>
          <w:rFonts w:ascii="Times New Roman" w:hAnsi="Times New Roman" w:cs="Times New Roman"/>
          <w:b/>
          <w:bCs/>
        </w:rPr>
      </w:pPr>
      <w:r>
        <w:rPr>
          <w:rFonts w:ascii="Times New Roman" w:hAnsi="Times New Roman" w:cs="Times New Roman"/>
          <w:b/>
          <w:bCs/>
        </w:rPr>
        <w:t>Appendix 1: Complier average causal effects</w:t>
      </w:r>
    </w:p>
    <w:p w:rsidR="001300AE" w:rsidRDefault="001300AE">
      <w:pPr>
        <w:pStyle w:val="NoSpacing"/>
        <w:rPr>
          <w:rFonts w:ascii="Times New Roman" w:hAnsi="Times New Roman" w:cs="Times New Roman"/>
          <w:b/>
          <w:bCs/>
        </w:rPr>
      </w:pPr>
    </w:p>
    <w:p w:rsidR="001300AE" w:rsidRDefault="001300AE">
      <w:pPr>
        <w:pStyle w:val="NoSpacing"/>
        <w:spacing w:line="480" w:lineRule="auto"/>
        <w:ind w:firstLine="720"/>
        <w:rPr>
          <w:rFonts w:ascii="Times New Roman" w:hAnsi="Times New Roman" w:cs="Times New Roman"/>
        </w:rPr>
      </w:pPr>
      <w:r>
        <w:rPr>
          <w:rFonts w:ascii="Times New Roman" w:hAnsi="Times New Roman" w:cs="Times New Roman"/>
        </w:rPr>
        <w:t>In addition to the ITT, the effect of therapy itself on those who take up treatment because of the threshold can be estimated.  This is analogous to the effect in a randomized controlled trial of the effect of treatment itself on outcomes.  The complier average causal effect (CACE) is the ITT scaled by the difference in probability of treatment at the threshold, which is equivalent to the instrumental variable estimator.</w:t>
      </w:r>
      <w:r>
        <w:rPr>
          <w:rFonts w:ascii="Times New Roman" w:hAnsi="Times New Roman" w:cs="Times New Roman"/>
        </w:rPr>
        <w:fldChar w:fldCharType="begin"/>
      </w:r>
      <w:r>
        <w:rPr>
          <w:rFonts w:ascii="Times New Roman" w:hAnsi="Times New Roman" w:cs="Times New Roman"/>
        </w:rPr>
        <w:instrText xml:space="preserve"> ADDIN PAPERS2_CITATIONS &lt;citation&gt;&lt;uuid&gt;2C5DEAFA-94AA-4A33-99F4-C74FF8A5A9F3&lt;/uuid&gt;&lt;priority&gt;0&lt;/priority&gt;&lt;publications&gt;&lt;publication&gt;&lt;uuid&gt;F0998203-95A7-45C7-BEE9-79A4BD70D9F9&lt;/uuid&gt;&lt;volume&gt;25&lt;/volume&gt;&lt;doi&gt;10.1097/EDE.0000000000000138&lt;/doi&gt;&lt;subtitle&gt;Causal Inference Without Randomized Trials&lt;/subtitle&gt;&lt;startpage&gt;729&lt;/startpage&gt;&lt;publication_date&gt;99201409001200000000220000&lt;/publication_date&gt;&lt;url&gt;http://content.wkhealth.com/linkback/openurl?sid=WKPTLP:landingpage&amp;amp;an=00001648-201409000-00016&lt;/url&gt;&lt;type&gt;400&lt;/type&gt;&lt;title&gt;Regression Discontinuity Designs in Epidemiology&lt;/title&gt;&lt;number&gt;5&lt;/number&gt;&lt;subtype&gt;400&lt;/subtype&gt;&lt;endpage&gt;737&lt;/endpage&gt;&lt;bundle&gt;&lt;publication&gt;&lt;title&gt;Epidemiology&lt;/title&gt;&lt;type&gt;-100&lt;/type&gt;&lt;subtype&gt;-100&lt;/subtype&gt;&lt;uuid&gt;C1742D0D-A1A6-49FA-A401-5D89690FE196&lt;/uuid&gt;&lt;/publication&gt;&lt;/bundle&gt;&lt;authors&gt;&lt;author&gt;&lt;firstName&gt;Jacob&lt;/firstName&gt;&lt;lastName&gt;Bor&lt;/lastName&gt;&lt;/author&gt;&lt;author&gt;&lt;firstName&gt;Ellen&lt;/firstName&gt;&lt;lastName&gt;Moscoe&lt;/lastName&gt;&lt;/author&gt;&lt;author&gt;&lt;firstName&gt;Portia&lt;/firstName&gt;&lt;lastName&gt;Mutevedzi&lt;/lastName&gt;&lt;/author&gt;&lt;author&gt;&lt;firstName&gt;Marie-Louise&lt;/firstName&gt;&lt;lastName&gt;Newell&lt;/lastName&gt;&lt;/author&gt;&lt;author&gt;&lt;firstName&gt;Till&lt;/firstName&gt;&lt;lastName&gt;Barnighausen&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 xml:space="preserve"> As wi</w:t>
      </w:r>
      <w:bookmarkStart w:id="0" w:name="_GoBack"/>
      <w:bookmarkEnd w:id="0"/>
      <w:r>
        <w:rPr>
          <w:rFonts w:ascii="Times New Roman" w:hAnsi="Times New Roman" w:cs="Times New Roman"/>
        </w:rPr>
        <w:t>th other instrumental variable frameworks</w:t>
      </w:r>
      <w:r>
        <w:rPr>
          <w:rFonts w:ascii="Times New Roman" w:hAnsi="Times New Roman" w:cs="Times New Roman"/>
        </w:rPr>
        <w:fldChar w:fldCharType="begin"/>
      </w:r>
      <w:r>
        <w:rPr>
          <w:rFonts w:ascii="Times New Roman" w:hAnsi="Times New Roman" w:cs="Times New Roman"/>
        </w:rPr>
        <w:instrText xml:space="preserve"> ADDIN PAPERS2_CITATIONS &lt;citation&gt;&lt;uuid&gt;D39F5ECF-510E-4EFC-956F-50E0089FBCAC&lt;/uuid&gt;&lt;priority&gt;0&lt;/priority&gt;&lt;publications&gt;&lt;publication&gt;&lt;volume&gt;17&lt;/volume&gt;&lt;publication_date&gt;99200607001200000000220000&lt;/publication_date&gt;&lt;number&gt;4&lt;/number&gt;&lt;doi&gt;10.1097/01.ede.0000222409.00878.37&lt;/doi&gt;&lt;startpage&gt;360&lt;/startpage&gt;&lt;title&gt;Instruments for Causal Inference: An Epidemiologist's Dream?&lt;/title&gt;&lt;uuid&gt;F7660C4C-414C-46BC-9F89-ABF21FCA703A&lt;/uuid&gt;&lt;subtype&gt;400&lt;/subtype&gt;&lt;endpage&gt;372&lt;/endpage&gt;&lt;type&gt;400&lt;/type&gt;&lt;url&gt;http://content.wkhealth.com/linkback/openurl?sid=WKPTLP:landingpage&amp;amp;an=00001648-200607000-00004&lt;/url&gt;&lt;bundle&gt;&lt;publication&gt;&lt;title&gt;Epidemiology&lt;/title&gt;&lt;type&gt;-100&lt;/type&gt;&lt;subtype&gt;-100&lt;/subtype&gt;&lt;uuid&gt;C1742D0D-A1A6-49FA-A401-5D89690FE196&lt;/uuid&gt;&lt;/publication&gt;&lt;/bundle&gt;&lt;authors&gt;&lt;author&gt;&lt;firstName&gt;Miguel&lt;/firstName&gt;&lt;middleNames&gt;A&lt;/middleNames&gt;&lt;lastName&gt;Hernan&lt;/lastName&gt;&lt;/author&gt;&lt;author&gt;&lt;firstName&gt;James&lt;/firstName&gt;&lt;middleNames&gt;M&lt;/middleNames&gt;&lt;lastName&gt;Robins&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the CACE requires the assumptions of 1) monotonicity, which is the assumption that there are no “defiers”, that is, no patients would have initiated ART if they were ineligible and refuse treatment if they were eligible, and 2) the exclusion restriction, which states that the instrument (presenting just below the threshold) only affects HIV incidence in households through initiation of ART.  As in instrumental variable approaches, if the ITT is null, the CACE will be null.  If this ITT is not null, the CACE is typically further from the null than the ITT, as it is directly estimating the effect of treatment among the compliers.</w:t>
      </w:r>
    </w:p>
    <w:p w:rsidR="001300AE" w:rsidRDefault="001300AE">
      <w:pPr>
        <w:pStyle w:val="NoSpacing"/>
        <w:spacing w:line="480" w:lineRule="auto"/>
        <w:rPr>
          <w:rFonts w:ascii="Times New Roman" w:hAnsi="Times New Roman" w:cs="Times New Roman"/>
        </w:rPr>
      </w:pPr>
      <w:r>
        <w:rPr>
          <w:rFonts w:ascii="Times New Roman" w:hAnsi="Times New Roman" w:cs="Times New Roman"/>
        </w:rPr>
        <w:tab/>
        <w:t>Instrumental variable methods, which are used to estimate the CACE, are relatively new in application to censored survival outcomes.</w:t>
      </w:r>
      <w:r>
        <w:rPr>
          <w:rFonts w:ascii="Times New Roman" w:hAnsi="Times New Roman" w:cs="Times New Roman"/>
        </w:rPr>
        <w:fldChar w:fldCharType="begin"/>
      </w:r>
      <w:r>
        <w:rPr>
          <w:rFonts w:ascii="Times New Roman" w:hAnsi="Times New Roman" w:cs="Times New Roman"/>
        </w:rPr>
        <w:instrText xml:space="preserve"> ADDIN PAPERS2_CITATIONS &lt;citation&gt;&lt;uuid&gt;B9AE9347-4BCA-487F-A53D-6C869BA43BC5&lt;/uuid&gt;&lt;priority&gt;0&lt;/priority&gt;&lt;publications&gt;&lt;publication&gt;&lt;uuid&gt;D4007C5F-82B0-4B32-BBB3-A46A80A25B09&lt;/uuid&gt;&lt;volume&gt;26&lt;/volume&gt;&lt;doi&gt;10.1097/EDE.0000000000000262&lt;/doi&gt;&lt;subtitle&gt;&lt;/subtitle&gt;&lt;startpage&gt;402&lt;/startpage&gt;&lt;publication_date&gt;99201502001200000000220000&lt;/publication_date&gt;&lt;url&gt;http://content.wkhealth.com/linkback/openurl?sid=WKPTLP:landingpage&amp;amp;an=00001648-900000000-99241&lt;/url&gt;&lt;type&gt;400&lt;/type&gt;&lt;title&gt;Instrumental Variable Estimation in a Survival Context&lt;/title&gt;&lt;number&gt;3&lt;/number&gt;&lt;subtype&gt;400&lt;/subtype&gt;&lt;endpage&gt;410&lt;/endpage&gt;&lt;bundle&gt;&lt;publication&gt;&lt;title&gt;Epidemiology&lt;/title&gt;&lt;type&gt;-100&lt;/type&gt;&lt;subtype&gt;-100&lt;/subtype&gt;&lt;uuid&gt;C1742D0D-A1A6-49FA-A401-5D89690FE196&lt;/uuid&gt;&lt;/publication&gt;&lt;/bundle&gt;&lt;authors&gt;&lt;author&gt;&lt;firstName&gt;Eric&lt;/firstName&gt;&lt;middleNames&gt;J&lt;/middleNames&gt;&lt;lastName&gt;Tchetgen Tchetgen&lt;/lastName&gt;&lt;/author&gt;&lt;author&gt;&lt;firstName&gt;Stefan&lt;/firstName&gt;&lt;lastName&gt;Walter&lt;/lastName&gt;&lt;/author&gt;&lt;author&gt;&lt;firstName&gt;Stijn&lt;/firstName&gt;&lt;lastName&gt;Vansteelandt&lt;/lastName&gt;&lt;/author&gt;&lt;author&gt;&lt;firstName&gt;Torben&lt;/firstName&gt;&lt;lastName&gt;Martinussen&lt;/lastName&gt;&lt;/author&gt;&lt;author&gt;&lt;firstName&gt;Maria&lt;/firstName&gt;&lt;lastName&gt;Glymour&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Recently, methods have been developed for instrumental variable estimation using an Aalen additive hazards model.</w:t>
      </w:r>
      <w:r>
        <w:rPr>
          <w:rFonts w:ascii="Times New Roman" w:hAnsi="Times New Roman" w:cs="Times New Roman"/>
        </w:rPr>
        <w:fldChar w:fldCharType="begin"/>
      </w:r>
      <w:r>
        <w:rPr>
          <w:rFonts w:ascii="Times New Roman" w:hAnsi="Times New Roman" w:cs="Times New Roman"/>
        </w:rPr>
        <w:instrText xml:space="preserve"> ADDIN PAPERS2_CITATIONS &lt;citation&gt;&lt;uuid&gt;9627B730-23D5-4D13-814F-56146089F7EE&lt;/uuid&gt;&lt;priority&gt;0&lt;/priority&gt;&lt;publications&gt;&lt;publication&gt;&lt;uuid&gt;D4007C5F-82B0-4B32-BBB3-A46A80A25B09&lt;/uuid&gt;&lt;volume&gt;26&lt;/volume&gt;&lt;doi&gt;10.1097/EDE.0000000000000262&lt;/doi&gt;&lt;subtitle&gt;&lt;/subtitle&gt;&lt;startpage&gt;402&lt;/startpage&gt;&lt;publication_date&gt;99201502001200000000220000&lt;/publication_date&gt;&lt;url&gt;http://content.wkhealth.com/linkback/openurl?sid=WKPTLP:landingpage&amp;amp;an=00001648-900000000-99241&lt;/url&gt;&lt;type&gt;400&lt;/type&gt;&lt;title&gt;Instrumental Variable Estimation in a Survival Context&lt;/title&gt;&lt;number&gt;3&lt;/number&gt;&lt;subtype&gt;400&lt;/subtype&gt;&lt;endpage&gt;410&lt;/endpage&gt;&lt;bundle&gt;&lt;publication&gt;&lt;title&gt;Epidemiology&lt;/title&gt;&lt;type&gt;-100&lt;/type&gt;&lt;subtype&gt;-100&lt;/subtype&gt;&lt;uuid&gt;C1742D0D-A1A6-49FA-A401-5D89690FE196&lt;/uuid&gt;&lt;/publication&gt;&lt;/bundle&gt;&lt;authors&gt;&lt;author&gt;&lt;firstName&gt;Eric&lt;/firstName&gt;&lt;middleNames&gt;J&lt;/middleNames&gt;&lt;lastName&gt;Tchetgen Tchetgen&lt;/lastName&gt;&lt;/author&gt;&lt;author&gt;&lt;firstName&gt;Stefan&lt;/firstName&gt;&lt;lastName&gt;Walter&lt;/lastName&gt;&lt;/author&gt;&lt;author&gt;&lt;firstName&gt;Stijn&lt;/firstName&gt;&lt;lastName&gt;Vansteelandt&lt;/lastName&gt;&lt;/author&gt;&lt;author&gt;&lt;firstName&gt;Torben&lt;/firstName&gt;&lt;lastName&gt;Martinussen&lt;/lastName&gt;&lt;/author&gt;&lt;author&gt;&lt;firstName&gt;Maria&lt;/firstName&gt;&lt;lastName&gt;Glymour&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For binary exogenous variables (i.e., presenting below the threshold), the control function approach has been shown to be appropriate.</w:t>
      </w:r>
      <w:r>
        <w:rPr>
          <w:rFonts w:ascii="Times New Roman" w:hAnsi="Times New Roman" w:cs="Times New Roman"/>
        </w:rPr>
        <w:fldChar w:fldCharType="begin"/>
      </w:r>
      <w:r>
        <w:rPr>
          <w:rFonts w:ascii="Times New Roman" w:hAnsi="Times New Roman" w:cs="Times New Roman"/>
        </w:rPr>
        <w:instrText xml:space="preserve"> ADDIN PAPERS2_CITATIONS &lt;citation&gt;&lt;uuid&gt;6FD1BEEF-9806-4CA2-9EF2-48416AE5C134&lt;/uuid&gt;&lt;priority&gt;0&lt;/priority&gt;&lt;publications&gt;&lt;publication&gt;&lt;volume&gt;3&lt;/volume&gt;&lt;publication_date&gt;99201410061200000000222000&lt;/publication_date&gt;&lt;number&gt;1&lt;/number&gt;&lt;doi&gt;10.1515/em-2014-0009&lt;/doi&gt;&lt;startpage&gt;107&lt;/startpage&gt;&lt;title&gt;A note on the control function approach with an instrumental variable and a binary outcome&lt;/title&gt;&lt;uuid&gt;7738F2A8-7E1F-44B0-889B-ACBD787CB4FD&lt;/uuid&gt;&lt;subtype&gt;400&lt;/subtype&gt;&lt;endpage&gt;112&lt;/endpage&gt;&lt;type&gt;400&lt;/type&gt;&lt;url&gt;http://www.degruyter.com/view/j/em.2014.3.issue-1/em-2014-0009/em-2014-0009.xml&lt;/url&gt;&lt;bundle&gt;&lt;publication&gt;&lt;title&gt;Epidemiologic Methods&lt;/title&gt;&lt;type&gt;-100&lt;/type&gt;&lt;subtype&gt;-100&lt;/subtype&gt;&lt;uuid&gt;29BF9601-CF5C-4E07-B021-EFB153EFF37D&lt;/uuid&gt;&lt;/publication&gt;&lt;/bundle&gt;&lt;authors&gt;&lt;author&gt;&lt;firstName&gt;Eric&lt;/firstName&gt;&lt;lastName&gt;Tchetgen Tchetgen&lt;/lastName&gt;&lt;/author&gt;&lt;/authors&gt;&lt;/publication&gt;&lt;publication&gt;&lt;uuid&gt;D4007C5F-82B0-4B32-BBB3-A46A80A25B09&lt;/uuid&gt;&lt;volume&gt;26&lt;/volume&gt;&lt;doi&gt;10.1097/EDE.0000000000000262&lt;/doi&gt;&lt;subtitle&gt;&lt;/subtitle&gt;&lt;startpage&gt;402&lt;/startpage&gt;&lt;publication_date&gt;99201502001200000000220000&lt;/publication_date&gt;&lt;url&gt;http://content.wkhealth.com/linkback/openurl?sid=WKPTLP:landingpage&amp;amp;an=00001648-900000000-99241&lt;/url&gt;&lt;type&gt;400&lt;/type&gt;&lt;title&gt;Instrumental Variable Estimation in a Survival Context&lt;/title&gt;&lt;number&gt;3&lt;/number&gt;&lt;subtype&gt;400&lt;/subtype&gt;&lt;endpage&gt;410&lt;/endpage&gt;&lt;bundle&gt;&lt;publication&gt;&lt;title&gt;Epidemiology&lt;/title&gt;&lt;type&gt;-100&lt;/type&gt;&lt;subtype&gt;-100&lt;/subtype&gt;&lt;uuid&gt;C1742D0D-A1A6-49FA-A401-5D89690FE196&lt;/uuid&gt;&lt;/publication&gt;&lt;/bundle&gt;&lt;authors&gt;&lt;author&gt;&lt;firstName&gt;Eric&lt;/firstName&gt;&lt;middleNames&gt;J&lt;/middleNames&gt;&lt;lastName&gt;Tchetgen Tchetgen&lt;/lastName&gt;&lt;/author&gt;&lt;author&gt;&lt;firstName&gt;Stefan&lt;/firstName&gt;&lt;lastName&gt;Walter&lt;/lastName&gt;&lt;/author&gt;&lt;author&gt;&lt;firstName&gt;Stijn&lt;/firstName&gt;&lt;lastName&gt;Vansteelandt&lt;/lastName&gt;&lt;/author&gt;&lt;author&gt;&lt;firstName&gt;Torben&lt;/firstName&gt;&lt;lastName&gt;Martinussen&lt;/lastName&gt;&lt;/author&gt;&lt;author&gt;&lt;firstName&gt;Maria&lt;/firstName&gt;&lt;lastName&gt;Glymour&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t xml:space="preserve"> This method involves estimating deviance residuals from a first-stage regression model and including the residuals in a second stage model.  Furthermore, work has demonstrated that when the cumulative incidence of disease over the follow-up period is rare, the control function approach may be used in a Cox proportional hazards model.</w:t>
      </w:r>
      <w:r>
        <w:rPr>
          <w:rFonts w:ascii="Times New Roman" w:hAnsi="Times New Roman" w:cs="Times New Roman"/>
        </w:rPr>
        <w:fldChar w:fldCharType="begin"/>
      </w:r>
      <w:r>
        <w:rPr>
          <w:rFonts w:ascii="Times New Roman" w:hAnsi="Times New Roman" w:cs="Times New Roman"/>
        </w:rPr>
        <w:instrText xml:space="preserve"> ADDIN PAPERS2_CITATIONS &lt;citation&gt;&lt;uuid&gt;7D0F4D6D-6AA1-42A2-9E37-5E3BAE63EED0&lt;/uuid&gt;&lt;priority&gt;0&lt;/priority&gt;&lt;publications&gt;&lt;publication&gt;&lt;uuid&gt;D4007C5F-82B0-4B32-BBB3-A46A80A25B09&lt;/uuid&gt;&lt;volume&gt;26&lt;/volume&gt;&lt;doi&gt;10.1097/EDE.0000000000000262&lt;/doi&gt;&lt;subtitle&gt;&lt;/subtitle&gt;&lt;startpage&gt;402&lt;/startpage&gt;&lt;publication_date&gt;99201502001200000000220000&lt;/publication_date&gt;&lt;url&gt;http://content.wkhealth.com/linkback/openurl?sid=WKPTLP:landingpage&amp;amp;an=00001648-900000000-99241&lt;/url&gt;&lt;type&gt;400&lt;/type&gt;&lt;title&gt;Instrumental Variable Estimation in a Survival Context&lt;/title&gt;&lt;number&gt;3&lt;/number&gt;&lt;subtype&gt;400&lt;/subtype&gt;&lt;endpage&gt;410&lt;/endpage&gt;&lt;bundle&gt;&lt;publication&gt;&lt;title&gt;Epidemiology&lt;/title&gt;&lt;type&gt;-100&lt;/type&gt;&lt;subtype&gt;-100&lt;/subtype&gt;&lt;uuid&gt;C1742D0D-A1A6-49FA-A401-5D89690FE196&lt;/uuid&gt;&lt;/publication&gt;&lt;/bundle&gt;&lt;authors&gt;&lt;author&gt;&lt;firstName&gt;Eric&lt;/firstName&gt;&lt;middleNames&gt;J&lt;/middleNames&gt;&lt;lastName&gt;Tchetgen Tchetgen&lt;/lastName&gt;&lt;/author&gt;&lt;author&gt;&lt;firstName&gt;Stefan&lt;/firstName&gt;&lt;lastName&gt;Walter&lt;/lastName&gt;&lt;/author&gt;&lt;author&gt;&lt;firstName&gt;Stijn&lt;/firstName&gt;&lt;lastName&gt;Vansteelandt&lt;/lastName&gt;&lt;/author&gt;&lt;author&gt;&lt;firstName&gt;Torben&lt;/firstName&gt;&lt;lastName&gt;Martinussen&lt;/lastName&gt;&lt;/author&gt;&lt;author&gt;&lt;firstName&gt;Maria&lt;/firstName&gt;&lt;lastName&gt;Glymour&lt;/lastName&gt;&lt;/author&gt;&lt;/authors&gt;&lt;/publication&gt;&lt;/publications&gt;&lt;cites&gt;&lt;/cites&gt;&lt;/citation&gt;</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t xml:space="preserve"> We therefore used two approaches to estimate the CACE for the effect of immediate versus delayed ART initiation in the first individual in the household to link to HIV care and HIV incidence in households.  </w:t>
      </w:r>
    </w:p>
    <w:p w:rsidR="001300AE" w:rsidRDefault="001300AE">
      <w:pPr>
        <w:pStyle w:val="NoSpacing"/>
        <w:spacing w:line="480" w:lineRule="auto"/>
        <w:ind w:firstLine="720"/>
        <w:rPr>
          <w:rFonts w:ascii="Times New Roman" w:hAnsi="Times New Roman" w:cs="Times New Roman"/>
        </w:rPr>
      </w:pPr>
      <w:r>
        <w:rPr>
          <w:rFonts w:ascii="Times New Roman" w:hAnsi="Times New Roman" w:cs="Times New Roman"/>
        </w:rPr>
        <w:t xml:space="preserve">To estimate the CACE, we fit a first-stage logistic regression model with terms for presenting immediately above or below the threshold and the gap above and below the threshold (to allow for differential slopes above and below the threshold).  Residuals were estimated from this model, which were then included in the second-stage model.  The second-stage model was an Aalen additive hazards model with terms for initiating ART within 6 months, the gap above and below the threshold, and a term for residuals estimated in the first stage model.  We then repeated the procedure with a Cox proportional hazards model.  Because the inclusion of the residual term in the second stage model does not account for uncertainty inherent in estimating the residuals in the first stage, all inferences were based on 5,000 nonparametric bootstraps.  Analyses also accounted for clustering within physical residencies (homesteads).  </w:t>
      </w:r>
    </w:p>
    <w:p w:rsidR="001300AE" w:rsidRDefault="001300AE">
      <w:pPr>
        <w:pStyle w:val="NoSpacing"/>
        <w:spacing w:line="480" w:lineRule="auto"/>
        <w:ind w:firstLine="720"/>
        <w:rPr>
          <w:rFonts w:ascii="Times New Roman" w:hAnsi="Times New Roman" w:cs="Times New Roman"/>
        </w:rPr>
      </w:pPr>
      <w:r>
        <w:rPr>
          <w:rFonts w:ascii="Times New Roman" w:hAnsi="Times New Roman" w:cs="Times New Roman"/>
        </w:rPr>
        <w:t>In a Cox proportional hazards model, the CACE of the first individual in the household to link to care to take up ART because they presented for care below the CD4 count threshold indicated more than 90% reduction in household HIV acquisition (Table 2).  For the widest bandwidth, the hazard ratio was 0.07 (95% CI 0.01 to 0.52), which decreased to 0.02 (95% CI 0.0002 to 1.56) at the narrowest bandwidth.  The Aalen model, in the widest bandwidth, indicated 7.5 fewer cases of HIV per year of follow-up among 100 people who initiated ART because they were below the CD4 count threshold compared to if those 100 people had not initiated ART because they were above the threshold.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6"/>
        <w:gridCol w:w="3117"/>
        <w:gridCol w:w="3117"/>
      </w:tblGrid>
      <w:tr w:rsidR="001300AE">
        <w:tc>
          <w:tcPr>
            <w:tcW w:w="3116" w:type="dxa"/>
          </w:tcPr>
          <w:p w:rsidR="001300AE" w:rsidRDefault="001300AE">
            <w:pPr>
              <w:pStyle w:val="NoSpacing"/>
              <w:spacing w:line="480" w:lineRule="auto"/>
              <w:rPr>
                <w:rFonts w:ascii="Times New Roman" w:hAnsi="Times New Roman" w:cs="Times New Roman"/>
                <w:b/>
                <w:bCs/>
              </w:rPr>
            </w:pPr>
            <w:r>
              <w:rPr>
                <w:rFonts w:ascii="Times New Roman" w:hAnsi="Times New Roman" w:cs="Times New Roman"/>
                <w:b/>
                <w:bCs/>
              </w:rPr>
              <w:t>Bandwidth</w:t>
            </w:r>
          </w:p>
        </w:tc>
        <w:tc>
          <w:tcPr>
            <w:tcW w:w="3117" w:type="dxa"/>
          </w:tcPr>
          <w:p w:rsidR="001300AE" w:rsidRDefault="001300AE">
            <w:pPr>
              <w:pStyle w:val="NoSpacing"/>
              <w:spacing w:line="480" w:lineRule="auto"/>
              <w:jc w:val="center"/>
              <w:rPr>
                <w:rFonts w:ascii="Times New Roman" w:hAnsi="Times New Roman" w:cs="Times New Roman"/>
                <w:b/>
                <w:bCs/>
              </w:rPr>
            </w:pPr>
            <w:r>
              <w:rPr>
                <w:rFonts w:ascii="Times New Roman" w:hAnsi="Times New Roman" w:cs="Times New Roman"/>
                <w:b/>
                <w:bCs/>
              </w:rPr>
              <w:t>Cox Model</w:t>
            </w:r>
          </w:p>
        </w:tc>
        <w:tc>
          <w:tcPr>
            <w:tcW w:w="3117" w:type="dxa"/>
          </w:tcPr>
          <w:p w:rsidR="001300AE" w:rsidRDefault="001300AE">
            <w:pPr>
              <w:pStyle w:val="NoSpacing"/>
              <w:spacing w:line="480" w:lineRule="auto"/>
              <w:jc w:val="center"/>
              <w:rPr>
                <w:rFonts w:ascii="Times New Roman" w:hAnsi="Times New Roman" w:cs="Times New Roman"/>
                <w:b/>
                <w:bCs/>
              </w:rPr>
            </w:pPr>
            <w:r>
              <w:rPr>
                <w:rFonts w:ascii="Times New Roman" w:hAnsi="Times New Roman" w:cs="Times New Roman"/>
                <w:b/>
                <w:bCs/>
              </w:rPr>
              <w:t>Aalen Model</w:t>
            </w:r>
          </w:p>
        </w:tc>
      </w:tr>
      <w:tr w:rsidR="001300AE">
        <w:tc>
          <w:tcPr>
            <w:tcW w:w="3116" w:type="dxa"/>
          </w:tcPr>
          <w:p w:rsidR="001300AE" w:rsidRDefault="001300AE">
            <w:pPr>
              <w:pStyle w:val="NoSpacing"/>
              <w:spacing w:line="480" w:lineRule="auto"/>
              <w:rPr>
                <w:rFonts w:ascii="Times New Roman" w:hAnsi="Times New Roman" w:cs="Times New Roman"/>
              </w:rPr>
            </w:pPr>
            <w:r>
              <w:rPr>
                <w:rFonts w:ascii="Times New Roman" w:hAnsi="Times New Roman" w:cs="Times New Roman"/>
              </w:rPr>
              <w:t>50-350</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0.07 (0.01 to 0.52)</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-0.075 (-0.13 to -0.02)</w:t>
            </w:r>
          </w:p>
        </w:tc>
      </w:tr>
      <w:tr w:rsidR="001300AE">
        <w:tc>
          <w:tcPr>
            <w:tcW w:w="3116" w:type="dxa"/>
          </w:tcPr>
          <w:p w:rsidR="001300AE" w:rsidRDefault="001300AE">
            <w:pPr>
              <w:pStyle w:val="NoSpacing"/>
              <w:spacing w:line="480" w:lineRule="auto"/>
              <w:rPr>
                <w:rFonts w:ascii="Times New Roman" w:hAnsi="Times New Roman" w:cs="Times New Roman"/>
              </w:rPr>
            </w:pPr>
            <w:r>
              <w:rPr>
                <w:rFonts w:ascii="Times New Roman" w:hAnsi="Times New Roman" w:cs="Times New Roman"/>
              </w:rPr>
              <w:t>100-300</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0.06 (0.004 to 0.80)</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-0.054 (-0.16 to 0.086)</w:t>
            </w:r>
          </w:p>
        </w:tc>
      </w:tr>
      <w:tr w:rsidR="001300AE">
        <w:tc>
          <w:tcPr>
            <w:tcW w:w="3116" w:type="dxa"/>
          </w:tcPr>
          <w:p w:rsidR="001300AE" w:rsidRDefault="001300AE">
            <w:pPr>
              <w:pStyle w:val="NoSpacing"/>
              <w:spacing w:line="480" w:lineRule="auto"/>
              <w:rPr>
                <w:rFonts w:ascii="Times New Roman" w:hAnsi="Times New Roman" w:cs="Times New Roman"/>
              </w:rPr>
            </w:pPr>
            <w:r>
              <w:rPr>
                <w:rFonts w:ascii="Times New Roman" w:hAnsi="Times New Roman" w:cs="Times New Roman"/>
              </w:rPr>
              <w:t>150-250</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0.02 (0.0002 to 1.56)</w:t>
            </w:r>
          </w:p>
        </w:tc>
        <w:tc>
          <w:tcPr>
            <w:tcW w:w="3117" w:type="dxa"/>
            <w:vAlign w:val="center"/>
          </w:tcPr>
          <w:p w:rsidR="001300AE" w:rsidRDefault="001300AE">
            <w:pPr>
              <w:pStyle w:val="NoSpacing"/>
              <w:spacing w:line="480" w:lineRule="auto"/>
              <w:jc w:val="center"/>
              <w:rPr>
                <w:rFonts w:ascii="Times New Roman" w:hAnsi="Times New Roman" w:cs="Times New Roman"/>
              </w:rPr>
            </w:pPr>
            <w:r>
              <w:rPr>
                <w:rFonts w:ascii="Times New Roman" w:hAnsi="Times New Roman" w:cs="Times New Roman"/>
              </w:rPr>
              <w:t>-0.035 (-0.31 to 0.41)</w:t>
            </w:r>
          </w:p>
        </w:tc>
      </w:tr>
    </w:tbl>
    <w:p w:rsidR="001300AE" w:rsidRDefault="001300AE">
      <w:pPr>
        <w:pStyle w:val="NoSpacing"/>
        <w:spacing w:line="480" w:lineRule="auto"/>
        <w:ind w:firstLine="720"/>
        <w:rPr>
          <w:rFonts w:ascii="Times New Roman" w:hAnsi="Times New Roman" w:cs="Times New Roman"/>
        </w:rPr>
      </w:pPr>
    </w:p>
    <w:p w:rsidR="001300AE" w:rsidRDefault="001300AE">
      <w:pPr>
        <w:pStyle w:val="NoSpacing"/>
        <w:spacing w:line="480" w:lineRule="auto"/>
        <w:ind w:firstLine="720"/>
        <w:rPr>
          <w:rFonts w:ascii="Times New Roman" w:hAnsi="Times New Roman" w:cs="Times New Roman"/>
        </w:rPr>
      </w:pPr>
    </w:p>
    <w:p w:rsidR="001300AE" w:rsidRDefault="001300AE">
      <w:pPr>
        <w:pStyle w:val="NoSpacing"/>
        <w:spacing w:line="480" w:lineRule="auto"/>
        <w:ind w:firstLine="720"/>
        <w:rPr>
          <w:rFonts w:ascii="Times New Roman" w:hAnsi="Times New Roman" w:cs="Times New Roman"/>
        </w:rPr>
      </w:pPr>
      <w:r>
        <w:rPr>
          <w:rFonts w:ascii="Times New Roman" w:hAnsi="Times New Roman" w:cs="Times New Roman"/>
        </w:rPr>
        <w:t>In addition to estimation of the ITT, regression discontinuity designs allow for estimation of the complier average causal effect (CACE), which is the effect of initiating ART because an individual of the threshold rule.  This effect is limited in its interpretation to individuals who comply with the treatment; that is, individuals who always take treatment if they link to care below the threshold and individuals who never take treatment if they link to care above the threshold.  As expected, in this study the CACE was substantially larger than the ITT.  Whereas the ITT is considered the parameter of interest from a policy perspective, the CACE is likely of additional interest for clinicians.  In the population of compliers, the results of this study suggest a dramatic reduction in HIV acquisition in households when the earliest member of the household to link to HIV care does so immediately below the threshold for initiating ART.</w:t>
      </w:r>
    </w:p>
    <w:p w:rsidR="001300AE" w:rsidRDefault="001300AE">
      <w:pPr>
        <w:rPr>
          <w:rFonts w:ascii="Times New Roman" w:hAnsi="Times New Roman" w:cs="Times New Roman"/>
          <w:b/>
          <w:bCs/>
        </w:rPr>
      </w:pPr>
    </w:p>
    <w:p w:rsidR="001300AE" w:rsidRDefault="001300AE">
      <w:pPr>
        <w:rPr>
          <w:rFonts w:ascii="Times New Roman" w:hAnsi="Times New Roman" w:cs="Times New Roman"/>
          <w:b/>
          <w:bCs/>
        </w:rPr>
      </w:pPr>
      <w:r>
        <w:rPr>
          <w:rFonts w:ascii="Times New Roman" w:hAnsi="Times New Roman" w:cs="Times New Roman"/>
          <w:b/>
          <w:bCs/>
        </w:rPr>
        <w:t>References</w:t>
      </w:r>
    </w:p>
    <w:p w:rsidR="001300AE" w:rsidRDefault="001300AE">
      <w:pPr>
        <w:rPr>
          <w:rFonts w:ascii="Times New Roman" w:hAnsi="Times New Roman" w:cs="Times New Roman"/>
        </w:rPr>
      </w:pPr>
    </w:p>
    <w:p w:rsidR="001300AE" w:rsidRDefault="001300AE">
      <w:pPr>
        <w:widowControl w:val="0"/>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PAPERS2_CITATIONS &lt;papers2_bibliography/&gt;</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tab/>
        <w:t>Bor J, Moscoe E, Mutevedzi P, Newell M-L, Barnighausen T. Regression Discontinuity Designs in Epidemiology. Epidemiology. 2014;25: 729–737. doi:10.1097/EDE.0000000000000138</w:t>
      </w:r>
    </w:p>
    <w:p w:rsidR="001300AE" w:rsidRDefault="001300AE">
      <w:pPr>
        <w:widowControl w:val="0"/>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t>2.</w:t>
      </w:r>
      <w:r>
        <w:rPr>
          <w:rFonts w:ascii="Times New Roman" w:hAnsi="Times New Roman" w:cs="Times New Roman"/>
        </w:rPr>
        <w:tab/>
        <w:t>Hernan MA, Robins JM. Instruments for Causal Inference: An Epidemiologist's Dream? Epidemiology. 2006;17: 360–372. doi:10.1097/01.ede.0000222409.00878.37</w:t>
      </w:r>
    </w:p>
    <w:p w:rsidR="001300AE" w:rsidRDefault="001300AE">
      <w:pPr>
        <w:widowControl w:val="0"/>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t>3.</w:t>
      </w:r>
      <w:r>
        <w:rPr>
          <w:rFonts w:ascii="Times New Roman" w:hAnsi="Times New Roman" w:cs="Times New Roman"/>
        </w:rPr>
        <w:tab/>
        <w:t>Tchetgen Tchetgen EJ, Walter S, Vansteelandt S, Martinussen T, Glymour M. Instrumental Variable Estimation in a Survival Context. Epidemiology. 2015;26: 402–410. doi:10.1097/EDE.0000000000000262</w:t>
      </w:r>
    </w:p>
    <w:p w:rsidR="001300AE" w:rsidRDefault="001300AE">
      <w:pPr>
        <w:widowControl w:val="0"/>
        <w:tabs>
          <w:tab w:val="left" w:pos="480"/>
        </w:tabs>
        <w:autoSpaceDE w:val="0"/>
        <w:autoSpaceDN w:val="0"/>
        <w:adjustRightInd w:val="0"/>
        <w:spacing w:after="240"/>
        <w:ind w:left="480" w:hanging="480"/>
        <w:rPr>
          <w:rFonts w:ascii="Times New Roman" w:hAnsi="Times New Roman" w:cs="Times New Roman"/>
        </w:rPr>
      </w:pPr>
      <w:r>
        <w:rPr>
          <w:rFonts w:ascii="Times New Roman" w:hAnsi="Times New Roman" w:cs="Times New Roman"/>
        </w:rPr>
        <w:t>4.</w:t>
      </w:r>
      <w:r>
        <w:rPr>
          <w:rFonts w:ascii="Times New Roman" w:hAnsi="Times New Roman" w:cs="Times New Roman"/>
        </w:rPr>
        <w:tab/>
        <w:t>Tchetgen Tchetgen E. A note on the control function approach with an instrumental variable and a binary outcome. Epidemiologic Methods. 2014;3: 107–112. doi:10.1515/em-2014-0009</w:t>
      </w:r>
    </w:p>
    <w:p w:rsidR="001300AE" w:rsidRDefault="001300AE">
      <w:pPr>
        <w:rPr>
          <w:rFonts w:ascii="Times New Roman" w:hAnsi="Times New Roman" w:cs="Times New Roman"/>
        </w:rPr>
      </w:pPr>
      <w:r>
        <w:rPr>
          <w:rFonts w:ascii="Times New Roman" w:hAnsi="Times New Roman" w:cs="Times New Roman"/>
        </w:rPr>
        <w:fldChar w:fldCharType="end"/>
      </w:r>
    </w:p>
    <w:sectPr w:rsidR="001300AE" w:rsidSect="001300A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0AE" w:rsidRDefault="001300AE">
      <w:pPr>
        <w:rPr>
          <w:rFonts w:ascii="Times New Roman" w:hAnsi="Times New Roman" w:cs="Times New Roman"/>
        </w:rPr>
      </w:pPr>
      <w:r>
        <w:rPr>
          <w:rFonts w:ascii="Times New Roman" w:hAnsi="Times New Roman" w:cs="Times New Roman"/>
        </w:rPr>
        <w:separator/>
      </w:r>
    </w:p>
  </w:endnote>
  <w:endnote w:type="continuationSeparator" w:id="0">
    <w:p w:rsidR="001300AE" w:rsidRDefault="001300A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AE" w:rsidRDefault="001300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00AE" w:rsidRDefault="001300AE">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0AE" w:rsidRDefault="001300AE">
      <w:pPr>
        <w:rPr>
          <w:rFonts w:ascii="Times New Roman" w:hAnsi="Times New Roman" w:cs="Times New Roman"/>
        </w:rPr>
      </w:pPr>
      <w:r>
        <w:rPr>
          <w:rFonts w:ascii="Times New Roman" w:hAnsi="Times New Roman" w:cs="Times New Roman"/>
        </w:rPr>
        <w:separator/>
      </w:r>
    </w:p>
  </w:footnote>
  <w:footnote w:type="continuationSeparator" w:id="0">
    <w:p w:rsidR="001300AE" w:rsidRDefault="001300AE">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AE" w:rsidRDefault="001300AE">
    <w:pPr>
      <w:pStyle w:val="Header"/>
      <w:rPr>
        <w:rFonts w:ascii="Times New Roman" w:hAnsi="Times New Roman" w:cs="Times New Roman"/>
      </w:rPr>
    </w:pPr>
    <w:r>
      <w:rPr>
        <w:rFonts w:ascii="Times New Roman" w:hAnsi="Times New Roman" w:cs="Times New Roman"/>
      </w:rPr>
      <w:t>Oldenburg et 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0AE"/>
    <w:rsid w:val="00130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2327</Words>
  <Characters>13266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dc:title>
  <dc:subject/>
  <dc:creator>Catherine Oldenburg</dc:creator>
  <cp:keywords/>
  <dc:description/>
  <cp:lastModifiedBy>TEESLWW</cp:lastModifiedBy>
  <cp:revision>2</cp:revision>
  <dcterms:created xsi:type="dcterms:W3CDTF">2018-01-02T17:28:00Z</dcterms:created>
  <dcterms:modified xsi:type="dcterms:W3CDTF">2018-01-02T17:28:00Z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id="http://www.zotero.org/styles/plos-medicine"/&gt;&lt;format class="21"/&gt;&lt;count citations="6" publications="4"/&gt;&lt;/info&gt;PAPERS2_INFO_END</vt:lpwstr>
  </property>
</Properties>
</file>