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12C" w:rsidRDefault="00FD112C">
      <w:pPr>
        <w:pStyle w:val="Heading1"/>
        <w:rPr>
          <w:rFonts w:ascii="Arial" w:hAnsi="Arial" w:cs="Arial"/>
          <w:color w:val="auto"/>
        </w:rPr>
      </w:pPr>
      <w:bookmarkStart w:id="0" w:name="_GoBack"/>
      <w:bookmarkEnd w:id="0"/>
      <w:r>
        <w:rPr>
          <w:color w:val="auto"/>
        </w:rPr>
        <w:t>Appendix 1: Description of model</w:t>
      </w:r>
    </w:p>
    <w:p w:rsidR="00FD112C" w:rsidRDefault="00FD112C">
      <w:r>
        <w:t>The intervention effect on the following response variables is studied:</w:t>
      </w:r>
      <w:r>
        <w:br/>
      </w:r>
      <w:r>
        <w:tab/>
      </w:r>
    </w:p>
    <w:p w:rsidR="00FD112C" w:rsidRDefault="00FD112C">
      <w:pPr>
        <w:pStyle w:val="ListParagraph"/>
        <w:numPr>
          <w:ilvl w:val="0"/>
          <w:numId w:val="12"/>
        </w:numPr>
        <w:spacing w:after="0" w:line="240" w:lineRule="auto"/>
      </w:pPr>
      <w:r>
        <w:t>Endline CD4 cell counts;</w:t>
      </w:r>
      <w:r>
        <w:br/>
      </w:r>
      <w:r>
        <w:tab/>
      </w:r>
    </w:p>
    <w:p w:rsidR="00FD112C" w:rsidRDefault="00FD112C">
      <w:pPr>
        <w:pStyle w:val="ListParagraph"/>
        <w:numPr>
          <w:ilvl w:val="0"/>
          <w:numId w:val="12"/>
        </w:numPr>
        <w:spacing w:after="0" w:line="240" w:lineRule="auto"/>
      </w:pPr>
      <w:r>
        <w:t>Endline measure of health expenditure (continuous);</w:t>
      </w:r>
      <w:r>
        <w:br/>
      </w:r>
      <w:r>
        <w:tab/>
      </w:r>
    </w:p>
    <w:p w:rsidR="00FD112C" w:rsidRDefault="00FD112C">
      <w:pPr>
        <w:pStyle w:val="ListParagraph"/>
        <w:numPr>
          <w:ilvl w:val="0"/>
          <w:numId w:val="12"/>
        </w:numPr>
        <w:spacing w:after="0" w:line="240" w:lineRule="auto"/>
      </w:pPr>
      <w:r>
        <w:t>Endline food insecurity (binary);</w:t>
      </w:r>
      <w:r>
        <w:br/>
      </w:r>
      <w:r>
        <w:tab/>
      </w:r>
    </w:p>
    <w:p w:rsidR="00FD112C" w:rsidRDefault="00FD112C">
      <w:pPr>
        <w:pStyle w:val="ListParagraph"/>
        <w:numPr>
          <w:ilvl w:val="0"/>
          <w:numId w:val="12"/>
        </w:numPr>
        <w:spacing w:after="0" w:line="240" w:lineRule="auto"/>
      </w:pPr>
      <w:r>
        <w:t xml:space="preserve">Endline sexual behavior measured by the binary variable, use of a condom in last sexual intercourse; </w:t>
      </w:r>
      <w:r>
        <w:br/>
      </w:r>
      <w:r>
        <w:tab/>
      </w:r>
    </w:p>
    <w:p w:rsidR="00FD112C" w:rsidRDefault="00FD112C">
      <w:pPr>
        <w:pStyle w:val="ListParagraph"/>
        <w:numPr>
          <w:ilvl w:val="0"/>
          <w:numId w:val="12"/>
        </w:numPr>
        <w:spacing w:after="0" w:line="240" w:lineRule="auto"/>
      </w:pPr>
      <w:r>
        <w:t>Endline adherence to three-day adherence recall to antiretroviral therapies (binary).</w:t>
      </w:r>
    </w:p>
    <w:p w:rsidR="00FD112C" w:rsidRDefault="00FD112C">
      <w:pPr>
        <w:pStyle w:val="ListParagraph"/>
        <w:rPr>
          <w:rFonts w:cstheme="minorBidi"/>
        </w:rPr>
      </w:pPr>
    </w:p>
    <w:p w:rsidR="00FD112C" w:rsidRDefault="00FD112C">
      <w:pPr>
        <w:pStyle w:val="ListParagraph"/>
        <w:ind w:left="0"/>
      </w:pPr>
      <w:r>
        <w:t xml:space="preserve">The following linear model is used to estimate the treatment effect while adjusting for the covariates, two way interactions between treatment and covariates, and baseline measures when available. The model coefficients are estimated using Bayesian methods to allow incorporation of prior information available from previous studies. </w:t>
      </w:r>
    </w:p>
    <w:p w:rsidR="00FD112C" w:rsidRDefault="00FD112C">
      <w:pPr>
        <w:pStyle w:val="ListParagraph"/>
        <w:ind w:left="0"/>
      </w:pPr>
    </w:p>
    <w:p w:rsidR="00FD112C" w:rsidRDefault="00FD112C">
      <w:pPr>
        <w:pStyle w:val="ListParagraph"/>
        <w:ind w:left="0" w:firstLine="720"/>
      </w:pPr>
      <w:r>
        <w:fldChar w:fldCharType="begin"/>
      </w:r>
      <w:r>
        <w:instrText xml:space="preserve"> QUOTE </w:instrTex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13.5pt">
            <v:imagedata r:id="rId7" o:title="" chromakey="white"/>
          </v:shape>
        </w:pict>
      </w:r>
      <w:r>
        <w:instrText xml:space="preserve"> </w:instrText>
      </w:r>
      <w:r>
        <w:fldChar w:fldCharType="separate"/>
      </w:r>
      <w:r>
        <w:rPr>
          <w:rFonts w:cstheme="minorBidi"/>
        </w:rPr>
        <w:pict>
          <v:shape id="_x0000_i1026" type="#_x0000_t75" style="width:41.25pt;height:13.5pt">
            <v:imagedata r:id="rId7" o:title="" chromakey="white"/>
          </v:shape>
        </w:pict>
      </w:r>
      <w:r>
        <w:fldChar w:fldCharType="end"/>
      </w:r>
      <w:r>
        <w:t xml:space="preserve">                                                                                                                                                        (1)</w:t>
      </w:r>
    </w:p>
    <w:p w:rsidR="00FD112C" w:rsidRDefault="00FD112C">
      <w:pPr>
        <w:pStyle w:val="ListParagraph"/>
        <w:ind w:left="0" w:firstLine="720"/>
        <w:rPr>
          <w:rFonts w:cstheme="minorBidi"/>
        </w:rPr>
      </w:pPr>
      <w:r>
        <w:fldChar w:fldCharType="begin"/>
      </w:r>
      <w:r>
        <w:instrText xml:space="preserve"> QUOTE </w:instrText>
      </w:r>
      <w:r>
        <w:rPr>
          <w:rFonts w:cstheme="minorBidi"/>
        </w:rPr>
        <w:pict>
          <v:shape id="_x0000_i1027" type="#_x0000_t75" style="width:93pt;height:13.5pt">
            <v:imagedata r:id="rId8" o:title="" chromakey="white"/>
          </v:shape>
        </w:pict>
      </w:r>
      <w:r>
        <w:instrText xml:space="preserve"> </w:instrText>
      </w:r>
      <w:r>
        <w:fldChar w:fldCharType="separate"/>
      </w:r>
      <w:r>
        <w:rPr>
          <w:rFonts w:cstheme="minorBidi"/>
        </w:rPr>
        <w:pict>
          <v:shape id="_x0000_i1028" type="#_x0000_t75" style="width:93pt;height:13.5pt">
            <v:imagedata r:id="rId8" o:title="" chromakey="white"/>
          </v:shape>
        </w:pict>
      </w:r>
      <w:r>
        <w:fldChar w:fldCharType="end"/>
      </w:r>
      <w:r>
        <w:rPr>
          <w:rFonts w:cstheme="minorBidi"/>
        </w:rPr>
        <w:tab/>
      </w:r>
      <w:r>
        <w:rPr>
          <w:rFonts w:cstheme="minorBidi"/>
        </w:rPr>
        <w:tab/>
      </w:r>
      <w:r>
        <w:rPr>
          <w:rFonts w:cstheme="minorBidi"/>
        </w:rPr>
        <w:tab/>
      </w:r>
      <w:r>
        <w:rPr>
          <w:rFonts w:cstheme="minorBidi"/>
        </w:rPr>
        <w:tab/>
      </w:r>
      <w:r>
        <w:rPr>
          <w:rFonts w:cstheme="minorBidi"/>
        </w:rPr>
        <w:tab/>
      </w:r>
      <w:r>
        <w:t xml:space="preserve">                                                                   (2)</w:t>
      </w:r>
      <w:r>
        <w:tab/>
      </w:r>
      <w:r>
        <w:rPr>
          <w:rFonts w:cstheme="minorBidi"/>
        </w:rPr>
        <w:pict>
          <v:shape id="_x0000_i1029" type="#_x0000_t75" style="width:357pt;height:15pt">
            <v:imagedata r:id="rId9" o:title="" chromakey="white"/>
          </v:shape>
        </w:pict>
      </w:r>
    </w:p>
    <w:p w:rsidR="00FD112C" w:rsidRDefault="00FD112C">
      <w:pPr>
        <w:ind w:firstLine="720"/>
      </w:pPr>
      <w:r>
        <w:fldChar w:fldCharType="begin"/>
      </w:r>
      <w:r>
        <w:instrText xml:space="preserve"> QUOTE </w:instrText>
      </w:r>
      <w:r>
        <w:rPr>
          <w:rFonts w:cstheme="minorBidi"/>
        </w:rPr>
        <w:pict>
          <v:shape id="_x0000_i1030" type="#_x0000_t75" style="width:257.25pt;height:15pt">
            <v:imagedata r:id="rId10" o:title="" chromakey="white"/>
          </v:shape>
        </w:pict>
      </w:r>
      <w:r>
        <w:instrText xml:space="preserve"> </w:instrText>
      </w:r>
      <w:r>
        <w:fldChar w:fldCharType="separate"/>
      </w:r>
      <w:r>
        <w:rPr>
          <w:rFonts w:cstheme="minorBidi"/>
        </w:rPr>
        <w:pict>
          <v:shape id="_x0000_i1031" type="#_x0000_t75" style="width:257.25pt;height:15pt">
            <v:imagedata r:id="rId10" o:title="" chromakey="white"/>
          </v:shape>
        </w:pict>
      </w:r>
      <w:r>
        <w:fldChar w:fldCharType="end"/>
      </w:r>
      <w:r>
        <w:rPr>
          <w:rFonts w:cstheme="minorBidi"/>
        </w:rPr>
        <w:tab/>
      </w:r>
      <w:r>
        <w:t xml:space="preserve">                                                                   (3)</w:t>
      </w:r>
    </w:p>
    <w:p w:rsidR="00FD112C" w:rsidRDefault="00FD112C">
      <w:pPr>
        <w:rPr>
          <w:rFonts w:cstheme="minorBidi"/>
          <w:b/>
          <w:bCs/>
        </w:rPr>
      </w:pPr>
      <w:r>
        <w:t xml:space="preserve">    </w:t>
      </w:r>
      <w:r>
        <w:tab/>
      </w:r>
      <w:r>
        <w:tab/>
      </w:r>
    </w:p>
    <w:p w:rsidR="00FD112C" w:rsidRDefault="00FD112C">
      <w:r>
        <w:t xml:space="preserve">where </w:t>
      </w:r>
      <w:r>
        <w:fldChar w:fldCharType="begin"/>
      </w:r>
      <w:r>
        <w:instrText xml:space="preserve"> QUOTE </w:instrText>
      </w:r>
      <w:r>
        <w:rPr>
          <w:rFonts w:cstheme="minorBidi"/>
        </w:rPr>
        <w:pict>
          <v:shape id="_x0000_i1032" type="#_x0000_t75" style="width:10.5pt;height:13.5pt">
            <v:imagedata r:id="rId11" o:title="" chromakey="white"/>
          </v:shape>
        </w:pict>
      </w:r>
      <w:r>
        <w:instrText xml:space="preserve"> </w:instrText>
      </w:r>
      <w:r>
        <w:fldChar w:fldCharType="separate"/>
      </w:r>
      <w:r>
        <w:rPr>
          <w:rFonts w:cstheme="minorBidi"/>
        </w:rPr>
        <w:pict>
          <v:shape id="_x0000_i1033" type="#_x0000_t75" style="width:10.5pt;height:13.5pt">
            <v:imagedata r:id="rId11" o:title="" chromakey="white"/>
          </v:shape>
        </w:pict>
      </w:r>
      <w:r>
        <w:fldChar w:fldCharType="end"/>
      </w:r>
      <w:r>
        <w:t xml:space="preserve"> is the observed data that is linked to the continuous latent variable </w:t>
      </w:r>
      <w:r>
        <w:fldChar w:fldCharType="begin"/>
      </w:r>
      <w:r>
        <w:instrText xml:space="preserve"> QUOTE </w:instrText>
      </w:r>
      <w:r>
        <w:rPr>
          <w:rFonts w:cstheme="minorBidi"/>
        </w:rPr>
        <w:pict>
          <v:shape id="_x0000_i1034" type="#_x0000_t75" style="width:11.25pt;height:13.5pt">
            <v:imagedata r:id="rId12" o:title="" chromakey="white"/>
          </v:shape>
        </w:pict>
      </w:r>
      <w:r>
        <w:instrText xml:space="preserve"> </w:instrText>
      </w:r>
      <w:r>
        <w:fldChar w:fldCharType="separate"/>
      </w:r>
      <w:r>
        <w:rPr>
          <w:rFonts w:cstheme="minorBidi"/>
        </w:rPr>
        <w:pict>
          <v:shape id="_x0000_i1035" type="#_x0000_t75" style="width:11.25pt;height:13.5pt">
            <v:imagedata r:id="rId12" o:title="" chromakey="white"/>
          </v:shape>
        </w:pict>
      </w:r>
      <w:r>
        <w:fldChar w:fldCharType="end"/>
      </w:r>
      <w:r>
        <w:t xml:space="preserve"> through the appropriate link function </w:t>
      </w:r>
      <w:r>
        <w:fldChar w:fldCharType="begin"/>
      </w:r>
      <w:r>
        <w:instrText xml:space="preserve"> QUOTE </w:instrText>
      </w:r>
      <w:r>
        <w:rPr>
          <w:rFonts w:cstheme="minorBidi"/>
        </w:rPr>
        <w:pict>
          <v:shape id="_x0000_i1036" type="#_x0000_t75" style="width:331.5pt;height:13.5pt">
            <v:imagedata r:id="rId13" o:title="" chromakey="white"/>
          </v:shape>
        </w:pict>
      </w:r>
      <w:r>
        <w:instrText xml:space="preserve"> </w:instrText>
      </w:r>
      <w:r>
        <w:fldChar w:fldCharType="separate"/>
      </w:r>
      <w:r>
        <w:rPr>
          <w:rFonts w:cstheme="minorBidi"/>
        </w:rPr>
        <w:pict>
          <v:shape id="_x0000_i1037" type="#_x0000_t75" style="width:331.5pt;height:13.5pt">
            <v:imagedata r:id="rId13" o:title="" chromakey="white"/>
          </v:shape>
        </w:pict>
      </w:r>
      <w:r>
        <w:fldChar w:fldCharType="end"/>
      </w:r>
      <w:r>
        <w:t xml:space="preserve">. For CD4, a Poisson distribution is used whose intensity is given by </w:t>
      </w:r>
      <w:r>
        <w:fldChar w:fldCharType="begin"/>
      </w:r>
      <w:r>
        <w:instrText xml:space="preserve"> QUOTE </w:instrText>
      </w:r>
      <w:r>
        <w:rPr>
          <w:rFonts w:cstheme="minorBidi"/>
        </w:rPr>
        <w:pict>
          <v:shape id="_x0000_i1038" type="#_x0000_t75" style="width:34.5pt;height:13.5pt">
            <v:imagedata r:id="rId14" o:title="" chromakey="white"/>
          </v:shape>
        </w:pict>
      </w:r>
      <w:r>
        <w:instrText xml:space="preserve"> </w:instrText>
      </w:r>
      <w:r>
        <w:fldChar w:fldCharType="separate"/>
      </w:r>
      <w:r>
        <w:rPr>
          <w:rFonts w:cstheme="minorBidi"/>
        </w:rPr>
        <w:pict>
          <v:shape id="_x0000_i1039" type="#_x0000_t75" style="width:34.5pt;height:13.5pt">
            <v:imagedata r:id="rId14" o:title="" chromakey="white"/>
          </v:shape>
        </w:pict>
      </w:r>
      <w:r>
        <w:fldChar w:fldCharType="end"/>
      </w:r>
      <w:r>
        <w:t xml:space="preserve">Note that, </w:t>
      </w:r>
      <w:r>
        <w:fldChar w:fldCharType="begin"/>
      </w:r>
      <w:r>
        <w:instrText xml:space="preserve"> QUOTE </w:instrText>
      </w:r>
      <w:r>
        <w:rPr>
          <w:rFonts w:cstheme="minorBidi"/>
        </w:rPr>
        <w:pict>
          <v:shape id="_x0000_i1040" type="#_x0000_t75" style="width:11.25pt;height:13.5pt">
            <v:imagedata r:id="rId12" o:title="" chromakey="white"/>
          </v:shape>
        </w:pict>
      </w:r>
      <w:r>
        <w:instrText xml:space="preserve"> </w:instrText>
      </w:r>
      <w:r>
        <w:fldChar w:fldCharType="separate"/>
      </w:r>
      <w:r>
        <w:rPr>
          <w:rFonts w:cstheme="minorBidi"/>
        </w:rPr>
        <w:pict>
          <v:shape id="_x0000_i1041" type="#_x0000_t75" style="width:11.25pt;height:13.5pt">
            <v:imagedata r:id="rId12" o:title="" chromakey="white"/>
          </v:shape>
        </w:pict>
      </w:r>
      <w:r>
        <w:fldChar w:fldCharType="end"/>
      </w:r>
      <w:r>
        <w:t xml:space="preserve"> is constrained to be positive in this case. For health expenditure, </w:t>
      </w:r>
      <w:r>
        <w:fldChar w:fldCharType="begin"/>
      </w:r>
      <w:r>
        <w:instrText xml:space="preserve"> QUOTE </w:instrText>
      </w:r>
      <w:r>
        <w:rPr>
          <w:rFonts w:cstheme="minorBidi"/>
        </w:rPr>
        <w:pict>
          <v:shape id="_x0000_i1042" type="#_x0000_t75" style="width:31.5pt;height:13.5pt">
            <v:imagedata r:id="rId15" o:title="" chromakey="white"/>
          </v:shape>
        </w:pict>
      </w:r>
      <w:r>
        <w:instrText xml:space="preserve"> </w:instrText>
      </w:r>
      <w:r>
        <w:fldChar w:fldCharType="separate"/>
      </w:r>
      <w:r>
        <w:rPr>
          <w:rFonts w:cstheme="minorBidi"/>
        </w:rPr>
        <w:pict>
          <v:shape id="_x0000_i1043" type="#_x0000_t75" style="width:31.5pt;height:13.5pt">
            <v:imagedata r:id="rId15" o:title="" chromakey="white"/>
          </v:shape>
        </w:pict>
      </w:r>
      <w:r>
        <w:fldChar w:fldCharType="end"/>
      </w:r>
      <w:r>
        <w:t>, and for the binary variables a logistic link function is used. The parameter β</w:t>
      </w:r>
      <w:r>
        <w:rPr>
          <w:vertAlign w:val="subscript"/>
        </w:rPr>
        <w:t xml:space="preserve">0 </w:t>
      </w:r>
      <w:r>
        <w:t>is the intercept, β</w:t>
      </w:r>
      <w:r>
        <w:rPr>
          <w:vertAlign w:val="subscript"/>
        </w:rPr>
        <w:t>a</w:t>
      </w:r>
      <w:r>
        <w:t xml:space="preserve"> and β</w:t>
      </w:r>
      <w:r>
        <w:rPr>
          <w:vertAlign w:val="subscript"/>
        </w:rPr>
        <w:t>g</w:t>
      </w:r>
      <w:r>
        <w:t xml:space="preserve"> are the effect of age and gender respectively. The Age is treated continuously and Gender is a binary variable, 1 if female and 0 if male. The main parameter of interest is θ which represents the intervention effect. The binary variable Treatment is 1 if the corresponding patient is in the intervention group and is 0 otherwise. The coefficients β</w:t>
      </w:r>
      <w:r>
        <w:rPr>
          <w:vertAlign w:val="subscript"/>
        </w:rPr>
        <w:t>at</w:t>
      </w:r>
      <w:r>
        <w:t xml:space="preserve"> and β</w:t>
      </w:r>
      <w:r>
        <w:rPr>
          <w:vertAlign w:val="subscript"/>
        </w:rPr>
        <w:t>gt</w:t>
      </w:r>
      <w:r>
        <w:t xml:space="preserve"> show the interaction effect between age and treatment, and gender and treatment, respectively.  </w:t>
      </w:r>
    </w:p>
    <w:p w:rsidR="00FD112C" w:rsidRDefault="00FD112C">
      <w:pPr>
        <w:pStyle w:val="Heading2-"/>
      </w:pPr>
      <w:r>
        <w:t>Prior specification</w:t>
      </w:r>
    </w:p>
    <w:p w:rsidR="00FD112C" w:rsidRDefault="00FD112C">
      <w:r>
        <w:t xml:space="preserve">A normal prior is used for the main parameter θ, </w:t>
      </w:r>
    </w:p>
    <w:p w:rsidR="00FD112C" w:rsidRDefault="00FD112C">
      <w:pPr>
        <w:ind w:firstLine="720"/>
      </w:pPr>
      <w:r>
        <w:t>θ  ~ Normal(ν , τ</w:t>
      </w:r>
      <w:r>
        <w:rPr>
          <w:vertAlign w:val="superscript"/>
        </w:rPr>
        <w:t>2</w:t>
      </w:r>
      <w:r>
        <w:t>)                                                                                                           (3)</w:t>
      </w:r>
    </w:p>
    <w:p w:rsidR="00FD112C" w:rsidRDefault="00FD112C">
      <w:r>
        <w:t>For endline CD4 cell counts an informative prior is used, i.e., the mean is specified as the estimated treatment effect in an available similar study and the standard deviation that allowed 0 (no effect) remain probable under the prior (</w:t>
      </w:r>
      <w:r>
        <w:fldChar w:fldCharType="begin"/>
      </w:r>
      <w:r>
        <w:instrText xml:space="preserve"> QUOTE </w:instrText>
      </w:r>
      <w:r>
        <w:rPr>
          <w:rFonts w:cstheme="minorBidi"/>
        </w:rPr>
        <w:pict>
          <v:shape id="_x0000_i1044" type="#_x0000_t75" style="width:110.25pt;height:13.5pt">
            <v:imagedata r:id="rId16" o:title="" chromakey="white"/>
          </v:shape>
        </w:pict>
      </w:r>
      <w:r>
        <w:instrText xml:space="preserve"> </w:instrText>
      </w:r>
      <w:r>
        <w:fldChar w:fldCharType="separate"/>
      </w:r>
      <w:r>
        <w:rPr>
          <w:rFonts w:cstheme="minorBidi"/>
        </w:rPr>
        <w:pict>
          <v:shape id="_x0000_i1045" type="#_x0000_t75" style="width:110.25pt;height:13.5pt">
            <v:imagedata r:id="rId16" o:title="" chromakey="white"/>
          </v:shape>
        </w:pict>
      </w:r>
      <w:r>
        <w:fldChar w:fldCharType="end"/>
      </w:r>
      <w:r>
        <w:t xml:space="preserve">). Priors were skeptical based on the Kenyan trial by Weiser et al. (25). </w:t>
      </w:r>
    </w:p>
    <w:p w:rsidR="00FD112C" w:rsidRDefault="00FD112C">
      <w:pPr>
        <w:rPr>
          <w:rFonts w:cstheme="minorBidi"/>
        </w:rPr>
      </w:pPr>
      <w:r>
        <w:t>Flat priors are assigned for the rest of the model parameters and for the effect of the intervention on the rest of the outcomes.</w:t>
      </w:r>
    </w:p>
    <w:p w:rsidR="00FD112C" w:rsidRDefault="00FD112C">
      <w:r>
        <w:t>The analysis was made for the two districts combined as well as separately in each district. The results for the combined data are presented in Figure A1. And the district specific results are presented in Figure A2.</w:t>
      </w:r>
    </w:p>
    <w:p w:rsidR="00FD112C" w:rsidRDefault="00FD112C"/>
    <w:p w:rsidR="00FD112C" w:rsidRDefault="00FD112C">
      <w:pPr>
        <w:pStyle w:val="Heading2-"/>
      </w:pPr>
      <w:r>
        <w:t>Sensitivity to the prior</w:t>
      </w:r>
    </w:p>
    <w:p w:rsidR="00FD112C" w:rsidRDefault="00FD112C">
      <w:r>
        <w:t>Clearly, using an informative prior brings up the question that how much evidence actually there is in the data to support the prior assumptions. In other words, one need to check for possibility of conflict between the data and the prior and avoid situations where the information in the data is overwhelmed by the prior. To address these questions we assess the sensitivity of the results to the amount of information implied by the prior. A sequence of 25 normal prior distributions with the same mean (165) and an increasing sequence of variances is used for this purpose. The posterior probability of a positive treatment effect on change in CD4 cell counts is obtained for each of the prior distributions in the sequence. Figure A3 shows the posterior probability of a positive effect plotted against the prior variance. The vertical red line is drawn at the value of prior variance that is used in the analysis.</w:t>
      </w:r>
    </w:p>
    <w:p w:rsidR="00FD112C" w:rsidRDefault="00FD112C">
      <w:r>
        <w:t>The prior sensitivity analysis results suggest that the data agrees with the prior in terms of the direction of the effect estimate. However, the posterior is affected by the degree of information that the prior injects into the model; the posterior probability that there is a positive effect decreases as the prior variance increases, but it stabilizes around 0.70 which is interpreted as the evidence for a positive effect in the data without any additional information incorporated into the model.</w:t>
      </w:r>
    </w:p>
    <w:p w:rsidR="00FD112C" w:rsidRDefault="00FD112C">
      <w:pPr>
        <w:rPr>
          <w:b/>
          <w:bCs/>
        </w:rPr>
      </w:pPr>
      <w:r>
        <w:rPr>
          <w:b/>
          <w:bCs/>
        </w:rPr>
        <w:t>Non-Bayesian Analysis</w:t>
      </w:r>
    </w:p>
    <w:p w:rsidR="00FD112C" w:rsidRDefault="00FD112C">
      <w:r>
        <w:t>The primary analysis is also performed using non-Bayesian statistical analysis. The same linear models are used but the model is fit to the data using a frequentist approach where model coefficients are estimated using maximum likelihood estimation. No prior information is used in this analysis. The results of the frequentist analysis are provided in Table A.1.</w:t>
      </w:r>
    </w:p>
    <w:p w:rsidR="00FD112C" w:rsidRDefault="00FD112C">
      <w:pPr>
        <w:rPr>
          <w:b/>
          <w:bCs/>
        </w:rPr>
      </w:pPr>
      <w:r>
        <w:rPr>
          <w:b/>
          <w:bCs/>
        </w:rPr>
        <w:t>Secondary analysis to estimate the effect of mental planning</w:t>
      </w:r>
    </w:p>
    <w:p w:rsidR="00FD112C" w:rsidRDefault="00FD112C">
      <w:r>
        <w:t>In addition to the secondary analysis mentioned in the manuscript, other analyses were performed to estimate the effect of mental planning. In this analysis the T3. Pure Control/T1.Unstructured Grant group are compared to the T2. Mental Planning + Grant/T4. Expectations/Control group. The results are presented in Table A.2 and suggest that mental planning does, in fact, result in a significant increase in CD4 cell counts..We examined whether results would differ according to T1/T2 vs T3 or T4 individually and report results in tables A.3 and A.4.</w:t>
      </w:r>
    </w:p>
    <w:p w:rsidR="00FD112C" w:rsidRDefault="00FD112C"/>
    <w:p w:rsidR="00FD112C" w:rsidRDefault="00FD112C"/>
    <w:p w:rsidR="00FD112C" w:rsidRDefault="00FD112C">
      <w:pPr>
        <w:rPr>
          <w:rFonts w:cstheme="minorBidi"/>
          <w:b/>
          <w:bCs/>
        </w:rPr>
        <w:sectPr w:rsidR="00FD112C">
          <w:headerReference w:type="default" r:id="rId17"/>
          <w:footerReference w:type="default" r:id="rId18"/>
          <w:pgSz w:w="12240" w:h="15840"/>
          <w:pgMar w:top="1440" w:right="1440" w:bottom="1440" w:left="1440" w:header="708" w:footer="708" w:gutter="0"/>
          <w:cols w:space="708"/>
          <w:docGrid w:linePitch="360"/>
        </w:sectPr>
      </w:pPr>
    </w:p>
    <w:p w:rsidR="00FD112C" w:rsidRDefault="00FD112C">
      <w:pPr>
        <w:pStyle w:val="Heading2"/>
      </w:pPr>
      <w:r>
        <w:t>Figure A1: Results for the two districts combined -- The estimated posterior density of the effect of cash grants on (a) endline measure of CD4 cell counts, (b) health expenditure, and (d) variables indicating sexual behavior, adherence  and food security) in the two districts.</w:t>
      </w:r>
    </w:p>
    <w:p w:rsidR="00FD112C" w:rsidRDefault="00FD112C">
      <w:pPr>
        <w:rPr>
          <w:rFonts w:cstheme="minorBidi"/>
        </w:rPr>
      </w:pPr>
      <w:r>
        <w:t xml:space="preserve"> </w:t>
      </w:r>
      <w:r>
        <w:rPr>
          <w:rFonts w:cstheme="minorBidi"/>
          <w:noProof/>
        </w:rPr>
        <w:pict>
          <v:shape id="Picture 3" o:spid="_x0000_i1046" type="#_x0000_t75" style="width:426.75pt;height:347.25pt;visibility:visible">
            <v:imagedata r:id="rId19" o:title=""/>
          </v:shape>
        </w:pict>
      </w:r>
    </w:p>
    <w:p w:rsidR="00FD112C" w:rsidRDefault="00FD112C">
      <w:pPr>
        <w:rPr>
          <w:rFonts w:cstheme="minorBidi"/>
          <w:b/>
          <w:bCs/>
        </w:rPr>
      </w:pPr>
    </w:p>
    <w:p w:rsidR="00FD112C" w:rsidRDefault="00FD112C">
      <w:pPr>
        <w:rPr>
          <w:rFonts w:cstheme="minorBidi"/>
          <w:b/>
          <w:bCs/>
        </w:rPr>
      </w:pPr>
    </w:p>
    <w:p w:rsidR="00FD112C" w:rsidRDefault="00FD112C">
      <w:pPr>
        <w:rPr>
          <w:rFonts w:cstheme="minorBidi"/>
          <w:b/>
          <w:bCs/>
        </w:rPr>
      </w:pPr>
    </w:p>
    <w:p w:rsidR="00FD112C" w:rsidRDefault="00FD112C">
      <w:pPr>
        <w:rPr>
          <w:rFonts w:cstheme="minorBidi"/>
          <w:b/>
          <w:bCs/>
        </w:rPr>
      </w:pPr>
    </w:p>
    <w:p w:rsidR="00FD112C" w:rsidRDefault="00FD112C">
      <w:pPr>
        <w:rPr>
          <w:rFonts w:cstheme="minorBidi"/>
          <w:b/>
          <w:bCs/>
        </w:rPr>
      </w:pPr>
    </w:p>
    <w:p w:rsidR="00FD112C" w:rsidRDefault="00FD112C">
      <w:pPr>
        <w:rPr>
          <w:rFonts w:cstheme="minorBidi"/>
          <w:b/>
          <w:bCs/>
        </w:rPr>
      </w:pPr>
    </w:p>
    <w:p w:rsidR="00FD112C" w:rsidRDefault="00FD112C">
      <w:pPr>
        <w:rPr>
          <w:rFonts w:cstheme="minorBidi"/>
          <w:b/>
          <w:bCs/>
        </w:rPr>
      </w:pPr>
    </w:p>
    <w:p w:rsidR="00FD112C" w:rsidRDefault="00FD112C">
      <w:pPr>
        <w:pStyle w:val="Heading2"/>
      </w:pPr>
      <w:r>
        <w:t>Figure A2: The estimated posterior density of the effect of cash grants on (a) change in CD4 cell counts in Soroti District, (b) endline measure of CD4 cell counts in the two districts, (c) health expenditure, and (d) variables indicating sexual behavior, adherence and food security in the two districts.</w:t>
      </w:r>
    </w:p>
    <w:p w:rsidR="00FD112C" w:rsidRDefault="00FD112C">
      <w:pPr>
        <w:rPr>
          <w:rFonts w:cstheme="minorBidi"/>
        </w:rPr>
      </w:pPr>
      <w:r>
        <w:rPr>
          <w:rFonts w:cstheme="minorBidi"/>
          <w:noProof/>
        </w:rPr>
        <w:pict>
          <v:shape id="Picture 4" o:spid="_x0000_i1047" type="#_x0000_t75" style="width:428.25pt;height:345.75pt;visibility:visible">
            <v:imagedata r:id="rId20" o:title=""/>
          </v:shape>
        </w:pict>
      </w:r>
    </w:p>
    <w:p w:rsidR="00FD112C" w:rsidRDefault="00FD112C">
      <w:pPr>
        <w:rPr>
          <w:rFonts w:cstheme="minorBidi"/>
        </w:rPr>
      </w:pPr>
    </w:p>
    <w:p w:rsidR="00FD112C" w:rsidRDefault="00FD112C">
      <w:pPr>
        <w:rPr>
          <w:rFonts w:cstheme="minorBidi"/>
        </w:rPr>
      </w:pPr>
    </w:p>
    <w:p w:rsidR="00FD112C" w:rsidRDefault="00FD112C">
      <w:pPr>
        <w:rPr>
          <w:rFonts w:cstheme="minorBidi"/>
        </w:rPr>
        <w:sectPr w:rsidR="00FD112C">
          <w:pgSz w:w="12240" w:h="15840"/>
          <w:pgMar w:top="1440" w:right="1800" w:bottom="1440" w:left="1800" w:header="708" w:footer="708" w:gutter="0"/>
          <w:cols w:space="708"/>
          <w:docGrid w:linePitch="360"/>
        </w:sectPr>
      </w:pPr>
    </w:p>
    <w:p w:rsidR="00FD112C" w:rsidRDefault="00FD112C">
      <w:pPr>
        <w:pStyle w:val="Heading2"/>
      </w:pPr>
      <w:r>
        <w:t>Figure A3: Posterior probability of a positive effect plotted against the standard deviation of the prior distribution over the effect size. The vertical red line shows the used value of the prior standard deviation and the horizontal line shows the approximate value of the probability of positive effect suggested by the data.</w:t>
      </w:r>
    </w:p>
    <w:p w:rsidR="00FD112C" w:rsidRDefault="00FD112C">
      <w:pPr>
        <w:rPr>
          <w:rFonts w:cstheme="minorBidi"/>
          <w:b/>
          <w:bCs/>
          <w:lang w:val="en-GB"/>
        </w:rPr>
      </w:pPr>
      <w:r>
        <w:rPr>
          <w:rFonts w:cstheme="minorBidi"/>
          <w:noProof/>
        </w:rPr>
        <w:pict>
          <v:shape id="_x0000_i1048" type="#_x0000_t75" style="width:428.25pt;height:308.25pt;visibility:visible">
            <v:imagedata r:id="rId21" o:title=""/>
          </v:shape>
        </w:pict>
      </w:r>
    </w:p>
    <w:p w:rsidR="00FD112C" w:rsidRDefault="00FD112C">
      <w:pPr>
        <w:spacing w:line="276" w:lineRule="auto"/>
        <w:jc w:val="both"/>
        <w:rPr>
          <w:rFonts w:cstheme="minorBidi"/>
          <w:i/>
          <w:iCs/>
          <w:sz w:val="16"/>
          <w:szCs w:val="16"/>
          <w:lang w:val="en-GB"/>
        </w:rPr>
      </w:pPr>
    </w:p>
    <w:p w:rsidR="00FD112C" w:rsidRDefault="00FD112C">
      <w:pPr>
        <w:spacing w:line="276" w:lineRule="auto"/>
        <w:jc w:val="both"/>
        <w:rPr>
          <w:rFonts w:cstheme="minorBidi"/>
          <w:i/>
          <w:iCs/>
          <w:sz w:val="16"/>
          <w:szCs w:val="16"/>
          <w:lang w:val="en-GB"/>
        </w:rPr>
      </w:pPr>
    </w:p>
    <w:p w:rsidR="00FD112C" w:rsidRDefault="00FD112C">
      <w:pPr>
        <w:spacing w:line="276" w:lineRule="auto"/>
        <w:jc w:val="both"/>
        <w:rPr>
          <w:rFonts w:cstheme="minorBidi"/>
          <w:i/>
          <w:iCs/>
          <w:sz w:val="16"/>
          <w:szCs w:val="16"/>
          <w:lang w:val="en-GB"/>
        </w:rPr>
      </w:pPr>
    </w:p>
    <w:p w:rsidR="00FD112C" w:rsidRDefault="00FD112C">
      <w:pPr>
        <w:spacing w:line="276" w:lineRule="auto"/>
        <w:jc w:val="both"/>
        <w:rPr>
          <w:rFonts w:cstheme="minorBidi"/>
          <w:i/>
          <w:iCs/>
          <w:sz w:val="16"/>
          <w:szCs w:val="16"/>
          <w:lang w:val="en-GB"/>
        </w:rPr>
      </w:pPr>
    </w:p>
    <w:p w:rsidR="00FD112C" w:rsidRDefault="00FD112C">
      <w:pPr>
        <w:spacing w:line="276" w:lineRule="auto"/>
        <w:jc w:val="both"/>
        <w:rPr>
          <w:rFonts w:cstheme="minorBidi"/>
          <w:i/>
          <w:iCs/>
          <w:sz w:val="16"/>
          <w:szCs w:val="16"/>
          <w:lang w:val="en-GB"/>
        </w:rPr>
      </w:pPr>
    </w:p>
    <w:p w:rsidR="00FD112C" w:rsidRDefault="00FD112C">
      <w:pPr>
        <w:spacing w:line="276" w:lineRule="auto"/>
        <w:jc w:val="both"/>
        <w:rPr>
          <w:rFonts w:cstheme="minorBidi"/>
          <w:i/>
          <w:iCs/>
          <w:sz w:val="16"/>
          <w:szCs w:val="16"/>
          <w:lang w:val="en-GB"/>
        </w:rPr>
      </w:pPr>
    </w:p>
    <w:p w:rsidR="00FD112C" w:rsidRDefault="00FD112C">
      <w:pPr>
        <w:spacing w:line="276" w:lineRule="auto"/>
        <w:jc w:val="both"/>
        <w:rPr>
          <w:rFonts w:cstheme="minorBidi"/>
          <w:i/>
          <w:iCs/>
          <w:sz w:val="16"/>
          <w:szCs w:val="16"/>
          <w:lang w:val="en-GB"/>
        </w:rPr>
      </w:pPr>
    </w:p>
    <w:p w:rsidR="00FD112C" w:rsidRDefault="00FD112C">
      <w:pPr>
        <w:spacing w:line="276" w:lineRule="auto"/>
        <w:jc w:val="both"/>
        <w:rPr>
          <w:rFonts w:cstheme="minorBidi"/>
          <w:i/>
          <w:iCs/>
          <w:sz w:val="16"/>
          <w:szCs w:val="16"/>
          <w:lang w:val="en-GB"/>
        </w:rPr>
      </w:pPr>
    </w:p>
    <w:p w:rsidR="00FD112C" w:rsidRDefault="00FD112C">
      <w:pPr>
        <w:spacing w:line="276" w:lineRule="auto"/>
        <w:jc w:val="both"/>
        <w:rPr>
          <w:rFonts w:cstheme="minorBidi"/>
          <w:i/>
          <w:iCs/>
          <w:sz w:val="16"/>
          <w:szCs w:val="16"/>
          <w:lang w:val="en-GB"/>
        </w:rPr>
      </w:pPr>
    </w:p>
    <w:p w:rsidR="00FD112C" w:rsidRDefault="00FD112C">
      <w:pPr>
        <w:spacing w:line="276" w:lineRule="auto"/>
        <w:jc w:val="both"/>
        <w:rPr>
          <w:rFonts w:cstheme="minorBidi"/>
          <w:i/>
          <w:iCs/>
          <w:sz w:val="16"/>
          <w:szCs w:val="16"/>
          <w:lang w:val="en-GB"/>
        </w:rPr>
      </w:pPr>
    </w:p>
    <w:p w:rsidR="00FD112C" w:rsidRDefault="00FD112C">
      <w:pPr>
        <w:spacing w:line="276" w:lineRule="auto"/>
        <w:jc w:val="both"/>
        <w:rPr>
          <w:rFonts w:cstheme="minorBidi"/>
          <w:i/>
          <w:iCs/>
          <w:sz w:val="16"/>
          <w:szCs w:val="16"/>
          <w:lang w:val="en-GB"/>
        </w:rPr>
      </w:pPr>
    </w:p>
    <w:p w:rsidR="00FD112C" w:rsidRDefault="00FD112C">
      <w:pPr>
        <w:pStyle w:val="Caption"/>
        <w:spacing w:after="0"/>
        <w:outlineLvl w:val="0"/>
        <w:rPr>
          <w:rFonts w:ascii="Times New Roman" w:hAnsi="Times New Roman" w:cs="Times New Roman"/>
          <w:lang w:val="en-GB"/>
        </w:rPr>
      </w:pPr>
      <w:r>
        <w:rPr>
          <w:rFonts w:ascii="Times New Roman" w:hAnsi="Times New Roman" w:cs="Times New Roman"/>
          <w:lang w:val="en-GB"/>
        </w:rPr>
        <w:t>Table A.</w:t>
      </w:r>
      <w:r>
        <w:rPr>
          <w:rFonts w:ascii="Times New Roman" w:hAnsi="Times New Roman" w:cs="Times New Roman"/>
          <w:lang w:val="en-GB"/>
        </w:rPr>
        <w:fldChar w:fldCharType="begin"/>
      </w:r>
      <w:r>
        <w:rPr>
          <w:rFonts w:ascii="Times New Roman" w:hAnsi="Times New Roman" w:cs="Times New Roman"/>
          <w:lang w:val="en-GB"/>
        </w:rPr>
        <w:instrText xml:space="preserve"> SEQ Table \* ARABIC </w:instrText>
      </w:r>
      <w:r>
        <w:rPr>
          <w:rFonts w:ascii="Times New Roman" w:hAnsi="Times New Roman" w:cs="Times New Roman"/>
          <w:lang w:val="en-GB"/>
        </w:rPr>
        <w:fldChar w:fldCharType="separate"/>
      </w:r>
      <w:r>
        <w:rPr>
          <w:rFonts w:ascii="Times New Roman" w:hAnsi="Times New Roman" w:cs="Times New Roman"/>
          <w:noProof/>
          <w:lang w:val="en-GB"/>
        </w:rPr>
        <w:t>1</w:t>
      </w:r>
      <w:r>
        <w:rPr>
          <w:rFonts w:ascii="Times New Roman" w:hAnsi="Times New Roman" w:cs="Times New Roman"/>
          <w:lang w:val="en-GB"/>
        </w:rPr>
        <w:fldChar w:fldCharType="end"/>
      </w:r>
      <w:r>
        <w:rPr>
          <w:rFonts w:ascii="Times New Roman" w:hAnsi="Times New Roman" w:cs="Times New Roman"/>
          <w:lang w:val="en-GB"/>
        </w:rPr>
        <w:t>: Primary analysis using frequentist methods (T1 + T2 vs T3 + T4)</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6"/>
        <w:gridCol w:w="3173"/>
        <w:gridCol w:w="3173"/>
      </w:tblGrid>
      <w:tr w:rsidR="00FD112C">
        <w:trPr>
          <w:trHeight w:val="380"/>
        </w:trPr>
        <w:tc>
          <w:tcPr>
            <w:tcW w:w="2156" w:type="dxa"/>
            <w:vAlign w:val="center"/>
          </w:tcPr>
          <w:p w:rsidR="00FD112C" w:rsidRDefault="00FD112C">
            <w:pPr>
              <w:spacing w:line="240" w:lineRule="auto"/>
              <w:jc w:val="center"/>
              <w:rPr>
                <w:rFonts w:eastAsia="Times New Roman" w:cstheme="minorBidi"/>
                <w:b/>
                <w:bCs/>
                <w:sz w:val="22"/>
                <w:szCs w:val="22"/>
                <w:lang w:val="en-CA"/>
              </w:rPr>
            </w:pPr>
            <w:r>
              <w:rPr>
                <w:rFonts w:eastAsia="Times New Roman" w:cstheme="minorBidi"/>
                <w:b/>
                <w:bCs/>
                <w:sz w:val="22"/>
                <w:szCs w:val="22"/>
                <w:lang w:val="en-CA"/>
              </w:rPr>
              <w:t>Variable</w:t>
            </w:r>
          </w:p>
        </w:tc>
        <w:tc>
          <w:tcPr>
            <w:tcW w:w="3173" w:type="dxa"/>
            <w:vAlign w:val="center"/>
          </w:tcPr>
          <w:p w:rsidR="00FD112C" w:rsidRDefault="00FD112C">
            <w:pPr>
              <w:spacing w:line="240" w:lineRule="auto"/>
              <w:jc w:val="center"/>
              <w:rPr>
                <w:rFonts w:eastAsia="Times New Roman" w:cstheme="minorBidi"/>
                <w:b/>
                <w:bCs/>
                <w:sz w:val="22"/>
                <w:szCs w:val="22"/>
                <w:lang w:val="en-CA"/>
              </w:rPr>
            </w:pPr>
            <w:r>
              <w:rPr>
                <w:rFonts w:eastAsia="Times New Roman" w:cstheme="minorBidi"/>
                <w:b/>
                <w:bCs/>
                <w:sz w:val="22"/>
                <w:szCs w:val="22"/>
                <w:lang w:val="en-CA"/>
              </w:rPr>
              <w:t>Estimate  (95% Confidence Interval)</w:t>
            </w:r>
          </w:p>
        </w:tc>
        <w:tc>
          <w:tcPr>
            <w:tcW w:w="3173" w:type="dxa"/>
          </w:tcPr>
          <w:p w:rsidR="00FD112C" w:rsidRDefault="00FD112C">
            <w:pPr>
              <w:spacing w:line="240" w:lineRule="auto"/>
              <w:jc w:val="center"/>
              <w:rPr>
                <w:rFonts w:eastAsia="Times New Roman" w:cstheme="minorBidi"/>
                <w:b/>
                <w:bCs/>
                <w:sz w:val="22"/>
                <w:szCs w:val="22"/>
                <w:lang w:val="en-CA"/>
              </w:rPr>
            </w:pPr>
            <w:r>
              <w:rPr>
                <w:rFonts w:eastAsia="Times New Roman" w:cstheme="minorBidi"/>
                <w:b/>
                <w:bCs/>
                <w:sz w:val="22"/>
                <w:szCs w:val="22"/>
                <w:lang w:val="en-CA"/>
              </w:rPr>
              <w:t>p-value</w:t>
            </w:r>
          </w:p>
        </w:tc>
      </w:tr>
      <w:tr w:rsidR="00FD112C">
        <w:tc>
          <w:tcPr>
            <w:tcW w:w="2156" w:type="dxa"/>
            <w:vAlign w:val="center"/>
          </w:tcPr>
          <w:p w:rsidR="00FD112C" w:rsidRDefault="00FD112C">
            <w:pPr>
              <w:spacing w:line="240" w:lineRule="auto"/>
              <w:rPr>
                <w:rFonts w:eastAsia="Times New Roman" w:cstheme="minorBidi"/>
                <w:sz w:val="22"/>
                <w:szCs w:val="22"/>
                <w:lang w:val="en-CA"/>
              </w:rPr>
            </w:pPr>
            <w:r>
              <w:rPr>
                <w:rFonts w:eastAsia="Times New Roman" w:cstheme="minorBidi"/>
                <w:sz w:val="22"/>
                <w:szCs w:val="22"/>
                <w:lang w:val="en-CA"/>
              </w:rPr>
              <w:t>Endline CD4 cell counts</w:t>
            </w:r>
          </w:p>
          <w:p w:rsidR="00FD112C" w:rsidRDefault="00FD112C">
            <w:pPr>
              <w:spacing w:line="240" w:lineRule="auto"/>
              <w:rPr>
                <w:rFonts w:eastAsia="Times New Roman" w:cstheme="minorBidi"/>
                <w:sz w:val="22"/>
                <w:szCs w:val="22"/>
                <w:lang w:val="en-CA"/>
              </w:rPr>
            </w:pPr>
            <w:r>
              <w:rPr>
                <w:rFonts w:eastAsia="Times New Roman" w:cstheme="minorBidi"/>
                <w:sz w:val="22"/>
                <w:szCs w:val="22"/>
                <w:lang w:val="en-CA"/>
              </w:rPr>
              <w:t>(mean difference)</w:t>
            </w:r>
          </w:p>
        </w:tc>
        <w:tc>
          <w:tcPr>
            <w:tcW w:w="3173" w:type="dxa"/>
            <w:vAlign w:val="center"/>
          </w:tcPr>
          <w:p w:rsidR="00FD112C" w:rsidRDefault="00FD112C">
            <w:pPr>
              <w:spacing w:line="240" w:lineRule="auto"/>
              <w:jc w:val="center"/>
              <w:rPr>
                <w:rFonts w:eastAsia="Times New Roman" w:cstheme="minorBidi"/>
                <w:sz w:val="22"/>
                <w:szCs w:val="22"/>
                <w:lang w:val="en-CA"/>
              </w:rPr>
            </w:pPr>
            <w:r>
              <w:rPr>
                <w:rFonts w:eastAsia="Times New Roman" w:cstheme="minorBidi"/>
                <w:sz w:val="22"/>
                <w:szCs w:val="22"/>
                <w:lang w:val="en-CA"/>
              </w:rPr>
              <w:t>16.15 (-134.77, 167.07)</w:t>
            </w:r>
          </w:p>
        </w:tc>
        <w:tc>
          <w:tcPr>
            <w:tcW w:w="3173" w:type="dxa"/>
            <w:vAlign w:val="center"/>
          </w:tcPr>
          <w:p w:rsidR="00FD112C" w:rsidRDefault="00FD112C">
            <w:pPr>
              <w:spacing w:line="240" w:lineRule="auto"/>
              <w:jc w:val="center"/>
              <w:rPr>
                <w:rFonts w:eastAsia="Times New Roman" w:cstheme="minorBidi"/>
                <w:sz w:val="22"/>
                <w:szCs w:val="22"/>
                <w:lang w:val="en-CA"/>
              </w:rPr>
            </w:pPr>
            <w:r>
              <w:rPr>
                <w:rFonts w:eastAsia="Times New Roman" w:cstheme="minorBidi"/>
                <w:sz w:val="22"/>
                <w:szCs w:val="22"/>
                <w:lang w:val="en-CA"/>
              </w:rPr>
              <w:t>0.83</w:t>
            </w:r>
          </w:p>
        </w:tc>
      </w:tr>
      <w:tr w:rsidR="00FD112C">
        <w:tc>
          <w:tcPr>
            <w:tcW w:w="2156" w:type="dxa"/>
            <w:vAlign w:val="center"/>
          </w:tcPr>
          <w:p w:rsidR="00FD112C" w:rsidRDefault="00FD112C">
            <w:pPr>
              <w:spacing w:line="240" w:lineRule="auto"/>
              <w:rPr>
                <w:rFonts w:eastAsia="Times New Roman" w:cstheme="minorBidi"/>
                <w:sz w:val="22"/>
                <w:szCs w:val="22"/>
                <w:lang w:val="en-CA"/>
              </w:rPr>
            </w:pPr>
            <w:r>
              <w:rPr>
                <w:rFonts w:eastAsia="Times New Roman" w:cstheme="minorBidi"/>
                <w:sz w:val="22"/>
                <w:szCs w:val="22"/>
                <w:lang w:val="en-CA"/>
              </w:rPr>
              <w:t>Health expenditure</w:t>
            </w:r>
          </w:p>
          <w:p w:rsidR="00FD112C" w:rsidRDefault="00FD112C">
            <w:pPr>
              <w:spacing w:line="240" w:lineRule="auto"/>
              <w:rPr>
                <w:rFonts w:eastAsia="Times New Roman" w:cstheme="minorBidi"/>
                <w:sz w:val="22"/>
                <w:szCs w:val="22"/>
                <w:lang w:val="en-CA"/>
              </w:rPr>
            </w:pPr>
            <w:r>
              <w:rPr>
                <w:rFonts w:eastAsia="Times New Roman" w:cstheme="minorBidi"/>
                <w:sz w:val="22"/>
                <w:szCs w:val="22"/>
                <w:lang w:val="en-CA"/>
              </w:rPr>
              <w:t>(mean difference [USD])</w:t>
            </w:r>
          </w:p>
        </w:tc>
        <w:tc>
          <w:tcPr>
            <w:tcW w:w="3173" w:type="dxa"/>
            <w:vAlign w:val="center"/>
          </w:tcPr>
          <w:p w:rsidR="00FD112C" w:rsidRDefault="00FD112C">
            <w:pPr>
              <w:spacing w:line="240" w:lineRule="auto"/>
              <w:jc w:val="center"/>
              <w:rPr>
                <w:rFonts w:eastAsia="Times New Roman" w:cstheme="minorBidi"/>
                <w:sz w:val="22"/>
                <w:szCs w:val="22"/>
                <w:lang w:val="en-CA"/>
              </w:rPr>
            </w:pPr>
            <w:r>
              <w:rPr>
                <w:rFonts w:eastAsia="Times New Roman" w:cstheme="minorBidi"/>
                <w:sz w:val="22"/>
                <w:szCs w:val="22"/>
                <w:lang w:val="en-CA"/>
              </w:rPr>
              <w:t>4.24 (-12.13, 20.60)</w:t>
            </w:r>
          </w:p>
        </w:tc>
        <w:tc>
          <w:tcPr>
            <w:tcW w:w="3173" w:type="dxa"/>
            <w:vAlign w:val="center"/>
          </w:tcPr>
          <w:p w:rsidR="00FD112C" w:rsidRDefault="00FD112C">
            <w:pPr>
              <w:spacing w:line="240" w:lineRule="auto"/>
              <w:jc w:val="center"/>
              <w:rPr>
                <w:rFonts w:eastAsia="Times New Roman" w:cstheme="minorBidi"/>
                <w:sz w:val="22"/>
                <w:szCs w:val="22"/>
                <w:lang w:val="en-CA"/>
              </w:rPr>
            </w:pPr>
            <w:r>
              <w:rPr>
                <w:rFonts w:eastAsia="Times New Roman" w:cstheme="minorBidi"/>
                <w:sz w:val="22"/>
                <w:szCs w:val="22"/>
                <w:lang w:val="en-CA"/>
              </w:rPr>
              <w:t>0.61</w:t>
            </w:r>
          </w:p>
        </w:tc>
      </w:tr>
      <w:tr w:rsidR="00FD112C">
        <w:tc>
          <w:tcPr>
            <w:tcW w:w="2156" w:type="dxa"/>
            <w:vAlign w:val="center"/>
          </w:tcPr>
          <w:p w:rsidR="00FD112C" w:rsidRDefault="00FD112C">
            <w:pPr>
              <w:spacing w:line="240" w:lineRule="auto"/>
              <w:rPr>
                <w:rFonts w:eastAsia="Times New Roman" w:cstheme="minorBidi"/>
                <w:sz w:val="22"/>
                <w:szCs w:val="22"/>
                <w:lang w:val="en-CA"/>
              </w:rPr>
            </w:pPr>
            <w:r>
              <w:rPr>
                <w:rFonts w:eastAsia="Times New Roman" w:cstheme="minorBidi"/>
                <w:sz w:val="22"/>
                <w:szCs w:val="22"/>
                <w:lang w:val="en-CA"/>
              </w:rPr>
              <w:t>Food security (NFI) (OR)</w:t>
            </w:r>
          </w:p>
        </w:tc>
        <w:tc>
          <w:tcPr>
            <w:tcW w:w="3173" w:type="dxa"/>
            <w:vAlign w:val="center"/>
          </w:tcPr>
          <w:p w:rsidR="00FD112C" w:rsidRDefault="00FD112C">
            <w:pPr>
              <w:spacing w:line="240" w:lineRule="auto"/>
              <w:jc w:val="center"/>
              <w:rPr>
                <w:rFonts w:eastAsia="Times New Roman" w:cstheme="minorBidi"/>
                <w:sz w:val="22"/>
                <w:szCs w:val="22"/>
                <w:lang w:val="en-CA"/>
              </w:rPr>
            </w:pPr>
            <w:r>
              <w:rPr>
                <w:rFonts w:eastAsia="Times New Roman" w:cstheme="minorBidi"/>
                <w:sz w:val="22"/>
                <w:szCs w:val="22"/>
                <w:lang w:val="en-CA"/>
              </w:rPr>
              <w:t>1.23(0.47, 3.22)</w:t>
            </w:r>
          </w:p>
        </w:tc>
        <w:tc>
          <w:tcPr>
            <w:tcW w:w="3173" w:type="dxa"/>
            <w:vAlign w:val="center"/>
          </w:tcPr>
          <w:p w:rsidR="00FD112C" w:rsidRDefault="00FD112C">
            <w:pPr>
              <w:spacing w:line="240" w:lineRule="auto"/>
              <w:jc w:val="center"/>
              <w:rPr>
                <w:rFonts w:eastAsia="Times New Roman" w:cstheme="minorBidi"/>
                <w:sz w:val="22"/>
                <w:szCs w:val="22"/>
                <w:lang w:val="en-CA"/>
              </w:rPr>
            </w:pPr>
            <w:r>
              <w:rPr>
                <w:rFonts w:eastAsia="Times New Roman" w:cstheme="minorBidi"/>
                <w:sz w:val="22"/>
                <w:szCs w:val="22"/>
                <w:lang w:val="en-CA"/>
              </w:rPr>
              <w:t>0.67</w:t>
            </w:r>
          </w:p>
        </w:tc>
      </w:tr>
      <w:tr w:rsidR="00FD112C">
        <w:tc>
          <w:tcPr>
            <w:tcW w:w="2156" w:type="dxa"/>
            <w:vAlign w:val="center"/>
          </w:tcPr>
          <w:p w:rsidR="00FD112C" w:rsidRDefault="00FD112C">
            <w:pPr>
              <w:spacing w:line="240" w:lineRule="auto"/>
              <w:rPr>
                <w:rFonts w:eastAsia="Times New Roman" w:cstheme="minorBidi"/>
                <w:sz w:val="22"/>
                <w:szCs w:val="22"/>
                <w:lang w:val="en-CA"/>
              </w:rPr>
            </w:pPr>
            <w:r>
              <w:rPr>
                <w:rFonts w:eastAsia="Times New Roman" w:cstheme="minorBidi"/>
                <w:sz w:val="22"/>
                <w:szCs w:val="22"/>
                <w:lang w:val="en-CA"/>
              </w:rPr>
              <w:t>Adherence (MPB)  (OR)</w:t>
            </w:r>
          </w:p>
        </w:tc>
        <w:tc>
          <w:tcPr>
            <w:tcW w:w="3173" w:type="dxa"/>
            <w:vAlign w:val="center"/>
          </w:tcPr>
          <w:p w:rsidR="00FD112C" w:rsidRDefault="00FD112C">
            <w:pPr>
              <w:spacing w:line="240" w:lineRule="auto"/>
              <w:jc w:val="center"/>
              <w:rPr>
                <w:rFonts w:eastAsia="Times New Roman" w:cstheme="minorBidi"/>
                <w:sz w:val="22"/>
                <w:szCs w:val="22"/>
                <w:lang w:val="en-CA"/>
              </w:rPr>
            </w:pPr>
            <w:r>
              <w:rPr>
                <w:rFonts w:eastAsia="Times New Roman" w:cstheme="minorBidi"/>
                <w:sz w:val="22"/>
                <w:szCs w:val="22"/>
                <w:lang w:val="en-CA"/>
              </w:rPr>
              <w:t>3.19 (0.56, 18.25)</w:t>
            </w:r>
          </w:p>
        </w:tc>
        <w:tc>
          <w:tcPr>
            <w:tcW w:w="3173" w:type="dxa"/>
            <w:vAlign w:val="center"/>
          </w:tcPr>
          <w:p w:rsidR="00FD112C" w:rsidRDefault="00FD112C">
            <w:pPr>
              <w:spacing w:line="240" w:lineRule="auto"/>
              <w:jc w:val="center"/>
              <w:rPr>
                <w:rFonts w:eastAsia="Times New Roman" w:cstheme="minorBidi"/>
                <w:sz w:val="22"/>
                <w:szCs w:val="22"/>
                <w:lang w:val="en-CA"/>
              </w:rPr>
            </w:pPr>
            <w:r>
              <w:rPr>
                <w:rFonts w:eastAsia="Times New Roman" w:cstheme="minorBidi"/>
                <w:sz w:val="22"/>
                <w:szCs w:val="22"/>
                <w:lang w:val="en-CA"/>
              </w:rPr>
              <w:t>0.18</w:t>
            </w:r>
          </w:p>
        </w:tc>
      </w:tr>
      <w:tr w:rsidR="00FD112C">
        <w:tc>
          <w:tcPr>
            <w:tcW w:w="2156" w:type="dxa"/>
            <w:vAlign w:val="center"/>
          </w:tcPr>
          <w:p w:rsidR="00FD112C" w:rsidRDefault="00FD112C">
            <w:pPr>
              <w:spacing w:line="240" w:lineRule="auto"/>
              <w:rPr>
                <w:rFonts w:eastAsia="Times New Roman" w:cstheme="minorBidi"/>
                <w:sz w:val="22"/>
                <w:szCs w:val="22"/>
                <w:lang w:val="en-CA"/>
              </w:rPr>
            </w:pPr>
            <w:r>
              <w:rPr>
                <w:rFonts w:eastAsia="Times New Roman" w:cstheme="minorBidi"/>
                <w:sz w:val="22"/>
                <w:szCs w:val="22"/>
                <w:lang w:val="en-CA"/>
              </w:rPr>
              <w:t>Condom use (LIC) (OR)</w:t>
            </w:r>
          </w:p>
        </w:tc>
        <w:tc>
          <w:tcPr>
            <w:tcW w:w="3173" w:type="dxa"/>
            <w:vAlign w:val="center"/>
          </w:tcPr>
          <w:p w:rsidR="00FD112C" w:rsidRDefault="00FD112C">
            <w:pPr>
              <w:spacing w:line="240" w:lineRule="auto"/>
              <w:jc w:val="center"/>
              <w:rPr>
                <w:rFonts w:eastAsia="Times New Roman" w:cstheme="minorBidi"/>
                <w:sz w:val="22"/>
                <w:szCs w:val="22"/>
                <w:lang w:val="en-CA"/>
              </w:rPr>
            </w:pPr>
            <w:r>
              <w:rPr>
                <w:rFonts w:eastAsia="Times New Roman" w:cstheme="minorBidi"/>
                <w:sz w:val="22"/>
                <w:szCs w:val="22"/>
                <w:lang w:val="en-CA"/>
              </w:rPr>
              <w:t>0.46 (0.14, 1.53)</w:t>
            </w:r>
          </w:p>
        </w:tc>
        <w:tc>
          <w:tcPr>
            <w:tcW w:w="3173" w:type="dxa"/>
            <w:vAlign w:val="center"/>
          </w:tcPr>
          <w:p w:rsidR="00FD112C" w:rsidRDefault="00FD112C">
            <w:pPr>
              <w:spacing w:line="240" w:lineRule="auto"/>
              <w:jc w:val="center"/>
              <w:rPr>
                <w:rFonts w:eastAsia="Times New Roman" w:cstheme="minorBidi"/>
                <w:sz w:val="22"/>
                <w:szCs w:val="22"/>
                <w:lang w:val="en-CA"/>
              </w:rPr>
            </w:pPr>
            <w:r>
              <w:rPr>
                <w:rFonts w:eastAsia="Times New Roman" w:cstheme="minorBidi"/>
                <w:sz w:val="22"/>
                <w:szCs w:val="22"/>
                <w:lang w:val="en-CA"/>
              </w:rPr>
              <w:t>0.2</w:t>
            </w:r>
          </w:p>
        </w:tc>
      </w:tr>
    </w:tbl>
    <w:p w:rsidR="00FD112C" w:rsidRDefault="00FD112C">
      <w:pPr>
        <w:ind w:left="567"/>
        <w:outlineLvl w:val="0"/>
        <w:rPr>
          <w:rFonts w:cstheme="minorBidi"/>
          <w:b/>
          <w:bCs/>
          <w:lang w:val="en-GB"/>
        </w:rPr>
      </w:pPr>
    </w:p>
    <w:p w:rsidR="00FD112C" w:rsidRDefault="00FD112C">
      <w:pPr>
        <w:ind w:left="567"/>
        <w:outlineLvl w:val="0"/>
        <w:rPr>
          <w:rFonts w:cstheme="minorBidi"/>
          <w:b/>
          <w:bCs/>
          <w:lang w:val="en-GB"/>
        </w:rPr>
      </w:pPr>
    </w:p>
    <w:p w:rsidR="00FD112C" w:rsidRDefault="00FD112C">
      <w:pPr>
        <w:ind w:left="567"/>
        <w:outlineLvl w:val="0"/>
        <w:rPr>
          <w:rFonts w:cstheme="minorBidi"/>
          <w:b/>
          <w:bCs/>
          <w:lang w:val="en-GB"/>
        </w:rPr>
      </w:pPr>
    </w:p>
    <w:p w:rsidR="00FD112C" w:rsidRDefault="00FD112C">
      <w:pPr>
        <w:ind w:left="567"/>
        <w:outlineLvl w:val="0"/>
        <w:rPr>
          <w:rFonts w:cstheme="minorBidi"/>
          <w:b/>
          <w:bCs/>
          <w:lang w:val="en-GB"/>
        </w:rPr>
      </w:pPr>
    </w:p>
    <w:p w:rsidR="00FD112C" w:rsidRDefault="00FD112C">
      <w:pPr>
        <w:ind w:left="567"/>
        <w:outlineLvl w:val="0"/>
        <w:rPr>
          <w:rFonts w:cstheme="minorBidi"/>
          <w:b/>
          <w:bCs/>
          <w:lang w:val="en-GB"/>
        </w:rPr>
      </w:pPr>
    </w:p>
    <w:p w:rsidR="00FD112C" w:rsidRDefault="00FD112C">
      <w:pPr>
        <w:ind w:left="567"/>
        <w:outlineLvl w:val="0"/>
        <w:rPr>
          <w:rFonts w:cstheme="minorBidi"/>
          <w:b/>
          <w:bCs/>
          <w:lang w:val="en-GB"/>
        </w:rPr>
      </w:pPr>
    </w:p>
    <w:p w:rsidR="00FD112C" w:rsidRDefault="00FD112C">
      <w:pPr>
        <w:ind w:left="567"/>
        <w:outlineLvl w:val="0"/>
        <w:rPr>
          <w:rFonts w:cstheme="minorBidi"/>
          <w:b/>
          <w:bCs/>
          <w:lang w:val="en-GB"/>
        </w:rPr>
      </w:pPr>
    </w:p>
    <w:p w:rsidR="00FD112C" w:rsidRDefault="00FD112C">
      <w:pPr>
        <w:ind w:left="567"/>
        <w:outlineLvl w:val="0"/>
        <w:rPr>
          <w:rFonts w:cstheme="minorBidi"/>
          <w:b/>
          <w:bCs/>
          <w:lang w:val="en-GB"/>
        </w:rPr>
      </w:pPr>
    </w:p>
    <w:p w:rsidR="00FD112C" w:rsidRDefault="00FD112C">
      <w:pPr>
        <w:ind w:left="567"/>
        <w:outlineLvl w:val="0"/>
        <w:rPr>
          <w:rFonts w:cstheme="minorBidi"/>
          <w:b/>
          <w:bCs/>
          <w:lang w:val="en-GB"/>
        </w:rPr>
      </w:pPr>
    </w:p>
    <w:p w:rsidR="00FD112C" w:rsidRDefault="00FD112C">
      <w:pPr>
        <w:ind w:left="567"/>
        <w:outlineLvl w:val="0"/>
        <w:rPr>
          <w:rFonts w:cstheme="minorBidi"/>
          <w:b/>
          <w:bCs/>
          <w:lang w:val="en-GB"/>
        </w:rPr>
      </w:pPr>
    </w:p>
    <w:p w:rsidR="00FD112C" w:rsidRDefault="00FD112C">
      <w:pPr>
        <w:ind w:left="567"/>
        <w:outlineLvl w:val="0"/>
        <w:rPr>
          <w:rFonts w:cstheme="minorBidi"/>
          <w:b/>
          <w:bCs/>
          <w:lang w:val="en-GB"/>
        </w:rPr>
      </w:pPr>
    </w:p>
    <w:p w:rsidR="00FD112C" w:rsidRDefault="00FD112C">
      <w:pPr>
        <w:ind w:left="567"/>
        <w:outlineLvl w:val="0"/>
        <w:rPr>
          <w:rFonts w:cstheme="minorBidi"/>
          <w:b/>
          <w:bCs/>
          <w:lang w:val="en-GB"/>
        </w:rPr>
      </w:pPr>
    </w:p>
    <w:p w:rsidR="00FD112C" w:rsidRDefault="00FD112C">
      <w:pPr>
        <w:ind w:left="567"/>
        <w:outlineLvl w:val="0"/>
        <w:rPr>
          <w:rFonts w:cstheme="minorBidi"/>
          <w:b/>
          <w:bCs/>
          <w:lang w:val="en-GB"/>
        </w:rPr>
      </w:pPr>
    </w:p>
    <w:p w:rsidR="00FD112C" w:rsidRDefault="00FD112C">
      <w:pPr>
        <w:ind w:left="567"/>
        <w:outlineLvl w:val="0"/>
        <w:rPr>
          <w:rFonts w:cstheme="minorBidi"/>
          <w:b/>
          <w:bCs/>
          <w:lang w:val="en-GB"/>
        </w:rPr>
      </w:pPr>
    </w:p>
    <w:p w:rsidR="00FD112C" w:rsidRDefault="00FD112C">
      <w:pPr>
        <w:pStyle w:val="Caption"/>
        <w:spacing w:after="0"/>
        <w:outlineLvl w:val="0"/>
        <w:rPr>
          <w:rFonts w:ascii="Times New Roman" w:hAnsi="Times New Roman" w:cs="Times New Roman"/>
          <w:lang w:val="en-GB"/>
        </w:rPr>
      </w:pPr>
      <w:r>
        <w:rPr>
          <w:rFonts w:ascii="Times New Roman" w:hAnsi="Times New Roman" w:cs="Times New Roman"/>
          <w:lang w:val="en-GB"/>
        </w:rPr>
        <w:t>Table A.2: Secondary analysis results (T1 + T3 vs T2 + T4)</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6"/>
        <w:gridCol w:w="3173"/>
        <w:gridCol w:w="3173"/>
      </w:tblGrid>
      <w:tr w:rsidR="00FD112C">
        <w:trPr>
          <w:trHeight w:val="380"/>
        </w:trPr>
        <w:tc>
          <w:tcPr>
            <w:tcW w:w="2156" w:type="dxa"/>
            <w:vAlign w:val="center"/>
          </w:tcPr>
          <w:p w:rsidR="00FD112C" w:rsidRDefault="00FD112C">
            <w:pPr>
              <w:spacing w:line="240" w:lineRule="auto"/>
              <w:jc w:val="center"/>
              <w:rPr>
                <w:rFonts w:eastAsia="Times New Roman" w:cstheme="minorBidi"/>
                <w:b/>
                <w:bCs/>
                <w:sz w:val="22"/>
                <w:szCs w:val="22"/>
                <w:lang w:val="en-CA"/>
              </w:rPr>
            </w:pPr>
            <w:r>
              <w:rPr>
                <w:rFonts w:eastAsia="Times New Roman" w:cstheme="minorBidi"/>
                <w:b/>
                <w:bCs/>
                <w:sz w:val="22"/>
                <w:szCs w:val="22"/>
                <w:lang w:val="en-CA"/>
              </w:rPr>
              <w:t>Variable</w:t>
            </w:r>
          </w:p>
        </w:tc>
        <w:tc>
          <w:tcPr>
            <w:tcW w:w="3173" w:type="dxa"/>
            <w:vAlign w:val="center"/>
          </w:tcPr>
          <w:p w:rsidR="00FD112C" w:rsidRDefault="00FD112C">
            <w:pPr>
              <w:spacing w:line="240" w:lineRule="auto"/>
              <w:jc w:val="center"/>
              <w:rPr>
                <w:rFonts w:eastAsia="Times New Roman" w:cstheme="minorBidi"/>
                <w:b/>
                <w:bCs/>
                <w:sz w:val="22"/>
                <w:szCs w:val="22"/>
                <w:lang w:val="en-CA"/>
              </w:rPr>
            </w:pPr>
            <w:r>
              <w:rPr>
                <w:rFonts w:eastAsia="Times New Roman" w:cstheme="minorBidi"/>
                <w:b/>
                <w:bCs/>
                <w:sz w:val="22"/>
                <w:szCs w:val="22"/>
                <w:lang w:val="en-CA"/>
              </w:rPr>
              <w:t>Estimate  (95% Credible Interval)</w:t>
            </w:r>
          </w:p>
        </w:tc>
        <w:tc>
          <w:tcPr>
            <w:tcW w:w="3173" w:type="dxa"/>
          </w:tcPr>
          <w:p w:rsidR="00FD112C" w:rsidRDefault="00FD112C">
            <w:pPr>
              <w:spacing w:line="240" w:lineRule="auto"/>
              <w:jc w:val="center"/>
              <w:rPr>
                <w:rFonts w:eastAsia="Times New Roman" w:cstheme="minorBidi"/>
                <w:b/>
                <w:bCs/>
                <w:sz w:val="22"/>
                <w:szCs w:val="22"/>
                <w:lang w:val="en-CA"/>
              </w:rPr>
            </w:pPr>
            <w:r>
              <w:rPr>
                <w:rFonts w:eastAsia="Times New Roman" w:cstheme="minorBidi"/>
                <w:b/>
                <w:bCs/>
                <w:sz w:val="22"/>
                <w:szCs w:val="22"/>
                <w:lang w:val="en-CA"/>
              </w:rPr>
              <w:t>Probability of a positive effect</w:t>
            </w:r>
          </w:p>
        </w:tc>
      </w:tr>
      <w:tr w:rsidR="00FD112C">
        <w:tc>
          <w:tcPr>
            <w:tcW w:w="2156" w:type="dxa"/>
            <w:vAlign w:val="center"/>
          </w:tcPr>
          <w:p w:rsidR="00FD112C" w:rsidRDefault="00FD112C">
            <w:pPr>
              <w:spacing w:line="240" w:lineRule="auto"/>
              <w:rPr>
                <w:rFonts w:eastAsia="Times New Roman" w:cstheme="minorBidi"/>
                <w:sz w:val="22"/>
                <w:szCs w:val="22"/>
                <w:lang w:val="en-CA"/>
              </w:rPr>
            </w:pPr>
            <w:r>
              <w:rPr>
                <w:rFonts w:eastAsia="Times New Roman" w:cstheme="minorBidi"/>
                <w:sz w:val="22"/>
                <w:szCs w:val="22"/>
                <w:lang w:val="en-CA"/>
              </w:rPr>
              <w:t>Endline CD4 cell counts</w:t>
            </w:r>
          </w:p>
          <w:p w:rsidR="00FD112C" w:rsidRDefault="00FD112C">
            <w:pPr>
              <w:spacing w:line="240" w:lineRule="auto"/>
              <w:rPr>
                <w:rFonts w:eastAsia="Times New Roman" w:cstheme="minorBidi"/>
                <w:sz w:val="22"/>
                <w:szCs w:val="22"/>
                <w:lang w:val="en-CA"/>
              </w:rPr>
            </w:pPr>
            <w:r>
              <w:rPr>
                <w:rFonts w:eastAsia="Times New Roman" w:cstheme="minorBidi"/>
                <w:sz w:val="22"/>
                <w:szCs w:val="22"/>
                <w:lang w:val="en-CA"/>
              </w:rPr>
              <w:t>(mean difference)</w:t>
            </w:r>
          </w:p>
        </w:tc>
        <w:tc>
          <w:tcPr>
            <w:tcW w:w="3173" w:type="dxa"/>
            <w:vAlign w:val="center"/>
          </w:tcPr>
          <w:p w:rsidR="00FD112C" w:rsidRDefault="00FD112C">
            <w:pPr>
              <w:spacing w:line="240" w:lineRule="auto"/>
              <w:jc w:val="center"/>
              <w:rPr>
                <w:rFonts w:eastAsia="Times New Roman" w:cstheme="minorBidi"/>
                <w:sz w:val="22"/>
                <w:szCs w:val="22"/>
                <w:lang w:val="en-CA"/>
              </w:rPr>
            </w:pPr>
            <w:r>
              <w:rPr>
                <w:rFonts w:eastAsia="Times New Roman" w:cstheme="minorBidi"/>
                <w:sz w:val="22"/>
                <w:szCs w:val="22"/>
                <w:lang w:val="en-CA"/>
              </w:rPr>
              <w:t>104.20 (5.99, 202.16)</w:t>
            </w:r>
          </w:p>
        </w:tc>
        <w:tc>
          <w:tcPr>
            <w:tcW w:w="3173" w:type="dxa"/>
            <w:vAlign w:val="center"/>
          </w:tcPr>
          <w:p w:rsidR="00FD112C" w:rsidRDefault="00FD112C">
            <w:pPr>
              <w:spacing w:line="240" w:lineRule="auto"/>
              <w:jc w:val="center"/>
              <w:rPr>
                <w:rFonts w:eastAsia="Times New Roman" w:cstheme="minorBidi"/>
                <w:sz w:val="22"/>
                <w:szCs w:val="22"/>
                <w:lang w:val="en-CA"/>
              </w:rPr>
            </w:pPr>
            <w:r>
              <w:rPr>
                <w:rFonts w:eastAsia="Times New Roman" w:cstheme="minorBidi"/>
                <w:sz w:val="22"/>
                <w:szCs w:val="22"/>
                <w:lang w:val="en-CA"/>
              </w:rPr>
              <w:t>0.98</w:t>
            </w:r>
          </w:p>
        </w:tc>
      </w:tr>
      <w:tr w:rsidR="00FD112C">
        <w:tc>
          <w:tcPr>
            <w:tcW w:w="2156" w:type="dxa"/>
            <w:vAlign w:val="center"/>
          </w:tcPr>
          <w:p w:rsidR="00FD112C" w:rsidRDefault="00FD112C">
            <w:pPr>
              <w:spacing w:line="240" w:lineRule="auto"/>
              <w:rPr>
                <w:rFonts w:eastAsia="Times New Roman" w:cstheme="minorBidi"/>
                <w:sz w:val="22"/>
                <w:szCs w:val="22"/>
                <w:lang w:val="en-CA"/>
              </w:rPr>
            </w:pPr>
            <w:r>
              <w:rPr>
                <w:rFonts w:eastAsia="Times New Roman" w:cstheme="minorBidi"/>
                <w:sz w:val="22"/>
                <w:szCs w:val="22"/>
                <w:lang w:val="en-CA"/>
              </w:rPr>
              <w:t>Health expenditure</w:t>
            </w:r>
          </w:p>
          <w:p w:rsidR="00FD112C" w:rsidRDefault="00FD112C">
            <w:pPr>
              <w:spacing w:line="240" w:lineRule="auto"/>
              <w:rPr>
                <w:rFonts w:eastAsia="Times New Roman" w:cstheme="minorBidi"/>
                <w:sz w:val="22"/>
                <w:szCs w:val="22"/>
                <w:lang w:val="en-CA"/>
              </w:rPr>
            </w:pPr>
            <w:r>
              <w:rPr>
                <w:rFonts w:eastAsia="Times New Roman" w:cstheme="minorBidi"/>
                <w:sz w:val="22"/>
                <w:szCs w:val="22"/>
                <w:lang w:val="en-CA"/>
              </w:rPr>
              <w:t>(mean difference [USD])</w:t>
            </w:r>
          </w:p>
        </w:tc>
        <w:tc>
          <w:tcPr>
            <w:tcW w:w="3173" w:type="dxa"/>
            <w:vAlign w:val="center"/>
          </w:tcPr>
          <w:p w:rsidR="00FD112C" w:rsidRDefault="00FD112C">
            <w:pPr>
              <w:spacing w:line="240" w:lineRule="auto"/>
              <w:jc w:val="center"/>
              <w:rPr>
                <w:rFonts w:eastAsia="Times New Roman" w:cstheme="minorBidi"/>
                <w:sz w:val="22"/>
                <w:szCs w:val="22"/>
                <w:lang w:val="en-CA"/>
              </w:rPr>
            </w:pPr>
            <w:r>
              <w:rPr>
                <w:rFonts w:eastAsia="Times New Roman" w:cstheme="minorBidi"/>
                <w:sz w:val="22"/>
                <w:szCs w:val="22"/>
                <w:lang w:val="en-CA"/>
              </w:rPr>
              <w:t>9.62 (-2.78, 22.18)</w:t>
            </w:r>
          </w:p>
        </w:tc>
        <w:tc>
          <w:tcPr>
            <w:tcW w:w="3173" w:type="dxa"/>
            <w:vAlign w:val="center"/>
          </w:tcPr>
          <w:p w:rsidR="00FD112C" w:rsidRDefault="00FD112C">
            <w:pPr>
              <w:spacing w:line="240" w:lineRule="auto"/>
              <w:jc w:val="center"/>
              <w:rPr>
                <w:rFonts w:eastAsia="Times New Roman" w:cstheme="minorBidi"/>
                <w:sz w:val="22"/>
                <w:szCs w:val="22"/>
                <w:lang w:val="en-CA"/>
              </w:rPr>
            </w:pPr>
            <w:r>
              <w:rPr>
                <w:rFonts w:eastAsia="Times New Roman" w:cstheme="minorBidi"/>
                <w:sz w:val="22"/>
                <w:szCs w:val="22"/>
                <w:lang w:val="en-CA"/>
              </w:rPr>
              <w:t>0.94</w:t>
            </w:r>
          </w:p>
        </w:tc>
      </w:tr>
      <w:tr w:rsidR="00FD112C">
        <w:tc>
          <w:tcPr>
            <w:tcW w:w="2156" w:type="dxa"/>
            <w:vAlign w:val="center"/>
          </w:tcPr>
          <w:p w:rsidR="00FD112C" w:rsidRDefault="00FD112C">
            <w:pPr>
              <w:spacing w:line="240" w:lineRule="auto"/>
              <w:rPr>
                <w:rFonts w:eastAsia="Times New Roman" w:cstheme="minorBidi"/>
                <w:sz w:val="22"/>
                <w:szCs w:val="22"/>
                <w:lang w:val="en-CA"/>
              </w:rPr>
            </w:pPr>
            <w:r>
              <w:rPr>
                <w:rFonts w:eastAsia="Times New Roman" w:cstheme="minorBidi"/>
                <w:sz w:val="22"/>
                <w:szCs w:val="22"/>
                <w:lang w:val="en-CA"/>
              </w:rPr>
              <w:t>Food security (NFI) (OR)</w:t>
            </w:r>
          </w:p>
        </w:tc>
        <w:tc>
          <w:tcPr>
            <w:tcW w:w="3173" w:type="dxa"/>
            <w:vAlign w:val="center"/>
          </w:tcPr>
          <w:p w:rsidR="00FD112C" w:rsidRDefault="00FD112C">
            <w:pPr>
              <w:spacing w:line="240" w:lineRule="auto"/>
              <w:jc w:val="center"/>
              <w:rPr>
                <w:rFonts w:eastAsia="Times New Roman" w:cstheme="minorBidi"/>
                <w:sz w:val="22"/>
                <w:szCs w:val="22"/>
                <w:lang w:val="en-CA"/>
              </w:rPr>
            </w:pPr>
            <w:r>
              <w:rPr>
                <w:rFonts w:eastAsia="Times New Roman" w:cstheme="minorBidi"/>
                <w:sz w:val="22"/>
                <w:szCs w:val="22"/>
                <w:lang w:val="en-CA"/>
              </w:rPr>
              <w:t>0.79 (0.32, 2.10)</w:t>
            </w:r>
          </w:p>
        </w:tc>
        <w:tc>
          <w:tcPr>
            <w:tcW w:w="3173" w:type="dxa"/>
            <w:vAlign w:val="center"/>
          </w:tcPr>
          <w:p w:rsidR="00FD112C" w:rsidRDefault="00FD112C">
            <w:pPr>
              <w:spacing w:line="240" w:lineRule="auto"/>
              <w:jc w:val="center"/>
              <w:rPr>
                <w:rFonts w:eastAsia="Times New Roman" w:cstheme="minorBidi"/>
                <w:sz w:val="22"/>
                <w:szCs w:val="22"/>
                <w:lang w:val="en-CA"/>
              </w:rPr>
            </w:pPr>
            <w:r>
              <w:rPr>
                <w:rFonts w:eastAsia="Times New Roman" w:cstheme="minorBidi"/>
                <w:sz w:val="22"/>
                <w:szCs w:val="22"/>
                <w:lang w:val="en-CA"/>
              </w:rPr>
              <w:t>0.30</w:t>
            </w:r>
          </w:p>
        </w:tc>
      </w:tr>
      <w:tr w:rsidR="00FD112C">
        <w:tc>
          <w:tcPr>
            <w:tcW w:w="2156" w:type="dxa"/>
            <w:vAlign w:val="center"/>
          </w:tcPr>
          <w:p w:rsidR="00FD112C" w:rsidRDefault="00FD112C">
            <w:pPr>
              <w:spacing w:line="240" w:lineRule="auto"/>
              <w:rPr>
                <w:rFonts w:eastAsia="Times New Roman" w:cstheme="minorBidi"/>
                <w:sz w:val="22"/>
                <w:szCs w:val="22"/>
                <w:lang w:val="en-CA"/>
              </w:rPr>
            </w:pPr>
            <w:r>
              <w:rPr>
                <w:rFonts w:eastAsia="Times New Roman" w:cstheme="minorBidi"/>
                <w:sz w:val="22"/>
                <w:szCs w:val="22"/>
                <w:lang w:val="en-CA"/>
              </w:rPr>
              <w:t>Adherence (MPB)  (OR)</w:t>
            </w:r>
          </w:p>
        </w:tc>
        <w:tc>
          <w:tcPr>
            <w:tcW w:w="3173" w:type="dxa"/>
            <w:vAlign w:val="center"/>
          </w:tcPr>
          <w:p w:rsidR="00FD112C" w:rsidRDefault="00FD112C">
            <w:pPr>
              <w:spacing w:line="240" w:lineRule="auto"/>
              <w:jc w:val="center"/>
              <w:rPr>
                <w:rFonts w:eastAsia="Times New Roman" w:cstheme="minorBidi"/>
                <w:sz w:val="22"/>
                <w:szCs w:val="22"/>
                <w:lang w:val="en-CA"/>
              </w:rPr>
            </w:pPr>
            <w:r>
              <w:rPr>
                <w:rFonts w:eastAsia="Times New Roman" w:cstheme="minorBidi"/>
                <w:sz w:val="22"/>
                <w:szCs w:val="22"/>
                <w:lang w:val="en-CA"/>
              </w:rPr>
              <w:t>1.99 (0.40, 10.56)</w:t>
            </w:r>
          </w:p>
        </w:tc>
        <w:tc>
          <w:tcPr>
            <w:tcW w:w="3173" w:type="dxa"/>
            <w:vAlign w:val="center"/>
          </w:tcPr>
          <w:p w:rsidR="00FD112C" w:rsidRDefault="00FD112C">
            <w:pPr>
              <w:spacing w:line="240" w:lineRule="auto"/>
              <w:jc w:val="center"/>
              <w:rPr>
                <w:rFonts w:eastAsia="Times New Roman" w:cstheme="minorBidi"/>
                <w:sz w:val="22"/>
                <w:szCs w:val="22"/>
                <w:lang w:val="en-CA"/>
              </w:rPr>
            </w:pPr>
            <w:r>
              <w:rPr>
                <w:rFonts w:eastAsia="Times New Roman" w:cstheme="minorBidi"/>
                <w:sz w:val="22"/>
                <w:szCs w:val="22"/>
                <w:lang w:val="en-CA"/>
              </w:rPr>
              <w:t>0.79</w:t>
            </w:r>
          </w:p>
        </w:tc>
      </w:tr>
      <w:tr w:rsidR="00FD112C">
        <w:tc>
          <w:tcPr>
            <w:tcW w:w="2156" w:type="dxa"/>
            <w:vAlign w:val="center"/>
          </w:tcPr>
          <w:p w:rsidR="00FD112C" w:rsidRDefault="00FD112C">
            <w:pPr>
              <w:spacing w:line="240" w:lineRule="auto"/>
              <w:rPr>
                <w:rFonts w:eastAsia="Times New Roman" w:cstheme="minorBidi"/>
                <w:sz w:val="22"/>
                <w:szCs w:val="22"/>
                <w:lang w:val="en-CA"/>
              </w:rPr>
            </w:pPr>
            <w:r>
              <w:rPr>
                <w:rFonts w:eastAsia="Times New Roman" w:cstheme="minorBidi"/>
                <w:sz w:val="22"/>
                <w:szCs w:val="22"/>
                <w:lang w:val="en-CA"/>
              </w:rPr>
              <w:t>Condom use (LIC) (OR)</w:t>
            </w:r>
          </w:p>
        </w:tc>
        <w:tc>
          <w:tcPr>
            <w:tcW w:w="3173" w:type="dxa"/>
            <w:vAlign w:val="center"/>
          </w:tcPr>
          <w:p w:rsidR="00FD112C" w:rsidRDefault="00FD112C">
            <w:pPr>
              <w:spacing w:line="240" w:lineRule="auto"/>
              <w:jc w:val="center"/>
              <w:rPr>
                <w:rFonts w:eastAsia="Times New Roman" w:cstheme="minorBidi"/>
                <w:sz w:val="22"/>
                <w:szCs w:val="22"/>
                <w:lang w:val="en-CA"/>
              </w:rPr>
            </w:pPr>
            <w:r>
              <w:rPr>
                <w:rFonts w:eastAsia="Times New Roman" w:cstheme="minorBidi"/>
                <w:sz w:val="22"/>
                <w:szCs w:val="22"/>
                <w:lang w:val="en-CA"/>
              </w:rPr>
              <w:t>1.16 (0.37, 3.88)</w:t>
            </w:r>
          </w:p>
        </w:tc>
        <w:tc>
          <w:tcPr>
            <w:tcW w:w="3173" w:type="dxa"/>
            <w:vAlign w:val="center"/>
          </w:tcPr>
          <w:p w:rsidR="00FD112C" w:rsidRDefault="00FD112C">
            <w:pPr>
              <w:spacing w:line="240" w:lineRule="auto"/>
              <w:jc w:val="center"/>
              <w:rPr>
                <w:rFonts w:eastAsia="Times New Roman" w:cstheme="minorBidi"/>
                <w:sz w:val="22"/>
                <w:szCs w:val="22"/>
                <w:lang w:val="en-CA"/>
              </w:rPr>
            </w:pPr>
            <w:r>
              <w:rPr>
                <w:rFonts w:eastAsia="Times New Roman" w:cstheme="minorBidi"/>
                <w:sz w:val="22"/>
                <w:szCs w:val="22"/>
                <w:lang w:val="en-CA"/>
              </w:rPr>
              <w:t>0.60</w:t>
            </w:r>
          </w:p>
        </w:tc>
      </w:tr>
    </w:tbl>
    <w:p w:rsidR="00FD112C" w:rsidRDefault="00FD112C">
      <w:pPr>
        <w:rPr>
          <w:rFonts w:cstheme="minorBidi"/>
          <w:b/>
          <w:bCs/>
          <w:lang w:val="en-GB"/>
        </w:rPr>
      </w:pPr>
    </w:p>
    <w:p w:rsidR="00FD112C" w:rsidRDefault="00FD112C">
      <w:pPr>
        <w:pStyle w:val="Caption"/>
        <w:spacing w:after="0"/>
        <w:outlineLvl w:val="0"/>
        <w:rPr>
          <w:rFonts w:ascii="Times New Roman" w:hAnsi="Times New Roman" w:cs="Times New Roman"/>
          <w:lang w:val="en-GB"/>
        </w:rPr>
      </w:pPr>
      <w:r>
        <w:rPr>
          <w:rFonts w:ascii="Times New Roman" w:hAnsi="Times New Roman" w:cs="Times New Roman"/>
          <w:lang w:val="en-GB"/>
        </w:rPr>
        <w:t>Table A.3 Secondary analysis results (T1 + T2 vs T3)</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6"/>
        <w:gridCol w:w="3173"/>
        <w:gridCol w:w="3173"/>
      </w:tblGrid>
      <w:tr w:rsidR="00FD112C">
        <w:trPr>
          <w:trHeight w:val="380"/>
        </w:trPr>
        <w:tc>
          <w:tcPr>
            <w:tcW w:w="2156" w:type="dxa"/>
            <w:vAlign w:val="center"/>
          </w:tcPr>
          <w:p w:rsidR="00FD112C" w:rsidRDefault="00FD112C">
            <w:pPr>
              <w:spacing w:line="240" w:lineRule="auto"/>
              <w:jc w:val="center"/>
              <w:rPr>
                <w:rFonts w:eastAsia="Times New Roman" w:cstheme="minorBidi"/>
                <w:b/>
                <w:bCs/>
                <w:sz w:val="22"/>
                <w:szCs w:val="22"/>
                <w:lang w:val="en-CA"/>
              </w:rPr>
            </w:pPr>
            <w:r>
              <w:rPr>
                <w:rFonts w:eastAsia="Times New Roman" w:cstheme="minorBidi"/>
                <w:b/>
                <w:bCs/>
                <w:sz w:val="22"/>
                <w:szCs w:val="22"/>
                <w:lang w:val="en-CA"/>
              </w:rPr>
              <w:t>Variable</w:t>
            </w:r>
          </w:p>
        </w:tc>
        <w:tc>
          <w:tcPr>
            <w:tcW w:w="3173" w:type="dxa"/>
            <w:vAlign w:val="center"/>
          </w:tcPr>
          <w:p w:rsidR="00FD112C" w:rsidRDefault="00FD112C">
            <w:pPr>
              <w:spacing w:line="240" w:lineRule="auto"/>
              <w:jc w:val="center"/>
              <w:rPr>
                <w:rFonts w:eastAsia="Times New Roman" w:cstheme="minorBidi"/>
                <w:b/>
                <w:bCs/>
                <w:sz w:val="22"/>
                <w:szCs w:val="22"/>
                <w:lang w:val="en-CA"/>
              </w:rPr>
            </w:pPr>
            <w:r>
              <w:rPr>
                <w:rFonts w:eastAsia="Times New Roman" w:cstheme="minorBidi"/>
                <w:b/>
                <w:bCs/>
                <w:sz w:val="22"/>
                <w:szCs w:val="22"/>
                <w:lang w:val="en-CA"/>
              </w:rPr>
              <w:t>Estimate  (95% Credible Interval)</w:t>
            </w:r>
          </w:p>
        </w:tc>
        <w:tc>
          <w:tcPr>
            <w:tcW w:w="3173" w:type="dxa"/>
          </w:tcPr>
          <w:p w:rsidR="00FD112C" w:rsidRDefault="00FD112C">
            <w:pPr>
              <w:spacing w:line="240" w:lineRule="auto"/>
              <w:jc w:val="center"/>
              <w:rPr>
                <w:rFonts w:eastAsia="Times New Roman" w:cstheme="minorBidi"/>
                <w:b/>
                <w:bCs/>
                <w:sz w:val="22"/>
                <w:szCs w:val="22"/>
                <w:lang w:val="en-CA"/>
              </w:rPr>
            </w:pPr>
            <w:r>
              <w:rPr>
                <w:rFonts w:eastAsia="Times New Roman" w:cstheme="minorBidi"/>
                <w:b/>
                <w:bCs/>
                <w:sz w:val="22"/>
                <w:szCs w:val="22"/>
                <w:lang w:val="en-CA"/>
              </w:rPr>
              <w:t>Probability of a positive effect</w:t>
            </w:r>
          </w:p>
        </w:tc>
      </w:tr>
      <w:tr w:rsidR="00FD112C">
        <w:trPr>
          <w:trHeight w:val="954"/>
        </w:trPr>
        <w:tc>
          <w:tcPr>
            <w:tcW w:w="2156" w:type="dxa"/>
            <w:vAlign w:val="center"/>
          </w:tcPr>
          <w:p w:rsidR="00FD112C" w:rsidRDefault="00FD112C">
            <w:pPr>
              <w:spacing w:line="240" w:lineRule="auto"/>
              <w:rPr>
                <w:rFonts w:eastAsia="Times New Roman" w:cstheme="minorBidi"/>
                <w:sz w:val="22"/>
                <w:szCs w:val="22"/>
                <w:lang w:val="en-CA"/>
              </w:rPr>
            </w:pPr>
            <w:r>
              <w:rPr>
                <w:rFonts w:eastAsia="Times New Roman" w:cstheme="minorBidi"/>
                <w:sz w:val="22"/>
                <w:szCs w:val="22"/>
                <w:lang w:val="en-CA"/>
              </w:rPr>
              <w:t>Endline CD4 cell counts</w:t>
            </w:r>
          </w:p>
          <w:p w:rsidR="00FD112C" w:rsidRDefault="00FD112C">
            <w:pPr>
              <w:spacing w:line="240" w:lineRule="auto"/>
              <w:rPr>
                <w:rFonts w:eastAsia="Times New Roman" w:cstheme="minorBidi"/>
                <w:sz w:val="22"/>
                <w:szCs w:val="22"/>
                <w:lang w:val="en-CA"/>
              </w:rPr>
            </w:pPr>
            <w:r>
              <w:rPr>
                <w:rFonts w:eastAsia="Times New Roman" w:cstheme="minorBidi"/>
                <w:sz w:val="22"/>
                <w:szCs w:val="22"/>
                <w:lang w:val="en-CA"/>
              </w:rPr>
              <w:t>(mean difference)</w:t>
            </w:r>
          </w:p>
        </w:tc>
        <w:tc>
          <w:tcPr>
            <w:tcW w:w="3173" w:type="dxa"/>
            <w:vAlign w:val="center"/>
          </w:tcPr>
          <w:p w:rsidR="00FD112C" w:rsidRDefault="00FD112C">
            <w:pPr>
              <w:spacing w:line="240" w:lineRule="auto"/>
              <w:jc w:val="center"/>
              <w:rPr>
                <w:rFonts w:eastAsia="Times New Roman" w:cstheme="minorBidi"/>
                <w:sz w:val="22"/>
                <w:szCs w:val="22"/>
                <w:lang w:val="en-CA"/>
              </w:rPr>
            </w:pPr>
            <w:r>
              <w:rPr>
                <w:rFonts w:eastAsia="Times New Roman" w:cstheme="minorBidi"/>
                <w:sz w:val="22"/>
                <w:szCs w:val="22"/>
                <w:lang w:val="en-CA"/>
              </w:rPr>
              <w:t>90.29 (-22.84, 199.78)</w:t>
            </w:r>
          </w:p>
        </w:tc>
        <w:tc>
          <w:tcPr>
            <w:tcW w:w="3173" w:type="dxa"/>
            <w:vAlign w:val="center"/>
          </w:tcPr>
          <w:p w:rsidR="00FD112C" w:rsidRDefault="00FD112C">
            <w:pPr>
              <w:spacing w:line="240" w:lineRule="auto"/>
              <w:jc w:val="center"/>
              <w:rPr>
                <w:rFonts w:eastAsia="Times New Roman" w:cstheme="minorBidi"/>
                <w:sz w:val="22"/>
                <w:szCs w:val="22"/>
                <w:lang w:val="en-CA"/>
              </w:rPr>
            </w:pPr>
            <w:r>
              <w:rPr>
                <w:rFonts w:eastAsia="Times New Roman" w:cstheme="minorBidi"/>
                <w:sz w:val="22"/>
                <w:szCs w:val="22"/>
                <w:lang w:val="en-CA"/>
              </w:rPr>
              <w:t>0.94</w:t>
            </w:r>
          </w:p>
        </w:tc>
      </w:tr>
      <w:tr w:rsidR="00FD112C">
        <w:tc>
          <w:tcPr>
            <w:tcW w:w="2156" w:type="dxa"/>
            <w:vAlign w:val="center"/>
          </w:tcPr>
          <w:p w:rsidR="00FD112C" w:rsidRDefault="00FD112C">
            <w:pPr>
              <w:spacing w:line="240" w:lineRule="auto"/>
              <w:rPr>
                <w:rFonts w:eastAsia="Times New Roman" w:cstheme="minorBidi"/>
                <w:sz w:val="22"/>
                <w:szCs w:val="22"/>
                <w:lang w:val="en-CA"/>
              </w:rPr>
            </w:pPr>
            <w:r>
              <w:rPr>
                <w:rFonts w:eastAsia="Times New Roman" w:cstheme="minorBidi"/>
                <w:sz w:val="22"/>
                <w:szCs w:val="22"/>
                <w:lang w:val="en-CA"/>
              </w:rPr>
              <w:t>Health expenditure</w:t>
            </w:r>
          </w:p>
          <w:p w:rsidR="00FD112C" w:rsidRDefault="00FD112C">
            <w:pPr>
              <w:spacing w:line="240" w:lineRule="auto"/>
              <w:rPr>
                <w:rFonts w:eastAsia="Times New Roman" w:cstheme="minorBidi"/>
                <w:sz w:val="22"/>
                <w:szCs w:val="22"/>
                <w:lang w:val="en-CA"/>
              </w:rPr>
            </w:pPr>
            <w:r>
              <w:rPr>
                <w:rFonts w:eastAsia="Times New Roman" w:cstheme="minorBidi"/>
                <w:sz w:val="22"/>
                <w:szCs w:val="22"/>
                <w:lang w:val="en-CA"/>
              </w:rPr>
              <w:t>(mean difference [USD])</w:t>
            </w:r>
          </w:p>
        </w:tc>
        <w:tc>
          <w:tcPr>
            <w:tcW w:w="3173" w:type="dxa"/>
            <w:vAlign w:val="center"/>
          </w:tcPr>
          <w:p w:rsidR="00FD112C" w:rsidRDefault="00FD112C">
            <w:pPr>
              <w:spacing w:line="240" w:lineRule="auto"/>
              <w:jc w:val="center"/>
              <w:rPr>
                <w:rFonts w:eastAsia="Times New Roman" w:cstheme="minorBidi"/>
                <w:sz w:val="22"/>
                <w:szCs w:val="22"/>
                <w:lang w:val="en-CA"/>
              </w:rPr>
            </w:pPr>
            <w:r>
              <w:rPr>
                <w:rFonts w:eastAsia="Times New Roman" w:cstheme="minorBidi"/>
                <w:sz w:val="22"/>
                <w:szCs w:val="22"/>
                <w:lang w:val="en-CA"/>
              </w:rPr>
              <w:t>5.50 (-8.83, 20.45)</w:t>
            </w:r>
          </w:p>
        </w:tc>
        <w:tc>
          <w:tcPr>
            <w:tcW w:w="3173" w:type="dxa"/>
            <w:vAlign w:val="center"/>
          </w:tcPr>
          <w:p w:rsidR="00FD112C" w:rsidRDefault="00FD112C">
            <w:pPr>
              <w:spacing w:line="240" w:lineRule="auto"/>
              <w:jc w:val="center"/>
              <w:rPr>
                <w:rFonts w:eastAsia="Times New Roman" w:cstheme="minorBidi"/>
                <w:sz w:val="22"/>
                <w:szCs w:val="22"/>
                <w:lang w:val="en-CA"/>
              </w:rPr>
            </w:pPr>
            <w:r>
              <w:rPr>
                <w:rFonts w:eastAsia="Times New Roman" w:cstheme="minorBidi"/>
                <w:sz w:val="22"/>
                <w:szCs w:val="22"/>
                <w:lang w:val="en-CA"/>
              </w:rPr>
              <w:t>0.76</w:t>
            </w:r>
          </w:p>
        </w:tc>
      </w:tr>
      <w:tr w:rsidR="00FD112C">
        <w:tc>
          <w:tcPr>
            <w:tcW w:w="2156" w:type="dxa"/>
            <w:vAlign w:val="center"/>
          </w:tcPr>
          <w:p w:rsidR="00FD112C" w:rsidRDefault="00FD112C">
            <w:pPr>
              <w:spacing w:line="240" w:lineRule="auto"/>
              <w:rPr>
                <w:rFonts w:eastAsia="Times New Roman" w:cstheme="minorBidi"/>
                <w:sz w:val="22"/>
                <w:szCs w:val="22"/>
                <w:lang w:val="en-CA"/>
              </w:rPr>
            </w:pPr>
            <w:r>
              <w:rPr>
                <w:rFonts w:eastAsia="Times New Roman" w:cstheme="minorBidi"/>
                <w:sz w:val="22"/>
                <w:szCs w:val="22"/>
                <w:lang w:val="en-CA"/>
              </w:rPr>
              <w:t>Food security (OR)</w:t>
            </w:r>
          </w:p>
        </w:tc>
        <w:tc>
          <w:tcPr>
            <w:tcW w:w="3173" w:type="dxa"/>
            <w:vAlign w:val="center"/>
          </w:tcPr>
          <w:p w:rsidR="00FD112C" w:rsidRDefault="00FD112C">
            <w:pPr>
              <w:spacing w:line="240" w:lineRule="auto"/>
              <w:jc w:val="center"/>
              <w:rPr>
                <w:rFonts w:eastAsia="Times New Roman" w:cstheme="minorBidi"/>
                <w:sz w:val="22"/>
                <w:szCs w:val="22"/>
                <w:lang w:val="en-CA"/>
              </w:rPr>
            </w:pPr>
            <w:r>
              <w:rPr>
                <w:rFonts w:eastAsia="Times New Roman" w:cstheme="minorBidi"/>
                <w:sz w:val="22"/>
                <w:szCs w:val="22"/>
                <w:lang w:val="en-CA"/>
              </w:rPr>
              <w:t>0.84 (0.24, 2.86)</w:t>
            </w:r>
          </w:p>
        </w:tc>
        <w:tc>
          <w:tcPr>
            <w:tcW w:w="3173" w:type="dxa"/>
            <w:vAlign w:val="center"/>
          </w:tcPr>
          <w:p w:rsidR="00FD112C" w:rsidRDefault="00FD112C">
            <w:pPr>
              <w:spacing w:line="240" w:lineRule="auto"/>
              <w:jc w:val="center"/>
              <w:rPr>
                <w:rFonts w:eastAsia="Times New Roman" w:cstheme="minorBidi"/>
                <w:sz w:val="22"/>
                <w:szCs w:val="22"/>
                <w:lang w:val="en-CA"/>
              </w:rPr>
            </w:pPr>
            <w:r>
              <w:rPr>
                <w:rFonts w:eastAsia="Times New Roman" w:cstheme="minorBidi"/>
                <w:sz w:val="22"/>
                <w:szCs w:val="22"/>
                <w:lang w:val="en-CA"/>
              </w:rPr>
              <w:t>0.38</w:t>
            </w:r>
          </w:p>
        </w:tc>
      </w:tr>
      <w:tr w:rsidR="00FD112C">
        <w:tc>
          <w:tcPr>
            <w:tcW w:w="2156" w:type="dxa"/>
            <w:vAlign w:val="center"/>
          </w:tcPr>
          <w:p w:rsidR="00FD112C" w:rsidRDefault="00FD112C">
            <w:pPr>
              <w:spacing w:line="240" w:lineRule="auto"/>
              <w:rPr>
                <w:rFonts w:eastAsia="Times New Roman" w:cstheme="minorBidi"/>
                <w:sz w:val="22"/>
                <w:szCs w:val="22"/>
                <w:lang w:val="en-CA"/>
              </w:rPr>
            </w:pPr>
            <w:r>
              <w:rPr>
                <w:rFonts w:eastAsia="Times New Roman" w:cstheme="minorBidi"/>
                <w:sz w:val="22"/>
                <w:szCs w:val="22"/>
                <w:lang w:val="en-CA"/>
              </w:rPr>
              <w:t>Adherence (OR)</w:t>
            </w:r>
          </w:p>
        </w:tc>
        <w:tc>
          <w:tcPr>
            <w:tcW w:w="3173" w:type="dxa"/>
            <w:vAlign w:val="center"/>
          </w:tcPr>
          <w:p w:rsidR="00FD112C" w:rsidRDefault="00FD112C">
            <w:pPr>
              <w:spacing w:line="240" w:lineRule="auto"/>
              <w:jc w:val="center"/>
              <w:rPr>
                <w:rFonts w:eastAsia="Times New Roman" w:cstheme="minorBidi"/>
                <w:sz w:val="22"/>
                <w:szCs w:val="22"/>
                <w:lang w:val="en-CA"/>
              </w:rPr>
            </w:pPr>
            <w:r>
              <w:rPr>
                <w:rFonts w:eastAsia="Times New Roman" w:cstheme="minorBidi"/>
                <w:sz w:val="22"/>
                <w:szCs w:val="22"/>
                <w:lang w:val="en-CA"/>
              </w:rPr>
              <w:t>4.36 (0.50, 36.82)</w:t>
            </w:r>
          </w:p>
        </w:tc>
        <w:tc>
          <w:tcPr>
            <w:tcW w:w="3173" w:type="dxa"/>
            <w:vAlign w:val="center"/>
          </w:tcPr>
          <w:p w:rsidR="00FD112C" w:rsidRDefault="00FD112C">
            <w:pPr>
              <w:spacing w:line="240" w:lineRule="auto"/>
              <w:jc w:val="center"/>
              <w:rPr>
                <w:rFonts w:eastAsia="Times New Roman" w:cstheme="minorBidi"/>
                <w:sz w:val="22"/>
                <w:szCs w:val="22"/>
                <w:lang w:val="en-CA"/>
              </w:rPr>
            </w:pPr>
            <w:r>
              <w:rPr>
                <w:rFonts w:eastAsia="Times New Roman" w:cstheme="minorBidi"/>
                <w:sz w:val="22"/>
                <w:szCs w:val="22"/>
                <w:lang w:val="en-CA"/>
              </w:rPr>
              <w:t>0.90</w:t>
            </w:r>
          </w:p>
        </w:tc>
      </w:tr>
      <w:tr w:rsidR="00FD112C">
        <w:tc>
          <w:tcPr>
            <w:tcW w:w="2156" w:type="dxa"/>
            <w:vAlign w:val="center"/>
          </w:tcPr>
          <w:p w:rsidR="00FD112C" w:rsidRDefault="00FD112C">
            <w:pPr>
              <w:spacing w:line="240" w:lineRule="auto"/>
              <w:rPr>
                <w:rFonts w:eastAsia="Times New Roman" w:cstheme="minorBidi"/>
                <w:sz w:val="22"/>
                <w:szCs w:val="22"/>
                <w:lang w:val="en-CA"/>
              </w:rPr>
            </w:pPr>
            <w:r>
              <w:rPr>
                <w:rFonts w:eastAsia="Times New Roman" w:cstheme="minorBidi"/>
                <w:sz w:val="22"/>
                <w:szCs w:val="22"/>
                <w:lang w:val="en-CA"/>
              </w:rPr>
              <w:t>Condom use  (OR)</w:t>
            </w:r>
          </w:p>
        </w:tc>
        <w:tc>
          <w:tcPr>
            <w:tcW w:w="3173" w:type="dxa"/>
            <w:vAlign w:val="center"/>
          </w:tcPr>
          <w:p w:rsidR="00FD112C" w:rsidRDefault="00FD112C">
            <w:pPr>
              <w:spacing w:line="240" w:lineRule="auto"/>
              <w:jc w:val="center"/>
              <w:rPr>
                <w:rFonts w:eastAsia="Times New Roman" w:cstheme="minorBidi"/>
                <w:sz w:val="22"/>
                <w:szCs w:val="22"/>
                <w:lang w:val="en-CA"/>
              </w:rPr>
            </w:pPr>
            <w:r>
              <w:rPr>
                <w:rFonts w:eastAsia="Times New Roman" w:cstheme="minorBidi"/>
                <w:sz w:val="22"/>
                <w:szCs w:val="22"/>
                <w:lang w:val="en-CA"/>
              </w:rPr>
              <w:t>0.28 (0.05, 1.18)</w:t>
            </w:r>
          </w:p>
        </w:tc>
        <w:tc>
          <w:tcPr>
            <w:tcW w:w="3173" w:type="dxa"/>
            <w:vAlign w:val="center"/>
          </w:tcPr>
          <w:p w:rsidR="00FD112C" w:rsidRDefault="00FD112C">
            <w:pPr>
              <w:spacing w:line="240" w:lineRule="auto"/>
              <w:jc w:val="center"/>
              <w:rPr>
                <w:rFonts w:eastAsia="Times New Roman" w:cstheme="minorBidi"/>
                <w:sz w:val="22"/>
                <w:szCs w:val="22"/>
                <w:lang w:val="en-CA"/>
              </w:rPr>
            </w:pPr>
            <w:r>
              <w:rPr>
                <w:rFonts w:eastAsia="Times New Roman" w:cstheme="minorBidi"/>
                <w:sz w:val="22"/>
                <w:szCs w:val="22"/>
                <w:lang w:val="en-CA"/>
              </w:rPr>
              <w:t>0.04</w:t>
            </w:r>
          </w:p>
        </w:tc>
      </w:tr>
    </w:tbl>
    <w:p w:rsidR="00FD112C" w:rsidRDefault="00FD112C">
      <w:pPr>
        <w:rPr>
          <w:rFonts w:cstheme="minorBidi"/>
          <w:b/>
          <w:bCs/>
          <w:lang w:val="en-GB"/>
        </w:rPr>
      </w:pPr>
    </w:p>
    <w:p w:rsidR="00FD112C" w:rsidRDefault="00FD112C">
      <w:pPr>
        <w:pStyle w:val="Caption"/>
        <w:spacing w:after="0"/>
        <w:outlineLvl w:val="0"/>
        <w:rPr>
          <w:rFonts w:ascii="Times New Roman" w:hAnsi="Times New Roman" w:cs="Times New Roman"/>
          <w:lang w:val="en-GB"/>
        </w:rPr>
      </w:pPr>
      <w:r>
        <w:rPr>
          <w:rFonts w:ascii="Times New Roman" w:hAnsi="Times New Roman" w:cs="Times New Roman"/>
          <w:lang w:val="en-GB"/>
        </w:rPr>
        <w:t>Table A.4 Secondary analysis results (T1 + T2 vs T4)</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6"/>
        <w:gridCol w:w="3173"/>
        <w:gridCol w:w="3173"/>
      </w:tblGrid>
      <w:tr w:rsidR="00FD112C">
        <w:trPr>
          <w:trHeight w:val="380"/>
        </w:trPr>
        <w:tc>
          <w:tcPr>
            <w:tcW w:w="2156" w:type="dxa"/>
            <w:vAlign w:val="center"/>
          </w:tcPr>
          <w:p w:rsidR="00FD112C" w:rsidRDefault="00FD112C">
            <w:pPr>
              <w:spacing w:line="240" w:lineRule="auto"/>
              <w:jc w:val="center"/>
              <w:rPr>
                <w:rFonts w:eastAsia="Times New Roman" w:cstheme="minorBidi"/>
                <w:b/>
                <w:bCs/>
                <w:sz w:val="22"/>
                <w:szCs w:val="22"/>
                <w:lang w:val="en-CA"/>
              </w:rPr>
            </w:pPr>
            <w:r>
              <w:rPr>
                <w:rFonts w:eastAsia="Times New Roman" w:cstheme="minorBidi"/>
                <w:b/>
                <w:bCs/>
                <w:sz w:val="22"/>
                <w:szCs w:val="22"/>
                <w:lang w:val="en-CA"/>
              </w:rPr>
              <w:t>Variable</w:t>
            </w:r>
          </w:p>
        </w:tc>
        <w:tc>
          <w:tcPr>
            <w:tcW w:w="3173" w:type="dxa"/>
            <w:vAlign w:val="center"/>
          </w:tcPr>
          <w:p w:rsidR="00FD112C" w:rsidRDefault="00FD112C">
            <w:pPr>
              <w:spacing w:line="240" w:lineRule="auto"/>
              <w:jc w:val="center"/>
              <w:rPr>
                <w:rFonts w:eastAsia="Times New Roman" w:cstheme="minorBidi"/>
                <w:b/>
                <w:bCs/>
                <w:sz w:val="22"/>
                <w:szCs w:val="22"/>
                <w:lang w:val="en-CA"/>
              </w:rPr>
            </w:pPr>
            <w:r>
              <w:rPr>
                <w:rFonts w:eastAsia="Times New Roman" w:cstheme="minorBidi"/>
                <w:b/>
                <w:bCs/>
                <w:sz w:val="22"/>
                <w:szCs w:val="22"/>
                <w:lang w:val="en-CA"/>
              </w:rPr>
              <w:t>Estimate  (95% Credible Interval)</w:t>
            </w:r>
          </w:p>
        </w:tc>
        <w:tc>
          <w:tcPr>
            <w:tcW w:w="3173" w:type="dxa"/>
          </w:tcPr>
          <w:p w:rsidR="00FD112C" w:rsidRDefault="00FD112C">
            <w:pPr>
              <w:spacing w:line="240" w:lineRule="auto"/>
              <w:jc w:val="center"/>
              <w:rPr>
                <w:rFonts w:eastAsia="Times New Roman" w:cstheme="minorBidi"/>
                <w:b/>
                <w:bCs/>
                <w:sz w:val="22"/>
                <w:szCs w:val="22"/>
                <w:lang w:val="en-CA"/>
              </w:rPr>
            </w:pPr>
            <w:r>
              <w:rPr>
                <w:rFonts w:eastAsia="Times New Roman" w:cstheme="minorBidi"/>
                <w:b/>
                <w:bCs/>
                <w:sz w:val="22"/>
                <w:szCs w:val="22"/>
                <w:lang w:val="en-CA"/>
              </w:rPr>
              <w:t>Probability of a positive effect</w:t>
            </w:r>
          </w:p>
        </w:tc>
      </w:tr>
      <w:tr w:rsidR="00FD112C">
        <w:trPr>
          <w:trHeight w:val="954"/>
        </w:trPr>
        <w:tc>
          <w:tcPr>
            <w:tcW w:w="2156" w:type="dxa"/>
            <w:vAlign w:val="center"/>
          </w:tcPr>
          <w:p w:rsidR="00FD112C" w:rsidRDefault="00FD112C">
            <w:pPr>
              <w:spacing w:line="240" w:lineRule="auto"/>
              <w:rPr>
                <w:rFonts w:eastAsia="Times New Roman" w:cstheme="minorBidi"/>
                <w:sz w:val="22"/>
                <w:szCs w:val="22"/>
                <w:lang w:val="en-CA"/>
              </w:rPr>
            </w:pPr>
            <w:r>
              <w:rPr>
                <w:rFonts w:eastAsia="Times New Roman" w:cstheme="minorBidi"/>
                <w:sz w:val="22"/>
                <w:szCs w:val="22"/>
                <w:lang w:val="en-CA"/>
              </w:rPr>
              <w:t>Endline CD4 cell counts</w:t>
            </w:r>
          </w:p>
          <w:p w:rsidR="00FD112C" w:rsidRDefault="00FD112C">
            <w:pPr>
              <w:spacing w:line="240" w:lineRule="auto"/>
              <w:rPr>
                <w:rFonts w:eastAsia="Times New Roman" w:cstheme="minorBidi"/>
                <w:sz w:val="22"/>
                <w:szCs w:val="22"/>
                <w:lang w:val="en-CA"/>
              </w:rPr>
            </w:pPr>
            <w:r>
              <w:rPr>
                <w:rFonts w:eastAsia="Times New Roman" w:cstheme="minorBidi"/>
                <w:sz w:val="22"/>
                <w:szCs w:val="22"/>
                <w:lang w:val="en-CA"/>
              </w:rPr>
              <w:t>(mean difference)</w:t>
            </w:r>
          </w:p>
        </w:tc>
        <w:tc>
          <w:tcPr>
            <w:tcW w:w="3173" w:type="dxa"/>
            <w:vAlign w:val="center"/>
          </w:tcPr>
          <w:p w:rsidR="00FD112C" w:rsidRDefault="00FD112C">
            <w:pPr>
              <w:spacing w:line="240" w:lineRule="auto"/>
              <w:jc w:val="center"/>
              <w:rPr>
                <w:rFonts w:eastAsia="Times New Roman" w:cstheme="minorBidi"/>
                <w:sz w:val="22"/>
                <w:szCs w:val="22"/>
                <w:lang w:val="en-CA"/>
              </w:rPr>
            </w:pPr>
            <w:r>
              <w:rPr>
                <w:rFonts w:eastAsia="Times New Roman" w:cstheme="minorBidi"/>
                <w:sz w:val="22"/>
                <w:szCs w:val="22"/>
                <w:lang w:val="en-CA"/>
              </w:rPr>
              <w:t>4.36 (-107.09, 122.34)</w:t>
            </w:r>
          </w:p>
        </w:tc>
        <w:tc>
          <w:tcPr>
            <w:tcW w:w="3173" w:type="dxa"/>
            <w:vAlign w:val="center"/>
          </w:tcPr>
          <w:p w:rsidR="00FD112C" w:rsidRDefault="00FD112C">
            <w:pPr>
              <w:spacing w:line="240" w:lineRule="auto"/>
              <w:jc w:val="center"/>
              <w:rPr>
                <w:rFonts w:eastAsia="Times New Roman" w:cstheme="minorBidi"/>
                <w:sz w:val="22"/>
                <w:szCs w:val="22"/>
                <w:lang w:val="en-CA"/>
              </w:rPr>
            </w:pPr>
            <w:r>
              <w:rPr>
                <w:rFonts w:eastAsia="Times New Roman" w:cstheme="minorBidi"/>
                <w:sz w:val="22"/>
                <w:szCs w:val="22"/>
                <w:lang w:val="en-CA"/>
              </w:rPr>
              <w:t>0.52</w:t>
            </w:r>
          </w:p>
        </w:tc>
      </w:tr>
      <w:tr w:rsidR="00FD112C">
        <w:tc>
          <w:tcPr>
            <w:tcW w:w="2156" w:type="dxa"/>
            <w:vAlign w:val="center"/>
          </w:tcPr>
          <w:p w:rsidR="00FD112C" w:rsidRDefault="00FD112C">
            <w:pPr>
              <w:spacing w:line="240" w:lineRule="auto"/>
              <w:rPr>
                <w:rFonts w:eastAsia="Times New Roman" w:cstheme="minorBidi"/>
                <w:sz w:val="22"/>
                <w:szCs w:val="22"/>
                <w:lang w:val="en-CA"/>
              </w:rPr>
            </w:pPr>
            <w:r>
              <w:rPr>
                <w:rFonts w:eastAsia="Times New Roman" w:cstheme="minorBidi"/>
                <w:sz w:val="22"/>
                <w:szCs w:val="22"/>
                <w:lang w:val="en-CA"/>
              </w:rPr>
              <w:t>Health expenditure</w:t>
            </w:r>
          </w:p>
          <w:p w:rsidR="00FD112C" w:rsidRDefault="00FD112C">
            <w:pPr>
              <w:spacing w:line="240" w:lineRule="auto"/>
              <w:rPr>
                <w:rFonts w:eastAsia="Times New Roman" w:cstheme="minorBidi"/>
                <w:sz w:val="22"/>
                <w:szCs w:val="22"/>
                <w:lang w:val="en-CA"/>
              </w:rPr>
            </w:pPr>
            <w:r>
              <w:rPr>
                <w:rFonts w:eastAsia="Times New Roman" w:cstheme="minorBidi"/>
                <w:sz w:val="22"/>
                <w:szCs w:val="22"/>
                <w:lang w:val="en-CA"/>
              </w:rPr>
              <w:t>(mean difference [USD])</w:t>
            </w:r>
          </w:p>
        </w:tc>
        <w:tc>
          <w:tcPr>
            <w:tcW w:w="3173" w:type="dxa"/>
            <w:vAlign w:val="center"/>
          </w:tcPr>
          <w:p w:rsidR="00FD112C" w:rsidRDefault="00FD112C">
            <w:pPr>
              <w:spacing w:line="240" w:lineRule="auto"/>
              <w:jc w:val="center"/>
              <w:rPr>
                <w:rFonts w:eastAsia="Times New Roman" w:cstheme="minorBidi"/>
                <w:sz w:val="22"/>
                <w:szCs w:val="22"/>
                <w:lang w:val="en-CA"/>
              </w:rPr>
            </w:pPr>
            <w:r>
              <w:rPr>
                <w:rFonts w:eastAsia="Times New Roman" w:cstheme="minorBidi"/>
                <w:sz w:val="22"/>
                <w:szCs w:val="22"/>
                <w:lang w:val="en-CA"/>
              </w:rPr>
              <w:t>-1.12 (-15.79, 13.33)</w:t>
            </w:r>
          </w:p>
        </w:tc>
        <w:tc>
          <w:tcPr>
            <w:tcW w:w="3173" w:type="dxa"/>
            <w:vAlign w:val="center"/>
          </w:tcPr>
          <w:p w:rsidR="00FD112C" w:rsidRDefault="00FD112C">
            <w:pPr>
              <w:spacing w:line="240" w:lineRule="auto"/>
              <w:jc w:val="center"/>
              <w:rPr>
                <w:rFonts w:eastAsia="Times New Roman" w:cstheme="minorBidi"/>
                <w:sz w:val="22"/>
                <w:szCs w:val="22"/>
                <w:lang w:val="en-CA"/>
              </w:rPr>
            </w:pPr>
            <w:r>
              <w:rPr>
                <w:rFonts w:eastAsia="Times New Roman" w:cstheme="minorBidi"/>
                <w:sz w:val="22"/>
                <w:szCs w:val="22"/>
                <w:lang w:val="en-CA"/>
              </w:rPr>
              <w:t>0.44</w:t>
            </w:r>
          </w:p>
        </w:tc>
      </w:tr>
      <w:tr w:rsidR="00FD112C">
        <w:tc>
          <w:tcPr>
            <w:tcW w:w="2156" w:type="dxa"/>
            <w:vAlign w:val="center"/>
          </w:tcPr>
          <w:p w:rsidR="00FD112C" w:rsidRDefault="00FD112C">
            <w:pPr>
              <w:spacing w:line="240" w:lineRule="auto"/>
              <w:rPr>
                <w:rFonts w:eastAsia="Times New Roman" w:cstheme="minorBidi"/>
                <w:sz w:val="22"/>
                <w:szCs w:val="22"/>
                <w:lang w:val="en-CA"/>
              </w:rPr>
            </w:pPr>
            <w:r>
              <w:rPr>
                <w:rFonts w:eastAsia="Times New Roman" w:cstheme="minorBidi"/>
                <w:sz w:val="22"/>
                <w:szCs w:val="22"/>
                <w:lang w:val="en-CA"/>
              </w:rPr>
              <w:t>Food security (OR)</w:t>
            </w:r>
          </w:p>
        </w:tc>
        <w:tc>
          <w:tcPr>
            <w:tcW w:w="3173" w:type="dxa"/>
            <w:vAlign w:val="center"/>
          </w:tcPr>
          <w:p w:rsidR="00FD112C" w:rsidRDefault="00FD112C">
            <w:pPr>
              <w:spacing w:line="240" w:lineRule="auto"/>
              <w:jc w:val="center"/>
              <w:rPr>
                <w:rFonts w:eastAsia="Times New Roman" w:cstheme="minorBidi"/>
                <w:sz w:val="22"/>
                <w:szCs w:val="22"/>
                <w:lang w:val="en-CA"/>
              </w:rPr>
            </w:pPr>
            <w:r>
              <w:rPr>
                <w:rFonts w:eastAsia="Times New Roman" w:cstheme="minorBidi"/>
                <w:sz w:val="22"/>
                <w:szCs w:val="22"/>
                <w:lang w:val="en-CA"/>
              </w:rPr>
              <w:t>1.84 (0.56, 6.08)</w:t>
            </w:r>
          </w:p>
        </w:tc>
        <w:tc>
          <w:tcPr>
            <w:tcW w:w="3173" w:type="dxa"/>
            <w:vAlign w:val="center"/>
          </w:tcPr>
          <w:p w:rsidR="00FD112C" w:rsidRDefault="00FD112C">
            <w:pPr>
              <w:spacing w:line="240" w:lineRule="auto"/>
              <w:jc w:val="center"/>
              <w:rPr>
                <w:rFonts w:eastAsia="Times New Roman" w:cstheme="minorBidi"/>
                <w:sz w:val="22"/>
                <w:szCs w:val="22"/>
                <w:lang w:val="en-CA"/>
              </w:rPr>
            </w:pPr>
            <w:r>
              <w:rPr>
                <w:rFonts w:eastAsia="Times New Roman" w:cstheme="minorBidi"/>
                <w:sz w:val="22"/>
                <w:szCs w:val="22"/>
                <w:lang w:val="en-CA"/>
              </w:rPr>
              <w:t>0.83</w:t>
            </w:r>
          </w:p>
        </w:tc>
      </w:tr>
      <w:tr w:rsidR="00FD112C">
        <w:tc>
          <w:tcPr>
            <w:tcW w:w="2156" w:type="dxa"/>
            <w:vAlign w:val="center"/>
          </w:tcPr>
          <w:p w:rsidR="00FD112C" w:rsidRDefault="00FD112C">
            <w:pPr>
              <w:spacing w:line="240" w:lineRule="auto"/>
              <w:rPr>
                <w:rFonts w:eastAsia="Times New Roman" w:cstheme="minorBidi"/>
                <w:sz w:val="22"/>
                <w:szCs w:val="22"/>
                <w:lang w:val="en-CA"/>
              </w:rPr>
            </w:pPr>
            <w:r>
              <w:rPr>
                <w:rFonts w:eastAsia="Times New Roman" w:cstheme="minorBidi"/>
                <w:sz w:val="22"/>
                <w:szCs w:val="22"/>
                <w:lang w:val="en-CA"/>
              </w:rPr>
              <w:t>Adherence (OR)</w:t>
            </w:r>
          </w:p>
        </w:tc>
        <w:tc>
          <w:tcPr>
            <w:tcW w:w="3173" w:type="dxa"/>
            <w:vAlign w:val="center"/>
          </w:tcPr>
          <w:p w:rsidR="00FD112C" w:rsidRDefault="00FD112C">
            <w:pPr>
              <w:spacing w:line="240" w:lineRule="auto"/>
              <w:jc w:val="center"/>
              <w:rPr>
                <w:rFonts w:eastAsia="Times New Roman" w:cstheme="minorBidi"/>
                <w:sz w:val="22"/>
                <w:szCs w:val="22"/>
                <w:lang w:val="en-CA"/>
              </w:rPr>
            </w:pPr>
            <w:r>
              <w:rPr>
                <w:rFonts w:eastAsia="Times New Roman" w:cstheme="minorBidi"/>
                <w:sz w:val="22"/>
                <w:szCs w:val="22"/>
                <w:lang w:val="en-CA"/>
              </w:rPr>
              <w:t>2.64 (0.29, 24.63)</w:t>
            </w:r>
          </w:p>
        </w:tc>
        <w:tc>
          <w:tcPr>
            <w:tcW w:w="3173" w:type="dxa"/>
            <w:vAlign w:val="center"/>
          </w:tcPr>
          <w:p w:rsidR="00FD112C" w:rsidRDefault="00FD112C">
            <w:pPr>
              <w:spacing w:line="240" w:lineRule="auto"/>
              <w:jc w:val="center"/>
              <w:rPr>
                <w:rFonts w:eastAsia="Times New Roman" w:cstheme="minorBidi"/>
                <w:sz w:val="22"/>
                <w:szCs w:val="22"/>
                <w:lang w:val="en-CA"/>
              </w:rPr>
            </w:pPr>
            <w:r>
              <w:rPr>
                <w:rFonts w:eastAsia="Times New Roman" w:cstheme="minorBidi"/>
                <w:sz w:val="22"/>
                <w:szCs w:val="22"/>
                <w:lang w:val="en-CA"/>
              </w:rPr>
              <w:t>0.80</w:t>
            </w:r>
          </w:p>
        </w:tc>
      </w:tr>
      <w:tr w:rsidR="00FD112C">
        <w:tc>
          <w:tcPr>
            <w:tcW w:w="2156" w:type="dxa"/>
            <w:vAlign w:val="center"/>
          </w:tcPr>
          <w:p w:rsidR="00FD112C" w:rsidRDefault="00FD112C">
            <w:pPr>
              <w:spacing w:line="240" w:lineRule="auto"/>
              <w:rPr>
                <w:rFonts w:eastAsia="Times New Roman" w:cstheme="minorBidi"/>
                <w:sz w:val="22"/>
                <w:szCs w:val="22"/>
                <w:lang w:val="en-CA"/>
              </w:rPr>
            </w:pPr>
            <w:r>
              <w:rPr>
                <w:rFonts w:eastAsia="Times New Roman" w:cstheme="minorBidi"/>
                <w:sz w:val="22"/>
                <w:szCs w:val="22"/>
                <w:lang w:val="en-CA"/>
              </w:rPr>
              <w:t>Condom use (OR)</w:t>
            </w:r>
          </w:p>
        </w:tc>
        <w:tc>
          <w:tcPr>
            <w:tcW w:w="3173" w:type="dxa"/>
            <w:vAlign w:val="center"/>
          </w:tcPr>
          <w:p w:rsidR="00FD112C" w:rsidRDefault="00FD112C">
            <w:pPr>
              <w:spacing w:line="240" w:lineRule="auto"/>
              <w:jc w:val="center"/>
              <w:rPr>
                <w:rFonts w:eastAsia="Times New Roman" w:cstheme="minorBidi"/>
                <w:sz w:val="22"/>
                <w:szCs w:val="22"/>
                <w:lang w:val="en-CA"/>
              </w:rPr>
            </w:pPr>
            <w:r>
              <w:rPr>
                <w:rFonts w:eastAsia="Times New Roman" w:cstheme="minorBidi"/>
                <w:sz w:val="22"/>
                <w:szCs w:val="22"/>
                <w:lang w:val="en-CA"/>
              </w:rPr>
              <w:t>0.68 (0.16, 3.17)</w:t>
            </w:r>
          </w:p>
        </w:tc>
        <w:tc>
          <w:tcPr>
            <w:tcW w:w="3173" w:type="dxa"/>
            <w:vAlign w:val="center"/>
          </w:tcPr>
          <w:p w:rsidR="00FD112C" w:rsidRDefault="00FD112C">
            <w:pPr>
              <w:spacing w:line="240" w:lineRule="auto"/>
              <w:jc w:val="center"/>
              <w:rPr>
                <w:rFonts w:eastAsia="Times New Roman" w:cstheme="minorBidi"/>
                <w:sz w:val="22"/>
                <w:szCs w:val="22"/>
                <w:lang w:val="en-CA"/>
              </w:rPr>
            </w:pPr>
            <w:r>
              <w:rPr>
                <w:rFonts w:eastAsia="Times New Roman" w:cstheme="minorBidi"/>
                <w:sz w:val="22"/>
                <w:szCs w:val="22"/>
                <w:lang w:val="en-CA"/>
              </w:rPr>
              <w:t>0.30</w:t>
            </w:r>
          </w:p>
        </w:tc>
      </w:tr>
    </w:tbl>
    <w:p w:rsidR="00FD112C" w:rsidRDefault="00FD112C">
      <w:pPr>
        <w:rPr>
          <w:rFonts w:cstheme="minorBidi"/>
          <w:b/>
          <w:bCs/>
          <w:lang w:val="en-GB"/>
        </w:rPr>
      </w:pPr>
    </w:p>
    <w:p w:rsidR="00FD112C" w:rsidRDefault="00FD112C">
      <w:pPr>
        <w:rPr>
          <w:rFonts w:cstheme="minorBidi"/>
          <w:b/>
          <w:bCs/>
          <w:lang w:val="en-GB"/>
        </w:rPr>
      </w:pPr>
    </w:p>
    <w:p w:rsidR="00FD112C" w:rsidRDefault="00FD112C">
      <w:pPr>
        <w:ind w:left="567"/>
        <w:outlineLvl w:val="0"/>
        <w:rPr>
          <w:b/>
          <w:bCs/>
          <w:lang w:val="en-GB"/>
        </w:rPr>
      </w:pPr>
      <w:r>
        <w:rPr>
          <w:b/>
          <w:bCs/>
          <w:lang w:val="en-GB"/>
        </w:rPr>
        <w:t>Table A.5 Endline outcomes per intervention group</w:t>
      </w:r>
    </w:p>
    <w:tbl>
      <w:tblPr>
        <w:tblW w:w="373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86"/>
        <w:gridCol w:w="1536"/>
        <w:gridCol w:w="1108"/>
        <w:gridCol w:w="998"/>
        <w:gridCol w:w="1536"/>
      </w:tblGrid>
      <w:tr w:rsidR="00FD112C">
        <w:trPr>
          <w:trHeight w:val="399"/>
          <w:tblHeader/>
        </w:trPr>
        <w:tc>
          <w:tcPr>
            <w:tcW w:w="1370" w:type="pct"/>
          </w:tcPr>
          <w:p w:rsidR="00FD112C" w:rsidRDefault="00FD112C">
            <w:pPr>
              <w:tabs>
                <w:tab w:val="left" w:pos="8789"/>
                <w:tab w:val="left" w:pos="9356"/>
              </w:tabs>
              <w:spacing w:after="0" w:line="240" w:lineRule="auto"/>
              <w:ind w:left="426" w:right="425"/>
              <w:rPr>
                <w:rFonts w:eastAsia="Times New Roman" w:cstheme="minorBidi"/>
                <w:sz w:val="22"/>
                <w:szCs w:val="22"/>
                <w:lang w:val="en-CA"/>
              </w:rPr>
            </w:pPr>
            <w:r>
              <w:rPr>
                <w:rFonts w:eastAsia="Times New Roman" w:cstheme="minorBidi"/>
                <w:b/>
                <w:bCs/>
                <w:sz w:val="22"/>
                <w:szCs w:val="22"/>
                <w:lang w:val="en-CA"/>
              </w:rPr>
              <w:t>Variable</w:t>
            </w:r>
          </w:p>
        </w:tc>
        <w:tc>
          <w:tcPr>
            <w:tcW w:w="1073" w:type="pct"/>
          </w:tcPr>
          <w:p w:rsidR="00FD112C" w:rsidRDefault="00FD112C">
            <w:pPr>
              <w:tabs>
                <w:tab w:val="left" w:pos="8789"/>
                <w:tab w:val="left" w:pos="9356"/>
              </w:tabs>
              <w:spacing w:after="0" w:line="240" w:lineRule="auto"/>
              <w:ind w:right="48"/>
              <w:rPr>
                <w:rFonts w:eastAsia="Times New Roman" w:cstheme="minorBidi"/>
                <w:b/>
                <w:bCs/>
                <w:sz w:val="22"/>
                <w:szCs w:val="22"/>
                <w:lang w:val="en-CA"/>
              </w:rPr>
            </w:pPr>
            <w:r>
              <w:rPr>
                <w:rFonts w:eastAsia="Times New Roman" w:cstheme="minorBidi"/>
                <w:b/>
                <w:bCs/>
                <w:sz w:val="22"/>
                <w:szCs w:val="22"/>
                <w:lang w:val="en-CA"/>
              </w:rPr>
              <w:t xml:space="preserve">T.1 Unstructured Grant </w:t>
            </w:r>
          </w:p>
          <w:p w:rsidR="00FD112C" w:rsidRDefault="00FD112C">
            <w:pPr>
              <w:tabs>
                <w:tab w:val="left" w:pos="8789"/>
                <w:tab w:val="left" w:pos="9356"/>
              </w:tabs>
              <w:spacing w:after="0" w:line="240" w:lineRule="auto"/>
              <w:ind w:right="48"/>
              <w:rPr>
                <w:rFonts w:eastAsia="Times New Roman" w:cstheme="minorBidi"/>
                <w:sz w:val="22"/>
                <w:szCs w:val="22"/>
                <w:lang w:val="en-CA"/>
              </w:rPr>
            </w:pPr>
            <w:r>
              <w:rPr>
                <w:rFonts w:eastAsia="Times New Roman" w:cstheme="minorBidi"/>
                <w:sz w:val="22"/>
                <w:szCs w:val="22"/>
                <w:lang w:val="en-CA"/>
              </w:rPr>
              <w:t xml:space="preserve">n = 537 </w:t>
            </w:r>
          </w:p>
          <w:p w:rsidR="00FD112C" w:rsidRDefault="00FD112C">
            <w:pPr>
              <w:tabs>
                <w:tab w:val="left" w:pos="8789"/>
                <w:tab w:val="left" w:pos="9356"/>
              </w:tabs>
              <w:spacing w:after="0" w:line="240" w:lineRule="auto"/>
              <w:ind w:right="48"/>
              <w:rPr>
                <w:rFonts w:eastAsia="Times New Roman" w:cstheme="minorBidi"/>
                <w:sz w:val="22"/>
                <w:szCs w:val="22"/>
                <w:lang w:val="en-CA"/>
              </w:rPr>
            </w:pPr>
          </w:p>
        </w:tc>
        <w:tc>
          <w:tcPr>
            <w:tcW w:w="779" w:type="pct"/>
          </w:tcPr>
          <w:p w:rsidR="00FD112C" w:rsidRDefault="00FD112C">
            <w:pPr>
              <w:tabs>
                <w:tab w:val="left" w:pos="8789"/>
                <w:tab w:val="left" w:pos="9356"/>
              </w:tabs>
              <w:spacing w:after="0" w:line="240" w:lineRule="auto"/>
              <w:ind w:right="48"/>
              <w:rPr>
                <w:rFonts w:eastAsia="Times New Roman" w:cstheme="minorBidi"/>
                <w:b/>
                <w:bCs/>
                <w:sz w:val="22"/>
                <w:szCs w:val="22"/>
                <w:lang w:val="en-CA"/>
              </w:rPr>
            </w:pPr>
            <w:r>
              <w:rPr>
                <w:rFonts w:eastAsia="Times New Roman" w:cstheme="minorBidi"/>
                <w:b/>
                <w:bCs/>
                <w:sz w:val="22"/>
                <w:szCs w:val="22"/>
                <w:lang w:val="en-CA"/>
              </w:rPr>
              <w:t xml:space="preserve">T2. Mental Planning + Grant </w:t>
            </w:r>
          </w:p>
          <w:p w:rsidR="00FD112C" w:rsidRDefault="00FD112C">
            <w:pPr>
              <w:tabs>
                <w:tab w:val="left" w:pos="8789"/>
                <w:tab w:val="left" w:pos="9356"/>
              </w:tabs>
              <w:spacing w:after="0" w:line="240" w:lineRule="auto"/>
              <w:ind w:right="48"/>
              <w:rPr>
                <w:rFonts w:eastAsia="Times New Roman" w:cstheme="minorBidi"/>
                <w:sz w:val="22"/>
                <w:szCs w:val="22"/>
                <w:lang w:val="en-CA"/>
              </w:rPr>
            </w:pPr>
            <w:r>
              <w:rPr>
                <w:rFonts w:eastAsia="Times New Roman" w:cstheme="minorBidi"/>
                <w:sz w:val="22"/>
                <w:szCs w:val="22"/>
                <w:lang w:val="en-CA"/>
              </w:rPr>
              <w:t>n = 544</w:t>
            </w:r>
          </w:p>
        </w:tc>
        <w:tc>
          <w:tcPr>
            <w:tcW w:w="704" w:type="pct"/>
          </w:tcPr>
          <w:p w:rsidR="00FD112C" w:rsidRDefault="00FD112C">
            <w:pPr>
              <w:tabs>
                <w:tab w:val="left" w:pos="8789"/>
                <w:tab w:val="left" w:pos="9356"/>
              </w:tabs>
              <w:spacing w:after="0" w:line="240" w:lineRule="auto"/>
              <w:ind w:right="48"/>
              <w:rPr>
                <w:rFonts w:eastAsia="Times New Roman" w:cstheme="minorBidi"/>
                <w:b/>
                <w:bCs/>
                <w:sz w:val="22"/>
                <w:szCs w:val="22"/>
                <w:lang w:val="en-CA"/>
              </w:rPr>
            </w:pPr>
            <w:r>
              <w:rPr>
                <w:rFonts w:eastAsia="Times New Roman" w:cstheme="minorBidi"/>
                <w:b/>
                <w:bCs/>
                <w:sz w:val="22"/>
                <w:szCs w:val="22"/>
                <w:lang w:val="en-CA"/>
              </w:rPr>
              <w:t xml:space="preserve">T3. Pure Control </w:t>
            </w:r>
          </w:p>
          <w:p w:rsidR="00FD112C" w:rsidRDefault="00FD112C">
            <w:pPr>
              <w:tabs>
                <w:tab w:val="left" w:pos="8789"/>
                <w:tab w:val="left" w:pos="9356"/>
              </w:tabs>
              <w:spacing w:after="0" w:line="240" w:lineRule="auto"/>
              <w:ind w:right="48"/>
              <w:rPr>
                <w:rFonts w:eastAsia="Times New Roman" w:cstheme="minorBidi"/>
                <w:sz w:val="22"/>
                <w:szCs w:val="22"/>
                <w:lang w:val="en-CA"/>
              </w:rPr>
            </w:pPr>
            <w:r>
              <w:rPr>
                <w:rFonts w:eastAsia="Times New Roman" w:cstheme="minorBidi"/>
                <w:sz w:val="22"/>
                <w:szCs w:val="22"/>
                <w:lang w:val="en-CA"/>
              </w:rPr>
              <w:t xml:space="preserve">n = 547 </w:t>
            </w:r>
          </w:p>
        </w:tc>
        <w:tc>
          <w:tcPr>
            <w:tcW w:w="1073" w:type="pct"/>
          </w:tcPr>
          <w:p w:rsidR="00FD112C" w:rsidRDefault="00FD112C">
            <w:pPr>
              <w:tabs>
                <w:tab w:val="left" w:pos="8789"/>
                <w:tab w:val="left" w:pos="9356"/>
              </w:tabs>
              <w:spacing w:after="0" w:line="240" w:lineRule="auto"/>
              <w:ind w:right="48"/>
              <w:rPr>
                <w:rFonts w:eastAsia="Times New Roman" w:cstheme="minorBidi"/>
                <w:b/>
                <w:bCs/>
                <w:sz w:val="22"/>
                <w:szCs w:val="22"/>
                <w:lang w:val="en-CA"/>
              </w:rPr>
            </w:pPr>
            <w:r>
              <w:rPr>
                <w:rFonts w:eastAsia="Times New Roman" w:cstheme="minorBidi"/>
                <w:b/>
                <w:bCs/>
                <w:sz w:val="22"/>
                <w:szCs w:val="22"/>
                <w:lang w:val="en-CA"/>
              </w:rPr>
              <w:t xml:space="preserve">T4. Expectations/ Control </w:t>
            </w:r>
          </w:p>
          <w:p w:rsidR="00FD112C" w:rsidRDefault="00FD112C">
            <w:pPr>
              <w:tabs>
                <w:tab w:val="left" w:pos="8789"/>
                <w:tab w:val="left" w:pos="9356"/>
              </w:tabs>
              <w:spacing w:after="0" w:line="240" w:lineRule="auto"/>
              <w:ind w:right="48"/>
              <w:rPr>
                <w:rFonts w:eastAsia="Times New Roman" w:cstheme="minorBidi"/>
                <w:sz w:val="22"/>
                <w:szCs w:val="22"/>
                <w:lang w:val="en-CA"/>
              </w:rPr>
            </w:pPr>
            <w:r>
              <w:rPr>
                <w:rFonts w:eastAsia="Times New Roman" w:cstheme="minorBidi"/>
                <w:sz w:val="22"/>
                <w:szCs w:val="22"/>
                <w:lang w:val="en-CA"/>
              </w:rPr>
              <w:t>n = 542</w:t>
            </w:r>
          </w:p>
        </w:tc>
      </w:tr>
      <w:tr w:rsidR="00FD112C">
        <w:trPr>
          <w:trHeight w:val="702"/>
        </w:trPr>
        <w:tc>
          <w:tcPr>
            <w:tcW w:w="1370" w:type="pct"/>
          </w:tcPr>
          <w:p w:rsidR="00FD112C" w:rsidRDefault="00FD112C">
            <w:pPr>
              <w:tabs>
                <w:tab w:val="left" w:pos="8789"/>
                <w:tab w:val="left" w:pos="9356"/>
              </w:tabs>
              <w:spacing w:line="240" w:lineRule="auto"/>
              <w:ind w:right="48"/>
              <w:rPr>
                <w:rFonts w:eastAsia="Times New Roman" w:cstheme="minorBidi"/>
                <w:sz w:val="22"/>
                <w:szCs w:val="22"/>
                <w:lang w:val="en-CA"/>
              </w:rPr>
            </w:pPr>
            <w:r>
              <w:rPr>
                <w:rFonts w:eastAsia="Times New Roman" w:cstheme="minorBidi"/>
                <w:sz w:val="22"/>
                <w:szCs w:val="22"/>
                <w:lang w:val="en-CA"/>
              </w:rPr>
              <w:t>Endline CD4 cell counts (mean)</w:t>
            </w:r>
          </w:p>
        </w:tc>
        <w:tc>
          <w:tcPr>
            <w:tcW w:w="1073" w:type="pct"/>
          </w:tcPr>
          <w:p w:rsidR="00FD112C" w:rsidRDefault="00FD112C">
            <w:pPr>
              <w:tabs>
                <w:tab w:val="left" w:pos="8789"/>
                <w:tab w:val="left" w:pos="9356"/>
              </w:tabs>
              <w:spacing w:line="240" w:lineRule="auto"/>
              <w:ind w:right="48"/>
              <w:rPr>
                <w:rFonts w:eastAsia="Times New Roman" w:cstheme="minorBidi"/>
                <w:sz w:val="22"/>
                <w:szCs w:val="22"/>
                <w:lang w:val="en-CA"/>
              </w:rPr>
            </w:pPr>
            <w:r>
              <w:rPr>
                <w:rFonts w:eastAsia="Times New Roman" w:cstheme="minorBidi"/>
                <w:sz w:val="22"/>
                <w:szCs w:val="22"/>
                <w:lang w:val="en-CA"/>
              </w:rPr>
              <w:t>528.81</w:t>
            </w:r>
          </w:p>
        </w:tc>
        <w:tc>
          <w:tcPr>
            <w:tcW w:w="779" w:type="pct"/>
          </w:tcPr>
          <w:p w:rsidR="00FD112C" w:rsidRDefault="00FD112C">
            <w:pPr>
              <w:tabs>
                <w:tab w:val="left" w:pos="8789"/>
                <w:tab w:val="left" w:pos="9356"/>
              </w:tabs>
              <w:spacing w:line="240" w:lineRule="auto"/>
              <w:ind w:right="48"/>
              <w:rPr>
                <w:rFonts w:eastAsia="Times New Roman" w:cstheme="minorBidi"/>
                <w:sz w:val="22"/>
                <w:szCs w:val="22"/>
                <w:lang w:val="en-CA"/>
              </w:rPr>
            </w:pPr>
            <w:r>
              <w:rPr>
                <w:rFonts w:eastAsia="Times New Roman" w:cstheme="minorBidi"/>
                <w:sz w:val="22"/>
                <w:szCs w:val="22"/>
                <w:lang w:val="en-CA"/>
              </w:rPr>
              <w:t>523.30</w:t>
            </w:r>
          </w:p>
        </w:tc>
        <w:tc>
          <w:tcPr>
            <w:tcW w:w="704" w:type="pct"/>
          </w:tcPr>
          <w:p w:rsidR="00FD112C" w:rsidRDefault="00FD112C">
            <w:pPr>
              <w:tabs>
                <w:tab w:val="left" w:pos="8789"/>
                <w:tab w:val="left" w:pos="9356"/>
              </w:tabs>
              <w:spacing w:line="240" w:lineRule="auto"/>
              <w:ind w:right="48"/>
              <w:rPr>
                <w:rFonts w:eastAsia="Times New Roman" w:cstheme="minorBidi"/>
                <w:sz w:val="22"/>
                <w:szCs w:val="22"/>
                <w:lang w:val="en-CA"/>
              </w:rPr>
            </w:pPr>
            <w:r>
              <w:rPr>
                <w:rFonts w:eastAsia="Times New Roman" w:cstheme="minorBidi"/>
                <w:sz w:val="22"/>
                <w:szCs w:val="22"/>
                <w:lang w:val="en-CA"/>
              </w:rPr>
              <w:t>542.99</w:t>
            </w:r>
          </w:p>
        </w:tc>
        <w:tc>
          <w:tcPr>
            <w:tcW w:w="1073" w:type="pct"/>
          </w:tcPr>
          <w:p w:rsidR="00FD112C" w:rsidRDefault="00FD112C">
            <w:pPr>
              <w:tabs>
                <w:tab w:val="left" w:pos="8789"/>
                <w:tab w:val="left" w:pos="9356"/>
              </w:tabs>
              <w:spacing w:line="240" w:lineRule="auto"/>
              <w:ind w:right="48"/>
              <w:rPr>
                <w:rFonts w:eastAsia="Times New Roman" w:cstheme="minorBidi"/>
                <w:sz w:val="22"/>
                <w:szCs w:val="22"/>
                <w:lang w:val="en-CA"/>
              </w:rPr>
            </w:pPr>
            <w:r>
              <w:rPr>
                <w:rFonts w:eastAsia="Times New Roman" w:cstheme="minorBidi"/>
                <w:sz w:val="22"/>
                <w:szCs w:val="22"/>
                <w:lang w:val="en-CA"/>
              </w:rPr>
              <w:t>556.20</w:t>
            </w:r>
          </w:p>
        </w:tc>
      </w:tr>
      <w:tr w:rsidR="00FD112C">
        <w:trPr>
          <w:trHeight w:val="702"/>
        </w:trPr>
        <w:tc>
          <w:tcPr>
            <w:tcW w:w="1370" w:type="pct"/>
          </w:tcPr>
          <w:p w:rsidR="00FD112C" w:rsidRDefault="00FD112C">
            <w:pPr>
              <w:tabs>
                <w:tab w:val="left" w:pos="8789"/>
                <w:tab w:val="left" w:pos="9356"/>
              </w:tabs>
              <w:spacing w:line="240" w:lineRule="auto"/>
              <w:ind w:right="48"/>
              <w:rPr>
                <w:rFonts w:eastAsia="Times New Roman" w:cstheme="minorBidi"/>
                <w:sz w:val="22"/>
                <w:szCs w:val="22"/>
                <w:lang w:val="en-CA"/>
              </w:rPr>
            </w:pPr>
            <w:r>
              <w:rPr>
                <w:rFonts w:eastAsia="Times New Roman" w:cstheme="minorBidi"/>
                <w:sz w:val="22"/>
                <w:szCs w:val="22"/>
                <w:lang w:val="en-CA"/>
              </w:rPr>
              <w:t>Health expenditure (mean [USD])</w:t>
            </w:r>
          </w:p>
        </w:tc>
        <w:tc>
          <w:tcPr>
            <w:tcW w:w="1073" w:type="pct"/>
          </w:tcPr>
          <w:p w:rsidR="00FD112C" w:rsidRDefault="00FD112C">
            <w:pPr>
              <w:tabs>
                <w:tab w:val="left" w:pos="8789"/>
                <w:tab w:val="left" w:pos="9356"/>
              </w:tabs>
              <w:spacing w:line="240" w:lineRule="auto"/>
              <w:ind w:right="48"/>
              <w:rPr>
                <w:rFonts w:eastAsia="Times New Roman" w:cstheme="minorBidi"/>
                <w:sz w:val="22"/>
                <w:szCs w:val="22"/>
                <w:lang w:val="en-CA"/>
              </w:rPr>
            </w:pPr>
            <w:r>
              <w:rPr>
                <w:rFonts w:eastAsia="Times New Roman" w:cstheme="minorBidi"/>
                <w:sz w:val="22"/>
                <w:szCs w:val="22"/>
                <w:lang w:val="en-CA"/>
              </w:rPr>
              <w:t>18.21</w:t>
            </w:r>
          </w:p>
        </w:tc>
        <w:tc>
          <w:tcPr>
            <w:tcW w:w="779" w:type="pct"/>
          </w:tcPr>
          <w:p w:rsidR="00FD112C" w:rsidRDefault="00FD112C">
            <w:pPr>
              <w:tabs>
                <w:tab w:val="left" w:pos="8789"/>
                <w:tab w:val="left" w:pos="9356"/>
              </w:tabs>
              <w:spacing w:line="240" w:lineRule="auto"/>
              <w:ind w:right="48"/>
              <w:rPr>
                <w:rFonts w:eastAsia="Times New Roman" w:cstheme="minorBidi"/>
                <w:sz w:val="22"/>
                <w:szCs w:val="22"/>
                <w:lang w:val="en-CA"/>
              </w:rPr>
            </w:pPr>
            <w:r>
              <w:rPr>
                <w:rFonts w:eastAsia="Times New Roman" w:cstheme="minorBidi"/>
                <w:sz w:val="22"/>
                <w:szCs w:val="22"/>
                <w:lang w:val="en-CA"/>
              </w:rPr>
              <w:t>17.68</w:t>
            </w:r>
          </w:p>
        </w:tc>
        <w:tc>
          <w:tcPr>
            <w:tcW w:w="704" w:type="pct"/>
          </w:tcPr>
          <w:p w:rsidR="00FD112C" w:rsidRDefault="00FD112C">
            <w:pPr>
              <w:tabs>
                <w:tab w:val="left" w:pos="8789"/>
                <w:tab w:val="left" w:pos="9356"/>
              </w:tabs>
              <w:spacing w:line="240" w:lineRule="auto"/>
              <w:ind w:right="48"/>
              <w:rPr>
                <w:rFonts w:eastAsia="Times New Roman" w:cstheme="minorBidi"/>
                <w:sz w:val="22"/>
                <w:szCs w:val="22"/>
                <w:lang w:val="en-CA"/>
              </w:rPr>
            </w:pPr>
            <w:r>
              <w:rPr>
                <w:rFonts w:eastAsia="Times New Roman" w:cstheme="minorBidi"/>
                <w:sz w:val="22"/>
                <w:szCs w:val="22"/>
                <w:lang w:val="en-CA"/>
              </w:rPr>
              <w:t>15.02</w:t>
            </w:r>
          </w:p>
        </w:tc>
        <w:tc>
          <w:tcPr>
            <w:tcW w:w="1073" w:type="pct"/>
          </w:tcPr>
          <w:p w:rsidR="00FD112C" w:rsidRDefault="00FD112C">
            <w:pPr>
              <w:tabs>
                <w:tab w:val="left" w:pos="8789"/>
                <w:tab w:val="left" w:pos="9356"/>
              </w:tabs>
              <w:spacing w:line="240" w:lineRule="auto"/>
              <w:ind w:right="48"/>
              <w:rPr>
                <w:rFonts w:eastAsia="Times New Roman" w:cstheme="minorBidi"/>
                <w:sz w:val="22"/>
                <w:szCs w:val="22"/>
                <w:lang w:val="en-CA"/>
              </w:rPr>
            </w:pPr>
            <w:r>
              <w:rPr>
                <w:rFonts w:eastAsia="Times New Roman" w:cstheme="minorBidi"/>
                <w:sz w:val="22"/>
                <w:szCs w:val="22"/>
                <w:lang w:val="en-CA"/>
              </w:rPr>
              <w:t>16.52</w:t>
            </w:r>
          </w:p>
        </w:tc>
      </w:tr>
      <w:tr w:rsidR="00FD112C">
        <w:trPr>
          <w:trHeight w:val="702"/>
        </w:trPr>
        <w:tc>
          <w:tcPr>
            <w:tcW w:w="1370" w:type="pct"/>
          </w:tcPr>
          <w:p w:rsidR="00FD112C" w:rsidRDefault="00FD112C">
            <w:pPr>
              <w:tabs>
                <w:tab w:val="left" w:pos="8789"/>
                <w:tab w:val="left" w:pos="9356"/>
              </w:tabs>
              <w:spacing w:line="240" w:lineRule="auto"/>
              <w:ind w:right="48"/>
              <w:rPr>
                <w:rFonts w:eastAsia="Times New Roman" w:cstheme="minorBidi"/>
                <w:sz w:val="22"/>
                <w:szCs w:val="22"/>
                <w:lang w:val="en-CA"/>
              </w:rPr>
            </w:pPr>
            <w:r>
              <w:rPr>
                <w:rFonts w:eastAsia="Times New Roman" w:cstheme="minorBidi"/>
                <w:sz w:val="22"/>
                <w:szCs w:val="22"/>
                <w:lang w:val="en-CA"/>
              </w:rPr>
              <w:t>Food security (NFI) (proportion)</w:t>
            </w:r>
          </w:p>
        </w:tc>
        <w:tc>
          <w:tcPr>
            <w:tcW w:w="1073" w:type="pct"/>
          </w:tcPr>
          <w:p w:rsidR="00FD112C" w:rsidRDefault="00FD112C">
            <w:pPr>
              <w:tabs>
                <w:tab w:val="left" w:pos="8789"/>
                <w:tab w:val="left" w:pos="9356"/>
              </w:tabs>
              <w:spacing w:line="240" w:lineRule="auto"/>
              <w:ind w:right="48"/>
              <w:rPr>
                <w:rFonts w:eastAsia="Times New Roman" w:cstheme="minorBidi"/>
                <w:sz w:val="22"/>
                <w:szCs w:val="22"/>
                <w:lang w:val="en-CA"/>
              </w:rPr>
            </w:pPr>
            <w:r>
              <w:rPr>
                <w:rFonts w:eastAsia="Times New Roman" w:cstheme="minorBidi"/>
                <w:sz w:val="22"/>
                <w:szCs w:val="22"/>
                <w:lang w:val="en-CA"/>
              </w:rPr>
              <w:t>0.59</w:t>
            </w:r>
          </w:p>
        </w:tc>
        <w:tc>
          <w:tcPr>
            <w:tcW w:w="779" w:type="pct"/>
          </w:tcPr>
          <w:p w:rsidR="00FD112C" w:rsidRDefault="00FD112C">
            <w:pPr>
              <w:tabs>
                <w:tab w:val="left" w:pos="8789"/>
                <w:tab w:val="left" w:pos="9356"/>
              </w:tabs>
              <w:spacing w:line="240" w:lineRule="auto"/>
              <w:ind w:right="48"/>
              <w:rPr>
                <w:rFonts w:eastAsia="Times New Roman" w:cstheme="minorBidi"/>
                <w:sz w:val="22"/>
                <w:szCs w:val="22"/>
                <w:lang w:val="en-CA"/>
              </w:rPr>
            </w:pPr>
            <w:r>
              <w:rPr>
                <w:rFonts w:eastAsia="Times New Roman" w:cstheme="minorBidi"/>
                <w:sz w:val="22"/>
                <w:szCs w:val="22"/>
                <w:lang w:val="en-CA"/>
              </w:rPr>
              <w:t>0.62</w:t>
            </w:r>
          </w:p>
        </w:tc>
        <w:tc>
          <w:tcPr>
            <w:tcW w:w="704" w:type="pct"/>
          </w:tcPr>
          <w:p w:rsidR="00FD112C" w:rsidRDefault="00FD112C">
            <w:pPr>
              <w:tabs>
                <w:tab w:val="left" w:pos="8789"/>
                <w:tab w:val="left" w:pos="9356"/>
              </w:tabs>
              <w:spacing w:line="240" w:lineRule="auto"/>
              <w:ind w:right="48"/>
              <w:rPr>
                <w:rFonts w:eastAsia="Times New Roman" w:cstheme="minorBidi"/>
                <w:sz w:val="22"/>
                <w:szCs w:val="22"/>
                <w:lang w:val="en-CA"/>
              </w:rPr>
            </w:pPr>
            <w:r>
              <w:rPr>
                <w:rFonts w:eastAsia="Times New Roman" w:cstheme="minorBidi"/>
                <w:sz w:val="22"/>
                <w:szCs w:val="22"/>
                <w:lang w:val="en-CA"/>
              </w:rPr>
              <w:t>0.57</w:t>
            </w:r>
          </w:p>
        </w:tc>
        <w:tc>
          <w:tcPr>
            <w:tcW w:w="1073" w:type="pct"/>
          </w:tcPr>
          <w:p w:rsidR="00FD112C" w:rsidRDefault="00FD112C">
            <w:pPr>
              <w:tabs>
                <w:tab w:val="left" w:pos="8789"/>
                <w:tab w:val="left" w:pos="9356"/>
              </w:tabs>
              <w:spacing w:line="240" w:lineRule="auto"/>
              <w:ind w:right="48"/>
              <w:rPr>
                <w:rFonts w:eastAsia="Times New Roman" w:cstheme="minorBidi"/>
                <w:sz w:val="22"/>
                <w:szCs w:val="22"/>
                <w:lang w:val="en-CA"/>
              </w:rPr>
            </w:pPr>
            <w:r>
              <w:rPr>
                <w:rFonts w:eastAsia="Times New Roman" w:cstheme="minorBidi"/>
                <w:sz w:val="22"/>
                <w:szCs w:val="22"/>
                <w:lang w:val="en-CA"/>
              </w:rPr>
              <w:t>0.54</w:t>
            </w:r>
          </w:p>
        </w:tc>
      </w:tr>
      <w:tr w:rsidR="00FD112C">
        <w:trPr>
          <w:trHeight w:val="702"/>
        </w:trPr>
        <w:tc>
          <w:tcPr>
            <w:tcW w:w="1370" w:type="pct"/>
            <w:vAlign w:val="center"/>
          </w:tcPr>
          <w:p w:rsidR="00FD112C" w:rsidRDefault="00FD112C">
            <w:pPr>
              <w:tabs>
                <w:tab w:val="left" w:pos="8789"/>
                <w:tab w:val="left" w:pos="9356"/>
              </w:tabs>
              <w:spacing w:line="240" w:lineRule="auto"/>
              <w:ind w:right="48"/>
              <w:rPr>
                <w:rFonts w:eastAsia="Times New Roman" w:cstheme="minorBidi"/>
                <w:sz w:val="22"/>
                <w:szCs w:val="22"/>
                <w:lang w:val="en-CA"/>
              </w:rPr>
            </w:pPr>
            <w:r>
              <w:rPr>
                <w:rFonts w:eastAsia="Times New Roman" w:cstheme="minorBidi"/>
                <w:sz w:val="22"/>
                <w:szCs w:val="22"/>
                <w:lang w:val="en-CA"/>
              </w:rPr>
              <w:t>Adherence (MPB) (proportion)</w:t>
            </w:r>
          </w:p>
        </w:tc>
        <w:tc>
          <w:tcPr>
            <w:tcW w:w="1073" w:type="pct"/>
          </w:tcPr>
          <w:p w:rsidR="00FD112C" w:rsidRDefault="00FD112C">
            <w:pPr>
              <w:tabs>
                <w:tab w:val="left" w:pos="8789"/>
                <w:tab w:val="left" w:pos="9356"/>
              </w:tabs>
              <w:spacing w:line="240" w:lineRule="auto"/>
              <w:ind w:right="48"/>
              <w:rPr>
                <w:rFonts w:eastAsia="Times New Roman" w:cstheme="minorBidi"/>
                <w:sz w:val="22"/>
                <w:szCs w:val="22"/>
                <w:lang w:val="en-CA"/>
              </w:rPr>
            </w:pPr>
            <w:r>
              <w:rPr>
                <w:rFonts w:eastAsia="Times New Roman" w:cstheme="minorBidi"/>
                <w:sz w:val="22"/>
                <w:szCs w:val="22"/>
                <w:lang w:val="en-CA"/>
              </w:rPr>
              <w:t>0.06</w:t>
            </w:r>
          </w:p>
        </w:tc>
        <w:tc>
          <w:tcPr>
            <w:tcW w:w="779" w:type="pct"/>
          </w:tcPr>
          <w:p w:rsidR="00FD112C" w:rsidRDefault="00FD112C">
            <w:pPr>
              <w:tabs>
                <w:tab w:val="left" w:pos="8789"/>
                <w:tab w:val="left" w:pos="9356"/>
              </w:tabs>
              <w:spacing w:line="240" w:lineRule="auto"/>
              <w:ind w:right="48"/>
              <w:rPr>
                <w:rFonts w:eastAsia="Times New Roman" w:cstheme="minorBidi"/>
                <w:sz w:val="22"/>
                <w:szCs w:val="22"/>
                <w:lang w:val="en-CA"/>
              </w:rPr>
            </w:pPr>
            <w:r>
              <w:rPr>
                <w:rFonts w:eastAsia="Times New Roman" w:cstheme="minorBidi"/>
                <w:sz w:val="22"/>
                <w:szCs w:val="22"/>
                <w:lang w:val="en-CA"/>
              </w:rPr>
              <w:t>0.08</w:t>
            </w:r>
          </w:p>
        </w:tc>
        <w:tc>
          <w:tcPr>
            <w:tcW w:w="704" w:type="pct"/>
          </w:tcPr>
          <w:p w:rsidR="00FD112C" w:rsidRDefault="00FD112C">
            <w:pPr>
              <w:tabs>
                <w:tab w:val="left" w:pos="8789"/>
                <w:tab w:val="left" w:pos="9356"/>
              </w:tabs>
              <w:spacing w:line="240" w:lineRule="auto"/>
              <w:ind w:right="48"/>
              <w:rPr>
                <w:rFonts w:eastAsia="Times New Roman" w:cstheme="minorBidi"/>
                <w:sz w:val="22"/>
                <w:szCs w:val="22"/>
                <w:lang w:val="en-CA"/>
              </w:rPr>
            </w:pPr>
            <w:r>
              <w:rPr>
                <w:rFonts w:eastAsia="Times New Roman" w:cstheme="minorBidi"/>
                <w:sz w:val="22"/>
                <w:szCs w:val="22"/>
                <w:lang w:val="en-CA"/>
              </w:rPr>
              <w:t>0.07</w:t>
            </w:r>
          </w:p>
        </w:tc>
        <w:tc>
          <w:tcPr>
            <w:tcW w:w="1073" w:type="pct"/>
          </w:tcPr>
          <w:p w:rsidR="00FD112C" w:rsidRDefault="00FD112C">
            <w:pPr>
              <w:tabs>
                <w:tab w:val="left" w:pos="8789"/>
                <w:tab w:val="left" w:pos="9356"/>
              </w:tabs>
              <w:spacing w:line="240" w:lineRule="auto"/>
              <w:ind w:right="48"/>
              <w:rPr>
                <w:rFonts w:eastAsia="Times New Roman" w:cstheme="minorBidi"/>
                <w:sz w:val="22"/>
                <w:szCs w:val="22"/>
                <w:lang w:val="en-CA"/>
              </w:rPr>
            </w:pPr>
            <w:r>
              <w:rPr>
                <w:rFonts w:eastAsia="Times New Roman" w:cstheme="minorBidi"/>
                <w:sz w:val="22"/>
                <w:szCs w:val="22"/>
                <w:lang w:val="en-CA"/>
              </w:rPr>
              <w:t>0.07</w:t>
            </w:r>
          </w:p>
        </w:tc>
      </w:tr>
      <w:tr w:rsidR="00FD112C">
        <w:trPr>
          <w:trHeight w:val="702"/>
        </w:trPr>
        <w:tc>
          <w:tcPr>
            <w:tcW w:w="1370" w:type="pct"/>
            <w:vAlign w:val="center"/>
          </w:tcPr>
          <w:p w:rsidR="00FD112C" w:rsidRDefault="00FD112C">
            <w:pPr>
              <w:tabs>
                <w:tab w:val="left" w:pos="8789"/>
                <w:tab w:val="left" w:pos="9356"/>
              </w:tabs>
              <w:spacing w:line="240" w:lineRule="auto"/>
              <w:ind w:right="48"/>
              <w:rPr>
                <w:rFonts w:eastAsia="Times New Roman" w:cstheme="minorBidi"/>
                <w:sz w:val="22"/>
                <w:szCs w:val="22"/>
                <w:lang w:val="en-CA"/>
              </w:rPr>
            </w:pPr>
            <w:r>
              <w:rPr>
                <w:rFonts w:eastAsia="Times New Roman" w:cstheme="minorBidi"/>
                <w:sz w:val="22"/>
                <w:szCs w:val="22"/>
                <w:lang w:val="en-CA"/>
              </w:rPr>
              <w:t>Condom use (LIC) (proportion)</w:t>
            </w:r>
          </w:p>
        </w:tc>
        <w:tc>
          <w:tcPr>
            <w:tcW w:w="1073" w:type="pct"/>
          </w:tcPr>
          <w:p w:rsidR="00FD112C" w:rsidRDefault="00FD112C">
            <w:pPr>
              <w:tabs>
                <w:tab w:val="left" w:pos="8789"/>
                <w:tab w:val="left" w:pos="9356"/>
              </w:tabs>
              <w:spacing w:line="240" w:lineRule="auto"/>
              <w:ind w:right="48"/>
              <w:rPr>
                <w:rFonts w:eastAsia="Times New Roman" w:cstheme="minorBidi"/>
                <w:sz w:val="22"/>
                <w:szCs w:val="22"/>
                <w:lang w:val="en-CA"/>
              </w:rPr>
            </w:pPr>
            <w:r>
              <w:rPr>
                <w:rFonts w:eastAsia="Times New Roman" w:cstheme="minorBidi"/>
                <w:sz w:val="22"/>
                <w:szCs w:val="22"/>
                <w:lang w:val="en-CA"/>
              </w:rPr>
              <w:t>0.57</w:t>
            </w:r>
          </w:p>
        </w:tc>
        <w:tc>
          <w:tcPr>
            <w:tcW w:w="779" w:type="pct"/>
          </w:tcPr>
          <w:p w:rsidR="00FD112C" w:rsidRDefault="00FD112C">
            <w:pPr>
              <w:tabs>
                <w:tab w:val="left" w:pos="8789"/>
                <w:tab w:val="left" w:pos="9356"/>
              </w:tabs>
              <w:spacing w:line="240" w:lineRule="auto"/>
              <w:ind w:right="48"/>
              <w:rPr>
                <w:rFonts w:eastAsia="Times New Roman" w:cstheme="minorBidi"/>
                <w:sz w:val="22"/>
                <w:szCs w:val="22"/>
                <w:lang w:val="en-CA"/>
              </w:rPr>
            </w:pPr>
            <w:r>
              <w:rPr>
                <w:rFonts w:eastAsia="Times New Roman" w:cstheme="minorBidi"/>
                <w:sz w:val="22"/>
                <w:szCs w:val="22"/>
                <w:lang w:val="en-CA"/>
              </w:rPr>
              <w:t>0.61</w:t>
            </w:r>
          </w:p>
        </w:tc>
        <w:tc>
          <w:tcPr>
            <w:tcW w:w="704" w:type="pct"/>
          </w:tcPr>
          <w:p w:rsidR="00FD112C" w:rsidRDefault="00FD112C">
            <w:pPr>
              <w:tabs>
                <w:tab w:val="left" w:pos="8789"/>
                <w:tab w:val="left" w:pos="9356"/>
              </w:tabs>
              <w:spacing w:line="240" w:lineRule="auto"/>
              <w:ind w:right="48"/>
              <w:rPr>
                <w:rFonts w:eastAsia="Times New Roman" w:cstheme="minorBidi"/>
                <w:sz w:val="22"/>
                <w:szCs w:val="22"/>
                <w:lang w:val="en-CA"/>
              </w:rPr>
            </w:pPr>
            <w:r>
              <w:rPr>
                <w:rFonts w:eastAsia="Times New Roman" w:cstheme="minorBidi"/>
                <w:sz w:val="22"/>
                <w:szCs w:val="22"/>
                <w:lang w:val="en-CA"/>
              </w:rPr>
              <w:t>0.59</w:t>
            </w:r>
          </w:p>
        </w:tc>
        <w:tc>
          <w:tcPr>
            <w:tcW w:w="1073" w:type="pct"/>
          </w:tcPr>
          <w:p w:rsidR="00FD112C" w:rsidRDefault="00FD112C">
            <w:pPr>
              <w:tabs>
                <w:tab w:val="left" w:pos="8789"/>
                <w:tab w:val="left" w:pos="9356"/>
              </w:tabs>
              <w:spacing w:line="240" w:lineRule="auto"/>
              <w:ind w:right="48"/>
              <w:rPr>
                <w:rFonts w:eastAsia="Times New Roman" w:cstheme="minorBidi"/>
                <w:sz w:val="22"/>
                <w:szCs w:val="22"/>
                <w:lang w:val="en-CA"/>
              </w:rPr>
            </w:pPr>
            <w:r>
              <w:rPr>
                <w:rFonts w:eastAsia="Times New Roman" w:cstheme="minorBidi"/>
                <w:sz w:val="22"/>
                <w:szCs w:val="22"/>
                <w:lang w:val="en-CA"/>
              </w:rPr>
              <w:t>0.62</w:t>
            </w:r>
          </w:p>
        </w:tc>
      </w:tr>
    </w:tbl>
    <w:p w:rsidR="00FD112C" w:rsidRDefault="00FD112C">
      <w:pPr>
        <w:rPr>
          <w:rFonts w:cstheme="minorBidi"/>
          <w:b/>
          <w:bCs/>
          <w:lang w:val="en-GB"/>
        </w:rPr>
      </w:pPr>
    </w:p>
    <w:sectPr w:rsidR="00FD112C" w:rsidSect="00FD112C">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112C" w:rsidRDefault="00FD112C">
      <w:pPr>
        <w:rPr>
          <w:rFonts w:cstheme="minorBidi"/>
        </w:rPr>
      </w:pPr>
      <w:r>
        <w:rPr>
          <w:rFonts w:cstheme="minorBidi"/>
        </w:rPr>
        <w:separator/>
      </w:r>
    </w:p>
    <w:p w:rsidR="00FD112C" w:rsidRDefault="00FD112C">
      <w:pPr>
        <w:rPr>
          <w:rFonts w:cstheme="minorBidi"/>
        </w:rPr>
      </w:pPr>
    </w:p>
  </w:endnote>
  <w:endnote w:type="continuationSeparator" w:id="1">
    <w:p w:rsidR="00FD112C" w:rsidRDefault="00FD112C">
      <w:pPr>
        <w:rPr>
          <w:rFonts w:cstheme="minorBidi"/>
        </w:rPr>
      </w:pPr>
      <w:r>
        <w:rPr>
          <w:rFonts w:cstheme="minorBidi"/>
        </w:rPr>
        <w:continuationSeparator/>
      </w:r>
    </w:p>
    <w:p w:rsidR="00FD112C" w:rsidRDefault="00FD112C">
      <w:pPr>
        <w:rPr>
          <w:rFonts w:cstheme="minorBidi"/>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ngs">
    <w:altName w:val="w"/>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Gothi">
    <w:altName w:val="MS Gothic"/>
    <w:panose1 w:val="00000000000000000000"/>
    <w:charset w:val="80"/>
    <w:family w:val="swiss"/>
    <w:notTrueType/>
    <w:pitch w:val="fixed"/>
    <w:sig w:usb0="00000001" w:usb1="08070000" w:usb2="00000010" w:usb3="00000000" w:csb0="00020000" w:csb1="00000000"/>
  </w:font>
  <w:font w:name="Lucida Grande">
    <w:altName w:val="Lucida Sans"/>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500000000000000"/>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12C" w:rsidRDefault="00FD112C">
    <w:pPr>
      <w:pStyle w:val="Footer"/>
      <w:framePr w:wrap="auto" w:vAnchor="text" w:hAnchor="margin" w:xAlign="center" w:y="1"/>
      <w:rPr>
        <w:rStyle w:val="PageNumber"/>
        <w:rFonts w:cstheme="minorBidi"/>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FD112C" w:rsidRDefault="00FD112C">
    <w:pPr>
      <w:pStyle w:val="Footer"/>
      <w:rPr>
        <w:rFonts w:cstheme="minorBid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112C" w:rsidRDefault="00FD112C">
      <w:pPr>
        <w:rPr>
          <w:rFonts w:cstheme="minorBidi"/>
        </w:rPr>
      </w:pPr>
      <w:r>
        <w:rPr>
          <w:rFonts w:cstheme="minorBidi"/>
        </w:rPr>
        <w:separator/>
      </w:r>
    </w:p>
    <w:p w:rsidR="00FD112C" w:rsidRDefault="00FD112C">
      <w:pPr>
        <w:rPr>
          <w:rFonts w:cstheme="minorBidi"/>
        </w:rPr>
      </w:pPr>
    </w:p>
  </w:footnote>
  <w:footnote w:type="continuationSeparator" w:id="1">
    <w:p w:rsidR="00FD112C" w:rsidRDefault="00FD112C">
      <w:pPr>
        <w:rPr>
          <w:rFonts w:cstheme="minorBidi"/>
        </w:rPr>
      </w:pPr>
      <w:r>
        <w:rPr>
          <w:rFonts w:cstheme="minorBidi"/>
        </w:rPr>
        <w:continuationSeparator/>
      </w:r>
    </w:p>
    <w:p w:rsidR="00FD112C" w:rsidRDefault="00FD112C">
      <w:pPr>
        <w:rPr>
          <w:rFonts w:cstheme="minorBidi"/>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12C" w:rsidRDefault="00FD112C">
    <w:pPr>
      <w:spacing w:line="360" w:lineRule="auto"/>
      <w:outlineLvl w:val="0"/>
      <w:rPr>
        <w:b/>
        <w:bCs/>
        <w:lang w:val="en-GB"/>
      </w:rPr>
    </w:pPr>
    <w:r>
      <w:rPr>
        <w:b/>
        <w:bCs/>
        <w:lang w:val="en-GB"/>
      </w:rPr>
      <w:t>Appendix for Cash transfers for clinical and household economic outcomes among HIV-affected households in Uganda: A factorial randomised trial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C33DE"/>
    <w:multiLevelType w:val="hybridMultilevel"/>
    <w:tmpl w:val="1DA6E61C"/>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
    <w:nsid w:val="1BD85DFF"/>
    <w:multiLevelType w:val="hybridMultilevel"/>
    <w:tmpl w:val="6E1EDFDC"/>
    <w:lvl w:ilvl="0" w:tplc="0409000F">
      <w:start w:val="1"/>
      <w:numFmt w:val="decimal"/>
      <w:lvlText w:val="%1."/>
      <w:lvlJc w:val="left"/>
      <w:pPr>
        <w:ind w:left="720" w:hanging="360"/>
      </w:pPr>
      <w:rPr>
        <w:rFonts w:ascii="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
    <w:nsid w:val="1EA72558"/>
    <w:multiLevelType w:val="hybridMultilevel"/>
    <w:tmpl w:val="8EBAFA9A"/>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
    <w:nsid w:val="3D663900"/>
    <w:multiLevelType w:val="hybridMultilevel"/>
    <w:tmpl w:val="CE308F5E"/>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
    <w:nsid w:val="440B21EF"/>
    <w:multiLevelType w:val="hybridMultilevel"/>
    <w:tmpl w:val="1C986DC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52CD583F"/>
    <w:multiLevelType w:val="hybridMultilevel"/>
    <w:tmpl w:val="74BCAEC6"/>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6">
    <w:nsid w:val="53DE2775"/>
    <w:multiLevelType w:val="hybridMultilevel"/>
    <w:tmpl w:val="E0187E2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61AD6A55"/>
    <w:multiLevelType w:val="hybridMultilevel"/>
    <w:tmpl w:val="5D027A1A"/>
    <w:lvl w:ilvl="0" w:tplc="F6E43CC2">
      <w:start w:val="10"/>
      <w:numFmt w:val="bullet"/>
      <w:lvlText w:val="-"/>
      <w:lvlJc w:val="left"/>
      <w:pPr>
        <w:ind w:left="720" w:hanging="360"/>
      </w:pPr>
      <w:rPr>
        <w:rFonts w:ascii="Times New Roman" w:eastAsia="MS Minngs"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8">
    <w:nsid w:val="633D7A48"/>
    <w:multiLevelType w:val="hybridMultilevel"/>
    <w:tmpl w:val="C95ED8FE"/>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9">
    <w:nsid w:val="73E314AF"/>
    <w:multiLevelType w:val="hybridMultilevel"/>
    <w:tmpl w:val="E3CCAF5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758C3AAB"/>
    <w:multiLevelType w:val="hybridMultilevel"/>
    <w:tmpl w:val="B5DE7AC8"/>
    <w:lvl w:ilvl="0" w:tplc="4809000F">
      <w:start w:val="1"/>
      <w:numFmt w:val="decimal"/>
      <w:lvlText w:val="%1."/>
      <w:lvlJc w:val="left"/>
      <w:pPr>
        <w:ind w:left="720" w:hanging="360"/>
      </w:pPr>
      <w:rPr>
        <w:rFonts w:ascii="Times New Roman" w:hAnsi="Times New Roman" w:cs="Times New Roman" w:hint="default"/>
      </w:rPr>
    </w:lvl>
    <w:lvl w:ilvl="1" w:tplc="48090019">
      <w:start w:val="1"/>
      <w:numFmt w:val="lowerLetter"/>
      <w:lvlText w:val="%2."/>
      <w:lvlJc w:val="left"/>
      <w:pPr>
        <w:ind w:left="1440" w:hanging="360"/>
      </w:pPr>
      <w:rPr>
        <w:rFonts w:ascii="Times New Roman" w:hAnsi="Times New Roman" w:cs="Times New Roman"/>
      </w:rPr>
    </w:lvl>
    <w:lvl w:ilvl="2" w:tplc="4809001B">
      <w:start w:val="1"/>
      <w:numFmt w:val="lowerRoman"/>
      <w:lvlText w:val="%3."/>
      <w:lvlJc w:val="right"/>
      <w:pPr>
        <w:ind w:left="2160" w:hanging="180"/>
      </w:pPr>
      <w:rPr>
        <w:rFonts w:ascii="Times New Roman" w:hAnsi="Times New Roman" w:cs="Times New Roman"/>
      </w:rPr>
    </w:lvl>
    <w:lvl w:ilvl="3" w:tplc="4809000F">
      <w:start w:val="1"/>
      <w:numFmt w:val="decimal"/>
      <w:lvlText w:val="%4."/>
      <w:lvlJc w:val="left"/>
      <w:pPr>
        <w:ind w:left="2880" w:hanging="360"/>
      </w:pPr>
      <w:rPr>
        <w:rFonts w:ascii="Times New Roman" w:hAnsi="Times New Roman" w:cs="Times New Roman"/>
      </w:rPr>
    </w:lvl>
    <w:lvl w:ilvl="4" w:tplc="48090019">
      <w:start w:val="1"/>
      <w:numFmt w:val="lowerLetter"/>
      <w:lvlText w:val="%5."/>
      <w:lvlJc w:val="left"/>
      <w:pPr>
        <w:ind w:left="3600" w:hanging="360"/>
      </w:pPr>
      <w:rPr>
        <w:rFonts w:ascii="Times New Roman" w:hAnsi="Times New Roman" w:cs="Times New Roman"/>
      </w:rPr>
    </w:lvl>
    <w:lvl w:ilvl="5" w:tplc="4809001B">
      <w:start w:val="1"/>
      <w:numFmt w:val="lowerRoman"/>
      <w:lvlText w:val="%6."/>
      <w:lvlJc w:val="right"/>
      <w:pPr>
        <w:ind w:left="4320" w:hanging="180"/>
      </w:pPr>
      <w:rPr>
        <w:rFonts w:ascii="Times New Roman" w:hAnsi="Times New Roman" w:cs="Times New Roman"/>
      </w:rPr>
    </w:lvl>
    <w:lvl w:ilvl="6" w:tplc="4809000F">
      <w:start w:val="1"/>
      <w:numFmt w:val="decimal"/>
      <w:lvlText w:val="%7."/>
      <w:lvlJc w:val="left"/>
      <w:pPr>
        <w:ind w:left="5040" w:hanging="360"/>
      </w:pPr>
      <w:rPr>
        <w:rFonts w:ascii="Times New Roman" w:hAnsi="Times New Roman" w:cs="Times New Roman"/>
      </w:rPr>
    </w:lvl>
    <w:lvl w:ilvl="7" w:tplc="48090019">
      <w:start w:val="1"/>
      <w:numFmt w:val="lowerLetter"/>
      <w:lvlText w:val="%8."/>
      <w:lvlJc w:val="left"/>
      <w:pPr>
        <w:ind w:left="5760" w:hanging="360"/>
      </w:pPr>
      <w:rPr>
        <w:rFonts w:ascii="Times New Roman" w:hAnsi="Times New Roman" w:cs="Times New Roman"/>
      </w:rPr>
    </w:lvl>
    <w:lvl w:ilvl="8" w:tplc="4809001B">
      <w:start w:val="1"/>
      <w:numFmt w:val="lowerRoman"/>
      <w:lvlText w:val="%9."/>
      <w:lvlJc w:val="right"/>
      <w:pPr>
        <w:ind w:left="6480" w:hanging="180"/>
      </w:pPr>
      <w:rPr>
        <w:rFonts w:ascii="Times New Roman" w:hAnsi="Times New Roman" w:cs="Times New Roman"/>
      </w:rPr>
    </w:lvl>
  </w:abstractNum>
  <w:abstractNum w:abstractNumId="11">
    <w:nsid w:val="786D3376"/>
    <w:multiLevelType w:val="hybridMultilevel"/>
    <w:tmpl w:val="B1DE1560"/>
    <w:lvl w:ilvl="0" w:tplc="04090011">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9"/>
  </w:num>
  <w:num w:numId="2">
    <w:abstractNumId w:val="3"/>
  </w:num>
  <w:num w:numId="3">
    <w:abstractNumId w:val="11"/>
  </w:num>
  <w:num w:numId="4">
    <w:abstractNumId w:val="7"/>
  </w:num>
  <w:num w:numId="5">
    <w:abstractNumId w:val="1"/>
  </w:num>
  <w:num w:numId="6">
    <w:abstractNumId w:val="5"/>
  </w:num>
  <w:num w:numId="7">
    <w:abstractNumId w:val="0"/>
  </w:num>
  <w:num w:numId="8">
    <w:abstractNumId w:val="10"/>
  </w:num>
  <w:num w:numId="9">
    <w:abstractNumId w:val="2"/>
  </w:num>
  <w:num w:numId="10">
    <w:abstractNumId w:val="8"/>
  </w:num>
  <w:num w:numId="11">
    <w:abstractNumId w:val="4"/>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40"/>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tt5ztpe7rz2vye0zwqv992l0ps0rax995f9&quot;&gt;Lancet HIV - Uganda unconditional cash trasnfer&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30&lt;/item&gt;&lt;item&gt;31&lt;/item&gt;&lt;item&gt;32&lt;/item&gt;&lt;/record-ids&gt;&lt;/item&gt;&lt;/Libraries&gt;"/>
  </w:docVars>
  <w:rsids>
    <w:rsidRoot w:val="00FD112C"/>
    <w:rsid w:val="00FD112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semiHidden="0" w:unhideWhenUsed="0"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Document Map" w:unhideWhenUsed="0"/>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480" w:lineRule="auto"/>
    </w:pPr>
    <w:rPr>
      <w:rFonts w:ascii="Times New Roman" w:eastAsia="MS Minngs" w:hAnsi="Times New Roman" w:cs="Times New Roman"/>
      <w:sz w:val="20"/>
      <w:szCs w:val="20"/>
    </w:rPr>
  </w:style>
  <w:style w:type="paragraph" w:styleId="Heading1">
    <w:name w:val="heading 1"/>
    <w:aliases w:val="Char Char Char Char Char Char,Char Char Char Char Char Char Char,Char Char Char Char Char Char Char Char Char Char Char Char Char,Heading 1 Char1,Heading 1 Char2 Char,Heading 1 Char Char Char Char1,Heading 1 Char1 Char Char1"/>
    <w:basedOn w:val="ListParagraph"/>
    <w:next w:val="Normal"/>
    <w:link w:val="Heading1Char"/>
    <w:autoRedefine/>
    <w:uiPriority w:val="99"/>
    <w:qFormat/>
    <w:pPr>
      <w:spacing w:before="240"/>
      <w:ind w:left="0"/>
      <w:jc w:val="both"/>
      <w:outlineLvl w:val="0"/>
    </w:pPr>
    <w:rPr>
      <w:rFonts w:ascii="MS Minngs" w:hAnsiTheme="minorHAnsi" w:cstheme="minorBidi"/>
      <w:b/>
      <w:bCs/>
      <w:color w:val="000000"/>
      <w:sz w:val="24"/>
      <w:szCs w:val="24"/>
    </w:rPr>
  </w:style>
  <w:style w:type="paragraph" w:styleId="Heading2">
    <w:name w:val="heading 2"/>
    <w:basedOn w:val="Normal"/>
    <w:next w:val="Normal"/>
    <w:link w:val="Heading2Char"/>
    <w:autoRedefine/>
    <w:uiPriority w:val="99"/>
    <w:qFormat/>
    <w:pPr>
      <w:keepNext/>
      <w:keepLines/>
      <w:spacing w:before="200"/>
      <w:outlineLvl w:val="1"/>
    </w:pPr>
    <w:rPr>
      <w:rFonts w:eastAsia="MS Gothi"/>
      <w:b/>
      <w:bC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 Char Char Char Char Char1,Char Char Char Char Char Char Char Char,Char Char Char Char Char Char Char Char Char Char Char Char Char Char,Heading 1 Char1 Char,Heading 1 Char2 Char Char,Heading 1 Char Char Char Char1 Char"/>
    <w:basedOn w:val="DefaultParagraphFont"/>
    <w:link w:val="Heading1"/>
    <w:uiPriority w:val="99"/>
    <w:rPr>
      <w:rFonts w:ascii="Times New Roman" w:eastAsia="Times New Roman" w:hAnsi="Times New Roman" w:cs="Times New Roman"/>
      <w:b/>
      <w:bCs/>
      <w:color w:val="000000"/>
    </w:rPr>
  </w:style>
  <w:style w:type="character" w:customStyle="1" w:styleId="Heading2Char">
    <w:name w:val="Heading 2 Char"/>
    <w:basedOn w:val="DefaultParagraphFont"/>
    <w:link w:val="Heading2"/>
    <w:uiPriority w:val="99"/>
    <w:rPr>
      <w:rFonts w:ascii="Times New Roman" w:eastAsia="MS Gothi" w:hAnsi="Times New Roman" w:cs="Times New Roman"/>
      <w:b/>
      <w:bCs/>
      <w:sz w:val="26"/>
      <w:szCs w:val="26"/>
    </w:rPr>
  </w:style>
  <w:style w:type="character" w:styleId="Hyperlink">
    <w:name w:val="Hyperlink"/>
    <w:basedOn w:val="DefaultParagraphFont"/>
    <w:uiPriority w:val="99"/>
    <w:rPr>
      <w:rFonts w:ascii="Times New Roman" w:hAnsi="Times New Roman" w:cs="Times New Roman"/>
      <w:color w:val="0000FF"/>
      <w:u w:val="single"/>
    </w:rPr>
  </w:style>
  <w:style w:type="paragraph" w:customStyle="1" w:styleId="EndNoteBibliographyTitle">
    <w:name w:val="EndNote Bibliography Title"/>
    <w:basedOn w:val="Normal"/>
    <w:uiPriority w:val="99"/>
    <w:pPr>
      <w:jc w:val="center"/>
    </w:pPr>
    <w:rPr>
      <w:sz w:val="24"/>
      <w:szCs w:val="24"/>
    </w:rPr>
  </w:style>
  <w:style w:type="paragraph" w:customStyle="1" w:styleId="EndNoteBibliography">
    <w:name w:val="EndNote Bibliography"/>
    <w:basedOn w:val="Normal"/>
    <w:uiPriority w:val="99"/>
    <w:pPr>
      <w:spacing w:line="240" w:lineRule="auto"/>
    </w:pPr>
    <w:rPr>
      <w:sz w:val="24"/>
      <w:szCs w:val="24"/>
    </w:rPr>
  </w:style>
  <w:style w:type="paragraph" w:styleId="ListParagraph">
    <w:name w:val="List Paragraph"/>
    <w:basedOn w:val="Normal"/>
    <w:uiPriority w:val="99"/>
    <w:qFormat/>
    <w:pPr>
      <w:ind w:left="720"/>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hAnsi="Times New Roman" w:cs="Times New Roman"/>
    </w:rPr>
  </w:style>
  <w:style w:type="character" w:styleId="PageNumber">
    <w:name w:val="page number"/>
    <w:basedOn w:val="DefaultParagraphFont"/>
    <w:uiPriority w:val="99"/>
    <w:rPr>
      <w:rFonts w:ascii="Times New Roman" w:hAnsi="Times New Roman" w:cs="Times New Roman"/>
    </w:rPr>
  </w:style>
  <w:style w:type="paragraph" w:styleId="BalloonText">
    <w:name w:val="Balloon Text"/>
    <w:basedOn w:val="Normal"/>
    <w:link w:val="BalloonTextChar"/>
    <w:uiPriority w:val="99"/>
    <w:rPr>
      <w:rFonts w:ascii="Lucida Grande" w:hAnsi="Lucida Grande" w:cs="Lucida Grande"/>
      <w:sz w:val="18"/>
      <w:szCs w:val="18"/>
    </w:rPr>
  </w:style>
  <w:style w:type="character" w:customStyle="1" w:styleId="BalloonTextChar">
    <w:name w:val="Balloon Text Char"/>
    <w:basedOn w:val="DefaultParagraphFont"/>
    <w:link w:val="BalloonText"/>
    <w:uiPriority w:val="99"/>
    <w:rPr>
      <w:rFonts w:ascii="Lucida Grande" w:hAnsi="Lucida Grande" w:cs="Lucida Grande"/>
      <w:sz w:val="18"/>
      <w:szCs w:val="18"/>
    </w:rPr>
  </w:style>
  <w:style w:type="character" w:styleId="CommentReference">
    <w:name w:val="annotation reference"/>
    <w:basedOn w:val="DefaultParagraphFont"/>
    <w:uiPriority w:val="99"/>
    <w:rPr>
      <w:rFonts w:ascii="Times New Roman" w:hAnsi="Times New Roman" w:cs="Times New Roman"/>
      <w:sz w:val="18"/>
      <w:szCs w:val="18"/>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rPr>
      <w:rFonts w:ascii="Times New Roman" w:hAnsi="Times New Roman"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sz w:val="20"/>
      <w:szCs w:val="20"/>
    </w:rPr>
  </w:style>
  <w:style w:type="paragraph" w:styleId="Caption">
    <w:name w:val="caption"/>
    <w:basedOn w:val="Normal"/>
    <w:next w:val="Normal"/>
    <w:uiPriority w:val="99"/>
    <w:qFormat/>
    <w:pPr>
      <w:keepNext/>
      <w:spacing w:after="200"/>
      <w:jc w:val="both"/>
    </w:pPr>
    <w:rPr>
      <w:rFonts w:ascii="Arial" w:hAnsi="Arial" w:cs="Arial"/>
      <w:b/>
      <w:bCs/>
    </w:rPr>
  </w:style>
  <w:style w:type="character" w:customStyle="1" w:styleId="CaptionChar">
    <w:name w:val="Caption Char"/>
    <w:uiPriority w:val="99"/>
    <w:rPr>
      <w:rFonts w:ascii="Arial" w:eastAsia="Times New Roman" w:hAnsi="Arial" w:cs="Arial"/>
      <w:b/>
      <w:bCs/>
      <w:color w:val="auto"/>
      <w:sz w:val="18"/>
      <w:szCs w:val="18"/>
    </w:rPr>
  </w:style>
  <w:style w:type="paragraph" w:styleId="Revision">
    <w:name w:val="Revision"/>
    <w:hidden/>
    <w:uiPriority w:val="99"/>
    <w:rPr>
      <w:rFonts w:ascii="Cambria" w:eastAsia="MS Minngs" w:hAnsi="Cambria" w:cs="Cambria"/>
      <w:sz w:val="24"/>
      <w:szCs w:val="24"/>
    </w:rPr>
  </w:style>
  <w:style w:type="paragraph" w:styleId="NormalWeb">
    <w:name w:val="Normal (Web)"/>
    <w:basedOn w:val="Normal"/>
    <w:uiPriority w:val="99"/>
    <w:pPr>
      <w:spacing w:before="100" w:beforeAutospacing="1" w:after="100" w:afterAutospacing="1"/>
    </w:pPr>
    <w:rPr>
      <w:rFonts w:ascii="Times" w:hAnsi="Times" w:cs="Times"/>
      <w:lang w:val="en-CA"/>
    </w:rPr>
  </w:style>
  <w:style w:type="paragraph" w:styleId="DocumentMap">
    <w:name w:val="Document Map"/>
    <w:basedOn w:val="Normal"/>
    <w:link w:val="DocumentMapChar"/>
    <w:uiPriority w:val="99"/>
  </w:style>
  <w:style w:type="character" w:customStyle="1" w:styleId="DocumentMapChar">
    <w:name w:val="Document Map Char"/>
    <w:basedOn w:val="DefaultParagraphFont"/>
    <w:link w:val="DocumentMap"/>
    <w:uiPriority w:val="99"/>
    <w:rPr>
      <w:rFonts w:ascii="Times New Roman" w:hAnsi="Times New Roman" w:cs="Times New Roman"/>
    </w:rPr>
  </w:style>
  <w:style w:type="paragraph" w:styleId="Header">
    <w:name w:val="header"/>
    <w:basedOn w:val="Normal"/>
    <w:link w:val="HeaderChar"/>
    <w:uiPriority w:val="99"/>
    <w:pPr>
      <w:tabs>
        <w:tab w:val="center" w:pos="4320"/>
        <w:tab w:val="right" w:pos="8640"/>
      </w:tabs>
      <w:spacing w:line="240" w:lineRule="auto"/>
    </w:pPr>
  </w:style>
  <w:style w:type="character" w:customStyle="1" w:styleId="HeaderChar">
    <w:name w:val="Header Char"/>
    <w:basedOn w:val="DefaultParagraphFont"/>
    <w:link w:val="Header"/>
    <w:uiPriority w:val="99"/>
    <w:rPr>
      <w:rFonts w:ascii="Times New Roman" w:hAnsi="Times New Roman" w:cs="Times New Roman"/>
      <w:sz w:val="20"/>
      <w:szCs w:val="20"/>
    </w:rPr>
  </w:style>
  <w:style w:type="paragraph" w:customStyle="1" w:styleId="Heading2-">
    <w:name w:val="Heading 2-"/>
    <w:basedOn w:val="Heading2"/>
    <w:uiPriority w:val="99"/>
    <w:rPr>
      <w:lang w:val="en-GB"/>
    </w:rPr>
  </w:style>
  <w:style w:type="paragraph" w:styleId="NoSpacing">
    <w:name w:val="No Spacing"/>
    <w:uiPriority w:val="99"/>
    <w:qFormat/>
    <w:rPr>
      <w:rFonts w:ascii="MS Minngs" w:eastAsia="MS Minngs"/>
      <w:sz w:val="24"/>
      <w:szCs w:val="24"/>
    </w:rPr>
  </w:style>
  <w:style w:type="paragraph" w:customStyle="1" w:styleId="ColorfulList-Accent11">
    <w:name w:val="Colorful List - Accent 11"/>
    <w:basedOn w:val="Normal"/>
    <w:uiPriority w:val="99"/>
    <w:pPr>
      <w:spacing w:after="200" w:line="276" w:lineRule="auto"/>
      <w:ind w:left="720"/>
    </w:pPr>
    <w:rPr>
      <w:rFonts w:ascii="Calibri" w:hAnsi="Calibri" w:cs="Calibri"/>
      <w:sz w:val="22"/>
      <w:szCs w:val="22"/>
    </w:rPr>
  </w:style>
  <w:style w:type="character" w:styleId="PlaceholderText">
    <w:name w:val="Placeholder Text"/>
    <w:basedOn w:val="DefaultParagraphFont"/>
    <w:uiPriority w:val="99"/>
    <w:rPr>
      <w:rFonts w:ascii="Times New Roman" w:hAnsi="Times New Roman" w:cs="Times New Roman"/>
      <w:color w:val="80808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Pages>
  <Words>1215</Words>
  <Characters>6928</Characters>
  <Application>Microsoft Office Outlook</Application>
  <DocSecurity>0</DocSecurity>
  <Lines>0</Lines>
  <Paragraphs>0</Paragraphs>
  <ScaleCrop>false</ScaleCrop>
  <Company>Rewood Outcomes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Forrest</dc:creator>
  <cp:keywords/>
  <dc:description/>
  <cp:lastModifiedBy>TEESLWW</cp:lastModifiedBy>
  <cp:revision>5</cp:revision>
  <cp:lastPrinted>2017-05-04T16:19:00Z</cp:lastPrinted>
  <dcterms:created xsi:type="dcterms:W3CDTF">2018-02-07T22:17:00Z</dcterms:created>
  <dcterms:modified xsi:type="dcterms:W3CDTF">2018-05-26T06:44:00Z</dcterms:modified>
</cp:coreProperties>
</file>