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3FC" w:rsidRDefault="006273FC">
      <w:pPr>
        <w:pStyle w:val="Heading1"/>
        <w:spacing w:line="480" w:lineRule="auto"/>
        <w:rPr>
          <w:rFonts w:ascii="Times New Roman" w:hAnsi="Times New Roman" w:cs="Times New Roman"/>
        </w:rPr>
      </w:pPr>
      <w:r>
        <w:t xml:space="preserve">Supplementary Information: </w:t>
      </w:r>
    </w:p>
    <w:p w:rsidR="006273FC" w:rsidRDefault="006273FC">
      <w:pPr>
        <w:suppressAutoHyphens w:val="0"/>
        <w:spacing w:after="0" w:line="480" w:lineRule="auto"/>
        <w:rPr>
          <w:rFonts w:ascii="Calibri" w:hAnsi="Calibri" w:cs="Calibri"/>
          <w:b/>
          <w:bCs/>
          <w:color w:val="auto"/>
          <w:sz w:val="28"/>
          <w:szCs w:val="28"/>
        </w:rPr>
      </w:pPr>
      <w:r>
        <w:rPr>
          <w:rFonts w:ascii="Calibri" w:hAnsi="Calibri" w:cs="Calibri"/>
          <w:b/>
          <w:bCs/>
          <w:color w:val="auto"/>
          <w:sz w:val="28"/>
          <w:szCs w:val="28"/>
        </w:rPr>
        <w:t>Supplementary methods</w:t>
      </w:r>
    </w:p>
    <w:p w:rsidR="006273FC" w:rsidRDefault="006273FC">
      <w:pPr>
        <w:pStyle w:val="Heading3"/>
        <w:spacing w:line="480" w:lineRule="auto"/>
      </w:pPr>
      <w:r>
        <w:t>Measurement of CLOCK associated genes by PCR</w:t>
      </w:r>
    </w:p>
    <w:p w:rsidR="006273FC" w:rsidRDefault="006273FC">
      <w:pPr>
        <w:spacing w:after="120" w:line="480" w:lineRule="auto"/>
        <w:rPr>
          <w:rFonts w:ascii="Calibri" w:hAnsi="Calibri" w:cs="Calibri"/>
          <w:color w:val="auto"/>
        </w:rPr>
      </w:pPr>
      <w:r>
        <w:rPr>
          <w:rFonts w:ascii="Calibri" w:hAnsi="Calibri" w:cs="Calibri"/>
          <w:color w:val="auto"/>
        </w:rPr>
        <w:t xml:space="preserve">Each reaction used 12.5uL of SYBR mix (Invitrogen Life technologies), 1uL of cDNA template, 10uM each of forward and reverse primers, and distilled water of 8.5uL, performed in duplicate on Agilent Mx3000P qPCR system (Agilent Technologies, Santa Clara, CA). The reaction conditions were as follows: denaturation at 95˚C for 10 mins, then 40 cycles of 94˚C for 20 seconds, 61˚C for 40 seconds and 72˚C for 40 seconds. CLOCK-associated genes were expressed relative to GADPH expression, by the delta-delta method </w:t>
      </w:r>
      <w:r>
        <w:rPr>
          <w:rFonts w:ascii="Calibri" w:hAnsi="Calibri" w:cs="Calibri"/>
          <w:color w:val="auto"/>
        </w:rPr>
        <w:fldChar w:fldCharType="begin"/>
      </w:r>
      <w:r>
        <w:rPr>
          <w:rFonts w:ascii="Calibri" w:hAnsi="Calibri" w:cs="Calibri"/>
          <w:color w:val="auto"/>
        </w:rPr>
        <w:instrText xml:space="preserve"> ADDIN EN.CITE &lt;EndNote&gt;&lt;Cite&gt;&lt;Author&gt;Bustin&lt;/Author&gt;&lt;Year&gt;2009&lt;/Year&gt;&lt;RecNum&gt;34&lt;/RecNum&gt;&lt;DisplayText&gt;(1)&lt;/DisplayText&gt;&lt;record&gt;&lt;rec-number&gt;34&lt;/rec-number&gt;&lt;foreign-keys&gt;&lt;key app="EN" db-id="d00ptww09rxdr1e5ezcp5wr10522wxpvpa0r" timestamp="1473831025"&gt;34&lt;/key&gt;&lt;/foreign-keys&gt;&lt;ref-type name="Journal Article"&gt;17&lt;/ref-type&gt;&lt;contributors&gt;&lt;authors&gt;&lt;author&gt;Bustin, S. A.&lt;/author&gt;&lt;author&gt;Benes, V.&lt;/author&gt;&lt;author&gt;Garson, J. A.&lt;/author&gt;&lt;author&gt;Hellemans, J.&lt;/author&gt;&lt;author&gt;Huggett, J.&lt;/author&gt;&lt;author&gt;Kubista, M.&lt;/author&gt;&lt;author&gt;Mueller, R.&lt;/author&gt;&lt;author&gt;Nolan, T.&lt;/author&gt;&lt;author&gt;Pfaffl, M. W.&lt;/author&gt;&lt;author&gt;Shipley, G. L.&lt;/author&gt;&lt;author&gt;Vandesompele, J.&lt;/author&gt;&lt;author&gt;Wittwer, C. T.&lt;/author&gt;&lt;/authors&gt;&lt;/contributors&gt;&lt;auth-address&gt;Centre for Academic Surgery, Institute of Cell and Molecular Science, Barts and the London School of Medicine and Dentistry, London, UK. s.a.bustin@qmul.ac.uk&lt;/auth-address&gt;&lt;titles&gt;&lt;title&gt;The MIQE guidelines: minimum information for publication of quantitative real-time PCR experiments&lt;/title&gt;&lt;secondary-title&gt;Clin Chem&lt;/secondary-title&gt;&lt;/titles&gt;&lt;periodical&gt;&lt;full-title&gt;Clin Chem&lt;/full-title&gt;&lt;/periodical&gt;&lt;pages&gt;611-22&lt;/pages&gt;&lt;volume&gt;55&lt;/volume&gt;&lt;number&gt;4&lt;/number&gt;&lt;keywords&gt;&lt;keyword&gt;Humans&lt;/keyword&gt;&lt;keyword&gt;Molecular Diagnostic Techniques&lt;/keyword&gt;&lt;keyword&gt;Nucleic Acids/chemistry/genetics&lt;/keyword&gt;&lt;keyword&gt;Polymerase Chain Reaction/*methods/*standards&lt;/keyword&gt;&lt;keyword&gt;Publishing/*standards&lt;/keyword&gt;&lt;keyword&gt;Reverse Transcription/genetics&lt;/keyword&gt;&lt;keyword&gt;Terminology as Topic&lt;/keyword&gt;&lt;keyword&gt;Time Factors&lt;/keyword&gt;&lt;/keywords&gt;&lt;dates&gt;&lt;year&gt;2009&lt;/year&gt;&lt;pub-dates&gt;&lt;date&gt;Apr&lt;/date&gt;&lt;/pub-dates&gt;&lt;/dates&gt;&lt;isbn&gt;1530-8561 (Electronic)&amp;#xD;0009-9147 (Linking)&lt;/isbn&gt;&lt;accession-num&gt;19246619&lt;/accession-num&gt;&lt;urls&gt;&lt;related-urls&gt;&lt;url&gt;http://www.ncbi.nlm.nih.gov/pubmed/19246619&lt;/url&gt;&lt;/related-urls&gt;&lt;/urls&gt;&lt;electronic-resource-num&gt;10.1373/clinchem.2008.112797&lt;/electronic-resource-num&gt;&lt;/record&gt;&lt;/Cite&gt;&lt;/EndNote&gt;</w:instrText>
      </w:r>
      <w:r>
        <w:rPr>
          <w:rFonts w:ascii="Calibri" w:hAnsi="Calibri" w:cs="Calibri"/>
          <w:color w:val="auto"/>
        </w:rPr>
        <w:fldChar w:fldCharType="separate"/>
      </w:r>
      <w:r>
        <w:rPr>
          <w:rFonts w:ascii="Calibri" w:hAnsi="Calibri" w:cs="Calibri"/>
          <w:noProof/>
          <w:color w:val="auto"/>
        </w:rPr>
        <w:t>(</w:t>
      </w:r>
      <w:hyperlink w:anchor="_ENREF_1" w:tooltip="Bustin, 2009 #34" w:history="1">
        <w:r>
          <w:rPr>
            <w:rFonts w:ascii="Calibri" w:hAnsi="Calibri" w:cs="Calibri"/>
            <w:noProof/>
            <w:color w:val="auto"/>
          </w:rPr>
          <w:t>1</w:t>
        </w:r>
      </w:hyperlink>
      <w:r>
        <w:rPr>
          <w:rFonts w:ascii="Calibri" w:hAnsi="Calibri" w:cs="Calibri"/>
          <w:noProof/>
          <w:color w:val="auto"/>
        </w:rPr>
        <w:t>)</w:t>
      </w:r>
      <w:r>
        <w:rPr>
          <w:rFonts w:ascii="Calibri" w:hAnsi="Calibri" w:cs="Calibri"/>
          <w:color w:val="auto"/>
        </w:rPr>
        <w:fldChar w:fldCharType="end"/>
      </w:r>
      <w:r>
        <w:rPr>
          <w:rFonts w:ascii="Calibri" w:hAnsi="Calibri" w:cs="Calibri"/>
          <w:color w:val="auto"/>
        </w:rPr>
        <w:t>.</w:t>
      </w:r>
    </w:p>
    <w:p w:rsidR="006273FC" w:rsidRDefault="006273FC">
      <w:pPr>
        <w:pStyle w:val="Heading3"/>
        <w:spacing w:line="480" w:lineRule="auto"/>
      </w:pPr>
      <w:r>
        <w:t>Analysis of T-cell subsets, activation and histone acetylation by flow cytometry</w:t>
      </w:r>
    </w:p>
    <w:p w:rsidR="006273FC" w:rsidRDefault="006273FC">
      <w:pPr>
        <w:spacing w:after="96" w:line="480" w:lineRule="auto"/>
        <w:rPr>
          <w:rFonts w:ascii="Calibri" w:hAnsi="Calibri" w:cs="Calibri"/>
        </w:rPr>
      </w:pPr>
      <w:r>
        <w:rPr>
          <w:rFonts w:ascii="Calibri" w:hAnsi="Calibri" w:cs="Calibri"/>
          <w:lang w:val="en-US"/>
        </w:rPr>
        <w:t xml:space="preserve">Live-dead </w:t>
      </w:r>
      <w:r>
        <w:rPr>
          <w:rFonts w:ascii="Calibri" w:hAnsi="Calibri" w:cs="Calibri"/>
        </w:rPr>
        <w:t>Fixable Dead Cell Aqua Stain Kit (Invitrogen#L34957) AARD</w:t>
      </w:r>
      <w:r>
        <w:rPr>
          <w:rFonts w:ascii="Calibri" w:hAnsi="Calibri" w:cs="Calibri"/>
          <w:lang w:val="en-US"/>
        </w:rPr>
        <w:t xml:space="preserve">, CD3+ V450 </w:t>
      </w:r>
      <w:r>
        <w:rPr>
          <w:rFonts w:ascii="Calibri" w:hAnsi="Calibri" w:cs="Calibri"/>
        </w:rPr>
        <w:t>clone UCHT1 (BD#560365)</w:t>
      </w:r>
      <w:r>
        <w:rPr>
          <w:rFonts w:ascii="Calibri" w:hAnsi="Calibri" w:cs="Calibri"/>
          <w:lang w:val="en-US"/>
        </w:rPr>
        <w:t xml:space="preserve">, CD4+ PE-TxRed </w:t>
      </w:r>
      <w:r>
        <w:rPr>
          <w:rFonts w:ascii="Calibri" w:hAnsi="Calibri" w:cs="Calibri"/>
        </w:rPr>
        <w:t>clone S3.5 (Invitrogen#MHCD0417)</w:t>
      </w:r>
      <w:r>
        <w:rPr>
          <w:rFonts w:ascii="Calibri" w:hAnsi="Calibri" w:cs="Calibri"/>
          <w:lang w:val="en-US"/>
        </w:rPr>
        <w:t xml:space="preserve">, CD8+ Qdot, CCR7 </w:t>
      </w:r>
      <w:r>
        <w:rPr>
          <w:rFonts w:ascii="Calibri" w:hAnsi="Calibri" w:cs="Calibri"/>
        </w:rPr>
        <w:t>APC eFluor-780, clone 3D12 (eBioscience#47-1979-42)</w:t>
      </w:r>
      <w:r>
        <w:rPr>
          <w:rFonts w:ascii="Calibri" w:hAnsi="Calibri" w:cs="Calibri"/>
          <w:lang w:val="en-US"/>
        </w:rPr>
        <w:t xml:space="preserve">, CD45RA PE-Cy7 </w:t>
      </w:r>
      <w:r>
        <w:rPr>
          <w:rFonts w:ascii="Calibri" w:hAnsi="Calibri" w:cs="Calibri"/>
        </w:rPr>
        <w:t>clone L48 (BD#337167)</w:t>
      </w:r>
      <w:r>
        <w:rPr>
          <w:rFonts w:ascii="Calibri" w:hAnsi="Calibri" w:cs="Calibri"/>
          <w:lang w:val="en-US"/>
        </w:rPr>
        <w:t xml:space="preserve">, CD27 PE-Cy5 </w:t>
      </w:r>
      <w:r>
        <w:rPr>
          <w:rFonts w:ascii="Calibri" w:hAnsi="Calibri" w:cs="Calibri"/>
        </w:rPr>
        <w:t>(eBioscience #15-0279-42)</w:t>
      </w:r>
      <w:r>
        <w:rPr>
          <w:rFonts w:ascii="Calibri" w:hAnsi="Calibri" w:cs="Calibri"/>
          <w:lang w:val="en-US"/>
        </w:rPr>
        <w:t xml:space="preserve">, HLADR FITC </w:t>
      </w:r>
      <w:r>
        <w:rPr>
          <w:rFonts w:ascii="Calibri" w:hAnsi="Calibri" w:cs="Calibri"/>
        </w:rPr>
        <w:t>clone L243 (BD#347363)</w:t>
      </w:r>
      <w:r>
        <w:rPr>
          <w:rFonts w:ascii="Calibri" w:hAnsi="Calibri" w:cs="Calibri"/>
          <w:lang w:val="en-US"/>
        </w:rPr>
        <w:t xml:space="preserve">, and CD38 PE </w:t>
      </w:r>
      <w:r>
        <w:rPr>
          <w:rFonts w:ascii="Calibri" w:hAnsi="Calibri" w:cs="Calibri"/>
        </w:rPr>
        <w:t xml:space="preserve">clone HB7 (BD#347687) were used for the CD4+ T-cell subset panel following thawing of frozen peripheral blood mononuclear cells (PBMC). Live-dead stain, acetyl-Histone H3 antibody (Millipore #06-599, rabbit polyclonal), acetylated lysine (Genesearch 9441S) and goat anti-rabbit R-PE antibody (Invitrogen #P2771) were used for the acetylation panel and prepared for flow cytometry as previously described </w:t>
      </w:r>
      <w:r>
        <w:rPr>
          <w:rFonts w:ascii="Calibri" w:hAnsi="Calibri" w:cs="Calibri"/>
        </w:rPr>
        <w:fldChar w:fldCharType="begin">
          <w:fldData xml:space="preserve">PEVuZE5vdGU+PENpdGU+PEF1dGhvcj5FbGxpb3R0PC9BdXRob3I+PFllYXI+MjAxNDwvWWVhcj48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</w:fldData>
        </w:fldChar>
      </w:r>
      <w:r>
        <w:rPr>
          <w:rFonts w:ascii="Calibri" w:hAnsi="Calibri" w:cs="Calibri"/>
        </w:rPr>
        <w:instrText xml:space="preserve"> ADDIN EN.CITE </w:instrText>
      </w:r>
      <w:r>
        <w:rPr>
          <w:rFonts w:ascii="Calibri" w:hAnsi="Calibri" w:cs="Calibri"/>
        </w:rPr>
        <w:fldChar w:fldCharType="begin">
          <w:fldData xml:space="preserve">PEVuZE5vdGU+PENpdGU+PEF1dGhvcj5FbGxpb3R0PC9BdXRob3I+PFllYXI+MjAxNDwvWWVhcj48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Pr>
          <w:rFonts w:ascii="Calibri" w:hAnsi="Calibri" w:cs="Calibri"/>
          <w:noProof/>
        </w:rPr>
        <w:t>(</w:t>
      </w:r>
      <w:hyperlink w:anchor="_ENREF_2" w:tooltip="Elliott, 2014 #49" w:history="1">
        <w:r>
          <w:rPr>
            <w:rFonts w:ascii="Calibri" w:hAnsi="Calibri" w:cs="Calibri"/>
            <w:noProof/>
          </w:rPr>
          <w:t>2</w:t>
        </w:r>
      </w:hyperlink>
      <w:r>
        <w:rPr>
          <w:rFonts w:ascii="Calibri" w:hAnsi="Calibri" w:cs="Calibri"/>
          <w:noProof/>
        </w:rPr>
        <w:t>)</w:t>
      </w:r>
      <w:r>
        <w:rPr>
          <w:rFonts w:ascii="Calibri" w:hAnsi="Calibri" w:cs="Calibri"/>
        </w:rPr>
        <w:fldChar w:fldCharType="end"/>
      </w:r>
      <w:r>
        <w:rPr>
          <w:rFonts w:ascii="Calibri" w:hAnsi="Calibri" w:cs="Calibri"/>
        </w:rPr>
        <w:t>.</w:t>
      </w:r>
    </w:p>
    <w:p w:rsidR="006273FC" w:rsidRDefault="006273FC">
      <w:pPr>
        <w:spacing w:after="96" w:line="480" w:lineRule="auto"/>
        <w:rPr>
          <w:rFonts w:ascii="Calibri" w:hAnsi="Calibri" w:cs="Calibri"/>
          <w:lang w:val="en-US"/>
        </w:rPr>
      </w:pPr>
      <w:r>
        <w:rPr>
          <w:rFonts w:ascii="Calibri" w:hAnsi="Calibri" w:cs="Calibri"/>
        </w:rPr>
        <w:t xml:space="preserve">ArC Amine Reactive Compensation Bead Kit (Invitrogen#A10346) was used as per manufacturer’s instructions and BD CompBeads (Anti-mouse Ig, BD#552843) were used for compensation with fluorescent-minus-one controls. </w:t>
      </w:r>
      <w:r>
        <w:rPr>
          <w:rFonts w:ascii="Calibri" w:hAnsi="Calibri" w:cs="Calibri"/>
          <w:lang w:val="en-US"/>
        </w:rPr>
        <w:t xml:space="preserve">BD Sphero </w:t>
      </w:r>
      <w:r>
        <w:rPr>
          <w:rFonts w:ascii="Calibri" w:hAnsi="Calibri" w:cs="Calibri"/>
        </w:rPr>
        <w:t>rainbow beads (BD#556291)</w:t>
      </w:r>
      <w:r>
        <w:rPr>
          <w:rFonts w:ascii="Calibri" w:hAnsi="Calibri" w:cs="Calibri"/>
          <w:lang w:val="en-US"/>
        </w:rPr>
        <w:t xml:space="preserve"> were used to standardize the experiments. Live CD3+ T-cells were separated for CD4 and CD8 expression, then gated for CD38 and HLADR expression (supplemental figure 1). </w:t>
      </w:r>
    </w:p>
    <w:p w:rsidR="006273FC" w:rsidRDefault="006273FC">
      <w:pPr>
        <w:pStyle w:val="Heading3"/>
        <w:spacing w:line="480" w:lineRule="auto"/>
        <w:rPr>
          <w:lang w:val="en-US"/>
        </w:rPr>
      </w:pPr>
      <w:r>
        <w:rPr>
          <w:lang w:val="en-US"/>
        </w:rPr>
        <w:t>Statistical analyses</w:t>
      </w:r>
    </w:p>
    <w:p w:rsidR="006273FC" w:rsidRDefault="006273FC">
      <w:pPr>
        <w:pStyle w:val="CommentText"/>
        <w:spacing w:line="480" w:lineRule="auto"/>
        <w:rPr>
          <w:rFonts w:ascii="Calibri" w:hAnsi="Calibri" w:cs="Calibri"/>
          <w:sz w:val="22"/>
          <w:szCs w:val="22"/>
        </w:rPr>
      </w:pPr>
      <w:r>
        <w:rPr>
          <w:rFonts w:ascii="Calibri" w:hAnsi="Calibri" w:cs="Calibri"/>
          <w:sz w:val="22"/>
          <w:szCs w:val="22"/>
        </w:rPr>
        <w:t xml:space="preserve">Operationally, we sought to explain the observed response variable </w:t>
      </w:r>
      <w:r>
        <w:rPr>
          <w:rFonts w:ascii="Calibri" w:hAnsi="Calibri" w:cs="Calibri"/>
        </w:rPr>
        <w:t>y</w:t>
      </w:r>
      <w:r>
        <w:rPr>
          <w:rFonts w:ascii="Calibri" w:hAnsi="Calibri" w:cs="Calibri"/>
          <w:vertAlign w:val="subscript"/>
        </w:rPr>
        <w:t>ij</w:t>
      </w:r>
      <w:r>
        <w:rPr>
          <w:rFonts w:ascii="Calibri" w:hAnsi="Calibri" w:cs="Calibri"/>
          <w:sz w:val="22"/>
          <w:szCs w:val="22"/>
        </w:rPr>
        <w:t xml:space="preserve"> = log</w:t>
      </w:r>
      <w:r>
        <w:rPr>
          <w:rFonts w:ascii="Calibri" w:hAnsi="Calibri" w:cs="Calibri"/>
          <w:sz w:val="22"/>
          <w:szCs w:val="22"/>
          <w:vertAlign w:val="subscript"/>
        </w:rPr>
        <w:t>10</w:t>
      </w:r>
      <w:r>
        <w:rPr>
          <w:rFonts w:ascii="Calibri" w:hAnsi="Calibri" w:cs="Calibri"/>
          <w:sz w:val="22"/>
          <w:szCs w:val="22"/>
        </w:rPr>
        <w:t xml:space="preserve"> ((CA-US RNA)</w:t>
      </w:r>
      <w:r>
        <w:rPr>
          <w:rFonts w:ascii="Calibri" w:hAnsi="Calibri" w:cs="Calibri"/>
          <w:sz w:val="22"/>
          <w:szCs w:val="22"/>
          <w:vertAlign w:val="subscript"/>
        </w:rPr>
        <w:t>ij</w:t>
      </w:r>
      <w:r>
        <w:rPr>
          <w:rFonts w:ascii="Calibri" w:hAnsi="Calibri" w:cs="Calibri"/>
          <w:sz w:val="22"/>
          <w:szCs w:val="22"/>
        </w:rPr>
        <w:t>/</w:t>
      </w:r>
      <w:r>
        <w:rPr>
          <w:rFonts w:ascii="Calibri" w:hAnsi="Calibri" w:cs="Calibri"/>
          <w:i/>
          <w:iCs/>
          <w:sz w:val="22"/>
          <w:szCs w:val="22"/>
        </w:rPr>
        <w:t>N</w:t>
      </w:r>
      <w:r>
        <w:rPr>
          <w:rFonts w:ascii="Calibri" w:hAnsi="Calibri" w:cs="Calibri"/>
          <w:sz w:val="22"/>
          <w:szCs w:val="22"/>
          <w:vertAlign w:val="subscript"/>
        </w:rPr>
        <w:t>ij</w:t>
      </w:r>
      <w:r>
        <w:rPr>
          <w:rFonts w:ascii="Calibri" w:hAnsi="Calibri" w:cs="Calibri"/>
          <w:sz w:val="22"/>
          <w:szCs w:val="22"/>
        </w:rPr>
        <w:t xml:space="preserve">) for patient </w:t>
      </w:r>
      <w:r>
        <w:rPr>
          <w:rFonts w:ascii="Calibri" w:hAnsi="Calibri" w:cs="Calibri"/>
          <w:i/>
          <w:iCs/>
          <w:sz w:val="22"/>
          <w:szCs w:val="22"/>
        </w:rPr>
        <w:t>i</w:t>
      </w:r>
      <w:r>
        <w:rPr>
          <w:rFonts w:ascii="Calibri" w:hAnsi="Calibri" w:cs="Calibri"/>
          <w:sz w:val="22"/>
          <w:szCs w:val="22"/>
        </w:rPr>
        <w:t xml:space="preserve"> at visit </w:t>
      </w:r>
      <w:r>
        <w:rPr>
          <w:rFonts w:ascii="Calibri" w:hAnsi="Calibri" w:cs="Calibri"/>
          <w:i/>
          <w:iCs/>
          <w:sz w:val="22"/>
          <w:szCs w:val="22"/>
        </w:rPr>
        <w:t>j,</w:t>
      </w:r>
      <w:r>
        <w:rPr>
          <w:rFonts w:ascii="Calibri" w:hAnsi="Calibri" w:cs="Calibri"/>
          <w:sz w:val="22"/>
          <w:szCs w:val="22"/>
        </w:rPr>
        <w:t xml:space="preserve"> </w:t>
      </w:r>
      <w:r>
        <w:rPr>
          <w:rFonts w:ascii="Calibri" w:hAnsi="Calibri" w:cs="Calibri"/>
        </w:rPr>
        <w:t xml:space="preserve">i.e. B1, B2 or B3, </w:t>
      </w:r>
      <w:r>
        <w:rPr>
          <w:rFonts w:ascii="Calibri" w:hAnsi="Calibri" w:cs="Calibri"/>
          <w:sz w:val="22"/>
          <w:szCs w:val="22"/>
        </w:rPr>
        <w:t>taken at time</w:t>
      </w:r>
      <w:r>
        <w:rPr>
          <w:rFonts w:ascii="Calibri" w:hAnsi="Calibri" w:cs="Calibri"/>
        </w:rPr>
        <w:t xml:space="preserve"> </w:t>
      </w:r>
      <w:r>
        <w:rPr>
          <w:rFonts w:ascii="Calibri" w:hAnsi="Calibri" w:cs="Calibri"/>
          <w:i/>
          <w:iCs/>
        </w:rPr>
        <w:t>t</w:t>
      </w:r>
      <w:r>
        <w:rPr>
          <w:rFonts w:ascii="Calibri" w:hAnsi="Calibri" w:cs="Calibri"/>
          <w:vertAlign w:val="subscript"/>
        </w:rPr>
        <w:t>ij</w:t>
      </w:r>
      <w:r>
        <w:rPr>
          <w:rFonts w:ascii="Calibri" w:hAnsi="Calibri" w:cs="Calibri"/>
          <w:sz w:val="22"/>
          <w:szCs w:val="22"/>
        </w:rPr>
        <w:t xml:space="preserve">, where </w:t>
      </w:r>
      <w:r>
        <w:rPr>
          <w:rFonts w:ascii="Calibri" w:hAnsi="Calibri" w:cs="Calibri"/>
          <w:i/>
          <w:iCs/>
          <w:sz w:val="22"/>
          <w:szCs w:val="22"/>
        </w:rPr>
        <w:t>N</w:t>
      </w:r>
      <w:r>
        <w:rPr>
          <w:rFonts w:ascii="Calibri" w:hAnsi="Calibri" w:cs="Calibri"/>
          <w:sz w:val="22"/>
          <w:szCs w:val="22"/>
          <w:vertAlign w:val="subscript"/>
        </w:rPr>
        <w:t>ij</w:t>
      </w:r>
      <w:r>
        <w:rPr>
          <w:rFonts w:ascii="Calibri" w:hAnsi="Calibri" w:cs="Calibri"/>
          <w:sz w:val="22"/>
          <w:szCs w:val="22"/>
        </w:rPr>
        <w:t xml:space="preserve"> is the number of cells in millions used to measure the CA-US HIV RNA.  As shown previously [7], all values for CA-US HIV RNA were positive so we could take their logarithm.  The first model sought to predict the response variable as a function of visit, time of the blood draw for each individual at each visit</w:t>
      </w:r>
      <w:r>
        <w:rPr>
          <w:rFonts w:ascii="Calibri" w:hAnsi="Calibri" w:cs="Calibri"/>
        </w:rPr>
        <w:t xml:space="preserve"> i.e., </w:t>
      </w:r>
      <w:r>
        <w:rPr>
          <w:rFonts w:ascii="Calibri" w:hAnsi="Calibri" w:cs="Calibri"/>
          <w:i/>
          <w:iCs/>
        </w:rPr>
        <w:t>t</w:t>
      </w:r>
      <w:r>
        <w:rPr>
          <w:rFonts w:ascii="Calibri" w:hAnsi="Calibri" w:cs="Calibri"/>
          <w:vertAlign w:val="subscript"/>
        </w:rPr>
        <w:t>ij</w:t>
      </w:r>
      <w:r>
        <w:rPr>
          <w:rFonts w:ascii="Calibri" w:hAnsi="Calibri" w:cs="Calibri"/>
        </w:rPr>
        <w:t>,</w:t>
      </w:r>
      <w:r>
        <w:rPr>
          <w:rFonts w:ascii="Calibri" w:hAnsi="Calibri" w:cs="Calibri"/>
          <w:sz w:val="22"/>
          <w:szCs w:val="22"/>
        </w:rPr>
        <w:t xml:space="preserve"> and a random effect for each individual.  Specifically, this is</w:t>
      </w:r>
    </w:p>
    <w:p w:rsidR="006273FC" w:rsidRDefault="006273FC">
      <w:pPr>
        <w:jc w:val="center"/>
        <w:rPr>
          <w:rFonts w:ascii="Calibri" w:hAnsi="Calibri" w:cs="Calibri"/>
          <w:color w:val="auto"/>
          <w:vertAlign w:val="subscript"/>
        </w:rPr>
      </w:pPr>
      <w:r>
        <w:rPr>
          <w:rFonts w:ascii="Calibri" w:hAnsi="Calibri" w:cs="Calibri"/>
          <w:color w:val="auto"/>
        </w:rPr>
        <w:t>(1)    y</w:t>
      </w:r>
      <w:r>
        <w:rPr>
          <w:rFonts w:ascii="Calibri" w:hAnsi="Calibri" w:cs="Calibri"/>
          <w:color w:val="auto"/>
          <w:vertAlign w:val="subscript"/>
        </w:rPr>
        <w:t>ij</w:t>
      </w:r>
      <w:r>
        <w:rPr>
          <w:rFonts w:ascii="Calibri" w:hAnsi="Calibri" w:cs="Calibri"/>
          <w:color w:val="auto"/>
        </w:rPr>
        <w:t xml:space="preserve"> = </w:t>
      </w:r>
      <w:r>
        <w:rPr>
          <w:rFonts w:ascii="Symbol" w:hAnsi="Symbol" w:cs="Symbol"/>
          <w:color w:val="auto"/>
        </w:rPr>
        <w:t></w:t>
      </w:r>
      <w:r>
        <w:rPr>
          <w:rFonts w:ascii="Calibri" w:hAnsi="Calibri" w:cs="Calibri"/>
          <w:color w:val="auto"/>
          <w:vertAlign w:val="subscript"/>
        </w:rPr>
        <w:t xml:space="preserve"> </w:t>
      </w:r>
      <w:r>
        <w:rPr>
          <w:rFonts w:ascii="Calibri" w:hAnsi="Calibri" w:cs="Calibri"/>
          <w:color w:val="auto"/>
        </w:rPr>
        <w:t xml:space="preserve">+ </w:t>
      </w:r>
      <w:r>
        <w:rPr>
          <w:rFonts w:ascii="Symbol" w:hAnsi="Symbol" w:cs="Symbol"/>
          <w:color w:val="auto"/>
        </w:rPr>
        <w:t></w:t>
      </w:r>
      <w:r>
        <w:rPr>
          <w:rFonts w:ascii="Calibri" w:hAnsi="Calibri" w:cs="Calibri"/>
          <w:color w:val="auto"/>
          <w:vertAlign w:val="subscript"/>
        </w:rPr>
        <w:t>i</w:t>
      </w:r>
      <w:r>
        <w:rPr>
          <w:rFonts w:ascii="Calibri" w:hAnsi="Calibri" w:cs="Calibri"/>
          <w:color w:val="auto"/>
        </w:rPr>
        <w:t xml:space="preserve"> + </w:t>
      </w:r>
      <w:r>
        <w:rPr>
          <w:rFonts w:ascii="Symbol" w:hAnsi="Symbol" w:cs="Symbol"/>
          <w:color w:val="auto"/>
        </w:rPr>
        <w:t></w:t>
      </w:r>
      <w:r>
        <w:rPr>
          <w:rFonts w:ascii="Times New Roman" w:hAnsi="Times New Roman" w:cs="Times New Roman"/>
          <w:color w:val="auto"/>
          <w:vertAlign w:val="subscript"/>
        </w:rPr>
        <w:t>j</w:t>
      </w:r>
      <w:r>
        <w:rPr>
          <w:rFonts w:ascii="Symbol" w:hAnsi="Symbol" w:cs="Symbol"/>
          <w:color w:val="auto"/>
        </w:rPr>
        <w:t></w:t>
      </w:r>
      <w:r>
        <w:rPr>
          <w:rFonts w:ascii="Symbol" w:hAnsi="Symbol" w:cs="Symbol"/>
          <w:color w:val="auto"/>
        </w:rPr>
        <w:t></w:t>
      </w:r>
      <w:r>
        <w:rPr>
          <w:rFonts w:ascii="Symbol" w:hAnsi="Symbol" w:cs="Symbol"/>
          <w:color w:val="auto"/>
        </w:rPr>
        <w:t></w:t>
      </w:r>
      <w:r>
        <w:rPr>
          <w:rFonts w:ascii="Symbol" w:hAnsi="Symbol" w:cs="Symbol"/>
          <w:color w:val="auto"/>
        </w:rPr>
        <w:t></w:t>
      </w:r>
      <w:r>
        <w:rPr>
          <w:rFonts w:ascii="Calibri" w:hAnsi="Calibri" w:cs="Calibri"/>
          <w:color w:val="auto"/>
        </w:rPr>
        <w:t>t</w:t>
      </w:r>
      <w:r>
        <w:rPr>
          <w:rFonts w:ascii="Calibri" w:hAnsi="Calibri" w:cs="Calibri"/>
          <w:color w:val="auto"/>
          <w:vertAlign w:val="subscript"/>
        </w:rPr>
        <w:t>ij</w:t>
      </w:r>
      <w:r>
        <w:rPr>
          <w:rFonts w:ascii="Calibri" w:hAnsi="Calibri" w:cs="Calibri"/>
          <w:color w:val="auto"/>
        </w:rPr>
        <w:t xml:space="preserve"> + </w:t>
      </w:r>
      <w:r>
        <w:rPr>
          <w:rFonts w:ascii="Symbol" w:hAnsi="Symbol" w:cs="Symbol"/>
          <w:color w:val="auto"/>
        </w:rPr>
        <w:t></w:t>
      </w:r>
      <w:r>
        <w:rPr>
          <w:rFonts w:ascii="Calibri" w:hAnsi="Calibri" w:cs="Calibri"/>
          <w:color w:val="auto"/>
          <w:vertAlign w:val="subscript"/>
        </w:rPr>
        <w:t>ij</w:t>
      </w:r>
    </w:p>
    <w:p w:rsidR="006273FC" w:rsidRDefault="006273FC">
      <w:pPr>
        <w:spacing w:after="96" w:line="480" w:lineRule="auto"/>
        <w:rPr>
          <w:rFonts w:ascii="Calibri" w:hAnsi="Calibri" w:cs="Calibri"/>
          <w:color w:val="auto"/>
        </w:rPr>
      </w:pPr>
      <w:r>
        <w:rPr>
          <w:rFonts w:ascii="Calibri" w:hAnsi="Calibri" w:cs="Calibri"/>
          <w:color w:val="auto"/>
        </w:rPr>
        <w:t xml:space="preserve">The parameter </w:t>
      </w:r>
      <w:r>
        <w:rPr>
          <w:rFonts w:ascii="Symbol" w:hAnsi="Symbol" w:cs="Symbol"/>
          <w:color w:val="auto"/>
        </w:rPr>
        <w:t></w:t>
      </w:r>
      <w:r>
        <w:rPr>
          <w:rFonts w:ascii="Calibri" w:hAnsi="Calibri" w:cs="Calibri"/>
          <w:color w:val="auto"/>
        </w:rPr>
        <w:t xml:space="preserve"> is a constant, and </w:t>
      </w:r>
      <w:r>
        <w:rPr>
          <w:rFonts w:ascii="Symbol" w:hAnsi="Symbol" w:cs="Symbol"/>
          <w:color w:val="auto"/>
        </w:rPr>
        <w:t></w:t>
      </w:r>
      <w:r>
        <w:rPr>
          <w:rFonts w:ascii="Symbol" w:hAnsi="Symbol" w:cs="Symbol"/>
          <w:color w:val="auto"/>
        </w:rPr>
        <w:t></w:t>
      </w:r>
      <w:r>
        <w:rPr>
          <w:rFonts w:ascii="Calibri" w:hAnsi="Calibri" w:cs="Calibri"/>
          <w:color w:val="auto"/>
          <w:vertAlign w:val="subscript"/>
        </w:rPr>
        <w:t xml:space="preserve">i </w:t>
      </w:r>
      <w:r>
        <w:rPr>
          <w:rFonts w:ascii="Calibri" w:hAnsi="Calibri" w:cs="Calibri"/>
          <w:color w:val="auto"/>
        </w:rPr>
        <w:t>is a patient-specific adjustment to the overall mean. We model the latter as realizations from a Gaussian distribution with mean zero and variance τ</w:t>
      </w:r>
      <w:r>
        <w:rPr>
          <w:rFonts w:ascii="Calibri" w:hAnsi="Calibri" w:cs="Calibri"/>
          <w:color w:val="auto"/>
          <w:vertAlign w:val="superscript"/>
        </w:rPr>
        <w:t>2</w:t>
      </w:r>
      <w:r>
        <w:rPr>
          <w:rFonts w:ascii="Calibri" w:hAnsi="Calibri" w:cs="Calibri"/>
          <w:color w:val="auto"/>
        </w:rPr>
        <w:t xml:space="preserve"> . This assumption reduces the number of parameters that need to be estimated.  The visit specific parameter </w:t>
      </w:r>
      <w:r>
        <w:rPr>
          <w:rFonts w:ascii="Symbol" w:hAnsi="Symbol" w:cs="Symbol"/>
          <w:color w:val="auto"/>
        </w:rPr>
        <w:t></w:t>
      </w:r>
      <w:r>
        <w:rPr>
          <w:rFonts w:ascii="Times New Roman" w:hAnsi="Times New Roman" w:cs="Times New Roman"/>
          <w:color w:val="auto"/>
          <w:vertAlign w:val="subscript"/>
        </w:rPr>
        <w:t xml:space="preserve">j  </w:t>
      </w:r>
      <w:r>
        <w:rPr>
          <w:rFonts w:ascii="Calibri" w:hAnsi="Calibri" w:cs="Calibri"/>
          <w:color w:val="auto"/>
        </w:rPr>
        <w:t xml:space="preserve">is a fixed effect to adjust the overall mean to take into account  the possible differences among the visits, e.g., more stress at visit B3.  To make the set of visit effects </w:t>
      </w:r>
      <w:r>
        <w:rPr>
          <w:rFonts w:ascii="Symbol" w:hAnsi="Symbol" w:cs="Symbol"/>
          <w:color w:val="auto"/>
        </w:rPr>
        <w:t></w:t>
      </w:r>
      <w:r>
        <w:rPr>
          <w:rFonts w:ascii="Calibri" w:hAnsi="Calibri" w:cs="Calibri"/>
          <w:color w:val="auto"/>
          <w:vertAlign w:val="subscript"/>
        </w:rPr>
        <w:t>j</w:t>
      </w:r>
      <w:r>
        <w:rPr>
          <w:rFonts w:ascii="Calibri" w:hAnsi="Calibri" w:cs="Calibri"/>
          <w:color w:val="auto"/>
        </w:rPr>
        <w:t xml:space="preserve">, j= 1, 2, 3, identifiable, we set </w:t>
      </w:r>
      <w:r>
        <w:rPr>
          <w:rFonts w:ascii="Symbol" w:hAnsi="Symbol" w:cs="Symbol"/>
          <w:color w:val="auto"/>
        </w:rPr>
        <w:t></w:t>
      </w:r>
      <w:r>
        <w:rPr>
          <w:rFonts w:ascii="Calibri" w:hAnsi="Calibri" w:cs="Calibri"/>
          <w:color w:val="auto"/>
          <w:vertAlign w:val="subscript"/>
        </w:rPr>
        <w:t>1</w:t>
      </w:r>
      <w:r>
        <w:rPr>
          <w:rFonts w:ascii="Calibri" w:hAnsi="Calibri" w:cs="Calibri"/>
          <w:color w:val="auto"/>
        </w:rPr>
        <w:t xml:space="preserve">=0.  As a result, the estimated values of </w:t>
      </w:r>
      <w:r>
        <w:rPr>
          <w:rFonts w:ascii="Symbol" w:hAnsi="Symbol" w:cs="Symbol"/>
          <w:color w:val="auto"/>
        </w:rPr>
        <w:t></w:t>
      </w:r>
      <w:r>
        <w:rPr>
          <w:rFonts w:ascii="Calibri" w:hAnsi="Calibri" w:cs="Calibri"/>
          <w:color w:val="auto"/>
          <w:vertAlign w:val="subscript"/>
        </w:rPr>
        <w:t>2</w:t>
      </w:r>
      <w:r>
        <w:rPr>
          <w:rFonts w:ascii="Calibri" w:hAnsi="Calibri" w:cs="Calibri"/>
          <w:color w:val="auto"/>
        </w:rPr>
        <w:t xml:space="preserve"> and </w:t>
      </w:r>
      <w:r>
        <w:rPr>
          <w:rFonts w:ascii="Symbol" w:hAnsi="Symbol" w:cs="Symbol"/>
          <w:color w:val="auto"/>
        </w:rPr>
        <w:t></w:t>
      </w:r>
      <w:r>
        <w:rPr>
          <w:rFonts w:ascii="Calibri" w:hAnsi="Calibri" w:cs="Calibri"/>
          <w:color w:val="auto"/>
          <w:vertAlign w:val="subscript"/>
        </w:rPr>
        <w:t>3</w:t>
      </w:r>
      <w:r>
        <w:rPr>
          <w:rFonts w:ascii="Calibri" w:hAnsi="Calibri" w:cs="Calibri"/>
          <w:color w:val="auto"/>
        </w:rPr>
        <w:t xml:space="preserve"> report the average differences between visits B2 and B1, and B3 and B1, respectively.  We will make use of that interpretation of the parameters when discussing their estimates. Finally, to account for possible effects of time, we introduced the parameter </w:t>
      </w:r>
      <w:r>
        <w:rPr>
          <w:rFonts w:ascii="Symbol" w:hAnsi="Symbol" w:cs="Symbol"/>
          <w:color w:val="auto"/>
        </w:rPr>
        <w:t></w:t>
      </w:r>
      <w:r>
        <w:rPr>
          <w:rFonts w:ascii="Symbol" w:hAnsi="Symbol" w:cs="Symbol"/>
          <w:color w:val="auto"/>
        </w:rPr>
        <w:t></w:t>
      </w:r>
      <w:r>
        <w:rPr>
          <w:rFonts w:ascii="Symbol" w:hAnsi="Symbol" w:cs="Symbol"/>
          <w:color w:val="auto"/>
        </w:rPr>
        <w:t></w:t>
      </w:r>
      <w:r>
        <w:rPr>
          <w:rFonts w:ascii="Symbol" w:hAnsi="Symbol" w:cs="Symbol"/>
          <w:color w:val="auto"/>
        </w:rPr>
        <w:t></w:t>
      </w:r>
      <w:r>
        <w:rPr>
          <w:rFonts w:ascii="Symbol" w:hAnsi="Symbol" w:cs="Symbol"/>
          <w:color w:val="auto"/>
        </w:rPr>
        <w:t></w:t>
      </w:r>
      <w:r>
        <w:rPr>
          <w:rFonts w:ascii="Calibri" w:hAnsi="Calibri" w:cs="Calibri"/>
          <w:color w:val="auto"/>
        </w:rPr>
        <w:t xml:space="preserve">adjust for the effect of the time of day that the blood was drawn.  Given the relatively narrow period of blood draw with 80% of the measurements being collected between 8 am and 12,30 pm, we viewed the term </w:t>
      </w:r>
      <w:r>
        <w:rPr>
          <w:rFonts w:ascii="Symbol" w:hAnsi="Symbol" w:cs="Symbol"/>
          <w:color w:val="auto"/>
        </w:rPr>
        <w:t></w:t>
      </w:r>
      <w:r>
        <w:rPr>
          <w:rFonts w:ascii="Symbol" w:hAnsi="Symbol" w:cs="Symbol"/>
          <w:color w:val="auto"/>
        </w:rPr>
        <w:t></w:t>
      </w:r>
      <w:r>
        <w:rPr>
          <w:rFonts w:ascii="Calibri" w:hAnsi="Calibri" w:cs="Calibri"/>
          <w:color w:val="auto"/>
        </w:rPr>
        <w:t>t</w:t>
      </w:r>
      <w:r>
        <w:rPr>
          <w:rFonts w:ascii="Calibri" w:hAnsi="Calibri" w:cs="Calibri"/>
          <w:color w:val="auto"/>
          <w:vertAlign w:val="subscript"/>
        </w:rPr>
        <w:t>ij</w:t>
      </w:r>
      <w:r>
        <w:rPr>
          <w:rFonts w:ascii="Calibri" w:hAnsi="Calibri" w:cs="Calibri"/>
          <w:color w:val="auto"/>
        </w:rPr>
        <w:t xml:space="preserve"> as a linear approximation of the circadian cycle over that time period.   As is standard, </w:t>
      </w:r>
      <w:r>
        <w:rPr>
          <w:rFonts w:ascii="Symbol" w:hAnsi="Symbol" w:cs="Symbol"/>
          <w:color w:val="auto"/>
        </w:rPr>
        <w:t></w:t>
      </w:r>
      <w:r>
        <w:rPr>
          <w:rFonts w:ascii="Calibri" w:hAnsi="Calibri" w:cs="Calibri"/>
          <w:color w:val="auto"/>
          <w:vertAlign w:val="subscript"/>
        </w:rPr>
        <w:t>ij</w:t>
      </w:r>
      <w:r>
        <w:rPr>
          <w:rFonts w:ascii="Calibri" w:hAnsi="Calibri" w:cs="Calibri"/>
          <w:color w:val="auto"/>
        </w:rPr>
        <w:t>, is an error term assumed to be Gaussian distributed with variance proportional to 1/N</w:t>
      </w:r>
      <w:r>
        <w:rPr>
          <w:rFonts w:ascii="Calibri" w:hAnsi="Calibri" w:cs="Calibri"/>
          <w:color w:val="auto"/>
          <w:vertAlign w:val="subscript"/>
        </w:rPr>
        <w:t>ij</w:t>
      </w:r>
      <w:r>
        <w:rPr>
          <w:rFonts w:ascii="Calibri" w:hAnsi="Calibri" w:cs="Calibri"/>
          <w:color w:val="auto"/>
        </w:rPr>
        <w:t xml:space="preserve">.  If there were no effect of visit or time of blood collection, the constant </w:t>
      </w:r>
      <w:r>
        <w:rPr>
          <w:rFonts w:ascii="Symbol" w:hAnsi="Symbol" w:cs="Symbol"/>
          <w:color w:val="auto"/>
        </w:rPr>
        <w:t></w:t>
      </w:r>
      <w:r>
        <w:rPr>
          <w:rFonts w:ascii="Calibri" w:hAnsi="Calibri" w:cs="Calibri"/>
          <w:color w:val="auto"/>
        </w:rPr>
        <w:t xml:space="preserve"> would represent the overall average log </w:t>
      </w:r>
      <w:r>
        <w:rPr>
          <w:rFonts w:ascii="Calibri" w:hAnsi="Calibri" w:cs="Calibri"/>
          <w:color w:val="auto"/>
          <w:vertAlign w:val="subscript"/>
        </w:rPr>
        <w:t>10</w:t>
      </w:r>
      <w:r>
        <w:rPr>
          <w:rFonts w:ascii="Calibri" w:hAnsi="Calibri" w:cs="Calibri"/>
          <w:color w:val="auto"/>
        </w:rPr>
        <w:t xml:space="preserve"> CA-US HIV RNA/million cells. </w:t>
      </w:r>
      <w:r>
        <w:rPr>
          <w:rFonts w:ascii="Calibri" w:hAnsi="Calibri" w:cs="Calibri"/>
          <w:color w:val="auto"/>
          <w:highlight w:val="yellow"/>
        </w:rPr>
        <w:t>Fitting of the mixed effects models used the lme4 function, using the REML algorithm to fit the fix effects.  Confidence intervals and p-values were computed using the Gaussian approximation of the appropriate T-statistics.  Model comparisons were done using the generalized likelihood ratio test.</w:t>
      </w:r>
      <w:r>
        <w:rPr>
          <w:rFonts w:ascii="Calibri" w:hAnsi="Calibri" w:cs="Calibri"/>
          <w:color w:val="auto"/>
        </w:rPr>
        <w:t xml:space="preserve"> </w:t>
      </w:r>
      <w:r>
        <w:rPr>
          <w:rFonts w:ascii="Calibri" w:hAnsi="Calibri" w:cs="Calibri"/>
          <w:color w:val="auto"/>
          <w:highlight w:val="yellow"/>
        </w:rPr>
        <w:t>All estimated fixed parameters in the models we considered were dependent on the data, and hence are intrinsically random.  As a result, when we reported estimates we also included its standard deviation, which we also refer to as the standard error.  Comparing the size (magnitude) of the estimate to its standard error by taking their ratio, provides a statistical test for the null hypothesis for that parameter to be zero.  We rely on the asymptotic normality of the estimate to provide a p-value for that test.</w:t>
      </w:r>
      <w:r>
        <w:rPr>
          <w:rFonts w:ascii="Calibri" w:hAnsi="Calibri" w:cs="Calibri"/>
          <w:color w:val="auto"/>
        </w:rPr>
        <w:t xml:space="preserve">   </w:t>
      </w:r>
      <w:bookmarkStart w:id="0" w:name="_GoBack"/>
      <w:bookmarkEnd w:id="0"/>
    </w:p>
    <w:p w:rsidR="006273FC" w:rsidRDefault="006273FC">
      <w:pPr>
        <w:suppressAutoHyphens w:val="0"/>
        <w:spacing w:after="0" w:line="480" w:lineRule="auto"/>
        <w:rPr>
          <w:rFonts w:ascii="Calibri" w:hAnsi="Calibri" w:cs="Calibri"/>
          <w:b/>
          <w:bCs/>
          <w:color w:val="auto"/>
          <w:sz w:val="28"/>
          <w:szCs w:val="28"/>
        </w:rPr>
      </w:pPr>
      <w:r>
        <w:rPr>
          <w:rFonts w:ascii="Calibri" w:hAnsi="Calibri" w:cs="Calibri"/>
          <w:b/>
          <w:bCs/>
          <w:color w:val="auto"/>
          <w:sz w:val="28"/>
          <w:szCs w:val="28"/>
        </w:rPr>
        <w:t xml:space="preserve">Supplementary figures: </w:t>
      </w:r>
    </w:p>
    <w:p w:rsidR="006273FC" w:rsidRDefault="006273FC">
      <w:pPr>
        <w:suppressAutoHyphens w:val="0"/>
        <w:spacing w:after="0" w:line="480" w:lineRule="auto"/>
        <w:rPr>
          <w:rFonts w:ascii="Calibri" w:hAnsi="Calibri" w:cs="Calibri"/>
          <w:color w:val="auto"/>
        </w:rPr>
      </w:pPr>
      <w:r>
        <w:rPr>
          <w:rFonts w:ascii="Calibri" w:hAnsi="Calibri" w:cs="Calibri"/>
          <w:b/>
          <w:bCs/>
          <w:color w:val="auto"/>
        </w:rPr>
        <w:t>Supplementary Figure 1:</w:t>
      </w:r>
      <w:r>
        <w:rPr>
          <w:rFonts w:ascii="Calibri" w:hAnsi="Calibri" w:cs="Calibri"/>
          <w:color w:val="auto"/>
        </w:rPr>
        <w:t xml:space="preserve"> Gating strategy for expression of T-cell activation markers on CD4+ T-cells from blood. SSC = side scatter; FSC = forward scatter.</w:t>
      </w:r>
    </w:p>
    <w:p w:rsidR="006273FC" w:rsidRDefault="006273FC">
      <w:pPr>
        <w:suppressAutoHyphens w:val="0"/>
        <w:spacing w:after="0" w:line="480" w:lineRule="auto"/>
        <w:rPr>
          <w:rFonts w:ascii="Calibri" w:hAnsi="Calibri" w:cs="Calibri"/>
          <w:color w:val="auto"/>
        </w:rPr>
      </w:pPr>
    </w:p>
    <w:p w:rsidR="006273FC" w:rsidRDefault="006273FC">
      <w:pPr>
        <w:suppressAutoHyphens w:val="0"/>
        <w:spacing w:after="0" w:line="480" w:lineRule="auto"/>
        <w:rPr>
          <w:rFonts w:ascii="Calibri" w:hAnsi="Calibri" w:cs="Calibri"/>
          <w:color w:val="auto"/>
        </w:rPr>
      </w:pPr>
      <w:r>
        <w:rPr>
          <w:rFonts w:ascii="Calibri" w:hAnsi="Calibri" w:cs="Calibri"/>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171pt">
            <v:imagedata r:id="rId4" o:title="Figure_S1_R2"/>
          </v:shape>
        </w:pict>
      </w:r>
    </w:p>
    <w:p w:rsidR="006273FC" w:rsidRDefault="006273FC">
      <w:pPr>
        <w:suppressAutoHyphens w:val="0"/>
        <w:spacing w:after="0" w:line="480" w:lineRule="auto"/>
        <w:rPr>
          <w:rFonts w:ascii="Calibri" w:hAnsi="Calibri" w:cs="Calibri"/>
          <w:color w:val="auto"/>
        </w:rPr>
      </w:pPr>
    </w:p>
    <w:p w:rsidR="006273FC" w:rsidRDefault="006273FC">
      <w:pPr>
        <w:suppressAutoHyphens w:val="0"/>
        <w:spacing w:after="0" w:line="480" w:lineRule="auto"/>
        <w:rPr>
          <w:rFonts w:ascii="Calibri" w:hAnsi="Calibri" w:cs="Calibri"/>
          <w:color w:val="auto"/>
        </w:rPr>
      </w:pPr>
    </w:p>
    <w:p w:rsidR="006273FC" w:rsidRDefault="006273FC">
      <w:pPr>
        <w:suppressAutoHyphens w:val="0"/>
        <w:spacing w:after="0" w:line="480" w:lineRule="auto"/>
        <w:rPr>
          <w:rFonts w:ascii="Calibri" w:hAnsi="Calibri" w:cs="Calibri"/>
          <w:color w:val="auto"/>
        </w:rPr>
      </w:pPr>
      <w:r>
        <w:rPr>
          <w:rFonts w:ascii="Calibri" w:hAnsi="Calibri" w:cs="Calibri"/>
          <w:b/>
          <w:bCs/>
          <w:color w:val="auto"/>
        </w:rPr>
        <w:t>Supplementary Figure 2:</w:t>
      </w:r>
      <w:r>
        <w:rPr>
          <w:rFonts w:ascii="Calibri" w:hAnsi="Calibri" w:cs="Calibri"/>
          <w:color w:val="auto"/>
        </w:rPr>
        <w:t xml:space="preserve"> Expression of CD38 and HLA-DR on CD8+ T-cells (left panel) and CD4+ T-cells (right panel) at each of the three visits (B1, B2 and B3). Nominal p-values from Wilcoxon matched pairs signed rank tests are shown for significant associations. Bonferroni-corrected p-value for significance p&lt;0.002</w:t>
      </w:r>
    </w:p>
    <w:p w:rsidR="006273FC" w:rsidRDefault="006273FC">
      <w:pPr>
        <w:suppressAutoHyphens w:val="0"/>
        <w:spacing w:after="0" w:line="480" w:lineRule="auto"/>
        <w:rPr>
          <w:rFonts w:ascii="Calibri" w:hAnsi="Calibri" w:cs="Calibri"/>
          <w:color w:val="auto"/>
        </w:rPr>
      </w:pPr>
    </w:p>
    <w:p w:rsidR="006273FC" w:rsidRDefault="006273FC">
      <w:pPr>
        <w:suppressAutoHyphens w:val="0"/>
        <w:spacing w:after="0" w:line="480" w:lineRule="auto"/>
        <w:rPr>
          <w:rFonts w:ascii="Calibri" w:eastAsia="MS Gothic" w:hAnsi="Calibri"/>
          <w:b/>
          <w:bCs/>
          <w:color w:val="auto"/>
          <w:sz w:val="26"/>
          <w:szCs w:val="26"/>
        </w:rPr>
      </w:pPr>
    </w:p>
    <w:p w:rsidR="006273FC" w:rsidRDefault="006273FC">
      <w:pPr>
        <w:suppressAutoHyphens w:val="0"/>
        <w:spacing w:after="0" w:line="480" w:lineRule="auto"/>
        <w:rPr>
          <w:rFonts w:ascii="Calibri" w:eastAsia="MS Gothic" w:hAnsi="Calibri"/>
          <w:b/>
          <w:bCs/>
          <w:color w:val="auto"/>
          <w:sz w:val="26"/>
          <w:szCs w:val="26"/>
        </w:rPr>
      </w:pPr>
      <w:r>
        <w:rPr>
          <w:rFonts w:ascii="Calibri" w:eastAsia="MS Gothic" w:hAnsi="Calibri"/>
          <w:b/>
          <w:bCs/>
          <w:color w:val="auto"/>
          <w:sz w:val="26"/>
          <w:szCs w:val="26"/>
        </w:rPr>
        <w:pict>
          <v:shape id="_x0000_i1026" type="#_x0000_t75" style="width:375pt;height:222.75pt">
            <v:imagedata r:id="rId5" o:title="Figure_S2_R2"/>
          </v:shape>
        </w:pict>
      </w:r>
    </w:p>
    <w:p w:rsidR="006273FC" w:rsidRDefault="006273FC">
      <w:pPr>
        <w:suppressAutoHyphens w:val="0"/>
        <w:spacing w:after="0" w:line="480" w:lineRule="auto"/>
        <w:rPr>
          <w:rFonts w:ascii="Calibri" w:eastAsia="MS Gothic" w:hAnsi="Calibri"/>
          <w:b/>
          <w:bCs/>
          <w:color w:val="auto"/>
          <w:sz w:val="26"/>
          <w:szCs w:val="26"/>
        </w:rPr>
      </w:pPr>
    </w:p>
    <w:p w:rsidR="006273FC" w:rsidRDefault="006273FC">
      <w:pPr>
        <w:pStyle w:val="Heading2"/>
        <w:spacing w:line="480" w:lineRule="auto"/>
        <w:rPr>
          <w:rFonts w:ascii="Times New Roman" w:hAnsi="Times New Roman" w:cs="Times New Roman"/>
        </w:rPr>
      </w:pPr>
      <w:r>
        <w:t>Supplementary Tables</w:t>
      </w:r>
    </w:p>
    <w:p w:rsidR="006273FC" w:rsidRDefault="006273FC">
      <w:pPr>
        <w:spacing w:after="96" w:line="480" w:lineRule="auto"/>
        <w:rPr>
          <w:rFonts w:ascii="Calibri" w:hAnsi="Calibri" w:cs="Calibri"/>
          <w:color w:val="auto"/>
        </w:rPr>
      </w:pPr>
      <w:r>
        <w:rPr>
          <w:rFonts w:ascii="Calibri" w:hAnsi="Calibri" w:cs="Calibri"/>
          <w:b/>
          <w:bCs/>
          <w:color w:val="auto"/>
        </w:rPr>
        <w:t>Supplementary Table 1:</w:t>
      </w:r>
      <w:r>
        <w:rPr>
          <w:rFonts w:ascii="Calibri" w:hAnsi="Calibri" w:cs="Calibri"/>
          <w:color w:val="auto"/>
        </w:rPr>
        <w:t xml:space="preserve"> Primer sequences for CLOCK-associated genes (CLOCK, BMAL1, Per1-3 and Cry1-2) and GADPH as reference gene, and their respective standard curves’ slope and efficiency.</w:t>
      </w:r>
    </w:p>
    <w:tbl>
      <w:tblPr>
        <w:tblW w:w="0" w:type="auto"/>
        <w:tblInd w:w="-106" w:type="dxa"/>
        <w:tblBorders>
          <w:top w:val="single" w:sz="4" w:space="0" w:color="auto"/>
          <w:bottom w:val="single" w:sz="4" w:space="0" w:color="auto"/>
          <w:insideH w:val="single" w:sz="4" w:space="0" w:color="auto"/>
        </w:tblBorders>
        <w:tblLook w:val="0000"/>
      </w:tblPr>
      <w:tblGrid>
        <w:gridCol w:w="1755"/>
        <w:gridCol w:w="809"/>
        <w:gridCol w:w="610"/>
        <w:gridCol w:w="2622"/>
        <w:gridCol w:w="857"/>
        <w:gridCol w:w="1009"/>
      </w:tblGrid>
      <w:tr w:rsidR="006273FC">
        <w:trPr>
          <w:trHeight w:val="584"/>
        </w:trPr>
        <w:tc>
          <w:tcPr>
            <w:tcW w:w="0" w:type="auto"/>
            <w:tcBorders>
              <w:left w:val="nil"/>
              <w:right w:val="nil"/>
            </w:tcBorders>
          </w:tcPr>
          <w:p w:rsidR="006273FC" w:rsidRDefault="006273FC">
            <w:pPr>
              <w:spacing w:line="240" w:lineRule="auto"/>
              <w:jc w:val="center"/>
              <w:rPr>
                <w:rFonts w:ascii="Calibri" w:hAnsi="Calibri" w:cs="Calibri"/>
                <w:b/>
                <w:bCs/>
                <w:color w:val="auto"/>
                <w:sz w:val="20"/>
                <w:szCs w:val="20"/>
                <w:lang w:val="en-US"/>
              </w:rPr>
            </w:pPr>
            <w:r>
              <w:rPr>
                <w:rFonts w:ascii="Calibri" w:hAnsi="Calibri" w:cs="Calibri"/>
                <w:b/>
                <w:bCs/>
                <w:color w:val="auto"/>
                <w:sz w:val="20"/>
                <w:szCs w:val="20"/>
                <w:lang w:val="en-US"/>
              </w:rPr>
              <w:t>Reference</w:t>
            </w:r>
          </w:p>
        </w:tc>
        <w:tc>
          <w:tcPr>
            <w:tcW w:w="0" w:type="auto"/>
            <w:tcBorders>
              <w:left w:val="nil"/>
              <w:right w:val="nil"/>
            </w:tcBorders>
          </w:tcPr>
          <w:p w:rsidR="006273FC" w:rsidRDefault="006273FC">
            <w:pPr>
              <w:spacing w:line="240" w:lineRule="auto"/>
              <w:jc w:val="center"/>
              <w:rPr>
                <w:rFonts w:ascii="Calibri" w:hAnsi="Calibri" w:cs="Calibri"/>
                <w:b/>
                <w:bCs/>
                <w:color w:val="auto"/>
                <w:sz w:val="20"/>
                <w:szCs w:val="20"/>
              </w:rPr>
            </w:pPr>
            <w:r>
              <w:rPr>
                <w:rFonts w:ascii="Calibri" w:hAnsi="Calibri" w:cs="Calibri"/>
                <w:b/>
                <w:bCs/>
                <w:color w:val="auto"/>
                <w:sz w:val="20"/>
                <w:szCs w:val="20"/>
                <w:lang w:val="en-US"/>
              </w:rPr>
              <w:t>Primer</w:t>
            </w:r>
          </w:p>
        </w:tc>
        <w:tc>
          <w:tcPr>
            <w:tcW w:w="0" w:type="auto"/>
            <w:tcBorders>
              <w:left w:val="nil"/>
              <w:right w:val="nil"/>
            </w:tcBorders>
          </w:tcPr>
          <w:p w:rsidR="006273FC" w:rsidRDefault="006273FC">
            <w:pPr>
              <w:spacing w:line="240" w:lineRule="auto"/>
              <w:jc w:val="center"/>
              <w:rPr>
                <w:rFonts w:ascii="Calibri" w:hAnsi="Calibri" w:cs="Calibri"/>
                <w:b/>
                <w:bCs/>
                <w:color w:val="auto"/>
                <w:sz w:val="20"/>
                <w:szCs w:val="20"/>
                <w:lang w:val="en-US"/>
              </w:rPr>
            </w:pPr>
            <w:r>
              <w:rPr>
                <w:rFonts w:ascii="Calibri" w:hAnsi="Calibri" w:cs="Calibri"/>
                <w:b/>
                <w:bCs/>
                <w:color w:val="auto"/>
                <w:sz w:val="20"/>
                <w:szCs w:val="20"/>
                <w:lang w:val="en-US"/>
              </w:rPr>
              <w:t>Fwd</w:t>
            </w:r>
          </w:p>
          <w:p w:rsidR="006273FC" w:rsidRDefault="006273FC">
            <w:pPr>
              <w:spacing w:line="240" w:lineRule="auto"/>
              <w:jc w:val="center"/>
              <w:rPr>
                <w:rFonts w:ascii="Calibri" w:hAnsi="Calibri" w:cs="Calibri"/>
                <w:b/>
                <w:bCs/>
                <w:color w:val="auto"/>
                <w:sz w:val="20"/>
                <w:szCs w:val="20"/>
              </w:rPr>
            </w:pPr>
            <w:r>
              <w:rPr>
                <w:rFonts w:ascii="Calibri" w:hAnsi="Calibri" w:cs="Calibri"/>
                <w:b/>
                <w:bCs/>
                <w:color w:val="auto"/>
                <w:sz w:val="20"/>
                <w:szCs w:val="20"/>
                <w:lang w:val="en-US"/>
              </w:rPr>
              <w:t>/Rev</w:t>
            </w:r>
          </w:p>
        </w:tc>
        <w:tc>
          <w:tcPr>
            <w:tcW w:w="0" w:type="auto"/>
            <w:tcBorders>
              <w:left w:val="nil"/>
              <w:right w:val="nil"/>
            </w:tcBorders>
          </w:tcPr>
          <w:p w:rsidR="006273FC" w:rsidRDefault="006273FC">
            <w:pPr>
              <w:spacing w:line="240" w:lineRule="auto"/>
              <w:jc w:val="center"/>
              <w:rPr>
                <w:rFonts w:ascii="Calibri" w:hAnsi="Calibri" w:cs="Calibri"/>
                <w:b/>
                <w:bCs/>
                <w:color w:val="auto"/>
                <w:sz w:val="20"/>
                <w:szCs w:val="20"/>
              </w:rPr>
            </w:pPr>
            <w:r>
              <w:rPr>
                <w:rFonts w:ascii="Calibri" w:hAnsi="Calibri" w:cs="Calibri"/>
                <w:b/>
                <w:bCs/>
                <w:color w:val="auto"/>
                <w:sz w:val="20"/>
                <w:szCs w:val="20"/>
                <w:lang w:val="en-US"/>
              </w:rPr>
              <w:t>Oligosequence</w:t>
            </w:r>
          </w:p>
        </w:tc>
        <w:tc>
          <w:tcPr>
            <w:tcW w:w="857" w:type="dxa"/>
            <w:tcBorders>
              <w:left w:val="nil"/>
              <w:right w:val="nil"/>
            </w:tcBorders>
          </w:tcPr>
          <w:p w:rsidR="006273FC" w:rsidRDefault="006273FC">
            <w:pPr>
              <w:spacing w:line="240" w:lineRule="auto"/>
              <w:jc w:val="center"/>
              <w:rPr>
                <w:rFonts w:ascii="Calibri" w:hAnsi="Calibri" w:cs="Calibri"/>
                <w:b/>
                <w:bCs/>
                <w:color w:val="auto"/>
                <w:sz w:val="20"/>
                <w:szCs w:val="20"/>
                <w:lang w:val="en-US"/>
              </w:rPr>
            </w:pPr>
            <w:r>
              <w:rPr>
                <w:rFonts w:ascii="Calibri" w:hAnsi="Calibri" w:cs="Calibri"/>
                <w:b/>
                <w:bCs/>
                <w:color w:val="auto"/>
                <w:sz w:val="20"/>
                <w:szCs w:val="20"/>
                <w:lang w:val="en-US"/>
              </w:rPr>
              <w:t>Slope</w:t>
            </w:r>
          </w:p>
        </w:tc>
        <w:tc>
          <w:tcPr>
            <w:tcW w:w="992" w:type="dxa"/>
            <w:tcBorders>
              <w:left w:val="nil"/>
              <w:right w:val="nil"/>
            </w:tcBorders>
          </w:tcPr>
          <w:p w:rsidR="006273FC" w:rsidRDefault="006273FC">
            <w:pPr>
              <w:spacing w:line="240" w:lineRule="auto"/>
              <w:jc w:val="center"/>
              <w:rPr>
                <w:rFonts w:ascii="Calibri" w:hAnsi="Calibri" w:cs="Calibri"/>
                <w:b/>
                <w:bCs/>
                <w:color w:val="auto"/>
                <w:sz w:val="20"/>
                <w:szCs w:val="20"/>
                <w:lang w:val="en-US"/>
              </w:rPr>
            </w:pPr>
            <w:r>
              <w:rPr>
                <w:rFonts w:ascii="Calibri" w:hAnsi="Calibri" w:cs="Calibri"/>
                <w:b/>
                <w:bCs/>
                <w:color w:val="auto"/>
                <w:sz w:val="20"/>
                <w:szCs w:val="20"/>
                <w:lang w:val="en-US"/>
              </w:rPr>
              <w:t>Efficiency (%)</w:t>
            </w:r>
          </w:p>
        </w:tc>
      </w:tr>
      <w:tr w:rsidR="006273FC">
        <w:trPr>
          <w:cantSplit/>
          <w:trHeight w:val="584"/>
        </w:trPr>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 xml:space="preserve">Ackerman et al. </w:t>
            </w:r>
            <w:r>
              <w:rPr>
                <w:rFonts w:ascii="Calibri" w:hAnsi="Calibri" w:cs="Calibri"/>
                <w:color w:val="auto"/>
                <w:sz w:val="20"/>
                <w:szCs w:val="20"/>
                <w:lang w:val="en-US"/>
              </w:rPr>
              <w:fldChar w:fldCharType="begin"/>
            </w:r>
            <w:r>
              <w:rPr>
                <w:rFonts w:ascii="Calibri" w:hAnsi="Calibri" w:cs="Calibri"/>
                <w:color w:val="auto"/>
                <w:sz w:val="20"/>
                <w:szCs w:val="20"/>
                <w:lang w:val="en-US"/>
              </w:rPr>
              <w:instrText xml:space="preserve"> ADDIN EN.CITE &lt;EndNote&gt;&lt;Cite&gt;&lt;Author&gt;Ackermann&lt;/Author&gt;&lt;Year&gt;2007&lt;/Year&gt;&lt;RecNum&gt;44&lt;/RecNum&gt;&lt;DisplayText&gt;(3)&lt;/DisplayText&gt;&lt;record&gt;&lt;rec-number&gt;44&lt;/rec-number&gt;&lt;foreign-keys&gt;&lt;key app="EN" db-id="2wwdpea54szvz0e0dwaxrws7zsw9tz5s9t2z"&gt;44&lt;/key&gt;&lt;/foreign-keys&gt;&lt;ref-type name="Journal Article"&gt;17&lt;/ref-type&gt;&lt;contributors&gt;&lt;authors&gt;&lt;author&gt;Ackermann, K.&lt;/author&gt;&lt;author&gt;Dehghani, F.&lt;/author&gt;&lt;author&gt;Bux, R.&lt;/author&gt;&lt;author&gt;Kauert, G.&lt;/author&gt;&lt;author&gt;Stehle, J. H.&lt;/author&gt;&lt;/authors&gt;&lt;/contributors&gt;&lt;auth-address&gt;Institute of Anatomy III, Johann Wolfgang Goethe-University, Frankfurt/Main, Germany.&lt;/auth-address&gt;&lt;titles&gt;&lt;title&gt;Day-night expression patterns of clock genes in the human pineal gland&lt;/title&gt;&lt;secondary-title&gt;J Pineal Res&lt;/secondary-title&gt;&lt;/titles&gt;&lt;periodical&gt;&lt;full-title&gt;J Pineal Res&lt;/full-title&gt;&lt;/periodical&gt;&lt;pages&gt;185-94&lt;/pages&gt;&lt;volume&gt;43&lt;/volume&gt;&lt;number&gt;2&lt;/number&gt;&lt;keywords&gt;&lt;keyword&gt;Adolescent&lt;/keyword&gt;&lt;keyword&gt;Adult&lt;/keyword&gt;&lt;keyword&gt;Aged&lt;/keyword&gt;&lt;keyword&gt;Aged, 80 and over&lt;/keyword&gt;&lt;keyword&gt;CLOCK Proteins&lt;/keyword&gt;&lt;keyword&gt;Darkness&lt;/keyword&gt;&lt;keyword&gt;Female&lt;/keyword&gt;&lt;keyword&gt;Gene Expression Regulation/*genetics&lt;/keyword&gt;&lt;keyword&gt;Humans&lt;/keyword&gt;&lt;keyword&gt;Immunohistochemistry&lt;/keyword&gt;&lt;keyword&gt;*Light&lt;/keyword&gt;&lt;keyword&gt;Male&lt;/keyword&gt;&lt;keyword&gt;Middle Aged&lt;/keyword&gt;&lt;keyword&gt;Pineal Gland/*metabolism&lt;/keyword&gt;&lt;keyword&gt;RNA, Messenger/genetics&lt;/keyword&gt;&lt;keyword&gt;Time Factors&lt;/keyword&gt;&lt;keyword&gt;Trans-Activators/*genetics/metabolism&lt;/keyword&gt;&lt;/keywords&gt;&lt;dates&gt;&lt;year&gt;2007&lt;/year&gt;&lt;pub-dates&gt;&lt;date&gt;Sep&lt;/date&gt;&lt;/pub-dates&gt;&lt;/dates&gt;&lt;isbn&gt;0742-3098 (Print)&amp;#xD;0742-3098 (Linking)&lt;/isbn&gt;&lt;accession-num&gt;17645697&lt;/accession-num&gt;&lt;urls&gt;&lt;related-urls&gt;&lt;url&gt;http://www.ncbi.nlm.nih.gov/pubmed/17645697&lt;/url&gt;&lt;/related-urls&gt;&lt;/urls&gt;&lt;electronic-resource-num&gt;10.1111/j.1600-079X.2007.00461.x&lt;/electronic-resource-num&gt;&lt;/record&gt;&lt;/Cite&gt;&lt;/EndNote&gt;</w:instrText>
            </w:r>
            <w:r>
              <w:rPr>
                <w:rFonts w:ascii="Calibri" w:hAnsi="Calibri" w:cs="Calibri"/>
                <w:color w:val="auto"/>
                <w:sz w:val="20"/>
                <w:szCs w:val="20"/>
                <w:lang w:val="en-US"/>
              </w:rPr>
              <w:fldChar w:fldCharType="separate"/>
            </w:r>
            <w:r>
              <w:rPr>
                <w:rFonts w:ascii="Calibri" w:hAnsi="Calibri" w:cs="Calibri"/>
                <w:noProof/>
                <w:color w:val="auto"/>
                <w:sz w:val="20"/>
                <w:szCs w:val="20"/>
                <w:lang w:val="en-US"/>
              </w:rPr>
              <w:t>(</w:t>
            </w:r>
            <w:hyperlink w:anchor="_ENREF_3" w:tooltip="Ackermann, 2007 #44" w:history="1">
              <w:r>
                <w:rPr>
                  <w:rFonts w:ascii="Calibri" w:hAnsi="Calibri" w:cs="Calibri"/>
                  <w:noProof/>
                  <w:color w:val="auto"/>
                  <w:sz w:val="20"/>
                  <w:szCs w:val="20"/>
                  <w:lang w:val="en-US"/>
                </w:rPr>
                <w:t>3</w:t>
              </w:r>
            </w:hyperlink>
            <w:r>
              <w:rPr>
                <w:rFonts w:ascii="Calibri" w:hAnsi="Calibri" w:cs="Calibri"/>
                <w:noProof/>
                <w:color w:val="auto"/>
                <w:sz w:val="20"/>
                <w:szCs w:val="20"/>
                <w:lang w:val="en-US"/>
              </w:rPr>
              <w:t>)</w:t>
            </w:r>
            <w:r>
              <w:rPr>
                <w:rFonts w:ascii="Calibri" w:hAnsi="Calibri" w:cs="Calibri"/>
                <w:color w:val="auto"/>
                <w:sz w:val="20"/>
                <w:szCs w:val="20"/>
                <w:lang w:val="en-US"/>
              </w:rPr>
              <w:fldChar w:fldCharType="end"/>
            </w:r>
          </w:p>
        </w:tc>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CLOCK</w:t>
            </w:r>
          </w:p>
          <w:p w:rsidR="006273FC" w:rsidRDefault="006273FC">
            <w:pPr>
              <w:spacing w:line="240" w:lineRule="auto"/>
              <w:jc w:val="center"/>
              <w:rPr>
                <w:rFonts w:ascii="Calibri" w:hAnsi="Calibri" w:cs="Calibri"/>
                <w:color w:val="auto"/>
                <w:sz w:val="20"/>
                <w:szCs w:val="20"/>
              </w:rPr>
            </w:pP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Fwd</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TTGGCAAAATGTCATGAGCAC</w:t>
            </w:r>
          </w:p>
        </w:tc>
        <w:tc>
          <w:tcPr>
            <w:tcW w:w="857"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-3.240</w:t>
            </w:r>
          </w:p>
        </w:tc>
        <w:tc>
          <w:tcPr>
            <w:tcW w:w="992"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103.5</w:t>
            </w:r>
          </w:p>
        </w:tc>
      </w:tr>
      <w:tr w:rsidR="006273FC">
        <w:trPr>
          <w:cantSplit/>
          <w:trHeight w:val="584"/>
        </w:trPr>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Rev</w:t>
            </w: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TTGCCCCTTAGTCAGGAACCT</w:t>
            </w:r>
          </w:p>
        </w:tc>
        <w:tc>
          <w:tcPr>
            <w:tcW w:w="857"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c>
          <w:tcPr>
            <w:tcW w:w="992"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r>
      <w:tr w:rsidR="006273FC">
        <w:trPr>
          <w:cantSplit/>
          <w:trHeight w:val="584"/>
        </w:trPr>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 xml:space="preserve">Ackerman et al. </w:t>
            </w:r>
            <w:r>
              <w:rPr>
                <w:rFonts w:ascii="Calibri" w:hAnsi="Calibri" w:cs="Calibri"/>
                <w:color w:val="auto"/>
                <w:sz w:val="20"/>
                <w:szCs w:val="20"/>
                <w:lang w:val="en-US"/>
              </w:rPr>
              <w:fldChar w:fldCharType="begin"/>
            </w:r>
            <w:r>
              <w:rPr>
                <w:rFonts w:ascii="Calibri" w:hAnsi="Calibri" w:cs="Calibri"/>
                <w:color w:val="auto"/>
                <w:sz w:val="20"/>
                <w:szCs w:val="20"/>
                <w:lang w:val="en-US"/>
              </w:rPr>
              <w:instrText xml:space="preserve"> ADDIN EN.CITE &lt;EndNote&gt;&lt;Cite&gt;&lt;Author&gt;Ackermann&lt;/Author&gt;&lt;Year&gt;2007&lt;/Year&gt;&lt;RecNum&gt;44&lt;/RecNum&gt;&lt;DisplayText&gt;(3)&lt;/DisplayText&gt;&lt;record&gt;&lt;rec-number&gt;44&lt;/rec-number&gt;&lt;foreign-keys&gt;&lt;key app="EN" db-id="2wwdpea54szvz0e0dwaxrws7zsw9tz5s9t2z"&gt;44&lt;/key&gt;&lt;/foreign-keys&gt;&lt;ref-type name="Journal Article"&gt;17&lt;/ref-type&gt;&lt;contributors&gt;&lt;authors&gt;&lt;author&gt;Ackermann, K.&lt;/author&gt;&lt;author&gt;Dehghani, F.&lt;/author&gt;&lt;author&gt;Bux, R.&lt;/author&gt;&lt;author&gt;Kauert, G.&lt;/author&gt;&lt;author&gt;Stehle, J. H.&lt;/author&gt;&lt;/authors&gt;&lt;/contributors&gt;&lt;auth-address&gt;Institute of Anatomy III, Johann Wolfgang Goethe-University, Frankfurt/Main, Germany.&lt;/auth-address&gt;&lt;titles&gt;&lt;title&gt;Day-night expression patterns of clock genes in the human pineal gland&lt;/title&gt;&lt;secondary-title&gt;J Pineal Res&lt;/secondary-title&gt;&lt;/titles&gt;&lt;periodical&gt;&lt;full-title&gt;J Pineal Res&lt;/full-title&gt;&lt;/periodical&gt;&lt;pages&gt;185-94&lt;/pages&gt;&lt;volume&gt;43&lt;/volume&gt;&lt;number&gt;2&lt;/number&gt;&lt;keywords&gt;&lt;keyword&gt;Adolescent&lt;/keyword&gt;&lt;keyword&gt;Adult&lt;/keyword&gt;&lt;keyword&gt;Aged&lt;/keyword&gt;&lt;keyword&gt;Aged, 80 and over&lt;/keyword&gt;&lt;keyword&gt;CLOCK Proteins&lt;/keyword&gt;&lt;keyword&gt;Darkness&lt;/keyword&gt;&lt;keyword&gt;Female&lt;/keyword&gt;&lt;keyword&gt;Gene Expression Regulation/*genetics&lt;/keyword&gt;&lt;keyword&gt;Humans&lt;/keyword&gt;&lt;keyword&gt;Immunohistochemistry&lt;/keyword&gt;&lt;keyword&gt;*Light&lt;/keyword&gt;&lt;keyword&gt;Male&lt;/keyword&gt;&lt;keyword&gt;Middle Aged&lt;/keyword&gt;&lt;keyword&gt;Pineal Gland/*metabolism&lt;/keyword&gt;&lt;keyword&gt;RNA, Messenger/genetics&lt;/keyword&gt;&lt;keyword&gt;Time Factors&lt;/keyword&gt;&lt;keyword&gt;Trans-Activators/*genetics/metabolism&lt;/keyword&gt;&lt;/keywords&gt;&lt;dates&gt;&lt;year&gt;2007&lt;/year&gt;&lt;pub-dates&gt;&lt;date&gt;Sep&lt;/date&gt;&lt;/pub-dates&gt;&lt;/dates&gt;&lt;isbn&gt;0742-3098 (Print)&amp;#xD;0742-3098 (Linking)&lt;/isbn&gt;&lt;accession-num&gt;17645697&lt;/accession-num&gt;&lt;urls&gt;&lt;related-urls&gt;&lt;url&gt;http://www.ncbi.nlm.nih.gov/pubmed/17645697&lt;/url&gt;&lt;/related-urls&gt;&lt;/urls&gt;&lt;electronic-resource-num&gt;10.1111/j.1600-079X.2007.00461.x&lt;/electronic-resource-num&gt;&lt;/record&gt;&lt;/Cite&gt;&lt;/EndNote&gt;</w:instrText>
            </w:r>
            <w:r>
              <w:rPr>
                <w:rFonts w:ascii="Calibri" w:hAnsi="Calibri" w:cs="Calibri"/>
                <w:color w:val="auto"/>
                <w:sz w:val="20"/>
                <w:szCs w:val="20"/>
                <w:lang w:val="en-US"/>
              </w:rPr>
              <w:fldChar w:fldCharType="separate"/>
            </w:r>
            <w:r>
              <w:rPr>
                <w:rFonts w:ascii="Calibri" w:hAnsi="Calibri" w:cs="Calibri"/>
                <w:noProof/>
                <w:color w:val="auto"/>
                <w:sz w:val="20"/>
                <w:szCs w:val="20"/>
                <w:lang w:val="en-US"/>
              </w:rPr>
              <w:t>(</w:t>
            </w:r>
            <w:hyperlink w:anchor="_ENREF_3" w:tooltip="Ackermann, 2007 #44" w:history="1">
              <w:r>
                <w:rPr>
                  <w:rFonts w:ascii="Calibri" w:hAnsi="Calibri" w:cs="Calibri"/>
                  <w:noProof/>
                  <w:color w:val="auto"/>
                  <w:sz w:val="20"/>
                  <w:szCs w:val="20"/>
                  <w:lang w:val="en-US"/>
                </w:rPr>
                <w:t>3</w:t>
              </w:r>
            </w:hyperlink>
            <w:r>
              <w:rPr>
                <w:rFonts w:ascii="Calibri" w:hAnsi="Calibri" w:cs="Calibri"/>
                <w:noProof/>
                <w:color w:val="auto"/>
                <w:sz w:val="20"/>
                <w:szCs w:val="20"/>
                <w:lang w:val="en-US"/>
              </w:rPr>
              <w:t>)</w:t>
            </w:r>
            <w:r>
              <w:rPr>
                <w:rFonts w:ascii="Calibri" w:hAnsi="Calibri" w:cs="Calibri"/>
                <w:color w:val="auto"/>
                <w:sz w:val="20"/>
                <w:szCs w:val="20"/>
                <w:lang w:val="en-US"/>
              </w:rPr>
              <w:fldChar w:fldCharType="end"/>
            </w:r>
          </w:p>
        </w:tc>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BMAL1</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Fwd</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CCAGAGGCCCCTAACTCCTC</w:t>
            </w:r>
          </w:p>
        </w:tc>
        <w:tc>
          <w:tcPr>
            <w:tcW w:w="857"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-3.252</w:t>
            </w:r>
          </w:p>
        </w:tc>
        <w:tc>
          <w:tcPr>
            <w:tcW w:w="992"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103.0</w:t>
            </w:r>
          </w:p>
        </w:tc>
      </w:tr>
      <w:tr w:rsidR="006273FC">
        <w:trPr>
          <w:cantSplit/>
          <w:trHeight w:val="584"/>
        </w:trPr>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vMerge/>
            <w:tcBorders>
              <w:left w:val="nil"/>
              <w:right w:val="nil"/>
            </w:tcBorders>
          </w:tcPr>
          <w:p w:rsidR="006273FC" w:rsidRDefault="006273FC">
            <w:pPr>
              <w:spacing w:line="240" w:lineRule="auto"/>
              <w:rPr>
                <w:rFonts w:ascii="Calibri" w:hAnsi="Calibri" w:cs="Calibri"/>
                <w:color w:val="auto"/>
                <w:sz w:val="20"/>
                <w:szCs w:val="20"/>
                <w:lang w:val="en-US"/>
              </w:rPr>
            </w:pP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Rev</w:t>
            </w: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TGGTCTGCCATTGGATGATCT</w:t>
            </w:r>
          </w:p>
        </w:tc>
        <w:tc>
          <w:tcPr>
            <w:tcW w:w="857"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c>
          <w:tcPr>
            <w:tcW w:w="992"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r>
      <w:tr w:rsidR="006273FC">
        <w:trPr>
          <w:cantSplit/>
          <w:trHeight w:val="584"/>
        </w:trPr>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 xml:space="preserve">Ackerman et al. </w:t>
            </w:r>
            <w:r>
              <w:rPr>
                <w:rFonts w:ascii="Calibri" w:hAnsi="Calibri" w:cs="Calibri"/>
                <w:color w:val="auto"/>
                <w:sz w:val="20"/>
                <w:szCs w:val="20"/>
                <w:lang w:val="en-US"/>
              </w:rPr>
              <w:fldChar w:fldCharType="begin"/>
            </w:r>
            <w:r>
              <w:rPr>
                <w:rFonts w:ascii="Calibri" w:hAnsi="Calibri" w:cs="Calibri"/>
                <w:color w:val="auto"/>
                <w:sz w:val="20"/>
                <w:szCs w:val="20"/>
                <w:lang w:val="en-US"/>
              </w:rPr>
              <w:instrText xml:space="preserve"> ADDIN EN.CITE &lt;EndNote&gt;&lt;Cite&gt;&lt;Author&gt;Ackermann&lt;/Author&gt;&lt;Year&gt;2007&lt;/Year&gt;&lt;RecNum&gt;44&lt;/RecNum&gt;&lt;DisplayText&gt;(3)&lt;/DisplayText&gt;&lt;record&gt;&lt;rec-number&gt;44&lt;/rec-number&gt;&lt;foreign-keys&gt;&lt;key app="EN" db-id="2wwdpea54szvz0e0dwaxrws7zsw9tz5s9t2z"&gt;44&lt;/key&gt;&lt;/foreign-keys&gt;&lt;ref-type name="Journal Article"&gt;17&lt;/ref-type&gt;&lt;contributors&gt;&lt;authors&gt;&lt;author&gt;Ackermann, K.&lt;/author&gt;&lt;author&gt;Dehghani, F.&lt;/author&gt;&lt;author&gt;Bux, R.&lt;/author&gt;&lt;author&gt;Kauert, G.&lt;/author&gt;&lt;author&gt;Stehle, J. H.&lt;/author&gt;&lt;/authors&gt;&lt;/contributors&gt;&lt;auth-address&gt;Institute of Anatomy III, Johann Wolfgang Goethe-University, Frankfurt/Main, Germany.&lt;/auth-address&gt;&lt;titles&gt;&lt;title&gt;Day-night expression patterns of clock genes in the human pineal gland&lt;/title&gt;&lt;secondary-title&gt;J Pineal Res&lt;/secondary-title&gt;&lt;/titles&gt;&lt;periodical&gt;&lt;full-title&gt;J Pineal Res&lt;/full-title&gt;&lt;/periodical&gt;&lt;pages&gt;185-94&lt;/pages&gt;&lt;volume&gt;43&lt;/volume&gt;&lt;number&gt;2&lt;/number&gt;&lt;keywords&gt;&lt;keyword&gt;Adolescent&lt;/keyword&gt;&lt;keyword&gt;Adult&lt;/keyword&gt;&lt;keyword&gt;Aged&lt;/keyword&gt;&lt;keyword&gt;Aged, 80 and over&lt;/keyword&gt;&lt;keyword&gt;CLOCK Proteins&lt;/keyword&gt;&lt;keyword&gt;Darkness&lt;/keyword&gt;&lt;keyword&gt;Female&lt;/keyword&gt;&lt;keyword&gt;Gene Expression Regulation/*genetics&lt;/keyword&gt;&lt;keyword&gt;Humans&lt;/keyword&gt;&lt;keyword&gt;Immunohistochemistry&lt;/keyword&gt;&lt;keyword&gt;*Light&lt;/keyword&gt;&lt;keyword&gt;Male&lt;/keyword&gt;&lt;keyword&gt;Middle Aged&lt;/keyword&gt;&lt;keyword&gt;Pineal Gland/*metabolism&lt;/keyword&gt;&lt;keyword&gt;RNA, Messenger/genetics&lt;/keyword&gt;&lt;keyword&gt;Time Factors&lt;/keyword&gt;&lt;keyword&gt;Trans-Activators/*genetics/metabolism&lt;/keyword&gt;&lt;/keywords&gt;&lt;dates&gt;&lt;year&gt;2007&lt;/year&gt;&lt;pub-dates&gt;&lt;date&gt;Sep&lt;/date&gt;&lt;/pub-dates&gt;&lt;/dates&gt;&lt;isbn&gt;0742-3098 (Print)&amp;#xD;0742-3098 (Linking)&lt;/isbn&gt;&lt;accession-num&gt;17645697&lt;/accession-num&gt;&lt;urls&gt;&lt;related-urls&gt;&lt;url&gt;http://www.ncbi.nlm.nih.gov/pubmed/17645697&lt;/url&gt;&lt;/related-urls&gt;&lt;/urls&gt;&lt;electronic-resource-num&gt;10.1111/j.1600-079X.2007.00461.x&lt;/electronic-resource-num&gt;&lt;/record&gt;&lt;/Cite&gt;&lt;/EndNote&gt;</w:instrText>
            </w:r>
            <w:r>
              <w:rPr>
                <w:rFonts w:ascii="Calibri" w:hAnsi="Calibri" w:cs="Calibri"/>
                <w:color w:val="auto"/>
                <w:sz w:val="20"/>
                <w:szCs w:val="20"/>
                <w:lang w:val="en-US"/>
              </w:rPr>
              <w:fldChar w:fldCharType="separate"/>
            </w:r>
            <w:r>
              <w:rPr>
                <w:rFonts w:ascii="Calibri" w:hAnsi="Calibri" w:cs="Calibri"/>
                <w:noProof/>
                <w:color w:val="auto"/>
                <w:sz w:val="20"/>
                <w:szCs w:val="20"/>
                <w:lang w:val="en-US"/>
              </w:rPr>
              <w:t>(</w:t>
            </w:r>
            <w:hyperlink w:anchor="_ENREF_3" w:tooltip="Ackermann, 2007 #44" w:history="1">
              <w:r>
                <w:rPr>
                  <w:rFonts w:ascii="Calibri" w:hAnsi="Calibri" w:cs="Calibri"/>
                  <w:noProof/>
                  <w:color w:val="auto"/>
                  <w:sz w:val="20"/>
                  <w:szCs w:val="20"/>
                  <w:lang w:val="en-US"/>
                </w:rPr>
                <w:t>3</w:t>
              </w:r>
            </w:hyperlink>
            <w:r>
              <w:rPr>
                <w:rFonts w:ascii="Calibri" w:hAnsi="Calibri" w:cs="Calibri"/>
                <w:noProof/>
                <w:color w:val="auto"/>
                <w:sz w:val="20"/>
                <w:szCs w:val="20"/>
                <w:lang w:val="en-US"/>
              </w:rPr>
              <w:t>)</w:t>
            </w:r>
            <w:r>
              <w:rPr>
                <w:rFonts w:ascii="Calibri" w:hAnsi="Calibri" w:cs="Calibri"/>
                <w:color w:val="auto"/>
                <w:sz w:val="20"/>
                <w:szCs w:val="20"/>
                <w:lang w:val="en-US"/>
              </w:rPr>
              <w:fldChar w:fldCharType="end"/>
            </w:r>
          </w:p>
        </w:tc>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Per1</w:t>
            </w:r>
          </w:p>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Per1</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Fwd</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CAGTGCTCCTGTTCCTGCATC</w:t>
            </w:r>
          </w:p>
        </w:tc>
        <w:tc>
          <w:tcPr>
            <w:tcW w:w="857"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-3.191</w:t>
            </w:r>
          </w:p>
        </w:tc>
        <w:tc>
          <w:tcPr>
            <w:tcW w:w="992"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105.8</w:t>
            </w:r>
          </w:p>
        </w:tc>
      </w:tr>
      <w:tr w:rsidR="006273FC">
        <w:trPr>
          <w:cantSplit/>
          <w:trHeight w:val="584"/>
        </w:trPr>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Rev</w:t>
            </w: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CCCGCCAACTGCAGAATCT</w:t>
            </w:r>
          </w:p>
        </w:tc>
        <w:tc>
          <w:tcPr>
            <w:tcW w:w="857"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c>
          <w:tcPr>
            <w:tcW w:w="992"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r>
      <w:tr w:rsidR="006273FC">
        <w:trPr>
          <w:cantSplit/>
          <w:trHeight w:val="584"/>
        </w:trPr>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 xml:space="preserve">Yang et al. </w:t>
            </w:r>
            <w:r>
              <w:rPr>
                <w:rFonts w:ascii="Calibri" w:hAnsi="Calibri" w:cs="Calibri"/>
                <w:color w:val="auto"/>
                <w:sz w:val="20"/>
                <w:szCs w:val="20"/>
                <w:lang w:val="en-US"/>
              </w:rPr>
              <w:fldChar w:fldCharType="begin"/>
            </w:r>
            <w:r>
              <w:rPr>
                <w:rFonts w:ascii="Calibri" w:hAnsi="Calibri" w:cs="Calibri"/>
                <w:color w:val="auto"/>
                <w:sz w:val="20"/>
                <w:szCs w:val="20"/>
                <w:lang w:val="en-US"/>
              </w:rPr>
              <w:instrText xml:space="preserve"> ADDIN EN.CITE &lt;EndNote&gt;&lt;Cite&gt;&lt;Author&gt;Yang&lt;/Author&gt;&lt;Year&gt;2014&lt;/Year&gt;&lt;RecNum&gt;47&lt;/RecNum&gt;&lt;DisplayText&gt;(4)&lt;/DisplayText&gt;&lt;record&gt;&lt;rec-number&gt;47&lt;/rec-number&gt;&lt;foreign-keys&gt;&lt;key app="EN" db-id="2wwdpea54szvz0e0dwaxrws7zsw9tz5s9t2z"&gt;47&lt;/key&gt;&lt;/foreign-keys&gt;&lt;ref-type name="Journal Article"&gt;17&lt;/ref-type&gt;&lt;contributors&gt;&lt;authors&gt;&lt;author&gt;Yang, S. L.&lt;/author&gt;&lt;author&gt;Yu, C.&lt;/author&gt;&lt;author&gt;Jiang, J. X.&lt;/author&gt;&lt;author&gt;Liu, L. P.&lt;/author&gt;&lt;author&gt;Fang, X.&lt;/author&gt;&lt;author&gt;Wu, C.&lt;/author&gt;&lt;/authors&gt;&lt;/contributors&gt;&lt;auth-address&gt;Department of General Surgery, Liyuan Hospital, Tongji Medical College, Huazhong University of Science and Technology, Wuhan, Hubei 430077, P.R. China.&amp;#xD;Department of Hepatobiliary Surgery, Affiliated Hospital of Guiyang Medical College, Guiyang, Guizhou 550001, P.R. China.&amp;#xD;Department of Hepatobiliary and Pancreatic Surgery, Shenzhen People&amp;apos;s Hospital, Second Clinical Medical College, Jinan University, Shenzhen, Guangdong 518000, P.R. China.&amp;#xD;Department of Pediatrics, College of Medicine, University of Florida, Gainesville, FL 32610, USA.&lt;/auth-address&gt;&lt;titles&gt;&lt;title&gt;Hepatitis B virus X protein disrupts the balance of the expression of circadian rhythm genes in hepatocellular carcinoma&lt;/title&gt;&lt;secondary-title&gt;Oncol Lett&lt;/secondary-title&gt;&lt;/titles&gt;&lt;periodical&gt;&lt;full-title&gt;Oncol Lett&lt;/full-title&gt;&lt;/periodical&gt;&lt;pages&gt;2715-2720&lt;/pages&gt;&lt;volume&gt;8&lt;/volume&gt;&lt;number&gt;6&lt;/number&gt;&lt;keywords&gt;&lt;keyword&gt;circadian clock&lt;/keyword&gt;&lt;keyword&gt;hepatitis B virus X protein&lt;/keyword&gt;&lt;keyword&gt;hepatocellular carcinoma&lt;/keyword&gt;&lt;/keywords&gt;&lt;dates&gt;&lt;year&gt;2014&lt;/year&gt;&lt;pub-dates&gt;&lt;date&gt;Dec&lt;/date&gt;&lt;/pub-dates&gt;&lt;/dates&gt;&lt;isbn&gt;1792-1074 (Print)&amp;#xD;1792-1074 (Linking)&lt;/isbn&gt;&lt;accession-num&gt;25360177&lt;/accession-num&gt;&lt;urls&gt;&lt;related-urls&gt;&lt;url&gt;http://www.ncbi.nlm.nih.gov/pubmed/25360177&lt;/url&gt;&lt;/related-urls&gt;&lt;/urls&gt;&lt;custom2&gt;PMC4214404&lt;/custom2&gt;&lt;electronic-resource-num&gt;10.3892/ol.2014.2570&lt;/electronic-resource-num&gt;&lt;/record&gt;&lt;/Cite&gt;&lt;/EndNote&gt;</w:instrText>
            </w:r>
            <w:r>
              <w:rPr>
                <w:rFonts w:ascii="Calibri" w:hAnsi="Calibri" w:cs="Calibri"/>
                <w:color w:val="auto"/>
                <w:sz w:val="20"/>
                <w:szCs w:val="20"/>
                <w:lang w:val="en-US"/>
              </w:rPr>
              <w:fldChar w:fldCharType="separate"/>
            </w:r>
            <w:r>
              <w:rPr>
                <w:rFonts w:ascii="Calibri" w:hAnsi="Calibri" w:cs="Calibri"/>
                <w:noProof/>
                <w:color w:val="auto"/>
                <w:sz w:val="20"/>
                <w:szCs w:val="20"/>
                <w:lang w:val="en-US"/>
              </w:rPr>
              <w:t>(</w:t>
            </w:r>
            <w:hyperlink w:anchor="_ENREF_4" w:tooltip="Yang, 2014 #47" w:history="1">
              <w:r>
                <w:rPr>
                  <w:rFonts w:ascii="Calibri" w:hAnsi="Calibri" w:cs="Calibri"/>
                  <w:noProof/>
                  <w:color w:val="auto"/>
                  <w:sz w:val="20"/>
                  <w:szCs w:val="20"/>
                  <w:lang w:val="en-US"/>
                </w:rPr>
                <w:t>4</w:t>
              </w:r>
            </w:hyperlink>
            <w:r>
              <w:rPr>
                <w:rFonts w:ascii="Calibri" w:hAnsi="Calibri" w:cs="Calibri"/>
                <w:noProof/>
                <w:color w:val="auto"/>
                <w:sz w:val="20"/>
                <w:szCs w:val="20"/>
                <w:lang w:val="en-US"/>
              </w:rPr>
              <w:t>)</w:t>
            </w:r>
            <w:r>
              <w:rPr>
                <w:rFonts w:ascii="Calibri" w:hAnsi="Calibri" w:cs="Calibri"/>
                <w:color w:val="auto"/>
                <w:sz w:val="20"/>
                <w:szCs w:val="20"/>
                <w:lang w:val="en-US"/>
              </w:rPr>
              <w:fldChar w:fldCharType="end"/>
            </w:r>
          </w:p>
        </w:tc>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Per2</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Fwd</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CTACAGCAGCACCATCGTC</w:t>
            </w:r>
          </w:p>
        </w:tc>
        <w:tc>
          <w:tcPr>
            <w:tcW w:w="857"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-3.172</w:t>
            </w:r>
          </w:p>
        </w:tc>
        <w:tc>
          <w:tcPr>
            <w:tcW w:w="992"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106.7</w:t>
            </w:r>
          </w:p>
        </w:tc>
      </w:tr>
      <w:tr w:rsidR="006273FC">
        <w:trPr>
          <w:cantSplit/>
          <w:trHeight w:val="584"/>
        </w:trPr>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Rev</w:t>
            </w: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CCACTCGCAGCATCTTCC</w:t>
            </w:r>
          </w:p>
        </w:tc>
        <w:tc>
          <w:tcPr>
            <w:tcW w:w="857"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c>
          <w:tcPr>
            <w:tcW w:w="992"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r>
      <w:tr w:rsidR="006273FC">
        <w:trPr>
          <w:cantSplit/>
          <w:trHeight w:val="584"/>
        </w:trPr>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 xml:space="preserve">Yang et al. </w:t>
            </w:r>
            <w:r>
              <w:rPr>
                <w:rFonts w:ascii="Calibri" w:hAnsi="Calibri" w:cs="Calibri"/>
                <w:color w:val="auto"/>
                <w:sz w:val="20"/>
                <w:szCs w:val="20"/>
                <w:lang w:val="en-US"/>
              </w:rPr>
              <w:fldChar w:fldCharType="begin"/>
            </w:r>
            <w:r>
              <w:rPr>
                <w:rFonts w:ascii="Calibri" w:hAnsi="Calibri" w:cs="Calibri"/>
                <w:color w:val="auto"/>
                <w:sz w:val="20"/>
                <w:szCs w:val="20"/>
                <w:lang w:val="en-US"/>
              </w:rPr>
              <w:instrText xml:space="preserve"> ADDIN EN.CITE &lt;EndNote&gt;&lt;Cite&gt;&lt;Author&gt;Yang&lt;/Author&gt;&lt;Year&gt;2014&lt;/Year&gt;&lt;RecNum&gt;47&lt;/RecNum&gt;&lt;DisplayText&gt;(4)&lt;/DisplayText&gt;&lt;record&gt;&lt;rec-number&gt;47&lt;/rec-number&gt;&lt;foreign-keys&gt;&lt;key app="EN" db-id="2wwdpea54szvz0e0dwaxrws7zsw9tz5s9t2z"&gt;47&lt;/key&gt;&lt;/foreign-keys&gt;&lt;ref-type name="Journal Article"&gt;17&lt;/ref-type&gt;&lt;contributors&gt;&lt;authors&gt;&lt;author&gt;Yang, S. L.&lt;/author&gt;&lt;author&gt;Yu, C.&lt;/author&gt;&lt;author&gt;Jiang, J. X.&lt;/author&gt;&lt;author&gt;Liu, L. P.&lt;/author&gt;&lt;author&gt;Fang, X.&lt;/author&gt;&lt;author&gt;Wu, C.&lt;/author&gt;&lt;/authors&gt;&lt;/contributors&gt;&lt;auth-address&gt;Department of General Surgery, Liyuan Hospital, Tongji Medical College, Huazhong University of Science and Technology, Wuhan, Hubei 430077, P.R. China.&amp;#xD;Department of Hepatobiliary Surgery, Affiliated Hospital of Guiyang Medical College, Guiyang, Guizhou 550001, P.R. China.&amp;#xD;Department of Hepatobiliary and Pancreatic Surgery, Shenzhen People&amp;apos;s Hospital, Second Clinical Medical College, Jinan University, Shenzhen, Guangdong 518000, P.R. China.&amp;#xD;Department of Pediatrics, College of Medicine, University of Florida, Gainesville, FL 32610, USA.&lt;/auth-address&gt;&lt;titles&gt;&lt;title&gt;Hepatitis B virus X protein disrupts the balance of the expression of circadian rhythm genes in hepatocellular carcinoma&lt;/title&gt;&lt;secondary-title&gt;Oncol Lett&lt;/secondary-title&gt;&lt;/titles&gt;&lt;periodical&gt;&lt;full-title&gt;Oncol Lett&lt;/full-title&gt;&lt;/periodical&gt;&lt;pages&gt;2715-2720&lt;/pages&gt;&lt;volume&gt;8&lt;/volume&gt;&lt;number&gt;6&lt;/number&gt;&lt;keywords&gt;&lt;keyword&gt;circadian clock&lt;/keyword&gt;&lt;keyword&gt;hepatitis B virus X protein&lt;/keyword&gt;&lt;keyword&gt;hepatocellular carcinoma&lt;/keyword&gt;&lt;/keywords&gt;&lt;dates&gt;&lt;year&gt;2014&lt;/year&gt;&lt;pub-dates&gt;&lt;date&gt;Dec&lt;/date&gt;&lt;/pub-dates&gt;&lt;/dates&gt;&lt;isbn&gt;1792-1074 (Print)&amp;#xD;1792-1074 (Linking)&lt;/isbn&gt;&lt;accession-num&gt;25360177&lt;/accession-num&gt;&lt;urls&gt;&lt;related-urls&gt;&lt;url&gt;http://www.ncbi.nlm.nih.gov/pubmed/25360177&lt;/url&gt;&lt;/related-urls&gt;&lt;/urls&gt;&lt;custom2&gt;PMC4214404&lt;/custom2&gt;&lt;electronic-resource-num&gt;10.3892/ol.2014.2570&lt;/electronic-resource-num&gt;&lt;/record&gt;&lt;/Cite&gt;&lt;/EndNote&gt;</w:instrText>
            </w:r>
            <w:r>
              <w:rPr>
                <w:rFonts w:ascii="Calibri" w:hAnsi="Calibri" w:cs="Calibri"/>
                <w:color w:val="auto"/>
                <w:sz w:val="20"/>
                <w:szCs w:val="20"/>
                <w:lang w:val="en-US"/>
              </w:rPr>
              <w:fldChar w:fldCharType="separate"/>
            </w:r>
            <w:r>
              <w:rPr>
                <w:rFonts w:ascii="Calibri" w:hAnsi="Calibri" w:cs="Calibri"/>
                <w:noProof/>
                <w:color w:val="auto"/>
                <w:sz w:val="20"/>
                <w:szCs w:val="20"/>
                <w:lang w:val="en-US"/>
              </w:rPr>
              <w:t>(</w:t>
            </w:r>
            <w:hyperlink w:anchor="_ENREF_4" w:tooltip="Yang, 2014 #47" w:history="1">
              <w:r>
                <w:rPr>
                  <w:rFonts w:ascii="Calibri" w:hAnsi="Calibri" w:cs="Calibri"/>
                  <w:noProof/>
                  <w:color w:val="auto"/>
                  <w:sz w:val="20"/>
                  <w:szCs w:val="20"/>
                  <w:lang w:val="en-US"/>
                </w:rPr>
                <w:t>4</w:t>
              </w:r>
            </w:hyperlink>
            <w:r>
              <w:rPr>
                <w:rFonts w:ascii="Calibri" w:hAnsi="Calibri" w:cs="Calibri"/>
                <w:noProof/>
                <w:color w:val="auto"/>
                <w:sz w:val="20"/>
                <w:szCs w:val="20"/>
                <w:lang w:val="en-US"/>
              </w:rPr>
              <w:t>)</w:t>
            </w:r>
            <w:r>
              <w:rPr>
                <w:rFonts w:ascii="Calibri" w:hAnsi="Calibri" w:cs="Calibri"/>
                <w:color w:val="auto"/>
                <w:sz w:val="20"/>
                <w:szCs w:val="20"/>
                <w:lang w:val="en-US"/>
              </w:rPr>
              <w:fldChar w:fldCharType="end"/>
            </w:r>
          </w:p>
        </w:tc>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Per3</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Fwd</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TGGTGGTGGTGAATGTAAGAC</w:t>
            </w:r>
          </w:p>
        </w:tc>
        <w:tc>
          <w:tcPr>
            <w:tcW w:w="857"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-3.213</w:t>
            </w:r>
          </w:p>
        </w:tc>
        <w:tc>
          <w:tcPr>
            <w:tcW w:w="992"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104.8</w:t>
            </w:r>
          </w:p>
        </w:tc>
      </w:tr>
      <w:tr w:rsidR="006273FC">
        <w:trPr>
          <w:cantSplit/>
          <w:trHeight w:val="584"/>
        </w:trPr>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Rev</w:t>
            </w: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GGCTGTGCTCATCGTTCC</w:t>
            </w:r>
          </w:p>
        </w:tc>
        <w:tc>
          <w:tcPr>
            <w:tcW w:w="857"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c>
          <w:tcPr>
            <w:tcW w:w="992"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r>
      <w:tr w:rsidR="006273FC">
        <w:trPr>
          <w:cantSplit/>
          <w:trHeight w:val="584"/>
        </w:trPr>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 xml:space="preserve">Ackerman et al. </w:t>
            </w:r>
            <w:r>
              <w:rPr>
                <w:rFonts w:ascii="Calibri" w:hAnsi="Calibri" w:cs="Calibri"/>
                <w:color w:val="auto"/>
                <w:sz w:val="20"/>
                <w:szCs w:val="20"/>
                <w:lang w:val="en-US"/>
              </w:rPr>
              <w:fldChar w:fldCharType="begin"/>
            </w:r>
            <w:r>
              <w:rPr>
                <w:rFonts w:ascii="Calibri" w:hAnsi="Calibri" w:cs="Calibri"/>
                <w:color w:val="auto"/>
                <w:sz w:val="20"/>
                <w:szCs w:val="20"/>
                <w:lang w:val="en-US"/>
              </w:rPr>
              <w:instrText xml:space="preserve"> ADDIN EN.CITE &lt;EndNote&gt;&lt;Cite&gt;&lt;Author&gt;Ackermann&lt;/Author&gt;&lt;Year&gt;2007&lt;/Year&gt;&lt;RecNum&gt;44&lt;/RecNum&gt;&lt;DisplayText&gt;(3)&lt;/DisplayText&gt;&lt;record&gt;&lt;rec-number&gt;44&lt;/rec-number&gt;&lt;foreign-keys&gt;&lt;key app="EN" db-id="2wwdpea54szvz0e0dwaxrws7zsw9tz5s9t2z"&gt;44&lt;/key&gt;&lt;/foreign-keys&gt;&lt;ref-type name="Journal Article"&gt;17&lt;/ref-type&gt;&lt;contributors&gt;&lt;authors&gt;&lt;author&gt;Ackermann, K.&lt;/author&gt;&lt;author&gt;Dehghani, F.&lt;/author&gt;&lt;author&gt;Bux, R.&lt;/author&gt;&lt;author&gt;Kauert, G.&lt;/author&gt;&lt;author&gt;Stehle, J. H.&lt;/author&gt;&lt;/authors&gt;&lt;/contributors&gt;&lt;auth-address&gt;Institute of Anatomy III, Johann Wolfgang Goethe-University, Frankfurt/Main, Germany.&lt;/auth-address&gt;&lt;titles&gt;&lt;title&gt;Day-night expression patterns of clock genes in the human pineal gland&lt;/title&gt;&lt;secondary-title&gt;J Pineal Res&lt;/secondary-title&gt;&lt;/titles&gt;&lt;periodical&gt;&lt;full-title&gt;J Pineal Res&lt;/full-title&gt;&lt;/periodical&gt;&lt;pages&gt;185-94&lt;/pages&gt;&lt;volume&gt;43&lt;/volume&gt;&lt;number&gt;2&lt;/number&gt;&lt;keywords&gt;&lt;keyword&gt;Adolescent&lt;/keyword&gt;&lt;keyword&gt;Adult&lt;/keyword&gt;&lt;keyword&gt;Aged&lt;/keyword&gt;&lt;keyword&gt;Aged, 80 and over&lt;/keyword&gt;&lt;keyword&gt;CLOCK Proteins&lt;/keyword&gt;&lt;keyword&gt;Darkness&lt;/keyword&gt;&lt;keyword&gt;Female&lt;/keyword&gt;&lt;keyword&gt;Gene Expression Regulation/*genetics&lt;/keyword&gt;&lt;keyword&gt;Humans&lt;/keyword&gt;&lt;keyword&gt;Immunohistochemistry&lt;/keyword&gt;&lt;keyword&gt;*Light&lt;/keyword&gt;&lt;keyword&gt;Male&lt;/keyword&gt;&lt;keyword&gt;Middle Aged&lt;/keyword&gt;&lt;keyword&gt;Pineal Gland/*metabolism&lt;/keyword&gt;&lt;keyword&gt;RNA, Messenger/genetics&lt;/keyword&gt;&lt;keyword&gt;Time Factors&lt;/keyword&gt;&lt;keyword&gt;Trans-Activators/*genetics/metabolism&lt;/keyword&gt;&lt;/keywords&gt;&lt;dates&gt;&lt;year&gt;2007&lt;/year&gt;&lt;pub-dates&gt;&lt;date&gt;Sep&lt;/date&gt;&lt;/pub-dates&gt;&lt;/dates&gt;&lt;isbn&gt;0742-3098 (Print)&amp;#xD;0742-3098 (Linking)&lt;/isbn&gt;&lt;accession-num&gt;17645697&lt;/accession-num&gt;&lt;urls&gt;&lt;related-urls&gt;&lt;url&gt;http://www.ncbi.nlm.nih.gov/pubmed/17645697&lt;/url&gt;&lt;/related-urls&gt;&lt;/urls&gt;&lt;electronic-resource-num&gt;10.1111/j.1600-079X.2007.00461.x&lt;/electronic-resource-num&gt;&lt;/record&gt;&lt;/Cite&gt;&lt;/EndNote&gt;</w:instrText>
            </w:r>
            <w:r>
              <w:rPr>
                <w:rFonts w:ascii="Calibri" w:hAnsi="Calibri" w:cs="Calibri"/>
                <w:color w:val="auto"/>
                <w:sz w:val="20"/>
                <w:szCs w:val="20"/>
                <w:lang w:val="en-US"/>
              </w:rPr>
              <w:fldChar w:fldCharType="separate"/>
            </w:r>
            <w:r>
              <w:rPr>
                <w:rFonts w:ascii="Calibri" w:hAnsi="Calibri" w:cs="Calibri"/>
                <w:noProof/>
                <w:color w:val="auto"/>
                <w:sz w:val="20"/>
                <w:szCs w:val="20"/>
                <w:lang w:val="en-US"/>
              </w:rPr>
              <w:t>(</w:t>
            </w:r>
            <w:hyperlink w:anchor="_ENREF_3" w:tooltip="Ackermann, 2007 #44" w:history="1">
              <w:r>
                <w:rPr>
                  <w:rFonts w:ascii="Calibri" w:hAnsi="Calibri" w:cs="Calibri"/>
                  <w:noProof/>
                  <w:color w:val="auto"/>
                  <w:sz w:val="20"/>
                  <w:szCs w:val="20"/>
                  <w:lang w:val="en-US"/>
                </w:rPr>
                <w:t>3</w:t>
              </w:r>
            </w:hyperlink>
            <w:r>
              <w:rPr>
                <w:rFonts w:ascii="Calibri" w:hAnsi="Calibri" w:cs="Calibri"/>
                <w:noProof/>
                <w:color w:val="auto"/>
                <w:sz w:val="20"/>
                <w:szCs w:val="20"/>
                <w:lang w:val="en-US"/>
              </w:rPr>
              <w:t>)</w:t>
            </w:r>
            <w:r>
              <w:rPr>
                <w:rFonts w:ascii="Calibri" w:hAnsi="Calibri" w:cs="Calibri"/>
                <w:color w:val="auto"/>
                <w:sz w:val="20"/>
                <w:szCs w:val="20"/>
                <w:lang w:val="en-US"/>
              </w:rPr>
              <w:fldChar w:fldCharType="end"/>
            </w:r>
          </w:p>
        </w:tc>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Cry1</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Fwd</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TCCGCTGCGTCTACATCCT</w:t>
            </w:r>
          </w:p>
        </w:tc>
        <w:tc>
          <w:tcPr>
            <w:tcW w:w="857"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-3.209</w:t>
            </w:r>
          </w:p>
        </w:tc>
        <w:tc>
          <w:tcPr>
            <w:tcW w:w="992"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104.9</w:t>
            </w:r>
          </w:p>
        </w:tc>
      </w:tr>
      <w:tr w:rsidR="006273FC">
        <w:trPr>
          <w:cantSplit/>
          <w:trHeight w:val="584"/>
        </w:trPr>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Rev</w:t>
            </w: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AGCAAAAATCGCCACCTGTT</w:t>
            </w:r>
          </w:p>
        </w:tc>
        <w:tc>
          <w:tcPr>
            <w:tcW w:w="857"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c>
          <w:tcPr>
            <w:tcW w:w="992"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r>
      <w:tr w:rsidR="006273FC">
        <w:trPr>
          <w:cantSplit/>
          <w:trHeight w:val="584"/>
        </w:trPr>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 xml:space="preserve">Yang et al. </w:t>
            </w:r>
            <w:r>
              <w:rPr>
                <w:rFonts w:ascii="Calibri" w:hAnsi="Calibri" w:cs="Calibri"/>
                <w:color w:val="auto"/>
                <w:sz w:val="20"/>
                <w:szCs w:val="20"/>
                <w:lang w:val="en-US"/>
              </w:rPr>
              <w:fldChar w:fldCharType="begin"/>
            </w:r>
            <w:r>
              <w:rPr>
                <w:rFonts w:ascii="Calibri" w:hAnsi="Calibri" w:cs="Calibri"/>
                <w:color w:val="auto"/>
                <w:sz w:val="20"/>
                <w:szCs w:val="20"/>
                <w:lang w:val="en-US"/>
              </w:rPr>
              <w:instrText xml:space="preserve"> ADDIN EN.CITE &lt;EndNote&gt;&lt;Cite&gt;&lt;Author&gt;Yang&lt;/Author&gt;&lt;Year&gt;2014&lt;/Year&gt;&lt;RecNum&gt;47&lt;/RecNum&gt;&lt;DisplayText&gt;(4)&lt;/DisplayText&gt;&lt;record&gt;&lt;rec-number&gt;47&lt;/rec-number&gt;&lt;foreign-keys&gt;&lt;key app="EN" db-id="2wwdpea54szvz0e0dwaxrws7zsw9tz5s9t2z"&gt;47&lt;/key&gt;&lt;/foreign-keys&gt;&lt;ref-type name="Journal Article"&gt;17&lt;/ref-type&gt;&lt;contributors&gt;&lt;authors&gt;&lt;author&gt;Yang, S. L.&lt;/author&gt;&lt;author&gt;Yu, C.&lt;/author&gt;&lt;author&gt;Jiang, J. X.&lt;/author&gt;&lt;author&gt;Liu, L. P.&lt;/author&gt;&lt;author&gt;Fang, X.&lt;/author&gt;&lt;author&gt;Wu, C.&lt;/author&gt;&lt;/authors&gt;&lt;/contributors&gt;&lt;auth-address&gt;Department of General Surgery, Liyuan Hospital, Tongji Medical College, Huazhong University of Science and Technology, Wuhan, Hubei 430077, P.R. China.&amp;#xD;Department of Hepatobiliary Surgery, Affiliated Hospital of Guiyang Medical College, Guiyang, Guizhou 550001, P.R. China.&amp;#xD;Department of Hepatobiliary and Pancreatic Surgery, Shenzhen People&amp;apos;s Hospital, Second Clinical Medical College, Jinan University, Shenzhen, Guangdong 518000, P.R. China.&amp;#xD;Department of Pediatrics, College of Medicine, University of Florida, Gainesville, FL 32610, USA.&lt;/auth-address&gt;&lt;titles&gt;&lt;title&gt;Hepatitis B virus X protein disrupts the balance of the expression of circadian rhythm genes in hepatocellular carcinoma&lt;/title&gt;&lt;secondary-title&gt;Oncol Lett&lt;/secondary-title&gt;&lt;/titles&gt;&lt;periodical&gt;&lt;full-title&gt;Oncol Lett&lt;/full-title&gt;&lt;/periodical&gt;&lt;pages&gt;2715-2720&lt;/pages&gt;&lt;volume&gt;8&lt;/volume&gt;&lt;number&gt;6&lt;/number&gt;&lt;keywords&gt;&lt;keyword&gt;circadian clock&lt;/keyword&gt;&lt;keyword&gt;hepatitis B virus X protein&lt;/keyword&gt;&lt;keyword&gt;hepatocellular carcinoma&lt;/keyword&gt;&lt;/keywords&gt;&lt;dates&gt;&lt;year&gt;2014&lt;/year&gt;&lt;pub-dates&gt;&lt;date&gt;Dec&lt;/date&gt;&lt;/pub-dates&gt;&lt;/dates&gt;&lt;isbn&gt;1792-1074 (Print)&amp;#xD;1792-1074 (Linking)&lt;/isbn&gt;&lt;accession-num&gt;25360177&lt;/accession-num&gt;&lt;urls&gt;&lt;related-urls&gt;&lt;url&gt;http://www.ncbi.nlm.nih.gov/pubmed/25360177&lt;/url&gt;&lt;/related-urls&gt;&lt;/urls&gt;&lt;custom2&gt;PMC4214404&lt;/custom2&gt;&lt;electronic-resource-num&gt;10.3892/ol.2014.2570&lt;/electronic-resource-num&gt;&lt;/record&gt;&lt;/Cite&gt;&lt;/EndNote&gt;</w:instrText>
            </w:r>
            <w:r>
              <w:rPr>
                <w:rFonts w:ascii="Calibri" w:hAnsi="Calibri" w:cs="Calibri"/>
                <w:color w:val="auto"/>
                <w:sz w:val="20"/>
                <w:szCs w:val="20"/>
                <w:lang w:val="en-US"/>
              </w:rPr>
              <w:fldChar w:fldCharType="separate"/>
            </w:r>
            <w:r>
              <w:rPr>
                <w:rFonts w:ascii="Calibri" w:hAnsi="Calibri" w:cs="Calibri"/>
                <w:noProof/>
                <w:color w:val="auto"/>
                <w:sz w:val="20"/>
                <w:szCs w:val="20"/>
                <w:lang w:val="en-US"/>
              </w:rPr>
              <w:t>(</w:t>
            </w:r>
            <w:hyperlink w:anchor="_ENREF_4" w:tooltip="Yang, 2014 #47" w:history="1">
              <w:r>
                <w:rPr>
                  <w:rFonts w:ascii="Calibri" w:hAnsi="Calibri" w:cs="Calibri"/>
                  <w:noProof/>
                  <w:color w:val="auto"/>
                  <w:sz w:val="20"/>
                  <w:szCs w:val="20"/>
                  <w:lang w:val="en-US"/>
                </w:rPr>
                <w:t>4</w:t>
              </w:r>
            </w:hyperlink>
            <w:r>
              <w:rPr>
                <w:rFonts w:ascii="Calibri" w:hAnsi="Calibri" w:cs="Calibri"/>
                <w:noProof/>
                <w:color w:val="auto"/>
                <w:sz w:val="20"/>
                <w:szCs w:val="20"/>
                <w:lang w:val="en-US"/>
              </w:rPr>
              <w:t>)</w:t>
            </w:r>
            <w:r>
              <w:rPr>
                <w:rFonts w:ascii="Calibri" w:hAnsi="Calibri" w:cs="Calibri"/>
                <w:color w:val="auto"/>
                <w:sz w:val="20"/>
                <w:szCs w:val="20"/>
                <w:lang w:val="en-US"/>
              </w:rPr>
              <w:fldChar w:fldCharType="end"/>
            </w:r>
          </w:p>
        </w:tc>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Cry2</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Fwd</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TGGGCTTCTGGGACTGAG</w:t>
            </w:r>
          </w:p>
        </w:tc>
        <w:tc>
          <w:tcPr>
            <w:tcW w:w="857"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-3.216</w:t>
            </w:r>
          </w:p>
        </w:tc>
        <w:tc>
          <w:tcPr>
            <w:tcW w:w="992"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104.6</w:t>
            </w:r>
          </w:p>
        </w:tc>
      </w:tr>
      <w:tr w:rsidR="006273FC">
        <w:trPr>
          <w:cantSplit/>
          <w:trHeight w:val="584"/>
        </w:trPr>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Rev</w:t>
            </w: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lang w:val="en-US"/>
              </w:rPr>
              <w:t>GGTAGGTGTGCTGTCTTAGG</w:t>
            </w:r>
          </w:p>
        </w:tc>
        <w:tc>
          <w:tcPr>
            <w:tcW w:w="857"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c>
          <w:tcPr>
            <w:tcW w:w="992"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r>
      <w:tr w:rsidR="006273FC">
        <w:trPr>
          <w:cantSplit/>
          <w:trHeight w:val="584"/>
        </w:trPr>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rPr>
            </w:pPr>
            <w:r>
              <w:rPr>
                <w:rFonts w:ascii="Calibri" w:hAnsi="Calibri" w:cs="Calibri"/>
                <w:color w:val="auto"/>
                <w:sz w:val="20"/>
                <w:szCs w:val="20"/>
              </w:rPr>
              <w:t>Ackerman</w:t>
            </w:r>
            <w:r>
              <w:rPr>
                <w:rFonts w:ascii="Calibri" w:hAnsi="Calibri" w:cs="Calibri"/>
                <w:color w:val="auto"/>
                <w:sz w:val="20"/>
                <w:szCs w:val="20"/>
                <w:lang w:val="en-US"/>
              </w:rPr>
              <w:t xml:space="preserve"> et al. </w:t>
            </w:r>
            <w:r>
              <w:rPr>
                <w:rFonts w:ascii="Calibri" w:hAnsi="Calibri" w:cs="Calibri"/>
                <w:color w:val="auto"/>
                <w:sz w:val="20"/>
                <w:szCs w:val="20"/>
                <w:lang w:val="en-US"/>
              </w:rPr>
              <w:fldChar w:fldCharType="begin"/>
            </w:r>
            <w:r>
              <w:rPr>
                <w:rFonts w:ascii="Calibri" w:hAnsi="Calibri" w:cs="Calibri"/>
                <w:color w:val="auto"/>
                <w:sz w:val="20"/>
                <w:szCs w:val="20"/>
                <w:lang w:val="en-US"/>
              </w:rPr>
              <w:instrText xml:space="preserve"> ADDIN EN.CITE &lt;EndNote&gt;&lt;Cite&gt;&lt;Author&gt;Ackermann&lt;/Author&gt;&lt;Year&gt;2007&lt;/Year&gt;&lt;RecNum&gt;44&lt;/RecNum&gt;&lt;DisplayText&gt;(3)&lt;/DisplayText&gt;&lt;record&gt;&lt;rec-number&gt;44&lt;/rec-number&gt;&lt;foreign-keys&gt;&lt;key app="EN" db-id="2wwdpea54szvz0e0dwaxrws7zsw9tz5s9t2z"&gt;44&lt;/key&gt;&lt;/foreign-keys&gt;&lt;ref-type name="Journal Article"&gt;17&lt;/ref-type&gt;&lt;contributors&gt;&lt;authors&gt;&lt;author&gt;Ackermann, K.&lt;/author&gt;&lt;author&gt;Dehghani, F.&lt;/author&gt;&lt;author&gt;Bux, R.&lt;/author&gt;&lt;author&gt;Kauert, G.&lt;/author&gt;&lt;author&gt;Stehle, J. H.&lt;/author&gt;&lt;/authors&gt;&lt;/contributors&gt;&lt;auth-address&gt;Institute of Anatomy III, Johann Wolfgang Goethe-University, Frankfurt/Main, Germany.&lt;/auth-address&gt;&lt;titles&gt;&lt;title&gt;Day-night expression patterns of clock genes in the human pineal gland&lt;/title&gt;&lt;secondary-title&gt;J Pineal Res&lt;/secondary-title&gt;&lt;/titles&gt;&lt;periodical&gt;&lt;full-title&gt;J Pineal Res&lt;/full-title&gt;&lt;/periodical&gt;&lt;pages&gt;185-94&lt;/pages&gt;&lt;volume&gt;43&lt;/volume&gt;&lt;number&gt;2&lt;/number&gt;&lt;keywords&gt;&lt;keyword&gt;Adolescent&lt;/keyword&gt;&lt;keyword&gt;Adult&lt;/keyword&gt;&lt;keyword&gt;Aged&lt;/keyword&gt;&lt;keyword&gt;Aged, 80 and over&lt;/keyword&gt;&lt;keyword&gt;CLOCK Proteins&lt;/keyword&gt;&lt;keyword&gt;Darkness&lt;/keyword&gt;&lt;keyword&gt;Female&lt;/keyword&gt;&lt;keyword&gt;Gene Expression Regulation/*genetics&lt;/keyword&gt;&lt;keyword&gt;Humans&lt;/keyword&gt;&lt;keyword&gt;Immunohistochemistry&lt;/keyword&gt;&lt;keyword&gt;*Light&lt;/keyword&gt;&lt;keyword&gt;Male&lt;/keyword&gt;&lt;keyword&gt;Middle Aged&lt;/keyword&gt;&lt;keyword&gt;Pineal Gland/*metabolism&lt;/keyword&gt;&lt;keyword&gt;RNA, Messenger/genetics&lt;/keyword&gt;&lt;keyword&gt;Time Factors&lt;/keyword&gt;&lt;keyword&gt;Trans-Activators/*genetics/metabolism&lt;/keyword&gt;&lt;/keywords&gt;&lt;dates&gt;&lt;year&gt;2007&lt;/year&gt;&lt;pub-dates&gt;&lt;date&gt;Sep&lt;/date&gt;&lt;/pub-dates&gt;&lt;/dates&gt;&lt;isbn&gt;0742-3098 (Print)&amp;#xD;0742-3098 (Linking)&lt;/isbn&gt;&lt;accession-num&gt;17645697&lt;/accession-num&gt;&lt;urls&gt;&lt;related-urls&gt;&lt;url&gt;http://www.ncbi.nlm.nih.gov/pubmed/17645697&lt;/url&gt;&lt;/related-urls&gt;&lt;/urls&gt;&lt;electronic-resource-num&gt;10.1111/j.1600-079X.2007.00461.x&lt;/electronic-resource-num&gt;&lt;/record&gt;&lt;/Cite&gt;&lt;/EndNote&gt;</w:instrText>
            </w:r>
            <w:r>
              <w:rPr>
                <w:rFonts w:ascii="Calibri" w:hAnsi="Calibri" w:cs="Calibri"/>
                <w:color w:val="auto"/>
                <w:sz w:val="20"/>
                <w:szCs w:val="20"/>
                <w:lang w:val="en-US"/>
              </w:rPr>
              <w:fldChar w:fldCharType="separate"/>
            </w:r>
            <w:r>
              <w:rPr>
                <w:rFonts w:ascii="Calibri" w:hAnsi="Calibri" w:cs="Calibri"/>
                <w:noProof/>
                <w:color w:val="auto"/>
                <w:sz w:val="20"/>
                <w:szCs w:val="20"/>
                <w:lang w:val="en-US"/>
              </w:rPr>
              <w:t>(</w:t>
            </w:r>
            <w:hyperlink w:anchor="_ENREF_3" w:tooltip="Ackermann, 2007 #44" w:history="1">
              <w:r>
                <w:rPr>
                  <w:rFonts w:ascii="Calibri" w:hAnsi="Calibri" w:cs="Calibri"/>
                  <w:noProof/>
                  <w:color w:val="auto"/>
                  <w:sz w:val="20"/>
                  <w:szCs w:val="20"/>
                  <w:lang w:val="en-US"/>
                </w:rPr>
                <w:t>3</w:t>
              </w:r>
            </w:hyperlink>
            <w:r>
              <w:rPr>
                <w:rFonts w:ascii="Calibri" w:hAnsi="Calibri" w:cs="Calibri"/>
                <w:noProof/>
                <w:color w:val="auto"/>
                <w:sz w:val="20"/>
                <w:szCs w:val="20"/>
                <w:lang w:val="en-US"/>
              </w:rPr>
              <w:t>)</w:t>
            </w:r>
            <w:r>
              <w:rPr>
                <w:rFonts w:ascii="Calibri" w:hAnsi="Calibri" w:cs="Calibri"/>
                <w:color w:val="auto"/>
                <w:sz w:val="20"/>
                <w:szCs w:val="20"/>
                <w:lang w:val="en-US"/>
              </w:rPr>
              <w:fldChar w:fldCharType="end"/>
            </w:r>
          </w:p>
        </w:tc>
        <w:tc>
          <w:tcPr>
            <w:tcW w:w="0" w:type="auto"/>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GADPH</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Fwd</w:t>
            </w:r>
          </w:p>
        </w:tc>
        <w:tc>
          <w:tcPr>
            <w:tcW w:w="0" w:type="auto"/>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GCACCGTCAAGGCTGAGAAC</w:t>
            </w:r>
          </w:p>
        </w:tc>
        <w:tc>
          <w:tcPr>
            <w:tcW w:w="857"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-3.270</w:t>
            </w:r>
          </w:p>
        </w:tc>
        <w:tc>
          <w:tcPr>
            <w:tcW w:w="992" w:type="dxa"/>
            <w:vMerge w:val="restart"/>
            <w:tcBorders>
              <w:top w:val="single" w:sz="4" w:space="0" w:color="000000"/>
              <w:left w:val="nil"/>
              <w:bottom w:val="single" w:sz="4" w:space="0" w:color="000000"/>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102.2</w:t>
            </w:r>
          </w:p>
        </w:tc>
      </w:tr>
      <w:tr w:rsidR="006273FC">
        <w:trPr>
          <w:cantSplit/>
          <w:trHeight w:val="584"/>
        </w:trPr>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rPr>
            </w:pPr>
          </w:p>
        </w:tc>
        <w:tc>
          <w:tcPr>
            <w:tcW w:w="0" w:type="auto"/>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Rev</w:t>
            </w:r>
          </w:p>
        </w:tc>
        <w:tc>
          <w:tcPr>
            <w:tcW w:w="0" w:type="auto"/>
            <w:tcBorders>
              <w:left w:val="nil"/>
              <w:right w:val="nil"/>
            </w:tcBorders>
          </w:tcPr>
          <w:p w:rsidR="006273FC" w:rsidRDefault="006273FC">
            <w:pPr>
              <w:spacing w:line="240" w:lineRule="auto"/>
              <w:jc w:val="center"/>
              <w:rPr>
                <w:rFonts w:ascii="Calibri" w:hAnsi="Calibri" w:cs="Calibri"/>
                <w:color w:val="auto"/>
                <w:sz w:val="20"/>
                <w:szCs w:val="20"/>
                <w:lang w:val="en-US"/>
              </w:rPr>
            </w:pPr>
            <w:r>
              <w:rPr>
                <w:rFonts w:ascii="Calibri" w:hAnsi="Calibri" w:cs="Calibri"/>
                <w:color w:val="auto"/>
                <w:sz w:val="20"/>
                <w:szCs w:val="20"/>
                <w:lang w:val="en-US"/>
              </w:rPr>
              <w:t>GCCTTCTCCATGGTGGTGAA</w:t>
            </w:r>
          </w:p>
        </w:tc>
        <w:tc>
          <w:tcPr>
            <w:tcW w:w="857"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c>
          <w:tcPr>
            <w:tcW w:w="992" w:type="dxa"/>
            <w:vMerge/>
            <w:tcBorders>
              <w:left w:val="nil"/>
              <w:right w:val="nil"/>
            </w:tcBorders>
          </w:tcPr>
          <w:p w:rsidR="006273FC" w:rsidRDefault="006273FC">
            <w:pPr>
              <w:spacing w:line="240" w:lineRule="auto"/>
              <w:jc w:val="center"/>
              <w:rPr>
                <w:rFonts w:ascii="Calibri" w:hAnsi="Calibri" w:cs="Calibri"/>
                <w:color w:val="auto"/>
                <w:sz w:val="20"/>
                <w:szCs w:val="20"/>
                <w:lang w:val="en-US"/>
              </w:rPr>
            </w:pPr>
          </w:p>
        </w:tc>
      </w:tr>
    </w:tbl>
    <w:p w:rsidR="006273FC" w:rsidRDefault="006273FC">
      <w:pPr>
        <w:suppressAutoHyphens w:val="0"/>
        <w:spacing w:after="0" w:line="240" w:lineRule="auto"/>
        <w:rPr>
          <w:rFonts w:ascii="Calibri" w:hAnsi="Calibri" w:cs="Calibri"/>
          <w:color w:val="auto"/>
        </w:rPr>
      </w:pPr>
    </w:p>
    <w:p w:rsidR="006273FC" w:rsidRDefault="006273FC">
      <w:pPr>
        <w:pStyle w:val="Heading2"/>
      </w:pPr>
      <w:r>
        <w:t>Supplementary References</w:t>
      </w:r>
    </w:p>
    <w:p w:rsidR="006273FC" w:rsidRDefault="006273FC">
      <w:pPr>
        <w:pStyle w:val="EndNoteBibliography"/>
        <w:ind w:left="720" w:hanging="720"/>
      </w:pPr>
      <w:r>
        <w:fldChar w:fldCharType="begin"/>
      </w:r>
      <w:r>
        <w:instrText xml:space="preserve"> ADDIN EN.REFLIST </w:instrText>
      </w:r>
      <w:r>
        <w:fldChar w:fldCharType="separate"/>
      </w:r>
      <w:bookmarkStart w:id="1" w:name="_ENREF_1"/>
      <w:r>
        <w:t>1.</w:t>
      </w:r>
      <w:r>
        <w:tab/>
        <w:t xml:space="preserve">Bustin SA, Benes V, Garson JA, Hellemans J, Huggett J, Kubista M, et al. The MIQE guidelines: minimum information for publication of quantitative real-time PCR experiments. </w:t>
      </w:r>
      <w:r>
        <w:rPr>
          <w:i/>
          <w:iCs/>
        </w:rPr>
        <w:t>Clin Chem.</w:t>
      </w:r>
      <w:r>
        <w:t xml:space="preserve"> 2009;55(4):611-22.</w:t>
      </w:r>
      <w:bookmarkEnd w:id="1"/>
    </w:p>
    <w:p w:rsidR="006273FC" w:rsidRDefault="006273FC">
      <w:pPr>
        <w:pStyle w:val="EndNoteBibliography"/>
        <w:ind w:left="720" w:hanging="720"/>
      </w:pPr>
      <w:bookmarkStart w:id="2" w:name="_ENREF_2"/>
      <w:r>
        <w:t>2.</w:t>
      </w:r>
      <w:r>
        <w:tab/>
        <w:t xml:space="preserve">Elliott JH, Wightman F, Solomon A, Ghneim K, Ahlers J, Cameron MJ, et al. Activation of HIV transcription with short-course vorinostat in HIV-infected patients on suppressive antiretroviral therapy. </w:t>
      </w:r>
      <w:r>
        <w:rPr>
          <w:i/>
          <w:iCs/>
        </w:rPr>
        <w:t>PLoS pathogens.</w:t>
      </w:r>
      <w:r>
        <w:t xml:space="preserve"> 2014;10(10):e1004473.</w:t>
      </w:r>
      <w:bookmarkEnd w:id="2"/>
    </w:p>
    <w:p w:rsidR="006273FC" w:rsidRDefault="006273FC">
      <w:pPr>
        <w:pStyle w:val="EndNoteBibliography"/>
        <w:ind w:left="720" w:hanging="720"/>
      </w:pPr>
      <w:bookmarkStart w:id="3" w:name="_ENREF_3"/>
      <w:r>
        <w:t>3.</w:t>
      </w:r>
      <w:r>
        <w:tab/>
        <w:t xml:space="preserve">Ackermann K, Dehghani F, Bux R, Kauert G, and Stehle JH. Day-night expression patterns of clock genes in the human pineal gland. </w:t>
      </w:r>
      <w:r>
        <w:rPr>
          <w:i/>
          <w:iCs/>
        </w:rPr>
        <w:t>J Pineal Res.</w:t>
      </w:r>
      <w:r>
        <w:t xml:space="preserve"> 2007;43(2):185-94.</w:t>
      </w:r>
      <w:bookmarkEnd w:id="3"/>
    </w:p>
    <w:p w:rsidR="006273FC" w:rsidRDefault="006273FC">
      <w:pPr>
        <w:pStyle w:val="EndNoteBibliography"/>
        <w:ind w:left="720" w:hanging="720"/>
      </w:pPr>
      <w:bookmarkStart w:id="4" w:name="_ENREF_4"/>
      <w:r>
        <w:t>4.</w:t>
      </w:r>
      <w:r>
        <w:tab/>
        <w:t xml:space="preserve">Yang SL, Yu C, Jiang JX, Liu LP, Fang X, and Wu C. Hepatitis B virus X protein disrupts the balance of the expression of circadian rhythm genes in hepatocellular carcinoma. </w:t>
      </w:r>
      <w:r>
        <w:rPr>
          <w:i/>
          <w:iCs/>
        </w:rPr>
        <w:t>Oncol Lett.</w:t>
      </w:r>
      <w:r>
        <w:t xml:space="preserve"> 2014;8(6):2715-20.</w:t>
      </w:r>
      <w:bookmarkEnd w:id="4"/>
    </w:p>
    <w:p w:rsidR="006273FC" w:rsidRDefault="006273FC">
      <w:pPr>
        <w:spacing w:after="96" w:line="480" w:lineRule="auto"/>
        <w:rPr>
          <w:rFonts w:ascii="Calibri" w:hAnsi="Calibri" w:cs="Calibri"/>
          <w:color w:val="auto"/>
        </w:rPr>
      </w:pPr>
      <w:r>
        <w:fldChar w:fldCharType="end"/>
      </w:r>
    </w:p>
    <w:sectPr w:rsidR="006273FC" w:rsidSect="006273FC">
      <w:pgSz w:w="11900" w:h="16840"/>
      <w:pgMar w:top="1440" w:right="1440" w:bottom="1440" w:left="1440" w:header="708" w:footer="708" w:gutter="0"/>
      <w:lnNumType w:countBy="1" w:restart="continuou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l‚r ƒSƒVƒbƒN"/>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swiss"/>
    <w:notTrueType/>
    <w:pitch w:val="variable"/>
    <w:sig w:usb0="00000003" w:usb1="00000000" w:usb2="00000000" w:usb3="00000000" w:csb0="00000001" w:csb1="00000000"/>
  </w:font>
  <w:font w:name="MS Mincho">
    <w:altName w:val="‚l‚r –¾’©"/>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0"/>
  <w:embedSystemFont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J Clinical Investig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afsrpvt3f2es6ep9xsv99t1r0xz9xvdpd2w&quot;&gt;Pitman Lancet HIV library&lt;record-ids&gt;&lt;item&gt;49&lt;/item&gt;&lt;/record-ids&gt;&lt;/item&gt;&lt;/Libraries&gt;"/>
  </w:docVars>
  <w:rsids>
    <w:rsidRoot w:val="006273FC"/>
    <w:rsid w:val="006273F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lin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mbria" w:hAnsi="Cambria" w:cs="Cambria"/>
      <w:color w:val="00000A"/>
      <w:lang w:val="en-AU"/>
    </w:rPr>
  </w:style>
  <w:style w:type="paragraph" w:styleId="Heading1">
    <w:name w:val="heading 1"/>
    <w:basedOn w:val="Normal"/>
    <w:next w:val="Normal"/>
    <w:link w:val="Heading1Char"/>
    <w:uiPriority w:val="99"/>
    <w:qFormat/>
    <w:pPr>
      <w:keepNext/>
      <w:keepLines/>
      <w:spacing w:before="480" w:after="0"/>
      <w:outlineLvl w:val="0"/>
    </w:pPr>
    <w:rPr>
      <w:rFonts w:ascii="Calibri" w:eastAsia="MS Gothic" w:hAnsi="Calibri" w:cs="Calibri"/>
      <w:b/>
      <w:bCs/>
      <w:color w:val="auto"/>
      <w:sz w:val="32"/>
      <w:szCs w:val="32"/>
    </w:rPr>
  </w:style>
  <w:style w:type="paragraph" w:styleId="Heading2">
    <w:name w:val="heading 2"/>
    <w:basedOn w:val="Normal"/>
    <w:next w:val="Normal"/>
    <w:link w:val="Heading2Char"/>
    <w:uiPriority w:val="99"/>
    <w:qFormat/>
    <w:pPr>
      <w:keepNext/>
      <w:keepLines/>
      <w:spacing w:before="200" w:after="0"/>
      <w:outlineLvl w:val="1"/>
    </w:pPr>
    <w:rPr>
      <w:rFonts w:ascii="Calibri" w:eastAsia="MS Gothic" w:hAnsi="Calibri" w:cs="Calibri"/>
      <w:b/>
      <w:bCs/>
      <w:color w:val="auto"/>
      <w:sz w:val="26"/>
      <w:szCs w:val="26"/>
    </w:rPr>
  </w:style>
  <w:style w:type="paragraph" w:styleId="Heading3">
    <w:name w:val="heading 3"/>
    <w:basedOn w:val="Normal"/>
    <w:next w:val="Normal"/>
    <w:link w:val="Heading3Char"/>
    <w:uiPriority w:val="99"/>
    <w:qFormat/>
    <w:pPr>
      <w:keepNext/>
      <w:keepLines/>
      <w:spacing w:before="200" w:after="0"/>
      <w:outlineLvl w:val="2"/>
    </w:pPr>
    <w:rPr>
      <w:rFonts w:ascii="Calibri" w:eastAsia="MS Gothic" w:hAnsi="Calibri" w:cs="Calibri"/>
      <w:b/>
      <w:bCs/>
      <w:color w:val="auto"/>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w:eastAsia="MS Gothic" w:hAnsi="Calibri" w:cs="Calibri"/>
      <w:b/>
      <w:bCs/>
      <w:color w:val="auto"/>
      <w:sz w:val="32"/>
      <w:szCs w:val="32"/>
      <w:lang w:val="en-AU"/>
    </w:rPr>
  </w:style>
  <w:style w:type="character" w:customStyle="1" w:styleId="Heading2Char">
    <w:name w:val="Heading 2 Char"/>
    <w:basedOn w:val="DefaultParagraphFont"/>
    <w:link w:val="Heading2"/>
    <w:uiPriority w:val="99"/>
    <w:rPr>
      <w:rFonts w:ascii="Calibri" w:eastAsia="MS Gothic" w:hAnsi="Calibri" w:cs="Calibri"/>
      <w:b/>
      <w:bCs/>
      <w:color w:val="auto"/>
      <w:sz w:val="26"/>
      <w:szCs w:val="26"/>
      <w:lang w:val="en-AU"/>
    </w:rPr>
  </w:style>
  <w:style w:type="character" w:customStyle="1" w:styleId="Heading3Char">
    <w:name w:val="Heading 3 Char"/>
    <w:basedOn w:val="DefaultParagraphFont"/>
    <w:link w:val="Heading3"/>
    <w:uiPriority w:val="99"/>
    <w:rPr>
      <w:rFonts w:ascii="Calibri" w:eastAsia="MS Gothic" w:hAnsi="Calibri" w:cs="Calibri"/>
      <w:b/>
      <w:bCs/>
      <w:color w:val="auto"/>
      <w:sz w:val="22"/>
      <w:szCs w:val="22"/>
      <w:lang w:val="en-AU"/>
    </w:rPr>
  </w:style>
  <w:style w:type="character" w:styleId="CommentReference">
    <w:name w:val="annotation reference"/>
    <w:basedOn w:val="DefaultParagraphFont"/>
    <w:uiPriority w:val="99"/>
    <w:rPr>
      <w:rFonts w:ascii="Times New Roman" w:hAnsi="Times New Roman" w:cs="Times New Roman"/>
      <w:sz w:val="16"/>
      <w:szCs w:val="16"/>
    </w:rPr>
  </w:style>
  <w:style w:type="character" w:customStyle="1" w:styleId="CommentTextChar">
    <w:name w:val="Comment Text Char"/>
    <w:basedOn w:val="DefaultParagraphFont"/>
    <w:uiPriority w:val="99"/>
    <w:rPr>
      <w:rFonts w:ascii="Times New Roman" w:eastAsia="Times New Roman" w:hAnsi="Times New Roman" w:cs="Times New Roman"/>
      <w:sz w:val="20"/>
      <w:szCs w:val="20"/>
    </w:rPr>
  </w:style>
  <w:style w:type="paragraph" w:styleId="CommentText">
    <w:name w:val="annotation text"/>
    <w:basedOn w:val="Normal"/>
    <w:link w:val="CommentTextChar1"/>
    <w:uiPriority w:val="99"/>
    <w:pPr>
      <w:spacing w:line="240" w:lineRule="auto"/>
    </w:pPr>
    <w:rPr>
      <w:color w:val="auto"/>
      <w:sz w:val="20"/>
      <w:szCs w:val="20"/>
      <w:lang w:val="en-US"/>
    </w:rPr>
  </w:style>
  <w:style w:type="character" w:customStyle="1" w:styleId="CommentTextChar1">
    <w:name w:val="Comment Text Char1"/>
    <w:basedOn w:val="DefaultParagraphFont"/>
    <w:link w:val="CommentText"/>
    <w:uiPriority w:val="99"/>
    <w:rPr>
      <w:rFonts w:ascii="Cambria" w:eastAsia="Times New Roman" w:hAnsi="Cambria" w:cs="Cambria"/>
      <w:color w:val="00000A"/>
      <w:lang w:val="en-AU"/>
    </w:rPr>
  </w:style>
  <w:style w:type="paragraph" w:styleId="BalloonText">
    <w:name w:val="Balloon Text"/>
    <w:basedOn w:val="Normal"/>
    <w:link w:val="BalloonTextChar"/>
    <w:uiPriority w:val="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eastAsia="Times New Roman" w:hAnsi="Lucida Grande" w:cs="Lucida Grande"/>
      <w:color w:val="00000A"/>
      <w:sz w:val="18"/>
      <w:szCs w:val="18"/>
      <w:lang w:val="en-AU"/>
    </w:rPr>
  </w:style>
  <w:style w:type="character" w:styleId="LineNumber">
    <w:name w:val="line number"/>
    <w:basedOn w:val="DefaultParagraphFont"/>
    <w:uiPriority w:val="99"/>
    <w:rPr>
      <w:rFonts w:ascii="Times New Roman" w:hAnsi="Times New Roman" w:cs="Times New Roman"/>
    </w:rPr>
  </w:style>
  <w:style w:type="paragraph" w:customStyle="1" w:styleId="EndNoteBibliography">
    <w:name w:val="EndNote Bibliography"/>
    <w:basedOn w:val="Normal"/>
    <w:uiPriority w:val="99"/>
    <w:pPr>
      <w:suppressAutoHyphens w:val="0"/>
      <w:spacing w:after="0" w:line="240" w:lineRule="auto"/>
    </w:pPr>
    <w:rPr>
      <w:rFonts w:ascii="Calibri" w:eastAsia="MS Mincho" w:hAnsi="Calibri" w:cs="Calibri"/>
      <w:noProof/>
      <w:color w:val="auto"/>
      <w:sz w:val="24"/>
      <w:szCs w:val="24"/>
      <w:lang w:val="en-US"/>
    </w:rPr>
  </w:style>
  <w:style w:type="character" w:customStyle="1" w:styleId="EndNoteBibliographyChar">
    <w:name w:val="EndNote Bibliography Char"/>
    <w:basedOn w:val="DefaultParagraphFont"/>
    <w:uiPriority w:val="99"/>
    <w:rPr>
      <w:rFonts w:ascii="Calibri" w:hAnsi="Calibri" w:cs="Calibri"/>
      <w:noProof/>
    </w:rPr>
  </w:style>
  <w:style w:type="character" w:styleId="Hyperlink">
    <w:name w:val="Hyperlink"/>
    <w:basedOn w:val="DefaultParagraphFont"/>
    <w:uiPriority w:val="99"/>
    <w:rPr>
      <w:rFonts w:ascii="Times New Roman" w:hAnsi="Times New Roman" w:cs="Times New Roman"/>
      <w:color w:val="0000FF"/>
      <w:u w:val="single"/>
    </w:rPr>
  </w:style>
  <w:style w:type="paragraph" w:styleId="CommentSubject">
    <w:name w:val="annotation subject"/>
    <w:basedOn w:val="CommentText"/>
    <w:next w:val="CommentText"/>
    <w:link w:val="CommentSubjectChar"/>
    <w:uiPriority w:val="99"/>
    <w:rPr>
      <w:b/>
      <w:bCs/>
      <w:color w:val="00000A"/>
      <w:lang w:val="en-AU"/>
    </w:rPr>
  </w:style>
  <w:style w:type="character" w:customStyle="1" w:styleId="CommentSubjectChar">
    <w:name w:val="Comment Subject Char"/>
    <w:basedOn w:val="CommentTextChar"/>
    <w:link w:val="CommentSubject"/>
    <w:uiPriority w:val="99"/>
    <w:rPr>
      <w:rFonts w:ascii="Cambria" w:hAnsi="Cambria" w:cs="Cambria"/>
      <w:b/>
      <w:bCs/>
      <w:color w:val="00000A"/>
      <w:lang w:val="en-AU"/>
    </w:rPr>
  </w:style>
  <w:style w:type="paragraph" w:customStyle="1" w:styleId="EndNoteBibliographyTitle">
    <w:name w:val="EndNote Bibliography Title"/>
    <w:basedOn w:val="Normal"/>
    <w:uiPriority w:val="99"/>
    <w:pPr>
      <w:spacing w:after="0"/>
      <w:jc w:val="center"/>
    </w:pPr>
    <w:rPr>
      <w:rFonts w:ascii="Calibri" w:hAnsi="Calibri" w:cs="Calibri"/>
      <w:noProof/>
      <w:sz w:val="24"/>
      <w:szCs w:val="24"/>
      <w:lang w:val="en-US"/>
    </w:rPr>
  </w:style>
  <w:style w:type="character" w:customStyle="1" w:styleId="EndNoteBibliographyTitleChar">
    <w:name w:val="EndNote Bibliography Title Char"/>
    <w:basedOn w:val="DefaultParagraphFont"/>
    <w:uiPriority w:val="99"/>
    <w:rPr>
      <w:rFonts w:ascii="Calibri" w:eastAsia="Times New Roman" w:hAnsi="Calibri" w:cs="Calibri"/>
      <w:noProof/>
      <w:color w:val="00000A"/>
      <w:sz w:val="22"/>
      <w:szCs w:val="22"/>
    </w:rPr>
  </w:style>
  <w:style w:type="character" w:customStyle="1" w:styleId="UnresolvedMention">
    <w:name w:val="Unresolved Mention"/>
    <w:basedOn w:val="DefaultParagraphFont"/>
    <w:uiPriority w:val="99"/>
    <w:rPr>
      <w:rFonts w:ascii="Times New Roman" w:hAnsi="Times New Roman" w:cs="Times New Roman"/>
      <w:color w:val="808080"/>
      <w:shd w:val="clear" w:color="auto" w:fil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3543</Words>
  <Characters>20198</Characters>
  <Application>Microsoft Office Outlook</Application>
  <DocSecurity>0</DocSecurity>
  <Lines>0</Lines>
  <Paragraphs>0</Paragraphs>
  <ScaleCrop>false</ScaleCrop>
  <Company>The University of Melbourne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vivekn</dc:creator>
  <cp:keywords/>
  <dc:description/>
  <cp:lastModifiedBy>TEESLWW</cp:lastModifiedBy>
  <cp:revision>3</cp:revision>
  <dcterms:created xsi:type="dcterms:W3CDTF">2018-04-29T03:49:00Z</dcterms:created>
  <dcterms:modified xsi:type="dcterms:W3CDTF">2018-07-06T06:59:00Z</dcterms:modified>
</cp:coreProperties>
</file>