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0CFEF" w14:textId="41352A6E" w:rsidR="005C1CBC" w:rsidRPr="006E48A4" w:rsidRDefault="005C1CBC" w:rsidP="005C1CBC">
      <w:pPr>
        <w:rPr>
          <w:rFonts w:ascii="Times New Roman" w:hAnsi="Times New Roman" w:cs="Times New Roman"/>
          <w:b/>
          <w:sz w:val="24"/>
          <w:szCs w:val="24"/>
        </w:rPr>
      </w:pPr>
      <w:r>
        <w:rPr>
          <w:rFonts w:ascii="Times New Roman" w:hAnsi="Times New Roman" w:cs="Times New Roman"/>
          <w:b/>
          <w:sz w:val="24"/>
          <w:szCs w:val="24"/>
        </w:rPr>
        <w:t xml:space="preserve">A </w:t>
      </w:r>
      <w:r w:rsidRPr="006E48A4">
        <w:rPr>
          <w:rFonts w:ascii="Times New Roman" w:hAnsi="Times New Roman" w:cs="Times New Roman"/>
          <w:b/>
          <w:sz w:val="24"/>
          <w:szCs w:val="24"/>
        </w:rPr>
        <w:t xml:space="preserve"> modeling framework to inform PrEP </w:t>
      </w:r>
      <w:r>
        <w:rPr>
          <w:rFonts w:ascii="Times New Roman" w:hAnsi="Times New Roman" w:cs="Times New Roman"/>
          <w:b/>
          <w:sz w:val="24"/>
          <w:szCs w:val="24"/>
        </w:rPr>
        <w:t>initiation and retention</w:t>
      </w:r>
      <w:r w:rsidRPr="006E48A4">
        <w:rPr>
          <w:rFonts w:ascii="Times New Roman" w:hAnsi="Times New Roman" w:cs="Times New Roman"/>
          <w:b/>
          <w:sz w:val="24"/>
          <w:szCs w:val="24"/>
        </w:rPr>
        <w:t xml:space="preserve"> </w:t>
      </w:r>
      <w:r>
        <w:rPr>
          <w:rFonts w:ascii="Times New Roman" w:hAnsi="Times New Roman" w:cs="Times New Roman"/>
          <w:b/>
          <w:sz w:val="24"/>
          <w:szCs w:val="24"/>
        </w:rPr>
        <w:t xml:space="preserve">scale-up </w:t>
      </w:r>
      <w:r w:rsidRPr="006E48A4">
        <w:rPr>
          <w:rFonts w:ascii="Times New Roman" w:hAnsi="Times New Roman" w:cs="Times New Roman"/>
          <w:b/>
          <w:sz w:val="24"/>
          <w:szCs w:val="24"/>
        </w:rPr>
        <w:t>in the context of Getting to Zero Initiatives</w:t>
      </w:r>
      <w:r w:rsidR="00D20F1F">
        <w:rPr>
          <w:rFonts w:ascii="Times New Roman" w:hAnsi="Times New Roman" w:cs="Times New Roman"/>
          <w:b/>
          <w:sz w:val="24"/>
          <w:szCs w:val="24"/>
        </w:rPr>
        <w:t>: Supplementary Appendix</w:t>
      </w:r>
    </w:p>
    <w:p w14:paraId="12B5D008" w14:textId="77777777" w:rsidR="005C1CBC" w:rsidRDefault="005C1CBC" w:rsidP="005C1CBC">
      <w:pPr>
        <w:rPr>
          <w:rFonts w:ascii="Times New Roman" w:hAnsi="Times New Roman" w:cs="Times New Roman"/>
          <w:sz w:val="24"/>
          <w:szCs w:val="24"/>
        </w:rPr>
      </w:pPr>
    </w:p>
    <w:p w14:paraId="56E48F54" w14:textId="77777777" w:rsidR="005C1CBC" w:rsidRDefault="005C1CBC" w:rsidP="005C1CBC">
      <w:pPr>
        <w:rPr>
          <w:rFonts w:ascii="Times New Roman" w:hAnsi="Times New Roman" w:cs="Times New Roman"/>
          <w:sz w:val="24"/>
          <w:szCs w:val="24"/>
        </w:rPr>
      </w:pPr>
      <w:r>
        <w:rPr>
          <w:rFonts w:ascii="Times New Roman" w:hAnsi="Times New Roman" w:cs="Times New Roman"/>
          <w:sz w:val="24"/>
          <w:szCs w:val="24"/>
        </w:rPr>
        <w:t xml:space="preserve">Aditya S. </w:t>
      </w:r>
      <w:r w:rsidRPr="005C44E0">
        <w:rPr>
          <w:rFonts w:ascii="Times New Roman" w:hAnsi="Times New Roman" w:cs="Times New Roman"/>
          <w:sz w:val="24"/>
          <w:szCs w:val="24"/>
        </w:rPr>
        <w:t>KHANNA</w:t>
      </w:r>
      <w:r w:rsidRPr="00E351B3">
        <w:rPr>
          <w:rFonts w:ascii="Times New Roman" w:hAnsi="Times New Roman" w:cs="Times New Roman"/>
          <w:sz w:val="24"/>
          <w:szCs w:val="24"/>
          <w:vertAlign w:val="superscript"/>
        </w:rPr>
        <w:t>1,2</w:t>
      </w:r>
      <w:r w:rsidRPr="005C44E0">
        <w:rPr>
          <w:rFonts w:ascii="Times New Roman" w:hAnsi="Times New Roman" w:cs="Times New Roman"/>
          <w:sz w:val="24"/>
          <w:szCs w:val="24"/>
        </w:rPr>
        <w:t xml:space="preserve">*, </w:t>
      </w:r>
      <w:r>
        <w:rPr>
          <w:rFonts w:ascii="Times New Roman" w:hAnsi="Times New Roman" w:cs="Times New Roman"/>
          <w:sz w:val="24"/>
          <w:szCs w:val="24"/>
        </w:rPr>
        <w:t xml:space="preserve">John A. </w:t>
      </w:r>
      <w:r w:rsidRPr="005C44E0">
        <w:rPr>
          <w:rFonts w:ascii="Times New Roman" w:hAnsi="Times New Roman" w:cs="Times New Roman"/>
          <w:sz w:val="24"/>
          <w:szCs w:val="24"/>
        </w:rPr>
        <w:t>SCHNEIDER</w:t>
      </w:r>
      <w:r w:rsidRPr="00426D24">
        <w:rPr>
          <w:rFonts w:ascii="Times New Roman" w:hAnsi="Times New Roman" w:cs="Times New Roman"/>
          <w:sz w:val="24"/>
          <w:szCs w:val="24"/>
          <w:vertAlign w:val="superscript"/>
        </w:rPr>
        <w:t>1,2</w:t>
      </w:r>
      <w:r w:rsidRPr="005C44E0">
        <w:rPr>
          <w:rFonts w:ascii="Times New Roman" w:hAnsi="Times New Roman" w:cs="Times New Roman"/>
          <w:sz w:val="24"/>
          <w:szCs w:val="24"/>
        </w:rPr>
        <w:t xml:space="preserve">*, </w:t>
      </w:r>
      <w:r>
        <w:rPr>
          <w:rFonts w:ascii="Times New Roman" w:hAnsi="Times New Roman" w:cs="Times New Roman"/>
          <w:sz w:val="24"/>
          <w:szCs w:val="24"/>
        </w:rPr>
        <w:t>Nicholson COLLIER</w:t>
      </w:r>
      <w:r w:rsidRPr="00426D24">
        <w:rPr>
          <w:rFonts w:ascii="Times New Roman" w:hAnsi="Times New Roman" w:cs="Times New Roman"/>
          <w:sz w:val="24"/>
          <w:szCs w:val="24"/>
          <w:vertAlign w:val="superscript"/>
        </w:rPr>
        <w:t>3</w:t>
      </w:r>
      <w:r w:rsidRPr="005C44E0">
        <w:rPr>
          <w:rFonts w:ascii="Times New Roman" w:hAnsi="Times New Roman" w:cs="Times New Roman"/>
          <w:sz w:val="24"/>
          <w:szCs w:val="24"/>
        </w:rPr>
        <w:t xml:space="preserve">, </w:t>
      </w:r>
      <w:r>
        <w:rPr>
          <w:rFonts w:ascii="Times New Roman" w:hAnsi="Times New Roman" w:cs="Times New Roman"/>
          <w:sz w:val="24"/>
          <w:szCs w:val="24"/>
        </w:rPr>
        <w:t>Jonathan OZIK</w:t>
      </w:r>
      <w:r w:rsidRPr="00426D24">
        <w:rPr>
          <w:rFonts w:ascii="Times New Roman" w:hAnsi="Times New Roman" w:cs="Times New Roman"/>
          <w:sz w:val="24"/>
          <w:szCs w:val="24"/>
          <w:vertAlign w:val="superscript"/>
        </w:rPr>
        <w:t>3</w:t>
      </w:r>
      <w:r w:rsidRPr="005C44E0">
        <w:rPr>
          <w:rFonts w:ascii="Times New Roman" w:hAnsi="Times New Roman" w:cs="Times New Roman"/>
          <w:sz w:val="24"/>
          <w:szCs w:val="24"/>
        </w:rPr>
        <w:t xml:space="preserve">, </w:t>
      </w:r>
      <w:r>
        <w:rPr>
          <w:rFonts w:ascii="Times New Roman" w:hAnsi="Times New Roman" w:cs="Times New Roman"/>
          <w:sz w:val="24"/>
          <w:szCs w:val="24"/>
        </w:rPr>
        <w:t>Rodal ISSEMA</w:t>
      </w:r>
      <w:r w:rsidRPr="00426D24">
        <w:rPr>
          <w:rFonts w:ascii="Times New Roman" w:hAnsi="Times New Roman" w:cs="Times New Roman"/>
          <w:sz w:val="24"/>
          <w:szCs w:val="24"/>
          <w:vertAlign w:val="superscript"/>
        </w:rPr>
        <w:t>1,2</w:t>
      </w:r>
      <w:r>
        <w:rPr>
          <w:rFonts w:ascii="Times New Roman" w:hAnsi="Times New Roman" w:cs="Times New Roman"/>
          <w:sz w:val="24"/>
          <w:szCs w:val="24"/>
        </w:rPr>
        <w:t>, Angela DI PAOLA</w:t>
      </w:r>
      <w:r w:rsidRPr="0094645A">
        <w:rPr>
          <w:rFonts w:ascii="Times New Roman" w:hAnsi="Times New Roman" w:cs="Times New Roman"/>
          <w:sz w:val="24"/>
          <w:szCs w:val="24"/>
          <w:vertAlign w:val="superscript"/>
        </w:rPr>
        <w:t>4</w:t>
      </w:r>
      <w:r>
        <w:rPr>
          <w:rFonts w:ascii="Times New Roman" w:hAnsi="Times New Roman" w:cs="Times New Roman"/>
          <w:sz w:val="24"/>
          <w:szCs w:val="24"/>
        </w:rPr>
        <w:t>, Abigail SKWARA</w:t>
      </w:r>
      <w:r w:rsidRPr="006B3308">
        <w:rPr>
          <w:rFonts w:ascii="Times New Roman" w:hAnsi="Times New Roman" w:cs="Times New Roman"/>
          <w:sz w:val="24"/>
          <w:szCs w:val="24"/>
          <w:vertAlign w:val="superscript"/>
        </w:rPr>
        <w:t>1,2</w:t>
      </w:r>
      <w:r>
        <w:rPr>
          <w:rFonts w:ascii="Times New Roman" w:hAnsi="Times New Roman" w:cs="Times New Roman"/>
          <w:sz w:val="24"/>
          <w:szCs w:val="24"/>
        </w:rPr>
        <w:t>, Arthi RAMACHANDRAN</w:t>
      </w:r>
      <w:r w:rsidRPr="0098091C">
        <w:rPr>
          <w:rFonts w:ascii="Times New Roman" w:hAnsi="Times New Roman" w:cs="Times New Roman"/>
          <w:sz w:val="24"/>
          <w:szCs w:val="24"/>
          <w:vertAlign w:val="superscript"/>
        </w:rPr>
        <w:t>1,2</w:t>
      </w:r>
      <w:r>
        <w:rPr>
          <w:rFonts w:ascii="Times New Roman" w:hAnsi="Times New Roman" w:cs="Times New Roman"/>
          <w:sz w:val="24"/>
          <w:szCs w:val="24"/>
        </w:rPr>
        <w:t>, Jeannette WEBB</w:t>
      </w:r>
      <w:r w:rsidRPr="00FE722E">
        <w:rPr>
          <w:rFonts w:ascii="Times New Roman" w:hAnsi="Times New Roman" w:cs="Times New Roman"/>
          <w:sz w:val="24"/>
          <w:szCs w:val="24"/>
          <w:vertAlign w:val="superscript"/>
        </w:rPr>
        <w:t>1,2</w:t>
      </w:r>
      <w:r>
        <w:rPr>
          <w:rFonts w:ascii="Times New Roman" w:hAnsi="Times New Roman" w:cs="Times New Roman"/>
          <w:sz w:val="24"/>
          <w:szCs w:val="24"/>
        </w:rPr>
        <w:t>, Russell BREWER</w:t>
      </w:r>
      <w:r w:rsidRPr="00E4506E">
        <w:rPr>
          <w:rFonts w:ascii="Times New Roman" w:hAnsi="Times New Roman" w:cs="Times New Roman"/>
          <w:sz w:val="24"/>
          <w:szCs w:val="24"/>
          <w:vertAlign w:val="superscript"/>
        </w:rPr>
        <w:t>1,2</w:t>
      </w:r>
      <w:r>
        <w:rPr>
          <w:rFonts w:ascii="Times New Roman" w:hAnsi="Times New Roman" w:cs="Times New Roman"/>
          <w:sz w:val="24"/>
          <w:szCs w:val="24"/>
        </w:rPr>
        <w:t>, William CUNNINGHAM</w:t>
      </w:r>
      <w:r w:rsidRPr="0071099B">
        <w:rPr>
          <w:rFonts w:ascii="Times New Roman" w:hAnsi="Times New Roman" w:cs="Times New Roman"/>
          <w:sz w:val="24"/>
          <w:szCs w:val="24"/>
          <w:vertAlign w:val="superscript"/>
        </w:rPr>
        <w:t>5</w:t>
      </w:r>
      <w:r>
        <w:rPr>
          <w:rFonts w:ascii="Times New Roman" w:hAnsi="Times New Roman" w:cs="Times New Roman"/>
          <w:sz w:val="24"/>
          <w:szCs w:val="24"/>
        </w:rPr>
        <w:t>, Charles HILLIARD</w:t>
      </w:r>
      <w:r w:rsidRPr="00AD0FB9">
        <w:rPr>
          <w:rFonts w:ascii="Times New Roman" w:hAnsi="Times New Roman" w:cs="Times New Roman"/>
          <w:sz w:val="24"/>
          <w:szCs w:val="24"/>
          <w:vertAlign w:val="superscript"/>
        </w:rPr>
        <w:t>6</w:t>
      </w:r>
      <w:r>
        <w:rPr>
          <w:rFonts w:ascii="Times New Roman" w:hAnsi="Times New Roman" w:cs="Times New Roman"/>
          <w:sz w:val="24"/>
          <w:szCs w:val="24"/>
        </w:rPr>
        <w:t>, Santhoshini RAMANI</w:t>
      </w:r>
      <w:r w:rsidRPr="00AF404D">
        <w:rPr>
          <w:rFonts w:ascii="Times New Roman" w:hAnsi="Times New Roman" w:cs="Times New Roman"/>
          <w:sz w:val="24"/>
          <w:szCs w:val="24"/>
          <w:vertAlign w:val="superscript"/>
        </w:rPr>
        <w:t>1,2</w:t>
      </w:r>
      <w:r>
        <w:rPr>
          <w:rFonts w:ascii="Times New Roman" w:hAnsi="Times New Roman" w:cs="Times New Roman"/>
          <w:sz w:val="24"/>
          <w:szCs w:val="24"/>
        </w:rPr>
        <w:t>, Kayo FUJIMOTO</w:t>
      </w:r>
      <w:r w:rsidRPr="003F5C61">
        <w:rPr>
          <w:rFonts w:ascii="Times New Roman" w:hAnsi="Times New Roman" w:cs="Times New Roman"/>
          <w:sz w:val="24"/>
          <w:szCs w:val="24"/>
          <w:vertAlign w:val="superscript"/>
        </w:rPr>
        <w:t>4</w:t>
      </w:r>
      <w:r>
        <w:rPr>
          <w:rFonts w:ascii="Times New Roman" w:hAnsi="Times New Roman" w:cs="Times New Roman"/>
          <w:sz w:val="24"/>
          <w:szCs w:val="24"/>
        </w:rPr>
        <w:t>, Nina HARAWA</w:t>
      </w:r>
      <w:r w:rsidRPr="002E6A22">
        <w:rPr>
          <w:rFonts w:ascii="Times New Roman" w:hAnsi="Times New Roman" w:cs="Times New Roman"/>
          <w:sz w:val="24"/>
          <w:szCs w:val="24"/>
          <w:vertAlign w:val="superscript"/>
        </w:rPr>
        <w:t>6,7</w:t>
      </w:r>
    </w:p>
    <w:p w14:paraId="195B726B" w14:textId="77777777" w:rsidR="005C1CBC" w:rsidRDefault="005C1CBC" w:rsidP="005C1CBC">
      <w:pPr>
        <w:rPr>
          <w:rFonts w:ascii="Times New Roman" w:hAnsi="Times New Roman" w:cs="Times New Roman"/>
          <w:sz w:val="24"/>
          <w:szCs w:val="24"/>
        </w:rPr>
      </w:pPr>
      <w:r w:rsidRPr="005C44E0">
        <w:rPr>
          <w:rFonts w:ascii="Times New Roman" w:hAnsi="Times New Roman" w:cs="Times New Roman"/>
          <w:sz w:val="24"/>
          <w:szCs w:val="24"/>
        </w:rPr>
        <w:t xml:space="preserve">for the BARS Study Group and Getting to Zero IL </w:t>
      </w:r>
      <w:r>
        <w:rPr>
          <w:rFonts w:ascii="Times New Roman" w:hAnsi="Times New Roman" w:cs="Times New Roman"/>
          <w:sz w:val="24"/>
          <w:szCs w:val="24"/>
        </w:rPr>
        <w:t>Research Evaluation and Data (</w:t>
      </w:r>
      <w:r w:rsidRPr="005C44E0">
        <w:rPr>
          <w:rFonts w:ascii="Times New Roman" w:hAnsi="Times New Roman" w:cs="Times New Roman"/>
          <w:sz w:val="24"/>
          <w:szCs w:val="24"/>
        </w:rPr>
        <w:t>RED</w:t>
      </w:r>
      <w:r>
        <w:rPr>
          <w:rFonts w:ascii="Times New Roman" w:hAnsi="Times New Roman" w:cs="Times New Roman"/>
          <w:sz w:val="24"/>
          <w:szCs w:val="24"/>
        </w:rPr>
        <w:t>)</w:t>
      </w:r>
      <w:r w:rsidRPr="005C44E0">
        <w:rPr>
          <w:rFonts w:ascii="Times New Roman" w:hAnsi="Times New Roman" w:cs="Times New Roman"/>
          <w:sz w:val="24"/>
          <w:szCs w:val="24"/>
        </w:rPr>
        <w:t xml:space="preserve"> Committee</w:t>
      </w:r>
    </w:p>
    <w:p w14:paraId="644131BC" w14:textId="77777777" w:rsidR="005C1CBC" w:rsidRDefault="005C1CBC" w:rsidP="005C1CBC">
      <w:pPr>
        <w:rPr>
          <w:rFonts w:ascii="Times New Roman" w:hAnsi="Times New Roman" w:cs="Times New Roman"/>
          <w:sz w:val="24"/>
          <w:szCs w:val="24"/>
        </w:rPr>
      </w:pPr>
      <w:r>
        <w:rPr>
          <w:rFonts w:ascii="Times New Roman" w:hAnsi="Times New Roman" w:cs="Times New Roman"/>
          <w:sz w:val="24"/>
          <w:szCs w:val="24"/>
        </w:rPr>
        <w:t>(*equally contributing authors)</w:t>
      </w:r>
    </w:p>
    <w:p w14:paraId="341DE259" w14:textId="77777777" w:rsidR="005C1CBC" w:rsidRDefault="005C1CBC" w:rsidP="005C1CBC">
      <w:pPr>
        <w:rPr>
          <w:rFonts w:ascii="Times New Roman" w:hAnsi="Times New Roman" w:cs="Times New Roman"/>
          <w:sz w:val="24"/>
          <w:szCs w:val="24"/>
        </w:rPr>
      </w:pPr>
    </w:p>
    <w:p w14:paraId="79813D21" w14:textId="77777777" w:rsidR="005C1CBC" w:rsidRDefault="005C1CBC" w:rsidP="005C1CBC">
      <w:pPr>
        <w:rPr>
          <w:rFonts w:ascii="Times New Roman" w:hAnsi="Times New Roman" w:cs="Times New Roman"/>
          <w:sz w:val="24"/>
          <w:szCs w:val="24"/>
        </w:rPr>
      </w:pPr>
      <w:r w:rsidRPr="00E377CC">
        <w:rPr>
          <w:rFonts w:ascii="Times New Roman" w:hAnsi="Times New Roman" w:cs="Times New Roman"/>
          <w:sz w:val="24"/>
          <w:szCs w:val="24"/>
          <w:vertAlign w:val="superscript"/>
        </w:rPr>
        <w:t>1</w:t>
      </w:r>
      <w:r>
        <w:rPr>
          <w:rFonts w:ascii="Times New Roman" w:hAnsi="Times New Roman" w:cs="Times New Roman"/>
          <w:sz w:val="24"/>
          <w:szCs w:val="24"/>
        </w:rPr>
        <w:t>Chicago Center for HIV Elimination, The University of Chicago</w:t>
      </w:r>
    </w:p>
    <w:p w14:paraId="6E132228" w14:textId="77777777" w:rsidR="005C1CBC" w:rsidRDefault="005C1CBC" w:rsidP="005C1CBC">
      <w:pPr>
        <w:rPr>
          <w:rFonts w:ascii="Times New Roman" w:hAnsi="Times New Roman" w:cs="Times New Roman"/>
          <w:sz w:val="24"/>
          <w:szCs w:val="24"/>
        </w:rPr>
      </w:pPr>
      <w:r w:rsidRPr="00E377CC">
        <w:rPr>
          <w:rFonts w:ascii="Times New Roman" w:hAnsi="Times New Roman" w:cs="Times New Roman"/>
          <w:sz w:val="24"/>
          <w:szCs w:val="24"/>
          <w:vertAlign w:val="superscript"/>
        </w:rPr>
        <w:t>2</w:t>
      </w:r>
      <w:r>
        <w:rPr>
          <w:rFonts w:ascii="Times New Roman" w:hAnsi="Times New Roman" w:cs="Times New Roman"/>
          <w:sz w:val="24"/>
          <w:szCs w:val="24"/>
        </w:rPr>
        <w:t>Department of Medicine, The University of Chicago</w:t>
      </w:r>
    </w:p>
    <w:p w14:paraId="6F124C71" w14:textId="77777777" w:rsidR="005C1CBC" w:rsidRDefault="005C1CBC" w:rsidP="005C1CBC">
      <w:pPr>
        <w:rPr>
          <w:rFonts w:ascii="Times New Roman" w:hAnsi="Times New Roman" w:cs="Times New Roman"/>
          <w:sz w:val="24"/>
          <w:szCs w:val="24"/>
        </w:rPr>
      </w:pPr>
      <w:r w:rsidRPr="00E377CC">
        <w:rPr>
          <w:rFonts w:ascii="Times New Roman" w:hAnsi="Times New Roman" w:cs="Times New Roman"/>
          <w:sz w:val="24"/>
          <w:szCs w:val="24"/>
          <w:vertAlign w:val="superscript"/>
        </w:rPr>
        <w:t>3</w:t>
      </w:r>
      <w:r>
        <w:rPr>
          <w:rFonts w:ascii="Times New Roman" w:hAnsi="Times New Roman" w:cs="Times New Roman"/>
          <w:sz w:val="24"/>
          <w:szCs w:val="24"/>
        </w:rPr>
        <w:t>Decision and Infrastructure Sciences Division, Argonne National Laboratory</w:t>
      </w:r>
    </w:p>
    <w:p w14:paraId="2C0B8B41" w14:textId="77777777" w:rsidR="005C1CBC" w:rsidRPr="00B73DDB" w:rsidRDefault="005C1CBC" w:rsidP="005C1CBC">
      <w:pPr>
        <w:widowControl/>
        <w:autoSpaceDE/>
        <w:autoSpaceDN/>
        <w:adjustRightInd/>
        <w:rPr>
          <w:rFonts w:ascii="Times New Roman" w:eastAsia="Times New Roman" w:hAnsi="Times New Roman" w:cs="Times New Roman"/>
          <w:noProof w:val="0"/>
          <w:sz w:val="24"/>
          <w:szCs w:val="24"/>
        </w:rPr>
      </w:pPr>
      <w:r w:rsidRPr="00E377CC">
        <w:rPr>
          <w:rFonts w:ascii="Times New Roman" w:hAnsi="Times New Roman" w:cs="Times New Roman"/>
          <w:sz w:val="24"/>
          <w:szCs w:val="24"/>
          <w:vertAlign w:val="superscript"/>
        </w:rPr>
        <w:t>4</w:t>
      </w:r>
      <w:r w:rsidRPr="00B73DDB">
        <w:rPr>
          <w:rFonts w:ascii="Times New Roman" w:hAnsi="Times New Roman" w:cs="Times New Roman"/>
          <w:sz w:val="24"/>
          <w:szCs w:val="24"/>
        </w:rPr>
        <w:t>Center for Health Promotion and Prevention Research</w:t>
      </w:r>
      <w:r>
        <w:rPr>
          <w:rFonts w:ascii="Times New Roman" w:hAnsi="Times New Roman" w:cs="Times New Roman"/>
          <w:sz w:val="24"/>
          <w:szCs w:val="24"/>
        </w:rPr>
        <w:t xml:space="preserve">, </w:t>
      </w:r>
      <w:r w:rsidRPr="00B73DDB">
        <w:rPr>
          <w:rFonts w:ascii="Times New Roman" w:eastAsia="Times New Roman" w:hAnsi="Times New Roman" w:cs="Times New Roman"/>
          <w:noProof w:val="0"/>
          <w:sz w:val="24"/>
          <w:szCs w:val="24"/>
        </w:rPr>
        <w:t>The University of Texas Health Science</w:t>
      </w:r>
      <w:r>
        <w:rPr>
          <w:rFonts w:ascii="Times New Roman" w:eastAsia="Times New Roman" w:hAnsi="Times New Roman" w:cs="Times New Roman"/>
          <w:noProof w:val="0"/>
          <w:sz w:val="24"/>
          <w:szCs w:val="24"/>
        </w:rPr>
        <w:t xml:space="preserve"> </w:t>
      </w:r>
      <w:r w:rsidRPr="00B73DDB">
        <w:rPr>
          <w:rFonts w:ascii="Times New Roman" w:eastAsia="Times New Roman" w:hAnsi="Times New Roman" w:cs="Times New Roman"/>
          <w:noProof w:val="0"/>
          <w:sz w:val="24"/>
          <w:szCs w:val="24"/>
        </w:rPr>
        <w:t>Center at Houston (UTHealth)</w:t>
      </w:r>
    </w:p>
    <w:p w14:paraId="51EA0E5C" w14:textId="77777777" w:rsidR="005C1CBC" w:rsidRDefault="005C1CBC" w:rsidP="005C1CBC">
      <w:pPr>
        <w:rPr>
          <w:rFonts w:ascii="Times New Roman" w:hAnsi="Times New Roman" w:cs="Times New Roman"/>
          <w:sz w:val="24"/>
          <w:szCs w:val="24"/>
        </w:rPr>
      </w:pPr>
      <w:r w:rsidRPr="00E377CC">
        <w:rPr>
          <w:rFonts w:ascii="Times New Roman" w:hAnsi="Times New Roman" w:cs="Times New Roman"/>
          <w:sz w:val="24"/>
          <w:szCs w:val="24"/>
          <w:vertAlign w:val="superscript"/>
        </w:rPr>
        <w:t>5</w:t>
      </w:r>
      <w:r>
        <w:rPr>
          <w:rFonts w:ascii="Times New Roman" w:hAnsi="Times New Roman" w:cs="Times New Roman"/>
          <w:sz w:val="24"/>
          <w:szCs w:val="24"/>
        </w:rPr>
        <w:t>Department of Health Policy and Management, University of California, Los Angeles</w:t>
      </w:r>
    </w:p>
    <w:p w14:paraId="1B35BFC8" w14:textId="77777777" w:rsidR="005C1CBC" w:rsidRPr="00550EB9" w:rsidRDefault="005C1CBC" w:rsidP="005C1CBC">
      <w:pPr>
        <w:rPr>
          <w:rFonts w:ascii="Times New Roman" w:hAnsi="Times New Roman" w:cs="Times New Roman"/>
          <w:sz w:val="24"/>
          <w:szCs w:val="24"/>
        </w:rPr>
      </w:pPr>
      <w:r w:rsidRPr="00E377CC">
        <w:rPr>
          <w:rFonts w:ascii="Times New Roman" w:hAnsi="Times New Roman" w:cs="Times New Roman"/>
          <w:sz w:val="24"/>
          <w:szCs w:val="24"/>
          <w:vertAlign w:val="superscript"/>
        </w:rPr>
        <w:t>6</w:t>
      </w:r>
      <w:r w:rsidRPr="00550EB9">
        <w:rPr>
          <w:rFonts w:ascii="Times New Roman" w:hAnsi="Times New Roman" w:cs="Times New Roman"/>
          <w:sz w:val="24"/>
          <w:szCs w:val="24"/>
        </w:rPr>
        <w:t xml:space="preserve"> Department of Psychiatry and Human Behavior, Charles R. Drew University</w:t>
      </w:r>
    </w:p>
    <w:p w14:paraId="780B25C2" w14:textId="5EB475F7" w:rsidR="005C1CBC" w:rsidRDefault="005C1CBC" w:rsidP="005C1CBC">
      <w:pPr>
        <w:rPr>
          <w:rFonts w:ascii="Times New Roman" w:hAnsi="Times New Roman" w:cs="Times New Roman"/>
          <w:sz w:val="24"/>
          <w:szCs w:val="24"/>
        </w:rPr>
      </w:pPr>
      <w:r w:rsidRPr="00E377CC">
        <w:rPr>
          <w:rFonts w:ascii="Times New Roman" w:hAnsi="Times New Roman" w:cs="Times New Roman"/>
          <w:sz w:val="24"/>
          <w:szCs w:val="24"/>
          <w:vertAlign w:val="superscript"/>
        </w:rPr>
        <w:t>7</w:t>
      </w:r>
      <w:r>
        <w:rPr>
          <w:rFonts w:ascii="Times New Roman" w:hAnsi="Times New Roman" w:cs="Times New Roman"/>
          <w:sz w:val="24"/>
          <w:szCs w:val="24"/>
        </w:rPr>
        <w:t>Department of Epidemiology, University of California, Los Angeles</w:t>
      </w:r>
    </w:p>
    <w:p w14:paraId="4C1E738D" w14:textId="4743B480" w:rsidR="005C1CBC" w:rsidRDefault="005C1CBC">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47B4F5A3" w14:textId="77777777" w:rsidR="00F03DD9" w:rsidRPr="008C2A9F" w:rsidRDefault="0573D6D8" w:rsidP="0573D6D8">
      <w:pPr>
        <w:pStyle w:val="TOCHeading"/>
        <w:spacing w:line="480" w:lineRule="auto"/>
        <w:rPr>
          <w:rFonts w:ascii="Times New Roman" w:hAnsi="Times New Roman" w:cs="Times New Roman"/>
          <w:color w:val="000000" w:themeColor="text1"/>
          <w:sz w:val="24"/>
          <w:szCs w:val="24"/>
        </w:rPr>
      </w:pPr>
      <w:r w:rsidRPr="008C2A9F">
        <w:rPr>
          <w:rFonts w:ascii="Times New Roman" w:hAnsi="Times New Roman" w:cs="Times New Roman"/>
          <w:color w:val="000000" w:themeColor="text1"/>
          <w:sz w:val="24"/>
          <w:szCs w:val="24"/>
        </w:rPr>
        <w:lastRenderedPageBreak/>
        <w:t>Table of Contents</w:t>
      </w:r>
    </w:p>
    <w:p w14:paraId="6DA3835B" w14:textId="77777777" w:rsidR="00946A1A" w:rsidRPr="00946A1A" w:rsidRDefault="00F03DD9">
      <w:pPr>
        <w:pStyle w:val="TOC1"/>
        <w:rPr>
          <w:rFonts w:ascii="Times New Roman" w:hAnsi="Times New Roman" w:cs="Times New Roman"/>
          <w:noProof/>
          <w:lang w:val="en-GB" w:eastAsia="en-GB"/>
        </w:rPr>
      </w:pPr>
      <w:r w:rsidRPr="00946A1A">
        <w:rPr>
          <w:rFonts w:ascii="Times New Roman" w:hAnsi="Times New Roman" w:cs="Times New Roman"/>
        </w:rPr>
        <w:fldChar w:fldCharType="begin"/>
      </w:r>
      <w:r w:rsidRPr="00946A1A">
        <w:rPr>
          <w:rFonts w:ascii="Times New Roman" w:hAnsi="Times New Roman" w:cs="Times New Roman"/>
        </w:rPr>
        <w:instrText xml:space="preserve"> TOC \o "1-3" \h \z \u </w:instrText>
      </w:r>
      <w:r w:rsidRPr="00946A1A">
        <w:rPr>
          <w:rFonts w:ascii="Times New Roman" w:hAnsi="Times New Roman" w:cs="Times New Roman"/>
        </w:rPr>
        <w:fldChar w:fldCharType="separate"/>
      </w:r>
      <w:hyperlink w:anchor="_Toc3377328" w:history="1">
        <w:r w:rsidR="00946A1A" w:rsidRPr="00946A1A">
          <w:rPr>
            <w:rStyle w:val="Hyperlink"/>
            <w:rFonts w:ascii="Times New Roman" w:hAnsi="Times New Roman" w:cs="Times New Roman"/>
            <w:noProof/>
          </w:rPr>
          <w:t>A.1. Introduction</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_Toc3377328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3</w:t>
        </w:r>
        <w:r w:rsidR="00946A1A" w:rsidRPr="00946A1A">
          <w:rPr>
            <w:rFonts w:ascii="Times New Roman" w:hAnsi="Times New Roman" w:cs="Times New Roman"/>
            <w:noProof/>
            <w:webHidden/>
          </w:rPr>
          <w:fldChar w:fldCharType="end"/>
        </w:r>
      </w:hyperlink>
    </w:p>
    <w:p w14:paraId="34F33A30" w14:textId="77777777" w:rsidR="00946A1A" w:rsidRPr="00946A1A" w:rsidRDefault="00656496">
      <w:pPr>
        <w:pStyle w:val="TOC1"/>
        <w:rPr>
          <w:rFonts w:ascii="Times New Roman" w:hAnsi="Times New Roman" w:cs="Times New Roman"/>
          <w:noProof/>
          <w:lang w:val="en-GB" w:eastAsia="en-GB"/>
        </w:rPr>
      </w:pPr>
      <w:hyperlink w:anchor="_Toc3377329" w:history="1">
        <w:r w:rsidR="00946A1A" w:rsidRPr="00946A1A">
          <w:rPr>
            <w:rStyle w:val="Hyperlink"/>
            <w:rFonts w:ascii="Times New Roman" w:hAnsi="Times New Roman" w:cs="Times New Roman"/>
            <w:noProof/>
          </w:rPr>
          <w:t>A.2 Initial Population</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_Toc3377329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4</w:t>
        </w:r>
        <w:r w:rsidR="00946A1A" w:rsidRPr="00946A1A">
          <w:rPr>
            <w:rFonts w:ascii="Times New Roman" w:hAnsi="Times New Roman" w:cs="Times New Roman"/>
            <w:noProof/>
            <w:webHidden/>
          </w:rPr>
          <w:fldChar w:fldCharType="end"/>
        </w:r>
      </w:hyperlink>
    </w:p>
    <w:p w14:paraId="720C0E4A" w14:textId="77777777" w:rsidR="00946A1A" w:rsidRPr="00946A1A" w:rsidRDefault="00656496">
      <w:pPr>
        <w:pStyle w:val="TOC1"/>
        <w:rPr>
          <w:rFonts w:ascii="Times New Roman" w:hAnsi="Times New Roman" w:cs="Times New Roman"/>
          <w:noProof/>
          <w:lang w:val="en-GB" w:eastAsia="en-GB"/>
        </w:rPr>
      </w:pPr>
      <w:hyperlink w:anchor="_Toc3377330" w:history="1">
        <w:r w:rsidR="00946A1A" w:rsidRPr="00946A1A">
          <w:rPr>
            <w:rStyle w:val="Hyperlink"/>
            <w:rFonts w:ascii="Times New Roman" w:hAnsi="Times New Roman" w:cs="Times New Roman"/>
            <w:noProof/>
          </w:rPr>
          <w:t>A.3 Models for Main and Casual Partnership Networks</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_Toc3377330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4</w:t>
        </w:r>
        <w:r w:rsidR="00946A1A" w:rsidRPr="00946A1A">
          <w:rPr>
            <w:rFonts w:ascii="Times New Roman" w:hAnsi="Times New Roman" w:cs="Times New Roman"/>
            <w:noProof/>
            <w:webHidden/>
          </w:rPr>
          <w:fldChar w:fldCharType="end"/>
        </w:r>
      </w:hyperlink>
    </w:p>
    <w:p w14:paraId="538D1854" w14:textId="77777777" w:rsidR="00946A1A" w:rsidRPr="00946A1A" w:rsidRDefault="00656496">
      <w:pPr>
        <w:pStyle w:val="TOC1"/>
        <w:rPr>
          <w:rFonts w:ascii="Times New Roman" w:hAnsi="Times New Roman" w:cs="Times New Roman"/>
          <w:noProof/>
          <w:lang w:val="en-GB" w:eastAsia="en-GB"/>
        </w:rPr>
      </w:pPr>
      <w:hyperlink w:anchor="_Toc3377331" w:history="1">
        <w:r w:rsidR="00946A1A" w:rsidRPr="00946A1A">
          <w:rPr>
            <w:rStyle w:val="Hyperlink"/>
            <w:rFonts w:ascii="Times New Roman" w:hAnsi="Times New Roman" w:cs="Times New Roman"/>
            <w:noProof/>
          </w:rPr>
          <w:t>A.4 Simulating Baseline Epidemics</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_Toc3377331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5</w:t>
        </w:r>
        <w:r w:rsidR="00946A1A" w:rsidRPr="00946A1A">
          <w:rPr>
            <w:rFonts w:ascii="Times New Roman" w:hAnsi="Times New Roman" w:cs="Times New Roman"/>
            <w:noProof/>
            <w:webHidden/>
          </w:rPr>
          <w:fldChar w:fldCharType="end"/>
        </w:r>
      </w:hyperlink>
    </w:p>
    <w:p w14:paraId="66EB3AA3" w14:textId="77777777" w:rsidR="00946A1A" w:rsidRPr="00946A1A" w:rsidRDefault="00656496">
      <w:pPr>
        <w:pStyle w:val="TOC2"/>
        <w:tabs>
          <w:tab w:val="right" w:leader="dot" w:pos="9350"/>
        </w:tabs>
        <w:rPr>
          <w:rFonts w:ascii="Times New Roman" w:hAnsi="Times New Roman" w:cs="Times New Roman"/>
          <w:noProof/>
          <w:lang w:val="en-GB" w:eastAsia="en-GB"/>
        </w:rPr>
      </w:pPr>
      <w:hyperlink w:anchor="_Toc3377332" w:history="1">
        <w:r w:rsidR="00946A1A" w:rsidRPr="00946A1A">
          <w:rPr>
            <w:rStyle w:val="Hyperlink"/>
            <w:rFonts w:ascii="Times New Roman" w:hAnsi="Times New Roman" w:cs="Times New Roman"/>
            <w:noProof/>
          </w:rPr>
          <w:t>A.4.1 Arrivals</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_Toc3377332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6</w:t>
        </w:r>
        <w:r w:rsidR="00946A1A" w:rsidRPr="00946A1A">
          <w:rPr>
            <w:rFonts w:ascii="Times New Roman" w:hAnsi="Times New Roman" w:cs="Times New Roman"/>
            <w:noProof/>
            <w:webHidden/>
          </w:rPr>
          <w:fldChar w:fldCharType="end"/>
        </w:r>
      </w:hyperlink>
    </w:p>
    <w:p w14:paraId="69355D2C" w14:textId="77777777" w:rsidR="00946A1A" w:rsidRPr="00946A1A" w:rsidRDefault="00656496">
      <w:pPr>
        <w:pStyle w:val="TOC2"/>
        <w:tabs>
          <w:tab w:val="right" w:leader="dot" w:pos="9350"/>
        </w:tabs>
        <w:rPr>
          <w:rFonts w:ascii="Times New Roman" w:hAnsi="Times New Roman" w:cs="Times New Roman"/>
          <w:noProof/>
          <w:lang w:val="en-GB" w:eastAsia="en-GB"/>
        </w:rPr>
      </w:pPr>
      <w:hyperlink w:anchor="_Toc3377333" w:history="1">
        <w:r w:rsidR="00946A1A" w:rsidRPr="00946A1A">
          <w:rPr>
            <w:rStyle w:val="Hyperlink"/>
            <w:rFonts w:ascii="Times New Roman" w:hAnsi="Times New Roman" w:cs="Times New Roman"/>
            <w:noProof/>
          </w:rPr>
          <w:t>A.4.2 Departures and net population growth</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_Toc3377333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6</w:t>
        </w:r>
        <w:r w:rsidR="00946A1A" w:rsidRPr="00946A1A">
          <w:rPr>
            <w:rFonts w:ascii="Times New Roman" w:hAnsi="Times New Roman" w:cs="Times New Roman"/>
            <w:noProof/>
            <w:webHidden/>
          </w:rPr>
          <w:fldChar w:fldCharType="end"/>
        </w:r>
      </w:hyperlink>
    </w:p>
    <w:p w14:paraId="3F4458A5" w14:textId="77777777" w:rsidR="00946A1A" w:rsidRPr="00946A1A" w:rsidRDefault="00656496">
      <w:pPr>
        <w:pStyle w:val="TOC2"/>
        <w:tabs>
          <w:tab w:val="right" w:leader="dot" w:pos="9350"/>
        </w:tabs>
        <w:rPr>
          <w:rFonts w:ascii="Times New Roman" w:hAnsi="Times New Roman" w:cs="Times New Roman"/>
          <w:noProof/>
          <w:lang w:val="en-GB" w:eastAsia="en-GB"/>
        </w:rPr>
      </w:pPr>
      <w:hyperlink w:anchor="_Toc3377334" w:history="1">
        <w:r w:rsidR="00946A1A" w:rsidRPr="00946A1A">
          <w:rPr>
            <w:rStyle w:val="Hyperlink"/>
            <w:rFonts w:ascii="Times New Roman" w:hAnsi="Times New Roman" w:cs="Times New Roman"/>
            <w:noProof/>
          </w:rPr>
          <w:t>A.4.3 Sexual network structure</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_Toc3377334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7</w:t>
        </w:r>
        <w:r w:rsidR="00946A1A" w:rsidRPr="00946A1A">
          <w:rPr>
            <w:rFonts w:ascii="Times New Roman" w:hAnsi="Times New Roman" w:cs="Times New Roman"/>
            <w:noProof/>
            <w:webHidden/>
          </w:rPr>
          <w:fldChar w:fldCharType="end"/>
        </w:r>
      </w:hyperlink>
    </w:p>
    <w:p w14:paraId="3C098EDA" w14:textId="77777777" w:rsidR="00946A1A" w:rsidRPr="00946A1A" w:rsidRDefault="00656496">
      <w:pPr>
        <w:pStyle w:val="TOC2"/>
        <w:tabs>
          <w:tab w:val="right" w:leader="dot" w:pos="9350"/>
        </w:tabs>
        <w:rPr>
          <w:rFonts w:ascii="Times New Roman" w:hAnsi="Times New Roman" w:cs="Times New Roman"/>
          <w:noProof/>
          <w:lang w:val="en-GB" w:eastAsia="en-GB"/>
        </w:rPr>
      </w:pPr>
      <w:hyperlink w:anchor="_Toc3377335" w:history="1">
        <w:r w:rsidR="00946A1A" w:rsidRPr="00946A1A">
          <w:rPr>
            <w:rStyle w:val="Hyperlink"/>
            <w:rFonts w:ascii="Times New Roman" w:hAnsi="Times New Roman" w:cs="Times New Roman"/>
            <w:noProof/>
          </w:rPr>
          <w:t>A.4.4 Temporal evolution of CD4 counts</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_Toc3377335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8</w:t>
        </w:r>
        <w:r w:rsidR="00946A1A" w:rsidRPr="00946A1A">
          <w:rPr>
            <w:rFonts w:ascii="Times New Roman" w:hAnsi="Times New Roman" w:cs="Times New Roman"/>
            <w:noProof/>
            <w:webHidden/>
          </w:rPr>
          <w:fldChar w:fldCharType="end"/>
        </w:r>
      </w:hyperlink>
    </w:p>
    <w:p w14:paraId="55BA2406" w14:textId="77777777" w:rsidR="00946A1A" w:rsidRPr="00946A1A" w:rsidRDefault="00656496">
      <w:pPr>
        <w:pStyle w:val="TOC2"/>
        <w:tabs>
          <w:tab w:val="right" w:leader="dot" w:pos="9350"/>
        </w:tabs>
        <w:rPr>
          <w:rFonts w:ascii="Times New Roman" w:hAnsi="Times New Roman" w:cs="Times New Roman"/>
          <w:noProof/>
          <w:lang w:val="en-GB" w:eastAsia="en-GB"/>
        </w:rPr>
      </w:pPr>
      <w:hyperlink w:anchor="_Toc3377336" w:history="1">
        <w:r w:rsidR="00946A1A" w:rsidRPr="00946A1A">
          <w:rPr>
            <w:rStyle w:val="Hyperlink"/>
            <w:rFonts w:ascii="Times New Roman" w:hAnsi="Times New Roman" w:cs="Times New Roman"/>
            <w:noProof/>
          </w:rPr>
          <w:t>A.4.5 Temporal evolution of HIV RNA (“viral load”)</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_Toc3377336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9</w:t>
        </w:r>
        <w:r w:rsidR="00946A1A" w:rsidRPr="00946A1A">
          <w:rPr>
            <w:rFonts w:ascii="Times New Roman" w:hAnsi="Times New Roman" w:cs="Times New Roman"/>
            <w:noProof/>
            <w:webHidden/>
          </w:rPr>
          <w:fldChar w:fldCharType="end"/>
        </w:r>
      </w:hyperlink>
    </w:p>
    <w:p w14:paraId="6104EA6C" w14:textId="77777777" w:rsidR="00946A1A" w:rsidRPr="00946A1A" w:rsidRDefault="00656496">
      <w:pPr>
        <w:pStyle w:val="TOC2"/>
        <w:tabs>
          <w:tab w:val="right" w:leader="dot" w:pos="9350"/>
        </w:tabs>
        <w:rPr>
          <w:rFonts w:ascii="Times New Roman" w:hAnsi="Times New Roman" w:cs="Times New Roman"/>
          <w:noProof/>
          <w:lang w:val="en-GB" w:eastAsia="en-GB"/>
        </w:rPr>
      </w:pPr>
      <w:hyperlink w:anchor="_Toc3377337" w:history="1">
        <w:r w:rsidR="00946A1A" w:rsidRPr="00946A1A">
          <w:rPr>
            <w:rStyle w:val="Hyperlink"/>
            <w:rFonts w:ascii="Times New Roman" w:hAnsi="Times New Roman" w:cs="Times New Roman"/>
            <w:noProof/>
          </w:rPr>
          <w:t>A.4.6 HIV testing and diagnosis</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_Toc3377337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9</w:t>
        </w:r>
        <w:r w:rsidR="00946A1A" w:rsidRPr="00946A1A">
          <w:rPr>
            <w:rFonts w:ascii="Times New Roman" w:hAnsi="Times New Roman" w:cs="Times New Roman"/>
            <w:noProof/>
            <w:webHidden/>
          </w:rPr>
          <w:fldChar w:fldCharType="end"/>
        </w:r>
      </w:hyperlink>
    </w:p>
    <w:p w14:paraId="14A20ED3" w14:textId="77777777" w:rsidR="00946A1A" w:rsidRPr="00946A1A" w:rsidRDefault="00656496">
      <w:pPr>
        <w:pStyle w:val="TOC2"/>
        <w:tabs>
          <w:tab w:val="right" w:leader="dot" w:pos="9350"/>
        </w:tabs>
        <w:rPr>
          <w:rFonts w:ascii="Times New Roman" w:hAnsi="Times New Roman" w:cs="Times New Roman"/>
          <w:noProof/>
          <w:lang w:val="en-GB" w:eastAsia="en-GB"/>
        </w:rPr>
      </w:pPr>
      <w:hyperlink w:anchor="_Toc3377338" w:history="1">
        <w:r w:rsidR="00946A1A" w:rsidRPr="00946A1A">
          <w:rPr>
            <w:rStyle w:val="Hyperlink"/>
            <w:rFonts w:ascii="Times New Roman" w:hAnsi="Times New Roman" w:cs="Times New Roman"/>
            <w:noProof/>
          </w:rPr>
          <w:t>A.4.7 Dynamics of ART use</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_Toc3377338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10</w:t>
        </w:r>
        <w:r w:rsidR="00946A1A" w:rsidRPr="00946A1A">
          <w:rPr>
            <w:rFonts w:ascii="Times New Roman" w:hAnsi="Times New Roman" w:cs="Times New Roman"/>
            <w:noProof/>
            <w:webHidden/>
          </w:rPr>
          <w:fldChar w:fldCharType="end"/>
        </w:r>
      </w:hyperlink>
    </w:p>
    <w:p w14:paraId="281F631C" w14:textId="77777777" w:rsidR="00946A1A" w:rsidRPr="00946A1A" w:rsidRDefault="00656496">
      <w:pPr>
        <w:pStyle w:val="TOC2"/>
        <w:tabs>
          <w:tab w:val="right" w:leader="dot" w:pos="9350"/>
        </w:tabs>
        <w:rPr>
          <w:rFonts w:ascii="Times New Roman" w:hAnsi="Times New Roman" w:cs="Times New Roman"/>
          <w:noProof/>
          <w:lang w:val="en-GB" w:eastAsia="en-GB"/>
        </w:rPr>
      </w:pPr>
      <w:hyperlink w:anchor="_Toc3377339" w:history="1">
        <w:r w:rsidR="00946A1A" w:rsidRPr="00946A1A">
          <w:rPr>
            <w:rStyle w:val="Hyperlink"/>
            <w:rFonts w:ascii="Times New Roman" w:hAnsi="Times New Roman" w:cs="Times New Roman"/>
            <w:noProof/>
          </w:rPr>
          <w:t>A.4.8 Dynamics of PrEP use</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_Toc3377339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11</w:t>
        </w:r>
        <w:r w:rsidR="00946A1A" w:rsidRPr="00946A1A">
          <w:rPr>
            <w:rFonts w:ascii="Times New Roman" w:hAnsi="Times New Roman" w:cs="Times New Roman"/>
            <w:noProof/>
            <w:webHidden/>
          </w:rPr>
          <w:fldChar w:fldCharType="end"/>
        </w:r>
      </w:hyperlink>
    </w:p>
    <w:p w14:paraId="5729F453" w14:textId="77777777" w:rsidR="00946A1A" w:rsidRPr="00946A1A" w:rsidRDefault="00656496">
      <w:pPr>
        <w:pStyle w:val="TOC2"/>
        <w:tabs>
          <w:tab w:val="right" w:leader="dot" w:pos="9350"/>
        </w:tabs>
        <w:rPr>
          <w:rFonts w:ascii="Times New Roman" w:hAnsi="Times New Roman" w:cs="Times New Roman"/>
          <w:noProof/>
          <w:lang w:val="en-GB" w:eastAsia="en-GB"/>
        </w:rPr>
      </w:pPr>
      <w:hyperlink w:anchor="_Toc3377340" w:history="1">
        <w:r w:rsidR="00946A1A" w:rsidRPr="00946A1A">
          <w:rPr>
            <w:rStyle w:val="Hyperlink"/>
            <w:rFonts w:ascii="Times New Roman" w:hAnsi="Times New Roman" w:cs="Times New Roman"/>
            <w:noProof/>
          </w:rPr>
          <w:t>A.4.9. Incidence of external HIV Infections</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_Toc3377340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12</w:t>
        </w:r>
        <w:r w:rsidR="00946A1A" w:rsidRPr="00946A1A">
          <w:rPr>
            <w:rFonts w:ascii="Times New Roman" w:hAnsi="Times New Roman" w:cs="Times New Roman"/>
            <w:noProof/>
            <w:webHidden/>
          </w:rPr>
          <w:fldChar w:fldCharType="end"/>
        </w:r>
      </w:hyperlink>
    </w:p>
    <w:p w14:paraId="7F8EF51B" w14:textId="77777777" w:rsidR="00946A1A" w:rsidRPr="00946A1A" w:rsidRDefault="00656496">
      <w:pPr>
        <w:pStyle w:val="TOC2"/>
        <w:tabs>
          <w:tab w:val="right" w:leader="dot" w:pos="9350"/>
        </w:tabs>
        <w:rPr>
          <w:rFonts w:ascii="Times New Roman" w:hAnsi="Times New Roman" w:cs="Times New Roman"/>
          <w:noProof/>
          <w:lang w:val="en-GB" w:eastAsia="en-GB"/>
        </w:rPr>
      </w:pPr>
      <w:hyperlink w:anchor="_Toc3377341" w:history="1">
        <w:r w:rsidR="00946A1A" w:rsidRPr="00946A1A">
          <w:rPr>
            <w:rStyle w:val="Hyperlink"/>
            <w:rFonts w:ascii="Times New Roman" w:hAnsi="Times New Roman" w:cs="Times New Roman"/>
            <w:noProof/>
          </w:rPr>
          <w:t>A.4.10. Transmission of HIV infection</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_Toc3377341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13</w:t>
        </w:r>
        <w:r w:rsidR="00946A1A" w:rsidRPr="00946A1A">
          <w:rPr>
            <w:rFonts w:ascii="Times New Roman" w:hAnsi="Times New Roman" w:cs="Times New Roman"/>
            <w:noProof/>
            <w:webHidden/>
          </w:rPr>
          <w:fldChar w:fldCharType="end"/>
        </w:r>
      </w:hyperlink>
    </w:p>
    <w:p w14:paraId="2A5E0EA9" w14:textId="77777777" w:rsidR="00946A1A" w:rsidRPr="00946A1A" w:rsidRDefault="00656496">
      <w:pPr>
        <w:pStyle w:val="TOC1"/>
        <w:rPr>
          <w:rFonts w:ascii="Times New Roman" w:hAnsi="Times New Roman" w:cs="Times New Roman"/>
          <w:noProof/>
          <w:lang w:val="en-GB" w:eastAsia="en-GB"/>
        </w:rPr>
      </w:pPr>
      <w:hyperlink w:anchor="_Toc3377342" w:history="1">
        <w:r w:rsidR="00946A1A" w:rsidRPr="00946A1A">
          <w:rPr>
            <w:rStyle w:val="Hyperlink"/>
            <w:rFonts w:ascii="Times New Roman" w:hAnsi="Times New Roman" w:cs="Times New Roman"/>
            <w:noProof/>
          </w:rPr>
          <w:t>A.5 Sensitivity Analysis of Key Model Parameters</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_Toc3377342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14</w:t>
        </w:r>
        <w:r w:rsidR="00946A1A" w:rsidRPr="00946A1A">
          <w:rPr>
            <w:rFonts w:ascii="Times New Roman" w:hAnsi="Times New Roman" w:cs="Times New Roman"/>
            <w:noProof/>
            <w:webHidden/>
          </w:rPr>
          <w:fldChar w:fldCharType="end"/>
        </w:r>
      </w:hyperlink>
    </w:p>
    <w:p w14:paraId="75653AFD" w14:textId="77777777" w:rsidR="00946A1A" w:rsidRPr="00946A1A" w:rsidRDefault="00656496">
      <w:pPr>
        <w:pStyle w:val="TOC1"/>
        <w:rPr>
          <w:rFonts w:ascii="Times New Roman" w:hAnsi="Times New Roman" w:cs="Times New Roman"/>
          <w:noProof/>
          <w:lang w:val="en-GB" w:eastAsia="en-GB"/>
        </w:rPr>
      </w:pPr>
      <w:hyperlink w:anchor="_Toc3377343" w:history="1">
        <w:r w:rsidR="00946A1A" w:rsidRPr="00946A1A">
          <w:rPr>
            <w:rStyle w:val="Hyperlink"/>
            <w:rFonts w:ascii="Times New Roman" w:hAnsi="Times New Roman" w:cs="Times New Roman"/>
            <w:noProof/>
          </w:rPr>
          <w:t>A.6 Model Diagnostics</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_Toc3377343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18</w:t>
        </w:r>
        <w:r w:rsidR="00946A1A" w:rsidRPr="00946A1A">
          <w:rPr>
            <w:rFonts w:ascii="Times New Roman" w:hAnsi="Times New Roman" w:cs="Times New Roman"/>
            <w:noProof/>
            <w:webHidden/>
          </w:rPr>
          <w:fldChar w:fldCharType="end"/>
        </w:r>
      </w:hyperlink>
    </w:p>
    <w:p w14:paraId="4794F4B2" w14:textId="77777777" w:rsidR="00946A1A" w:rsidRPr="00946A1A" w:rsidRDefault="00656496">
      <w:pPr>
        <w:pStyle w:val="TOC1"/>
        <w:rPr>
          <w:rFonts w:ascii="Times New Roman" w:hAnsi="Times New Roman" w:cs="Times New Roman"/>
          <w:noProof/>
          <w:lang w:val="en-GB" w:eastAsia="en-GB"/>
        </w:rPr>
      </w:pPr>
      <w:hyperlink w:anchor="_Toc3377344" w:history="1">
        <w:r w:rsidR="00946A1A" w:rsidRPr="00946A1A">
          <w:rPr>
            <w:rStyle w:val="Hyperlink"/>
            <w:rFonts w:ascii="Times New Roman" w:hAnsi="Times New Roman" w:cs="Times New Roman"/>
            <w:noProof/>
          </w:rPr>
          <w:t>A.7 Simulating Interventions</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_Toc3377344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19</w:t>
        </w:r>
        <w:r w:rsidR="00946A1A" w:rsidRPr="00946A1A">
          <w:rPr>
            <w:rFonts w:ascii="Times New Roman" w:hAnsi="Times New Roman" w:cs="Times New Roman"/>
            <w:noProof/>
            <w:webHidden/>
          </w:rPr>
          <w:fldChar w:fldCharType="end"/>
        </w:r>
      </w:hyperlink>
    </w:p>
    <w:p w14:paraId="387C2303" w14:textId="77777777" w:rsidR="00946A1A" w:rsidRPr="00946A1A" w:rsidRDefault="00656496">
      <w:pPr>
        <w:pStyle w:val="TOC2"/>
        <w:tabs>
          <w:tab w:val="right" w:leader="dot" w:pos="9350"/>
        </w:tabs>
        <w:rPr>
          <w:rFonts w:ascii="Times New Roman" w:hAnsi="Times New Roman" w:cs="Times New Roman"/>
          <w:noProof/>
          <w:lang w:val="en-GB" w:eastAsia="en-GB"/>
        </w:rPr>
      </w:pPr>
      <w:hyperlink w:anchor="_Toc3377345" w:history="1">
        <w:r w:rsidR="00946A1A" w:rsidRPr="00946A1A">
          <w:rPr>
            <w:rStyle w:val="Hyperlink"/>
            <w:rFonts w:ascii="Times New Roman" w:hAnsi="Times New Roman" w:cs="Times New Roman"/>
            <w:noProof/>
          </w:rPr>
          <w:t>A.7.1 Candidate PrEP intervention design</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_Toc3377345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19</w:t>
        </w:r>
        <w:r w:rsidR="00946A1A" w:rsidRPr="00946A1A">
          <w:rPr>
            <w:rFonts w:ascii="Times New Roman" w:hAnsi="Times New Roman" w:cs="Times New Roman"/>
            <w:noProof/>
            <w:webHidden/>
          </w:rPr>
          <w:fldChar w:fldCharType="end"/>
        </w:r>
      </w:hyperlink>
    </w:p>
    <w:p w14:paraId="0D57F579" w14:textId="77777777" w:rsidR="00946A1A" w:rsidRPr="00946A1A" w:rsidRDefault="00656496">
      <w:pPr>
        <w:pStyle w:val="TOC2"/>
        <w:tabs>
          <w:tab w:val="right" w:leader="dot" w:pos="9350"/>
        </w:tabs>
        <w:rPr>
          <w:rFonts w:ascii="Times New Roman" w:hAnsi="Times New Roman" w:cs="Times New Roman"/>
          <w:noProof/>
          <w:lang w:val="en-GB" w:eastAsia="en-GB"/>
        </w:rPr>
      </w:pPr>
      <w:hyperlink w:anchor="_Toc3377346" w:history="1">
        <w:r w:rsidR="00946A1A" w:rsidRPr="00946A1A">
          <w:rPr>
            <w:rStyle w:val="Hyperlink"/>
            <w:rFonts w:ascii="Times New Roman" w:hAnsi="Times New Roman" w:cs="Times New Roman"/>
            <w:noProof/>
          </w:rPr>
          <w:t>A.7.2 Mathematical definitions of the network position measures</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_Toc3377346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21</w:t>
        </w:r>
        <w:r w:rsidR="00946A1A" w:rsidRPr="00946A1A">
          <w:rPr>
            <w:rFonts w:ascii="Times New Roman" w:hAnsi="Times New Roman" w:cs="Times New Roman"/>
            <w:noProof/>
            <w:webHidden/>
          </w:rPr>
          <w:fldChar w:fldCharType="end"/>
        </w:r>
      </w:hyperlink>
    </w:p>
    <w:p w14:paraId="0270CC19" w14:textId="77777777" w:rsidR="00946A1A" w:rsidRPr="00946A1A" w:rsidRDefault="00656496">
      <w:pPr>
        <w:pStyle w:val="TOC2"/>
        <w:tabs>
          <w:tab w:val="right" w:leader="dot" w:pos="9350"/>
        </w:tabs>
        <w:rPr>
          <w:rFonts w:ascii="Times New Roman" w:hAnsi="Times New Roman" w:cs="Times New Roman"/>
          <w:noProof/>
          <w:lang w:val="en-GB" w:eastAsia="en-GB"/>
        </w:rPr>
      </w:pPr>
      <w:hyperlink w:anchor="_Toc3377347" w:history="1">
        <w:r w:rsidR="00946A1A" w:rsidRPr="00946A1A">
          <w:rPr>
            <w:rStyle w:val="Hyperlink"/>
            <w:rFonts w:ascii="Times New Roman" w:hAnsi="Times New Roman" w:cs="Times New Roman"/>
            <w:noProof/>
          </w:rPr>
          <w:t>A.7.3 Revisiting key assumptions behind the network position measures</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_Toc3377347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21</w:t>
        </w:r>
        <w:r w:rsidR="00946A1A" w:rsidRPr="00946A1A">
          <w:rPr>
            <w:rFonts w:ascii="Times New Roman" w:hAnsi="Times New Roman" w:cs="Times New Roman"/>
            <w:noProof/>
            <w:webHidden/>
          </w:rPr>
          <w:fldChar w:fldCharType="end"/>
        </w:r>
      </w:hyperlink>
    </w:p>
    <w:p w14:paraId="3C5283D8" w14:textId="77777777" w:rsidR="00946A1A" w:rsidRPr="00946A1A" w:rsidRDefault="00656496">
      <w:pPr>
        <w:pStyle w:val="TOC2"/>
        <w:tabs>
          <w:tab w:val="right" w:leader="dot" w:pos="9350"/>
        </w:tabs>
        <w:rPr>
          <w:rFonts w:ascii="Times New Roman" w:hAnsi="Times New Roman" w:cs="Times New Roman"/>
          <w:noProof/>
          <w:lang w:val="en-GB" w:eastAsia="en-GB"/>
        </w:rPr>
      </w:pPr>
      <w:hyperlink w:anchor="_Toc3377348" w:history="1">
        <w:r w:rsidR="00946A1A" w:rsidRPr="00946A1A">
          <w:rPr>
            <w:rStyle w:val="Hyperlink"/>
            <w:rFonts w:ascii="Times New Roman" w:hAnsi="Times New Roman" w:cs="Times New Roman"/>
            <w:noProof/>
          </w:rPr>
          <w:t>A.7.4 Data from combination interventions</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_Toc3377348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23</w:t>
        </w:r>
        <w:r w:rsidR="00946A1A" w:rsidRPr="00946A1A">
          <w:rPr>
            <w:rFonts w:ascii="Times New Roman" w:hAnsi="Times New Roman" w:cs="Times New Roman"/>
            <w:noProof/>
            <w:webHidden/>
          </w:rPr>
          <w:fldChar w:fldCharType="end"/>
        </w:r>
      </w:hyperlink>
    </w:p>
    <w:p w14:paraId="4498C81E" w14:textId="77777777" w:rsidR="00946A1A" w:rsidRPr="00946A1A" w:rsidRDefault="00656496">
      <w:pPr>
        <w:pStyle w:val="TOC1"/>
        <w:rPr>
          <w:rFonts w:ascii="Times New Roman" w:hAnsi="Times New Roman" w:cs="Times New Roman"/>
          <w:noProof/>
          <w:lang w:val="en-GB" w:eastAsia="en-GB"/>
        </w:rPr>
      </w:pPr>
      <w:hyperlink w:anchor="_Toc3377349" w:history="1">
        <w:r w:rsidR="00946A1A" w:rsidRPr="00946A1A">
          <w:rPr>
            <w:rStyle w:val="Hyperlink"/>
            <w:rFonts w:ascii="Times New Roman" w:hAnsi="Times New Roman" w:cs="Times New Roman"/>
            <w:noProof/>
          </w:rPr>
          <w:t>A.8 References to the Appendix</w:t>
        </w:r>
        <w:r w:rsidR="00946A1A" w:rsidRPr="00946A1A">
          <w:rPr>
            <w:rFonts w:ascii="Times New Roman" w:hAnsi="Times New Roman" w:cs="Times New Roman"/>
            <w:noProof/>
            <w:webHidden/>
          </w:rPr>
          <w:tab/>
        </w:r>
        <w:r w:rsidR="00946A1A" w:rsidRPr="00946A1A">
          <w:rPr>
            <w:rFonts w:ascii="Times New Roman" w:hAnsi="Times New Roman" w:cs="Times New Roman"/>
            <w:noProof/>
            <w:webHidden/>
          </w:rPr>
          <w:fldChar w:fldCharType="begin"/>
        </w:r>
        <w:r w:rsidR="00946A1A" w:rsidRPr="00946A1A">
          <w:rPr>
            <w:rFonts w:ascii="Times New Roman" w:hAnsi="Times New Roman" w:cs="Times New Roman"/>
            <w:noProof/>
            <w:webHidden/>
          </w:rPr>
          <w:instrText xml:space="preserve"> PAGEREF _Toc3377349 \h </w:instrText>
        </w:r>
        <w:r w:rsidR="00946A1A" w:rsidRPr="00946A1A">
          <w:rPr>
            <w:rFonts w:ascii="Times New Roman" w:hAnsi="Times New Roman" w:cs="Times New Roman"/>
            <w:noProof/>
            <w:webHidden/>
          </w:rPr>
        </w:r>
        <w:r w:rsidR="00946A1A" w:rsidRPr="00946A1A">
          <w:rPr>
            <w:rFonts w:ascii="Times New Roman" w:hAnsi="Times New Roman" w:cs="Times New Roman"/>
            <w:noProof/>
            <w:webHidden/>
          </w:rPr>
          <w:fldChar w:fldCharType="separate"/>
        </w:r>
        <w:r w:rsidR="00946A1A" w:rsidRPr="00946A1A">
          <w:rPr>
            <w:rFonts w:ascii="Times New Roman" w:hAnsi="Times New Roman" w:cs="Times New Roman"/>
            <w:noProof/>
            <w:webHidden/>
          </w:rPr>
          <w:t>26</w:t>
        </w:r>
        <w:r w:rsidR="00946A1A" w:rsidRPr="00946A1A">
          <w:rPr>
            <w:rFonts w:ascii="Times New Roman" w:hAnsi="Times New Roman" w:cs="Times New Roman"/>
            <w:noProof/>
            <w:webHidden/>
          </w:rPr>
          <w:fldChar w:fldCharType="end"/>
        </w:r>
      </w:hyperlink>
    </w:p>
    <w:p w14:paraId="5C0820BA" w14:textId="01C05FB6" w:rsidR="007737DD" w:rsidRPr="006574F7" w:rsidRDefault="00F03DD9" w:rsidP="00F03DD9">
      <w:pPr>
        <w:widowControl/>
        <w:autoSpaceDE/>
        <w:autoSpaceDN/>
        <w:adjustRightInd/>
        <w:spacing w:after="200" w:line="276" w:lineRule="auto"/>
        <w:rPr>
          <w:rFonts w:ascii="Times New Roman" w:hAnsi="Times New Roman" w:cs="Times New Roman"/>
          <w:b/>
          <w:noProof w:val="0"/>
          <w:sz w:val="24"/>
          <w:szCs w:val="24"/>
          <w:u w:val="single"/>
        </w:rPr>
      </w:pPr>
      <w:r w:rsidRPr="00946A1A">
        <w:rPr>
          <w:rFonts w:ascii="Times New Roman" w:hAnsi="Times New Roman" w:cs="Times New Roman"/>
          <w:b/>
          <w:bCs/>
          <w:sz w:val="22"/>
          <w:szCs w:val="22"/>
        </w:rPr>
        <w:fldChar w:fldCharType="end"/>
      </w:r>
      <w:r w:rsidR="007737DD" w:rsidRPr="006574F7">
        <w:rPr>
          <w:rFonts w:ascii="Times New Roman" w:hAnsi="Times New Roman" w:cs="Times New Roman"/>
          <w:b/>
          <w:noProof w:val="0"/>
          <w:sz w:val="24"/>
          <w:szCs w:val="24"/>
          <w:u w:val="single"/>
        </w:rPr>
        <w:br w:type="page"/>
      </w:r>
    </w:p>
    <w:p w14:paraId="275BD770" w14:textId="61155BBD" w:rsidR="000B48C0" w:rsidRDefault="001211B7" w:rsidP="00E70D1B">
      <w:pPr>
        <w:pStyle w:val="Heading1"/>
      </w:pPr>
      <w:bookmarkStart w:id="0" w:name="_Toc3377328"/>
      <w:r w:rsidRPr="00E70D1B">
        <w:lastRenderedPageBreak/>
        <w:t>A.</w:t>
      </w:r>
      <w:r w:rsidR="0573D6D8" w:rsidRPr="00E70D1B">
        <w:t>1. Introduction</w:t>
      </w:r>
      <w:bookmarkEnd w:id="0"/>
    </w:p>
    <w:p w14:paraId="0D540C72" w14:textId="77777777" w:rsidR="00E70D1B" w:rsidRPr="00E70D1B" w:rsidRDefault="00E70D1B" w:rsidP="00E70D1B"/>
    <w:p w14:paraId="7051083C" w14:textId="50A1916B" w:rsidR="00D07A7B" w:rsidRDefault="00F922D6" w:rsidP="0573D6D8">
      <w:pPr>
        <w:spacing w:line="480" w:lineRule="auto"/>
        <w:ind w:firstLine="720"/>
        <w:rPr>
          <w:rFonts w:ascii="Times New Roman" w:hAnsi="Times New Roman" w:cs="Times New Roman"/>
          <w:noProof w:val="0"/>
          <w:sz w:val="24"/>
          <w:szCs w:val="24"/>
        </w:rPr>
      </w:pPr>
      <w:r>
        <w:rPr>
          <w:rFonts w:ascii="Times New Roman" w:hAnsi="Times New Roman" w:cs="Times New Roman"/>
          <w:noProof w:val="0"/>
          <w:sz w:val="24"/>
          <w:szCs w:val="24"/>
        </w:rPr>
        <w:t>T</w:t>
      </w:r>
      <w:r w:rsidR="0573D6D8" w:rsidRPr="0573D6D8">
        <w:rPr>
          <w:rFonts w:ascii="Times New Roman" w:hAnsi="Times New Roman" w:cs="Times New Roman"/>
          <w:noProof w:val="0"/>
          <w:sz w:val="24"/>
          <w:szCs w:val="24"/>
        </w:rPr>
        <w:t xml:space="preserve">his </w:t>
      </w:r>
      <w:r w:rsidR="00CA6744">
        <w:rPr>
          <w:rFonts w:ascii="Times New Roman" w:hAnsi="Times New Roman" w:cs="Times New Roman"/>
          <w:noProof w:val="0"/>
          <w:sz w:val="24"/>
          <w:szCs w:val="24"/>
        </w:rPr>
        <w:t xml:space="preserve">Supplementary </w:t>
      </w:r>
      <w:r w:rsidR="0573D6D8" w:rsidRPr="0573D6D8">
        <w:rPr>
          <w:rFonts w:ascii="Times New Roman" w:hAnsi="Times New Roman" w:cs="Times New Roman"/>
          <w:noProof w:val="0"/>
          <w:sz w:val="24"/>
          <w:szCs w:val="24"/>
        </w:rPr>
        <w:t>Appendix</w:t>
      </w:r>
      <w:r w:rsidR="002A1110">
        <w:rPr>
          <w:rFonts w:ascii="Times New Roman" w:hAnsi="Times New Roman" w:cs="Times New Roman"/>
          <w:noProof w:val="0"/>
          <w:sz w:val="24"/>
          <w:szCs w:val="24"/>
        </w:rPr>
        <w:t xml:space="preserve"> </w:t>
      </w:r>
      <w:r w:rsidR="0573D6D8" w:rsidRPr="0573D6D8">
        <w:rPr>
          <w:rFonts w:ascii="Times New Roman" w:hAnsi="Times New Roman" w:cs="Times New Roman"/>
          <w:noProof w:val="0"/>
          <w:sz w:val="24"/>
          <w:szCs w:val="24"/>
        </w:rPr>
        <w:t>describe</w:t>
      </w:r>
      <w:r>
        <w:rPr>
          <w:rFonts w:ascii="Times New Roman" w:hAnsi="Times New Roman" w:cs="Times New Roman"/>
          <w:noProof w:val="0"/>
          <w:sz w:val="24"/>
          <w:szCs w:val="24"/>
        </w:rPr>
        <w:t>s</w:t>
      </w:r>
      <w:r w:rsidR="0573D6D8" w:rsidRPr="0573D6D8">
        <w:rPr>
          <w:rFonts w:ascii="Times New Roman" w:hAnsi="Times New Roman" w:cs="Times New Roman"/>
          <w:noProof w:val="0"/>
          <w:sz w:val="24"/>
          <w:szCs w:val="24"/>
        </w:rPr>
        <w:t xml:space="preserve"> additional technical components of the </w:t>
      </w:r>
      <w:r w:rsidR="00593EB1">
        <w:rPr>
          <w:rFonts w:ascii="Times New Roman" w:hAnsi="Times New Roman" w:cs="Times New Roman"/>
          <w:noProof w:val="0"/>
          <w:sz w:val="24"/>
          <w:szCs w:val="24"/>
        </w:rPr>
        <w:t>agent-based network model (ABNM) described in the main body of the manuscrip</w:t>
      </w:r>
      <w:r w:rsidR="00E053FB">
        <w:rPr>
          <w:rFonts w:ascii="Times New Roman" w:hAnsi="Times New Roman" w:cs="Times New Roman"/>
          <w:noProof w:val="0"/>
          <w:sz w:val="24"/>
          <w:szCs w:val="24"/>
        </w:rPr>
        <w:t>t</w:t>
      </w:r>
      <w:r w:rsidR="005370EF">
        <w:rPr>
          <w:rFonts w:ascii="Times New Roman" w:hAnsi="Times New Roman" w:cs="Times New Roman"/>
          <w:noProof w:val="0"/>
          <w:sz w:val="24"/>
          <w:szCs w:val="24"/>
        </w:rPr>
        <w:t>,</w:t>
      </w:r>
      <w:r w:rsidR="00CA6744">
        <w:rPr>
          <w:rFonts w:ascii="Times New Roman" w:hAnsi="Times New Roman" w:cs="Times New Roman"/>
          <w:noProof w:val="0"/>
          <w:sz w:val="24"/>
          <w:szCs w:val="24"/>
        </w:rPr>
        <w:t xml:space="preserve"> </w:t>
      </w:r>
      <w:r w:rsidR="005370EF">
        <w:rPr>
          <w:rFonts w:ascii="Times New Roman" w:hAnsi="Times New Roman" w:cs="Times New Roman"/>
          <w:noProof w:val="0"/>
          <w:sz w:val="24"/>
          <w:szCs w:val="24"/>
        </w:rPr>
        <w:t>particularly</w:t>
      </w:r>
      <w:r w:rsidR="008C753E">
        <w:rPr>
          <w:rFonts w:ascii="Times New Roman" w:hAnsi="Times New Roman" w:cs="Times New Roman"/>
          <w:noProof w:val="0"/>
          <w:sz w:val="24"/>
          <w:szCs w:val="24"/>
        </w:rPr>
        <w:t xml:space="preserve"> focusing on providing a </w:t>
      </w:r>
      <w:r w:rsidR="0573D6D8" w:rsidRPr="0573D6D8">
        <w:rPr>
          <w:rFonts w:ascii="Times New Roman" w:hAnsi="Times New Roman" w:cs="Times New Roman"/>
          <w:noProof w:val="0"/>
          <w:sz w:val="24"/>
          <w:szCs w:val="24"/>
        </w:rPr>
        <w:t>more detailed explanation of the model processes</w:t>
      </w:r>
      <w:r w:rsidR="00306509">
        <w:rPr>
          <w:rFonts w:ascii="Times New Roman" w:hAnsi="Times New Roman" w:cs="Times New Roman"/>
          <w:noProof w:val="0"/>
          <w:sz w:val="24"/>
          <w:szCs w:val="24"/>
        </w:rPr>
        <w:t xml:space="preserve"> </w:t>
      </w:r>
      <w:r w:rsidR="0573D6D8" w:rsidRPr="0573D6D8">
        <w:rPr>
          <w:rFonts w:ascii="Times New Roman" w:hAnsi="Times New Roman" w:cs="Times New Roman"/>
          <w:noProof w:val="0"/>
          <w:sz w:val="24"/>
          <w:szCs w:val="24"/>
        </w:rPr>
        <w:t xml:space="preserve">along with the parameters and data sources. </w:t>
      </w:r>
      <w:r w:rsidR="00BB66DB">
        <w:rPr>
          <w:rFonts w:ascii="Times New Roman" w:hAnsi="Times New Roman" w:cs="Times New Roman"/>
          <w:noProof w:val="0"/>
          <w:sz w:val="24"/>
          <w:szCs w:val="24"/>
        </w:rPr>
        <w:t>C</w:t>
      </w:r>
      <w:r w:rsidR="0573D6D8" w:rsidRPr="0573D6D8">
        <w:rPr>
          <w:rFonts w:ascii="Times New Roman" w:hAnsi="Times New Roman" w:cs="Times New Roman"/>
          <w:noProof w:val="0"/>
          <w:sz w:val="24"/>
          <w:szCs w:val="24"/>
        </w:rPr>
        <w:t xml:space="preserve">omputer programs and supporting documentation are available </w:t>
      </w:r>
      <w:r w:rsidR="0573D6D8" w:rsidRPr="00BA7C39">
        <w:rPr>
          <w:rFonts w:ascii="Times New Roman" w:hAnsi="Times New Roman" w:cs="Times New Roman"/>
          <w:sz w:val="24"/>
          <w:szCs w:val="24"/>
        </w:rPr>
        <w:t>at:</w:t>
      </w:r>
      <w:r w:rsidR="0573D6D8" w:rsidRPr="0573D6D8">
        <w:rPr>
          <w:rFonts w:ascii="Times New Roman" w:hAnsi="Times New Roman" w:cs="Times New Roman"/>
          <w:sz w:val="24"/>
          <w:szCs w:val="24"/>
        </w:rPr>
        <w:t xml:space="preserve"> https://github.com/khanna7/BARS</w:t>
      </w:r>
      <w:r w:rsidR="0573D6D8" w:rsidRPr="0573D6D8">
        <w:rPr>
          <w:rFonts w:ascii="Times New Roman" w:hAnsi="Times New Roman" w:cs="Times New Roman"/>
          <w:noProof w:val="0"/>
          <w:sz w:val="24"/>
          <w:szCs w:val="24"/>
        </w:rPr>
        <w:t xml:space="preserve">. </w:t>
      </w:r>
    </w:p>
    <w:p w14:paraId="1B1C94E5" w14:textId="4694A7B1" w:rsidR="000B48C0" w:rsidRPr="00330C80" w:rsidRDefault="00974638" w:rsidP="0573D6D8">
      <w:pPr>
        <w:spacing w:line="480" w:lineRule="auto"/>
        <w:ind w:firstLine="720"/>
        <w:rPr>
          <w:rFonts w:ascii="Times New Roman" w:hAnsi="Times New Roman" w:cs="Times New Roman"/>
          <w:noProof w:val="0"/>
          <w:sz w:val="24"/>
          <w:szCs w:val="24"/>
        </w:rPr>
      </w:pPr>
      <w:r>
        <w:rPr>
          <w:rFonts w:ascii="Times New Roman" w:hAnsi="Times New Roman" w:cs="Times New Roman"/>
          <w:noProof w:val="0"/>
          <w:sz w:val="24"/>
          <w:szCs w:val="24"/>
        </w:rPr>
        <w:t>The modeling</w:t>
      </w:r>
      <w:r w:rsidR="0573D6D8" w:rsidRPr="0573D6D8">
        <w:rPr>
          <w:rFonts w:ascii="Times New Roman" w:hAnsi="Times New Roman" w:cs="Times New Roman"/>
          <w:noProof w:val="0"/>
          <w:sz w:val="24"/>
          <w:szCs w:val="24"/>
        </w:rPr>
        <w:t xml:space="preserve"> methods </w:t>
      </w:r>
      <w:r w:rsidR="00583BEC">
        <w:rPr>
          <w:rFonts w:ascii="Times New Roman" w:hAnsi="Times New Roman" w:cs="Times New Roman"/>
          <w:noProof w:val="0"/>
          <w:sz w:val="24"/>
          <w:szCs w:val="24"/>
        </w:rPr>
        <w:t xml:space="preserve">utilized </w:t>
      </w:r>
      <w:r w:rsidR="0573D6D8" w:rsidRPr="0573D6D8">
        <w:rPr>
          <w:rFonts w:ascii="Times New Roman" w:hAnsi="Times New Roman" w:cs="Times New Roman"/>
          <w:noProof w:val="0"/>
          <w:sz w:val="24"/>
          <w:szCs w:val="24"/>
        </w:rPr>
        <w:t xml:space="preserve">a structure similar to prior </w:t>
      </w:r>
      <w:r w:rsidR="00957FCE">
        <w:rPr>
          <w:rFonts w:ascii="Times New Roman" w:hAnsi="Times New Roman" w:cs="Times New Roman"/>
          <w:noProof w:val="0"/>
          <w:sz w:val="24"/>
          <w:szCs w:val="24"/>
        </w:rPr>
        <w:t>ABNMs</w:t>
      </w:r>
      <w:r w:rsidR="0573D6D8" w:rsidRPr="0573D6D8">
        <w:rPr>
          <w:rFonts w:ascii="Times New Roman" w:hAnsi="Times New Roman" w:cs="Times New Roman"/>
          <w:noProof w:val="0"/>
          <w:sz w:val="24"/>
          <w:szCs w:val="24"/>
        </w:rPr>
        <w:t xml:space="preserve"> of HIV transmission</w:t>
      </w:r>
      <w:r w:rsidR="004C5FC5">
        <w:rPr>
          <w:rFonts w:ascii="Times New Roman" w:hAnsi="Times New Roman" w:cs="Times New Roman"/>
          <w:noProof w:val="0"/>
          <w:sz w:val="24"/>
          <w:szCs w:val="24"/>
        </w:rPr>
        <w:t xml:space="preserve"> </w:t>
      </w:r>
      <w:r w:rsidR="00F20417">
        <w:rPr>
          <w:rFonts w:ascii="Times New Roman" w:hAnsi="Times New Roman" w:cs="Times New Roman"/>
          <w:noProof w:val="0"/>
          <w:sz w:val="24"/>
          <w:szCs w:val="24"/>
        </w:rPr>
        <w:fldChar w:fldCharType="begin" w:fldLock="1"/>
      </w:r>
      <w:r w:rsidR="00AA4409">
        <w:rPr>
          <w:rFonts w:ascii="Times New Roman" w:hAnsi="Times New Roman" w:cs="Times New Roman"/>
          <w:noProof w:val="0"/>
          <w:sz w:val="24"/>
          <w:szCs w:val="24"/>
        </w:rPr>
        <w:instrText>ADDIN CSL_CITATION {"citationItems":[{"id":"ITEM-1","itemData":{"DOI":"10.1007/s10461-013-0646-2","ISSN":"1573-3254","PMID":"24165985","abstract":"Our objective here is to demonstrate the population-level effects of individual-level post-diagnosis behavior change (PDBC) in Southern Californian men who have sex with men (MSM), recently diagnosed with HIV. While PDBC has been empirically documented, the population-level effects of such behavior change are largely unknown. To examine these effects, we develop network models derived from the exponential random graph model family. We parameterize our models using behavioral data from the Southern California Acute Infection and Early Disease Research Program, and biological data from a number of published sources. Our models incorporate vital demographic processes, biology, treatment and behavior. We find that without PDBC, HIV prevalence among MSM would be significantly higher at any reasonable frequency of testing. We also demonstrate that higher levels of HIV risk behavior among HIV-positive men relative to HIV-negative men observed in some cross-sectional studies are consistent with individual-level PDBC.","author":[{"dropping-particle":"","family":"Khanna","given":"Aditya S","non-dropping-particle":"","parse-names":false,"suffix":""},{"dropping-particle":"","family":"Goodreau","given":"S.M.","non-dropping-particle":"","parse-names":false,"suffix":""},{"dropping-particle":"","family":"Gorbach","given":"Pamina M","non-dropping-particle":"","parse-names":false,"suffix":""},{"dropping-particle":"","family":"Daar","given":"Eric","non-dropping-particle":"","parse-names":false,"suffix":""},{"dropping-particle":"","family":"Little","given":"Susan J","non-dropping-particle":"","parse-names":false,"suffix":""}],"container-title":"AIDS and behavior","id":"ITEM-1","issue":"8","issued":{"date-parts":[["2014","8","29"]]},"page":"1523-31","title":"Modeling the Impact of Post-Diagnosis Behavior Change on HIV Prevalence in Southern California Men Who Have Sex with Men (MSM).","type":"article-journal","volume":"18"},"uris":["http://www.mendeley.com/documents/?uuid=41309773-5be7-499d-8688-a2db0f468d5a"]},{"id":"ITEM-2","itemData":{"DOI":"10.1016/j.annepidem.2014.09.012","ISSN":"10472797","author":[{"dropping-particle":"","family":"Khanna","given":"Aditya","non-dropping-particle":"","parse-names":false,"suffix":""},{"dropping-particle":"","family":"Goodreau","given":"Steven M.","non-dropping-particle":"","parse-names":false,"suffix":""},{"dropping-particle":"","family":"Wohlfeiler","given":"Dan","non-dropping-particle":"","parse-names":false,"suffix":""},{"dropping-particle":"","family":"Daar","given":"Eric","non-dropping-particle":"","parse-names":false,"suffix":""},{"dropping-particle":"","family":"Little","given":"Susan","non-dropping-particle":"","parse-names":false,"suffix":""},{"dropping-particle":"","family":"Gorbach","given":"Pamina M.","non-dropping-particle":"","parse-names":false,"suffix":""}],"container-title":"Annals of Epidemiology","id":"ITEM-2","issued":{"date-parts":[["2014","10"]]},"title":"Individualized diagnosis interventions can add significant effectiveness in reducing human immunodeficiency virus incidence among men who have sex with men: insights from Southern California","type":"article-journal"},"uris":["http://www.mendeley.com/documents/?uuid=feaec887-c7ba-4db2-ac04-ebdd7c9428a9"]},{"id":"ITEM-3","itemData":{"DOI":"10.1371/journal.pone.0050522","abstract":"In this work, we estimate the proportions of transmissions occurring in main vs. casual partnerships, and by the sexual role, infection stage, and testing and treatment history of the infected partner, for men who have sex with men (MSM) in the US and Peru. We use dynamic, stochastic models based in exponential random graph models (ERGMs), obtaining inputs from multiple large-scale MSM surveys. Parallel main partnership and casual sexual networks are simulated. Each man is characterized by age, race, circumcision status, sexual role behavior, and propensity for unprotected anal intercourse (UAI); his history is modeled from entry into the adult population, with potential transitions including HIV infection, detection, treatment, AIDS diagnosis, and death. We implemented two model variants differing in assumptions about acute infectiousness, and assessed sensitivity to other key inputs. Our two models suggested that only 4–5% (Model 1) or 22–29% (Model 2) of HIV transmission results from contacts with acute-stage partners; the plurality (80–81% and 49%, respectively) stem from chronic-stage partners and the remainder (14–16% and 27–35%, respectively) from AIDS-stage partners. Similar proportions of infections stem from partners whose infection is undiagnosed (24–31%), diagnosed but untreated (36–46%), and currently being treated (30–36%). Roughly one-third of infections (32–39%) occur within main partnerships. Results by country were qualitatively similar, despite key behavioral differences; one exception was that transmission from the receptive to insertive partner appears more important in Peru (34%) than the US (21%). The broad balance in transmission contexts suggests that education about risk, careful assessment, pre-exposure prophylaxis, more frequent testing, earlier treatment, and risk-reduction, disclosure, and adherence counseling may all contribute substantially to reducing the HIV incidence among MSM in the US and Peru.","author":[{"dropping-particle":"","family":"Goodreau","given":"Steven M","non-dropping-particle":"","parse-names":false,"suffix":""},{"dropping-particle":"","family":"Carnegie","given":"Nicole B","non-dropping-particle":"","parse-names":false,"suffix":""},{"dropping-particle":"","family":"Vittinghoff","given":"Eric","non-dropping-particle":"","parse-names":false,"suffix":""},{"dropping-particle":"","family":"Lama","given":"Javier R","non-dropping-particle":"","parse-names":false,"suffix":""},{"dropping-particle":"","family":"Sanchez","given":"Jorge","non-dropping-particle":"","parse-names":false,"suffix":""},{"dropping-particle":"","family":"Grinsztejn","given":"Beatriz","non-dropping-particle":"","parse-names":false,"suffix":""},{"dropping-particle":"","family":"Koblin","given":"Beryl A","non-dropping-particle":"","parse-names":false,"suffix":""},{"dropping-particle":"","family":"Mayer","given":"Kenneth H","non-dropping-particle":"","parse-names":false,"suffix":""},{"dropping-particle":"","family":"Buchbinder","given":"Susan P","non-dropping-particle":"","parse-names":false,"suffix":""}],"container-title":"PLoS ONE","id":"ITEM-3","issue":"11","issued":{"date-parts":[["2012"]]},"page":"e50522","publisher":"Public Library of Science","title":"What Drives the US and Peruvian HIV Epidemics in Men Who Have Sex with Men (MSM)?","type":"article-journal","volume":"7"},"uris":["http://www.mendeley.com/documents/?uuid=c5d9d417-1971-494a-8377-d42abf8631aa"]},{"id":"ITEM-4","itemData":{"DOI":"10.1371/journal.pone.0134271","ISSN":"19326203","PMID":"26262889","abstract":"INTRODUCTION: Prevention of mother-to-child HIV transmission (PMTCT) strategies include combined short-course antiretrovirals during pregnancy (Option A), triple-drug antiretroviral treament (ART) during pregnancy and breastfeeding (Option B), or lifelong ART (Option B+). The WHO also recommends ART for HIV treatment and prevention of sexual transmission of HIV. The impact of PMTCT strategies on prevention of sexual HIV transmission of HIV is not known. We estimated the population-level impact of PMTCT interventions on heterosexual HIV transmission in southwestern Uganda and KwaZulu-Natal, South Africa, two regions with different HIV prevalence and fertility rates.\\n\\nMATERIALS AND METHODS: We constructed and validated dynamic, stochastic, network-based HIV transmission models for each region. PMTCT Options A, B, and B+ were simulated over ten years under three scenarios: 1) current ART and PMTCT coverage, 2) current ART and high PMTCT coverage, and 3) high ART and PMTCT coverage. We compared adult HIV incidence after ten years of each intervention to Option A (and current ART) at current coverage.\\n\\nRESULTS: At current coverage, Options B and B+ reduced heterosexual HIV incidence by about 5% and 15%, respectively, in both countries. With current ART and high PMTCT coverage, Option B+ reduced HIV incidence by 35% in Uganda and 19% in South Africa, while Option B had smaller, but meaningful, reductions. The greatest reductions in HIV incidence were achieved with high ART and PMTCT coverage. In this scenario, all PMTCT strategies yielded similar results.\\n\\nDISCUSSION: Implementation of Options B/B+ reduces adult HIV incidence, with greater effect (relative to Option A at current levels) in Uganda than South Africa. These results are likely driven by Uganda's higher fertility rates.","author":[{"dropping-particle":"","family":"Khanna","given":"Aditya S.","non-dropping-particle":"","parse-names":false,"suffix":""},{"dropping-particle":"","family":"Roberts","given":"Sarah T.","non-dropping-particle":"","parse-names":false,"suffix":""},{"dropping-particle":"","family":"Cassels","given":"Susan","non-dropping-particle":"","parse-names":false,"suffix":""},{"dropping-particle":"","family":"Ying","given":"Roger","non-dropping-particle":"","parse-names":false,"suffix":""},{"dropping-particle":"","family":"John-Stewart","given":"Grace","non-dropping-particle":"","parse-names":false,"suffix":""},{"dropping-particle":"","family":"Goodreau","given":"Steven M.","non-dropping-particle":"","parse-names":false,"suffix":""},{"dropping-particle":"","family":"Baeten","given":"Jared M.","non-dropping-particle":"","parse-names":false,"suffix":""},{"dropping-particle":"","family":"Murnane","given":"Pamela M.","non-dropping-particle":"","parse-names":false,"suffix":""},{"dropping-particle":"","family":"Celum","given":"Connie","non-dropping-particle":"","parse-names":false,"suffix":""},{"dropping-particle":"V.","family":"Barnabas","given":"Ruanne","non-dropping-particle":"","parse-names":false,"suffix":""},{"dropping-particle":"","family":"Moodley","given":"Dhayendre","non-dropping-particle":"","parse-names":false,"suffix":""}],"container-title":"PLoS ONE","id":"ITEM-4","issue":"8","issued":{"date-parts":[["2015"]]},"page":"e0134271","title":"Estimating PMTCT's impact on heterosexual HIV transmission: A mathematical modeling analysis","type":"article-journal","volume":"10"},"uris":["http://www.mendeley.com/documents/?uuid=4216a1f6-a619-4251-ba2d-8b0d7a10cff1"]},{"id":"ITEM-5","itemData":{"DOI":"10.7448/IAS.19.1.20864","ISSN":"1758-2652","author":[{"dropping-particle":"","family":"Roberts","given":"Sarah T","non-dropping-particle":"","parse-names":false,"suffix":""},{"dropping-particle":"","family":"Khanna","given":"Aditya S","non-dropping-particle":"","parse-names":false,"suffix":""},{"dropping-particle":"V","family":"Barnabas","given":"Ruanne","non-dropping-particle":"","parse-names":false,"suffix":""},{"dropping-particle":"","family":"Goodreau","given":"Steven M","non-dropping-particle":"","parse-names":false,"suffix":""},{"dropping-particle":"","family":"Baeten","given":"Jared M","non-dropping-particle":"","parse-names":false,"suffix":""},{"dropping-particle":"","family":"Celum","given":"Connie","non-dropping-particle":"","parse-names":false,"suffix":""},{"dropping-particle":"","family":"Cassels","given":"Susan","non-dropping-particle":"","parse-names":false,"suffix":""}],"container-title":"Journal of the International AIDS Society","id":"ITEM-5","issue":"1","issued":{"date-parts":[["2016","5","11"]]},"title":"Estimating the impact of universal antiretroviral therapy for HIV serodiscordant couples through home HIV testing: insights from mathematical models","type":"article-journal","volume":"19"},"uris":["http://www.mendeley.com/documents/?uuid=3213d7fa-3e68-4bcd-a312-b5d8bdd77bd4"]}],"mendeley":{"formattedCitation":"[1–5]","plainTextFormattedCitation":"[1–5]","previouslyFormattedCitation":"[1–5]"},"properties":{"noteIndex":0},"schema":"https://github.com/citation-style-language/schema/raw/master/csl-citation.json"}</w:instrText>
      </w:r>
      <w:r w:rsidR="00F20417">
        <w:rPr>
          <w:rFonts w:ascii="Times New Roman" w:hAnsi="Times New Roman" w:cs="Times New Roman"/>
          <w:noProof w:val="0"/>
          <w:sz w:val="24"/>
          <w:szCs w:val="24"/>
        </w:rPr>
        <w:fldChar w:fldCharType="separate"/>
      </w:r>
      <w:r w:rsidR="00AA4409" w:rsidRPr="00AA4409">
        <w:rPr>
          <w:rFonts w:ascii="Times New Roman" w:hAnsi="Times New Roman" w:cs="Times New Roman"/>
          <w:sz w:val="24"/>
          <w:szCs w:val="24"/>
        </w:rPr>
        <w:t>[1–5]</w:t>
      </w:r>
      <w:r w:rsidR="00F20417">
        <w:rPr>
          <w:rFonts w:ascii="Times New Roman" w:hAnsi="Times New Roman" w:cs="Times New Roman"/>
          <w:noProof w:val="0"/>
          <w:sz w:val="24"/>
          <w:szCs w:val="24"/>
        </w:rPr>
        <w:fldChar w:fldCharType="end"/>
      </w:r>
      <w:r w:rsidR="00624A75">
        <w:rPr>
          <w:rFonts w:ascii="Times New Roman" w:hAnsi="Times New Roman" w:cs="Times New Roman"/>
          <w:noProof w:val="0"/>
          <w:sz w:val="24"/>
          <w:szCs w:val="24"/>
        </w:rPr>
        <w:t xml:space="preserve"> following the</w:t>
      </w:r>
      <w:r w:rsidR="00BB66DB">
        <w:rPr>
          <w:rFonts w:ascii="Times New Roman" w:hAnsi="Times New Roman" w:cs="Times New Roman"/>
          <w:noProof w:val="0"/>
          <w:sz w:val="24"/>
          <w:szCs w:val="24"/>
        </w:rPr>
        <w:t xml:space="preserve"> following steps</w:t>
      </w:r>
      <w:r w:rsidR="008770ED">
        <w:rPr>
          <w:rFonts w:ascii="Times New Roman" w:hAnsi="Times New Roman" w:cs="Times New Roman"/>
          <w:noProof w:val="0"/>
          <w:sz w:val="24"/>
          <w:szCs w:val="24"/>
        </w:rPr>
        <w:t>:</w:t>
      </w:r>
      <w:r w:rsidR="00BB66DB">
        <w:rPr>
          <w:rFonts w:ascii="Times New Roman" w:hAnsi="Times New Roman" w:cs="Times New Roman"/>
          <w:noProof w:val="0"/>
          <w:sz w:val="24"/>
          <w:szCs w:val="24"/>
        </w:rPr>
        <w:t xml:space="preserve"> </w:t>
      </w:r>
    </w:p>
    <w:p w14:paraId="3288D70E" w14:textId="7E4912B0" w:rsidR="000B48C0" w:rsidRPr="00330C80" w:rsidRDefault="0573D6D8" w:rsidP="00305C9F">
      <w:pPr>
        <w:pStyle w:val="ListParagraph"/>
        <w:numPr>
          <w:ilvl w:val="0"/>
          <w:numId w:val="9"/>
        </w:numPr>
        <w:spacing w:line="480" w:lineRule="auto"/>
        <w:rPr>
          <w:rFonts w:ascii="Times New Roman" w:hAnsi="Times New Roman" w:cs="Times New Roman"/>
          <w:noProof w:val="0"/>
          <w:sz w:val="24"/>
          <w:szCs w:val="24"/>
        </w:rPr>
      </w:pPr>
      <w:r w:rsidRPr="0573D6D8">
        <w:rPr>
          <w:rFonts w:ascii="Times New Roman" w:hAnsi="Times New Roman" w:cs="Times New Roman"/>
          <w:noProof w:val="0"/>
          <w:sz w:val="24"/>
          <w:szCs w:val="24"/>
        </w:rPr>
        <w:t xml:space="preserve">An initial population was generated, as described in Section </w:t>
      </w:r>
      <w:r w:rsidR="001877FF">
        <w:rPr>
          <w:rFonts w:ascii="Times New Roman" w:hAnsi="Times New Roman" w:cs="Times New Roman"/>
          <w:noProof w:val="0"/>
          <w:sz w:val="24"/>
          <w:szCs w:val="24"/>
        </w:rPr>
        <w:t>A.</w:t>
      </w:r>
      <w:r w:rsidRPr="0573D6D8">
        <w:rPr>
          <w:rFonts w:ascii="Times New Roman" w:hAnsi="Times New Roman" w:cs="Times New Roman"/>
          <w:noProof w:val="0"/>
          <w:sz w:val="24"/>
          <w:szCs w:val="24"/>
        </w:rPr>
        <w:t>2 below.</w:t>
      </w:r>
    </w:p>
    <w:p w14:paraId="46AF00F6" w14:textId="58185B19" w:rsidR="000B48C0" w:rsidRPr="00330C80" w:rsidRDefault="0573D6D8" w:rsidP="00305C9F">
      <w:pPr>
        <w:pStyle w:val="ListParagraph"/>
        <w:numPr>
          <w:ilvl w:val="0"/>
          <w:numId w:val="9"/>
        </w:numPr>
        <w:spacing w:line="480" w:lineRule="auto"/>
        <w:rPr>
          <w:rFonts w:ascii="Times New Roman" w:hAnsi="Times New Roman" w:cs="Times New Roman"/>
          <w:noProof w:val="0"/>
          <w:sz w:val="24"/>
          <w:szCs w:val="24"/>
        </w:rPr>
      </w:pPr>
      <w:r w:rsidRPr="0573D6D8">
        <w:rPr>
          <w:rFonts w:ascii="Times New Roman" w:hAnsi="Times New Roman" w:cs="Times New Roman"/>
          <w:noProof w:val="0"/>
          <w:sz w:val="24"/>
          <w:szCs w:val="24"/>
        </w:rPr>
        <w:t>Main and casual partnership networks were simulated on this initial population. Th</w:t>
      </w:r>
      <w:r w:rsidR="00547CEC">
        <w:rPr>
          <w:rFonts w:ascii="Times New Roman" w:hAnsi="Times New Roman" w:cs="Times New Roman"/>
          <w:noProof w:val="0"/>
          <w:sz w:val="24"/>
          <w:szCs w:val="24"/>
        </w:rPr>
        <w:t xml:space="preserve">e modeling process is </w:t>
      </w:r>
      <w:r w:rsidRPr="0573D6D8">
        <w:rPr>
          <w:rFonts w:ascii="Times New Roman" w:hAnsi="Times New Roman" w:cs="Times New Roman"/>
          <w:noProof w:val="0"/>
          <w:sz w:val="24"/>
          <w:szCs w:val="24"/>
        </w:rPr>
        <w:t xml:space="preserve">described in Section </w:t>
      </w:r>
      <w:r w:rsidR="001877FF">
        <w:rPr>
          <w:rFonts w:ascii="Times New Roman" w:hAnsi="Times New Roman" w:cs="Times New Roman"/>
          <w:noProof w:val="0"/>
          <w:sz w:val="24"/>
          <w:szCs w:val="24"/>
        </w:rPr>
        <w:t>A.</w:t>
      </w:r>
      <w:r w:rsidRPr="0573D6D8">
        <w:rPr>
          <w:rFonts w:ascii="Times New Roman" w:hAnsi="Times New Roman" w:cs="Times New Roman"/>
          <w:noProof w:val="0"/>
          <w:sz w:val="24"/>
          <w:szCs w:val="24"/>
        </w:rPr>
        <w:t>3.</w:t>
      </w:r>
    </w:p>
    <w:p w14:paraId="42C4C525" w14:textId="673F40BC" w:rsidR="00713BE9" w:rsidRDefault="0573D6D8" w:rsidP="00305C9F">
      <w:pPr>
        <w:pStyle w:val="ListParagraph"/>
        <w:numPr>
          <w:ilvl w:val="0"/>
          <w:numId w:val="9"/>
        </w:numPr>
        <w:spacing w:line="480" w:lineRule="auto"/>
        <w:rPr>
          <w:rFonts w:ascii="Times New Roman" w:hAnsi="Times New Roman" w:cs="Times New Roman"/>
          <w:noProof w:val="0"/>
          <w:sz w:val="24"/>
          <w:szCs w:val="24"/>
        </w:rPr>
      </w:pPr>
      <w:r w:rsidRPr="0573D6D8">
        <w:rPr>
          <w:rFonts w:ascii="Times New Roman" w:hAnsi="Times New Roman" w:cs="Times New Roman"/>
          <w:noProof w:val="0"/>
          <w:sz w:val="24"/>
          <w:szCs w:val="24"/>
        </w:rPr>
        <w:t xml:space="preserve">Baseline HIV epidemics, </w:t>
      </w:r>
      <w:r w:rsidR="00D87FCB">
        <w:rPr>
          <w:rFonts w:ascii="Times New Roman" w:hAnsi="Times New Roman" w:cs="Times New Roman"/>
          <w:noProof w:val="0"/>
          <w:sz w:val="24"/>
          <w:szCs w:val="24"/>
        </w:rPr>
        <w:t xml:space="preserve">resulting from HIV infections </w:t>
      </w:r>
      <w:r w:rsidRPr="0573D6D8">
        <w:rPr>
          <w:rFonts w:ascii="Times New Roman" w:hAnsi="Times New Roman" w:cs="Times New Roman"/>
          <w:noProof w:val="0"/>
          <w:sz w:val="24"/>
          <w:szCs w:val="24"/>
        </w:rPr>
        <w:t xml:space="preserve">transmitted through </w:t>
      </w:r>
      <w:r w:rsidR="00997973">
        <w:rPr>
          <w:rFonts w:ascii="Times New Roman" w:hAnsi="Times New Roman" w:cs="Times New Roman"/>
          <w:noProof w:val="0"/>
          <w:sz w:val="24"/>
          <w:szCs w:val="24"/>
        </w:rPr>
        <w:t xml:space="preserve">networks of </w:t>
      </w:r>
      <w:r w:rsidRPr="0573D6D8">
        <w:rPr>
          <w:rFonts w:ascii="Times New Roman" w:hAnsi="Times New Roman" w:cs="Times New Roman"/>
          <w:noProof w:val="0"/>
          <w:sz w:val="24"/>
          <w:szCs w:val="24"/>
        </w:rPr>
        <w:t xml:space="preserve">main and casual </w:t>
      </w:r>
      <w:r w:rsidR="00997973">
        <w:rPr>
          <w:rFonts w:ascii="Times New Roman" w:hAnsi="Times New Roman" w:cs="Times New Roman"/>
          <w:noProof w:val="0"/>
          <w:sz w:val="24"/>
          <w:szCs w:val="24"/>
        </w:rPr>
        <w:t>partnerships</w:t>
      </w:r>
      <w:r w:rsidRPr="0573D6D8">
        <w:rPr>
          <w:rFonts w:ascii="Times New Roman" w:hAnsi="Times New Roman" w:cs="Times New Roman"/>
          <w:noProof w:val="0"/>
          <w:sz w:val="24"/>
          <w:szCs w:val="24"/>
        </w:rPr>
        <w:t xml:space="preserve">, were simulated to capture features of the epidemic among </w:t>
      </w:r>
      <w:r w:rsidR="00E053FB">
        <w:rPr>
          <w:rFonts w:ascii="Times New Roman" w:hAnsi="Times New Roman" w:cs="Times New Roman"/>
          <w:noProof w:val="0"/>
          <w:sz w:val="24"/>
          <w:szCs w:val="24"/>
        </w:rPr>
        <w:t>young (18-34 years) black men who have with men (</w:t>
      </w:r>
      <w:r w:rsidRPr="0573D6D8">
        <w:rPr>
          <w:rFonts w:ascii="Times New Roman" w:hAnsi="Times New Roman" w:cs="Times New Roman"/>
          <w:noProof w:val="0"/>
          <w:sz w:val="24"/>
          <w:szCs w:val="24"/>
        </w:rPr>
        <w:t>YBMSM</w:t>
      </w:r>
      <w:r w:rsidR="00E053FB">
        <w:rPr>
          <w:rFonts w:ascii="Times New Roman" w:hAnsi="Times New Roman" w:cs="Times New Roman"/>
          <w:noProof w:val="0"/>
          <w:sz w:val="24"/>
          <w:szCs w:val="24"/>
        </w:rPr>
        <w:t>)</w:t>
      </w:r>
      <w:r w:rsidRPr="0573D6D8">
        <w:rPr>
          <w:rFonts w:ascii="Times New Roman" w:hAnsi="Times New Roman" w:cs="Times New Roman"/>
          <w:noProof w:val="0"/>
          <w:sz w:val="24"/>
          <w:szCs w:val="24"/>
        </w:rPr>
        <w:t xml:space="preserve">. </w:t>
      </w:r>
      <w:r w:rsidR="00075952">
        <w:rPr>
          <w:rFonts w:ascii="Times New Roman" w:hAnsi="Times New Roman" w:cs="Times New Roman"/>
          <w:noProof w:val="0"/>
          <w:sz w:val="24"/>
          <w:szCs w:val="24"/>
        </w:rPr>
        <w:t>T</w:t>
      </w:r>
      <w:r w:rsidRPr="0573D6D8">
        <w:rPr>
          <w:rFonts w:ascii="Times New Roman" w:hAnsi="Times New Roman" w:cs="Times New Roman"/>
          <w:noProof w:val="0"/>
          <w:sz w:val="24"/>
          <w:szCs w:val="24"/>
        </w:rPr>
        <w:t xml:space="preserve">he steps </w:t>
      </w:r>
      <w:r w:rsidR="000550FA">
        <w:rPr>
          <w:rFonts w:ascii="Times New Roman" w:hAnsi="Times New Roman" w:cs="Times New Roman"/>
          <w:noProof w:val="0"/>
          <w:sz w:val="24"/>
          <w:szCs w:val="24"/>
        </w:rPr>
        <w:t>mentioned</w:t>
      </w:r>
      <w:r w:rsidRPr="0573D6D8">
        <w:rPr>
          <w:rFonts w:ascii="Times New Roman" w:hAnsi="Times New Roman" w:cs="Times New Roman"/>
          <w:noProof w:val="0"/>
          <w:sz w:val="24"/>
          <w:szCs w:val="24"/>
        </w:rPr>
        <w:t xml:space="preserve"> in the main body of the paper</w:t>
      </w:r>
      <w:r w:rsidR="009138CB">
        <w:rPr>
          <w:rFonts w:ascii="Times New Roman" w:hAnsi="Times New Roman" w:cs="Times New Roman"/>
          <w:noProof w:val="0"/>
          <w:sz w:val="24"/>
          <w:szCs w:val="24"/>
        </w:rPr>
        <w:t xml:space="preserve"> </w:t>
      </w:r>
      <w:r w:rsidR="001057ED">
        <w:rPr>
          <w:rFonts w:ascii="Times New Roman" w:hAnsi="Times New Roman" w:cs="Times New Roman"/>
          <w:noProof w:val="0"/>
          <w:sz w:val="24"/>
          <w:szCs w:val="24"/>
        </w:rPr>
        <w:t>to model the HIV epidemics</w:t>
      </w:r>
      <w:r w:rsidR="009138CB">
        <w:rPr>
          <w:rFonts w:ascii="Times New Roman" w:hAnsi="Times New Roman" w:cs="Times New Roman"/>
          <w:noProof w:val="0"/>
          <w:sz w:val="24"/>
          <w:szCs w:val="24"/>
        </w:rPr>
        <w:t xml:space="preserve"> </w:t>
      </w:r>
      <w:r w:rsidRPr="0573D6D8">
        <w:rPr>
          <w:rFonts w:ascii="Times New Roman" w:hAnsi="Times New Roman" w:cs="Times New Roman"/>
          <w:noProof w:val="0"/>
          <w:sz w:val="24"/>
          <w:szCs w:val="24"/>
        </w:rPr>
        <w:t xml:space="preserve">are </w:t>
      </w:r>
      <w:r w:rsidR="006F283F">
        <w:rPr>
          <w:rFonts w:ascii="Times New Roman" w:hAnsi="Times New Roman" w:cs="Times New Roman"/>
          <w:noProof w:val="0"/>
          <w:sz w:val="24"/>
          <w:szCs w:val="24"/>
        </w:rPr>
        <w:t xml:space="preserve">described </w:t>
      </w:r>
      <w:r w:rsidRPr="0573D6D8">
        <w:rPr>
          <w:rFonts w:ascii="Times New Roman" w:hAnsi="Times New Roman" w:cs="Times New Roman"/>
          <w:noProof w:val="0"/>
          <w:sz w:val="24"/>
          <w:szCs w:val="24"/>
        </w:rPr>
        <w:t xml:space="preserve">in Section </w:t>
      </w:r>
      <w:r w:rsidR="001F1262">
        <w:rPr>
          <w:rFonts w:ascii="Times New Roman" w:hAnsi="Times New Roman" w:cs="Times New Roman"/>
          <w:noProof w:val="0"/>
          <w:sz w:val="24"/>
          <w:szCs w:val="24"/>
        </w:rPr>
        <w:t>A.</w:t>
      </w:r>
      <w:r w:rsidRPr="0573D6D8">
        <w:rPr>
          <w:rFonts w:ascii="Times New Roman" w:hAnsi="Times New Roman" w:cs="Times New Roman"/>
          <w:noProof w:val="0"/>
          <w:sz w:val="24"/>
          <w:szCs w:val="24"/>
        </w:rPr>
        <w:t>4.</w:t>
      </w:r>
    </w:p>
    <w:p w14:paraId="6255E098" w14:textId="6B1D82CB" w:rsidR="00E12176" w:rsidRDefault="000E37C2" w:rsidP="00305C9F">
      <w:pPr>
        <w:pStyle w:val="ListParagraph"/>
        <w:numPr>
          <w:ilvl w:val="0"/>
          <w:numId w:val="9"/>
        </w:numPr>
        <w:spacing w:line="480" w:lineRule="auto"/>
        <w:rPr>
          <w:rFonts w:ascii="Times New Roman" w:hAnsi="Times New Roman" w:cs="Times New Roman"/>
          <w:noProof w:val="0"/>
          <w:sz w:val="24"/>
          <w:szCs w:val="24"/>
        </w:rPr>
      </w:pPr>
      <w:r>
        <w:rPr>
          <w:rFonts w:ascii="Times New Roman" w:hAnsi="Times New Roman" w:cs="Times New Roman"/>
          <w:noProof w:val="0"/>
          <w:sz w:val="24"/>
          <w:szCs w:val="24"/>
        </w:rPr>
        <w:t>P</w:t>
      </w:r>
      <w:r w:rsidR="0573D6D8" w:rsidRPr="0573D6D8">
        <w:rPr>
          <w:rFonts w:ascii="Times New Roman" w:hAnsi="Times New Roman" w:cs="Times New Roman"/>
          <w:noProof w:val="0"/>
          <w:sz w:val="24"/>
          <w:szCs w:val="24"/>
        </w:rPr>
        <w:t xml:space="preserve">arameters for which </w:t>
      </w:r>
      <w:r w:rsidR="003E7836">
        <w:rPr>
          <w:rFonts w:ascii="Times New Roman" w:hAnsi="Times New Roman" w:cs="Times New Roman"/>
          <w:noProof w:val="0"/>
          <w:sz w:val="24"/>
          <w:szCs w:val="24"/>
        </w:rPr>
        <w:t>the</w:t>
      </w:r>
      <w:r w:rsidR="0573D6D8" w:rsidRPr="0573D6D8">
        <w:rPr>
          <w:rFonts w:ascii="Times New Roman" w:hAnsi="Times New Roman" w:cs="Times New Roman"/>
          <w:noProof w:val="0"/>
          <w:sz w:val="24"/>
          <w:szCs w:val="24"/>
        </w:rPr>
        <w:t xml:space="preserve"> available estimates are variable or might be biased</w:t>
      </w:r>
      <w:r w:rsidR="003E7836">
        <w:rPr>
          <w:rFonts w:ascii="Times New Roman" w:hAnsi="Times New Roman" w:cs="Times New Roman"/>
          <w:noProof w:val="0"/>
          <w:sz w:val="24"/>
          <w:szCs w:val="24"/>
        </w:rPr>
        <w:t xml:space="preserve"> a</w:t>
      </w:r>
      <w:r w:rsidR="005D4380">
        <w:rPr>
          <w:rFonts w:ascii="Times New Roman" w:hAnsi="Times New Roman" w:cs="Times New Roman"/>
          <w:noProof w:val="0"/>
          <w:sz w:val="24"/>
          <w:szCs w:val="24"/>
        </w:rPr>
        <w:t>nd</w:t>
      </w:r>
      <w:r w:rsidR="003E7836">
        <w:rPr>
          <w:rFonts w:ascii="Times New Roman" w:hAnsi="Times New Roman" w:cs="Times New Roman"/>
          <w:noProof w:val="0"/>
          <w:sz w:val="24"/>
          <w:szCs w:val="24"/>
        </w:rPr>
        <w:t xml:space="preserve"> </w:t>
      </w:r>
      <w:r w:rsidR="0573D6D8" w:rsidRPr="0573D6D8">
        <w:rPr>
          <w:rFonts w:ascii="Times New Roman" w:hAnsi="Times New Roman" w:cs="Times New Roman"/>
          <w:noProof w:val="0"/>
          <w:sz w:val="24"/>
          <w:szCs w:val="24"/>
        </w:rPr>
        <w:t>sensitivity analyses that were conducted to produce reasonable estimates</w:t>
      </w:r>
      <w:r w:rsidR="00612401">
        <w:rPr>
          <w:rFonts w:ascii="Times New Roman" w:hAnsi="Times New Roman" w:cs="Times New Roman"/>
          <w:noProof w:val="0"/>
          <w:sz w:val="24"/>
          <w:szCs w:val="24"/>
        </w:rPr>
        <w:t xml:space="preserve"> are described in Section A.5</w:t>
      </w:r>
      <w:r w:rsidR="0573D6D8" w:rsidRPr="0573D6D8">
        <w:rPr>
          <w:rFonts w:ascii="Times New Roman" w:hAnsi="Times New Roman" w:cs="Times New Roman"/>
          <w:noProof w:val="0"/>
          <w:sz w:val="24"/>
          <w:szCs w:val="24"/>
        </w:rPr>
        <w:t>.</w:t>
      </w:r>
    </w:p>
    <w:p w14:paraId="05CEFE77" w14:textId="662FA8DE" w:rsidR="00934569" w:rsidRPr="00330C80" w:rsidRDefault="000E37C2" w:rsidP="00305C9F">
      <w:pPr>
        <w:pStyle w:val="ListParagraph"/>
        <w:numPr>
          <w:ilvl w:val="0"/>
          <w:numId w:val="9"/>
        </w:numPr>
        <w:spacing w:line="480" w:lineRule="auto"/>
        <w:rPr>
          <w:rFonts w:ascii="Times New Roman" w:hAnsi="Times New Roman" w:cs="Times New Roman"/>
          <w:noProof w:val="0"/>
          <w:sz w:val="24"/>
          <w:szCs w:val="24"/>
        </w:rPr>
      </w:pPr>
      <w:r>
        <w:rPr>
          <w:rFonts w:ascii="Times New Roman" w:hAnsi="Times New Roman" w:cs="Times New Roman"/>
          <w:noProof w:val="0"/>
          <w:sz w:val="24"/>
          <w:szCs w:val="24"/>
        </w:rPr>
        <w:t xml:space="preserve">Key </w:t>
      </w:r>
      <w:r w:rsidR="0573D6D8" w:rsidRPr="0573D6D8">
        <w:rPr>
          <w:rFonts w:ascii="Times New Roman" w:hAnsi="Times New Roman" w:cs="Times New Roman"/>
          <w:noProof w:val="0"/>
          <w:sz w:val="24"/>
          <w:szCs w:val="24"/>
        </w:rPr>
        <w:t>model outputs</w:t>
      </w:r>
      <w:r w:rsidR="008770ED">
        <w:rPr>
          <w:rFonts w:ascii="Times New Roman" w:hAnsi="Times New Roman" w:cs="Times New Roman"/>
          <w:noProof w:val="0"/>
          <w:sz w:val="24"/>
          <w:szCs w:val="24"/>
        </w:rPr>
        <w:t xml:space="preserve"> were</w:t>
      </w:r>
      <w:r w:rsidR="0573D6D8" w:rsidRPr="0573D6D8">
        <w:rPr>
          <w:rFonts w:ascii="Times New Roman" w:hAnsi="Times New Roman" w:cs="Times New Roman"/>
          <w:noProof w:val="0"/>
          <w:sz w:val="24"/>
          <w:szCs w:val="24"/>
        </w:rPr>
        <w:t xml:space="preserve"> produced when the model was simulated with </w:t>
      </w:r>
      <w:r w:rsidR="00E94D6B">
        <w:rPr>
          <w:rFonts w:ascii="Times New Roman" w:hAnsi="Times New Roman" w:cs="Times New Roman"/>
          <w:noProof w:val="0"/>
          <w:sz w:val="24"/>
          <w:szCs w:val="24"/>
        </w:rPr>
        <w:t xml:space="preserve">parameter </w:t>
      </w:r>
      <w:r w:rsidR="0573D6D8" w:rsidRPr="0573D6D8">
        <w:rPr>
          <w:rFonts w:ascii="Times New Roman" w:hAnsi="Times New Roman" w:cs="Times New Roman"/>
          <w:noProof w:val="0"/>
          <w:sz w:val="24"/>
          <w:szCs w:val="24"/>
        </w:rPr>
        <w:t xml:space="preserve">estimates derived in Section </w:t>
      </w:r>
      <w:r w:rsidR="00B6372D">
        <w:rPr>
          <w:rFonts w:ascii="Times New Roman" w:hAnsi="Times New Roman" w:cs="Times New Roman"/>
          <w:noProof w:val="0"/>
          <w:sz w:val="24"/>
          <w:szCs w:val="24"/>
        </w:rPr>
        <w:t>A.6</w:t>
      </w:r>
      <w:r w:rsidR="0573D6D8" w:rsidRPr="0573D6D8">
        <w:rPr>
          <w:rFonts w:ascii="Times New Roman" w:hAnsi="Times New Roman" w:cs="Times New Roman"/>
          <w:noProof w:val="0"/>
          <w:sz w:val="24"/>
          <w:szCs w:val="24"/>
        </w:rPr>
        <w:t>.</w:t>
      </w:r>
    </w:p>
    <w:p w14:paraId="11CBE5E0" w14:textId="22DBE804" w:rsidR="00713BE9" w:rsidRPr="00330C80" w:rsidRDefault="0573D6D8" w:rsidP="00305C9F">
      <w:pPr>
        <w:pStyle w:val="ListParagraph"/>
        <w:numPr>
          <w:ilvl w:val="0"/>
          <w:numId w:val="9"/>
        </w:numPr>
        <w:spacing w:line="480" w:lineRule="auto"/>
        <w:rPr>
          <w:rFonts w:ascii="Times New Roman" w:hAnsi="Times New Roman" w:cs="Times New Roman"/>
          <w:noProof w:val="0"/>
          <w:sz w:val="24"/>
          <w:szCs w:val="24"/>
        </w:rPr>
      </w:pPr>
      <w:r w:rsidRPr="0573D6D8">
        <w:rPr>
          <w:rFonts w:ascii="Times New Roman" w:hAnsi="Times New Roman" w:cs="Times New Roman"/>
          <w:noProof w:val="0"/>
          <w:sz w:val="24"/>
          <w:szCs w:val="24"/>
        </w:rPr>
        <w:t xml:space="preserve">At the conclusion of the baseline phase, interventions were simulated, including all of the key model processes. Additional </w:t>
      </w:r>
      <w:r w:rsidR="0008125E">
        <w:rPr>
          <w:rFonts w:ascii="Times New Roman" w:hAnsi="Times New Roman" w:cs="Times New Roman"/>
          <w:noProof w:val="0"/>
          <w:sz w:val="24"/>
          <w:szCs w:val="24"/>
        </w:rPr>
        <w:t>information on these</w:t>
      </w:r>
      <w:r w:rsidRPr="0573D6D8">
        <w:rPr>
          <w:rFonts w:ascii="Times New Roman" w:hAnsi="Times New Roman" w:cs="Times New Roman"/>
          <w:noProof w:val="0"/>
          <w:sz w:val="24"/>
          <w:szCs w:val="24"/>
        </w:rPr>
        <w:t xml:space="preserve"> interventions </w:t>
      </w:r>
      <w:r w:rsidR="00F1501D">
        <w:rPr>
          <w:rFonts w:ascii="Times New Roman" w:hAnsi="Times New Roman" w:cs="Times New Roman"/>
          <w:noProof w:val="0"/>
          <w:sz w:val="24"/>
          <w:szCs w:val="24"/>
        </w:rPr>
        <w:t xml:space="preserve">can be found </w:t>
      </w:r>
      <w:r w:rsidRPr="0573D6D8">
        <w:rPr>
          <w:rFonts w:ascii="Times New Roman" w:hAnsi="Times New Roman" w:cs="Times New Roman"/>
          <w:noProof w:val="0"/>
          <w:sz w:val="24"/>
          <w:szCs w:val="24"/>
        </w:rPr>
        <w:t xml:space="preserve">in Section </w:t>
      </w:r>
      <w:r w:rsidR="001B6169">
        <w:rPr>
          <w:rFonts w:ascii="Times New Roman" w:hAnsi="Times New Roman" w:cs="Times New Roman"/>
          <w:noProof w:val="0"/>
          <w:sz w:val="24"/>
          <w:szCs w:val="24"/>
        </w:rPr>
        <w:t>A.</w:t>
      </w:r>
      <w:r w:rsidRPr="0573D6D8">
        <w:rPr>
          <w:rFonts w:ascii="Times New Roman" w:hAnsi="Times New Roman" w:cs="Times New Roman"/>
          <w:noProof w:val="0"/>
          <w:sz w:val="24"/>
          <w:szCs w:val="24"/>
        </w:rPr>
        <w:t>7.</w:t>
      </w:r>
    </w:p>
    <w:p w14:paraId="563E7626" w14:textId="4C759611" w:rsidR="000B48C0" w:rsidRDefault="001211B7" w:rsidP="00E70D1B">
      <w:pPr>
        <w:pStyle w:val="Heading1"/>
      </w:pPr>
      <w:bookmarkStart w:id="1" w:name="_Toc3377329"/>
      <w:r>
        <w:lastRenderedPageBreak/>
        <w:t>A.</w:t>
      </w:r>
      <w:r w:rsidR="0573D6D8" w:rsidRPr="0573D6D8">
        <w:t>2 Initial Population</w:t>
      </w:r>
      <w:bookmarkEnd w:id="1"/>
    </w:p>
    <w:p w14:paraId="794289F2" w14:textId="77777777" w:rsidR="00E70D1B" w:rsidRPr="00E70D1B" w:rsidRDefault="00E70D1B" w:rsidP="00E70D1B"/>
    <w:p w14:paraId="35477D5A" w14:textId="172ABCC3" w:rsidR="000B48C0" w:rsidRDefault="004868D3" w:rsidP="0573D6D8">
      <w:pPr>
        <w:spacing w:line="480" w:lineRule="auto"/>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The </w:t>
      </w:r>
      <w:r w:rsidR="000B48C0" w:rsidRPr="00330C80">
        <w:rPr>
          <w:rFonts w:ascii="Times New Roman" w:hAnsi="Times New Roman" w:cs="Times New Roman"/>
          <w:noProof w:val="0"/>
          <w:sz w:val="24"/>
          <w:szCs w:val="24"/>
        </w:rPr>
        <w:t xml:space="preserve">initial population consisted of </w:t>
      </w:r>
      <w:r w:rsidR="00D61EA4" w:rsidRPr="00330C80">
        <w:rPr>
          <w:rFonts w:ascii="Times New Roman" w:hAnsi="Times New Roman" w:cs="Times New Roman"/>
          <w:noProof w:val="0"/>
          <w:sz w:val="24"/>
          <w:szCs w:val="24"/>
        </w:rPr>
        <w:t>10</w:t>
      </w:r>
      <w:r w:rsidR="000B48C0" w:rsidRPr="00330C80">
        <w:rPr>
          <w:rFonts w:ascii="Times New Roman" w:hAnsi="Times New Roman" w:cs="Times New Roman"/>
          <w:noProof w:val="0"/>
          <w:sz w:val="24"/>
          <w:szCs w:val="24"/>
        </w:rPr>
        <w:t>,000 individuals</w:t>
      </w:r>
      <w:r w:rsidR="00E2237B" w:rsidRPr="00330C80">
        <w:rPr>
          <w:rFonts w:ascii="Times New Roman" w:hAnsi="Times New Roman" w:cs="Times New Roman"/>
          <w:noProof w:val="0"/>
          <w:sz w:val="24"/>
          <w:szCs w:val="24"/>
        </w:rPr>
        <w:t xml:space="preserve">, </w:t>
      </w:r>
      <w:r w:rsidR="000B48C0" w:rsidRPr="00330C80">
        <w:rPr>
          <w:rFonts w:ascii="Times New Roman" w:hAnsi="Times New Roman" w:cs="Times New Roman"/>
          <w:noProof w:val="0"/>
          <w:sz w:val="24"/>
          <w:szCs w:val="24"/>
        </w:rPr>
        <w:t>uniformly distributed between the ages of 18-34 at the sta</w:t>
      </w:r>
      <w:r w:rsidR="00C157D9" w:rsidRPr="00330C80">
        <w:rPr>
          <w:rFonts w:ascii="Times New Roman" w:hAnsi="Times New Roman" w:cs="Times New Roman"/>
          <w:noProof w:val="0"/>
          <w:sz w:val="24"/>
          <w:szCs w:val="24"/>
        </w:rPr>
        <w:t>rt</w:t>
      </w:r>
      <w:r w:rsidR="007B706A">
        <w:rPr>
          <w:rFonts w:ascii="Times New Roman" w:hAnsi="Times New Roman" w:cs="Times New Roman"/>
          <w:noProof w:val="0"/>
          <w:sz w:val="24"/>
          <w:szCs w:val="24"/>
        </w:rPr>
        <w:t>, consistent with empirical data</w:t>
      </w:r>
      <w:r w:rsidR="00C157D9" w:rsidRPr="00330C80">
        <w:rPr>
          <w:rFonts w:ascii="Times New Roman" w:hAnsi="Times New Roman" w:cs="Times New Roman"/>
          <w:noProof w:val="0"/>
          <w:sz w:val="24"/>
          <w:szCs w:val="24"/>
        </w:rPr>
        <w:t xml:space="preserve"> </w:t>
      </w:r>
      <w:r w:rsidR="000B48C0" w:rsidRPr="0573D6D8">
        <w:fldChar w:fldCharType="begin" w:fldLock="1"/>
      </w:r>
      <w:r w:rsidR="00AA4409">
        <w:rPr>
          <w:rFonts w:ascii="Times New Roman" w:hAnsi="Times New Roman" w:cs="Times New Roman"/>
          <w:noProof w:val="0"/>
          <w:sz w:val="24"/>
          <w:szCs w:val="24"/>
        </w:rPr>
        <w:instrText>ADDIN CSL_CITATION {"citationItems":[{"id":"ITEM-1","itemData":{"author":[{"dropping-particle":"","family":"United States Census Bureau","given":"","non-dropping-particle":"","parse-names":false,"suffix":""}],"id":"ITEM-1","issued":{"date-parts":[["2017"]]},"title":"State Population by Characteristics: 2010-2016","type":"article"},"uris":["http://www.mendeley.com/documents/?uuid=d0fd5dd4-ee5b-4716-8eb6-655872229982"]}],"mendeley":{"formattedCitation":"[6]","plainTextFormattedCitation":"[6]","previouslyFormattedCitation":"[6]"},"properties":{"noteIndex":0},"schema":"https://github.com/citation-style-language/schema/raw/master/csl-citation.json"}</w:instrText>
      </w:r>
      <w:r w:rsidR="000B48C0" w:rsidRPr="0573D6D8">
        <w:rPr>
          <w:rFonts w:ascii="Times New Roman" w:hAnsi="Times New Roman" w:cs="Times New Roman"/>
          <w:noProof w:val="0"/>
          <w:sz w:val="24"/>
          <w:szCs w:val="24"/>
        </w:rPr>
        <w:fldChar w:fldCharType="separate"/>
      </w:r>
      <w:r w:rsidR="00AA4409" w:rsidRPr="00AA4409">
        <w:rPr>
          <w:rFonts w:ascii="Times New Roman" w:hAnsi="Times New Roman" w:cs="Times New Roman"/>
          <w:sz w:val="24"/>
          <w:szCs w:val="24"/>
        </w:rPr>
        <w:t>[6]</w:t>
      </w:r>
      <w:r w:rsidR="000B48C0" w:rsidRPr="0573D6D8">
        <w:fldChar w:fldCharType="end"/>
      </w:r>
      <w:r w:rsidR="00C157D9" w:rsidRPr="00330C80">
        <w:rPr>
          <w:rFonts w:ascii="Times New Roman" w:hAnsi="Times New Roman" w:cs="Times New Roman"/>
          <w:noProof w:val="0"/>
          <w:sz w:val="24"/>
          <w:szCs w:val="24"/>
        </w:rPr>
        <w:t>.</w:t>
      </w:r>
      <w:r w:rsidR="004235F5" w:rsidRPr="00330C80">
        <w:rPr>
          <w:rFonts w:ascii="Times New Roman" w:hAnsi="Times New Roman" w:cs="Times New Roman"/>
          <w:noProof w:val="0"/>
          <w:sz w:val="24"/>
          <w:szCs w:val="24"/>
        </w:rPr>
        <w:t xml:space="preserve"> As time evolved, the </w:t>
      </w:r>
      <w:r w:rsidR="00F6477F" w:rsidRPr="00330C80">
        <w:rPr>
          <w:rFonts w:ascii="Times New Roman" w:hAnsi="Times New Roman" w:cs="Times New Roman"/>
          <w:noProof w:val="0"/>
          <w:sz w:val="24"/>
          <w:szCs w:val="24"/>
        </w:rPr>
        <w:t xml:space="preserve">rates of departure and entry of individuals </w:t>
      </w:r>
      <w:r w:rsidR="00033718">
        <w:rPr>
          <w:rFonts w:ascii="Times New Roman" w:hAnsi="Times New Roman" w:cs="Times New Roman"/>
          <w:noProof w:val="0"/>
          <w:sz w:val="24"/>
          <w:szCs w:val="24"/>
        </w:rPr>
        <w:t>were</w:t>
      </w:r>
      <w:r w:rsidR="00F6477F" w:rsidRPr="00330C80">
        <w:rPr>
          <w:rFonts w:ascii="Times New Roman" w:hAnsi="Times New Roman" w:cs="Times New Roman"/>
          <w:noProof w:val="0"/>
          <w:sz w:val="24"/>
          <w:szCs w:val="24"/>
        </w:rPr>
        <w:t xml:space="preserve"> set</w:t>
      </w:r>
      <w:r w:rsidR="000B48C0" w:rsidRPr="00330C80">
        <w:rPr>
          <w:rFonts w:ascii="Times New Roman" w:hAnsi="Times New Roman" w:cs="Times New Roman"/>
          <w:noProof w:val="0"/>
          <w:sz w:val="24"/>
          <w:szCs w:val="24"/>
        </w:rPr>
        <w:t xml:space="preserve"> </w:t>
      </w:r>
      <w:r w:rsidR="00F6477F" w:rsidRPr="00330C80">
        <w:rPr>
          <w:rFonts w:ascii="Times New Roman" w:hAnsi="Times New Roman" w:cs="Times New Roman"/>
          <w:noProof w:val="0"/>
          <w:sz w:val="24"/>
          <w:szCs w:val="24"/>
        </w:rPr>
        <w:t>so that the overall population</w:t>
      </w:r>
      <w:r w:rsidR="000B48C0" w:rsidRPr="00330C80">
        <w:rPr>
          <w:rFonts w:ascii="Times New Roman" w:hAnsi="Times New Roman" w:cs="Times New Roman"/>
          <w:noProof w:val="0"/>
          <w:sz w:val="24"/>
          <w:szCs w:val="24"/>
        </w:rPr>
        <w:t xml:space="preserve"> </w:t>
      </w:r>
      <w:r w:rsidR="00F6477F" w:rsidRPr="00330C80">
        <w:rPr>
          <w:rFonts w:ascii="Times New Roman" w:hAnsi="Times New Roman" w:cs="Times New Roman"/>
          <w:noProof w:val="0"/>
          <w:sz w:val="24"/>
          <w:szCs w:val="24"/>
        </w:rPr>
        <w:t xml:space="preserve">grew </w:t>
      </w:r>
      <w:r w:rsidR="0033658F" w:rsidRPr="00330C80">
        <w:rPr>
          <w:rFonts w:ascii="Times New Roman" w:hAnsi="Times New Roman" w:cs="Times New Roman"/>
          <w:noProof w:val="0"/>
          <w:sz w:val="24"/>
          <w:szCs w:val="24"/>
        </w:rPr>
        <w:t>slowly</w:t>
      </w:r>
      <w:r w:rsidR="00982940">
        <w:rPr>
          <w:rFonts w:ascii="Times New Roman" w:hAnsi="Times New Roman" w:cs="Times New Roman"/>
          <w:noProof w:val="0"/>
          <w:sz w:val="24"/>
          <w:szCs w:val="24"/>
        </w:rPr>
        <w:t xml:space="preserve"> </w:t>
      </w:r>
      <w:r w:rsidR="00F23F56">
        <w:rPr>
          <w:rFonts w:ascii="Times New Roman" w:hAnsi="Times New Roman" w:cs="Times New Roman"/>
          <w:noProof w:val="0"/>
          <w:sz w:val="24"/>
          <w:szCs w:val="24"/>
        </w:rPr>
        <w:t>consistent</w:t>
      </w:r>
      <w:r w:rsidR="00982940">
        <w:rPr>
          <w:rFonts w:ascii="Times New Roman" w:hAnsi="Times New Roman" w:cs="Times New Roman"/>
          <w:noProof w:val="0"/>
          <w:sz w:val="24"/>
          <w:szCs w:val="24"/>
        </w:rPr>
        <w:t xml:space="preserve"> </w:t>
      </w:r>
      <w:r w:rsidR="007A19CB">
        <w:rPr>
          <w:rFonts w:ascii="Times New Roman" w:hAnsi="Times New Roman" w:cs="Times New Roman"/>
          <w:noProof w:val="0"/>
          <w:sz w:val="24"/>
          <w:szCs w:val="24"/>
        </w:rPr>
        <w:t xml:space="preserve">with </w:t>
      </w:r>
      <w:r w:rsidR="00982940">
        <w:rPr>
          <w:rFonts w:ascii="Times New Roman" w:hAnsi="Times New Roman" w:cs="Times New Roman"/>
          <w:noProof w:val="0"/>
          <w:sz w:val="24"/>
          <w:szCs w:val="24"/>
        </w:rPr>
        <w:t xml:space="preserve">observed growth rates </w:t>
      </w:r>
      <w:r w:rsidR="00920F48">
        <w:rPr>
          <w:rFonts w:ascii="Times New Roman" w:hAnsi="Times New Roman" w:cs="Times New Roman"/>
          <w:noProof w:val="0"/>
          <w:sz w:val="24"/>
          <w:szCs w:val="24"/>
        </w:rPr>
        <w:t xml:space="preserve">as </w:t>
      </w:r>
      <w:r w:rsidR="009E6A67">
        <w:rPr>
          <w:rFonts w:ascii="Times New Roman" w:hAnsi="Times New Roman" w:cs="Times New Roman"/>
          <w:noProof w:val="0"/>
          <w:sz w:val="24"/>
          <w:szCs w:val="24"/>
        </w:rPr>
        <w:t xml:space="preserve">per </w:t>
      </w:r>
      <w:r w:rsidR="00982940">
        <w:rPr>
          <w:rFonts w:ascii="Times New Roman" w:hAnsi="Times New Roman" w:cs="Times New Roman"/>
          <w:noProof w:val="0"/>
          <w:sz w:val="24"/>
          <w:szCs w:val="24"/>
        </w:rPr>
        <w:t>census data</w:t>
      </w:r>
      <w:r w:rsidR="000B48C0" w:rsidRPr="0573D6D8">
        <w:rPr>
          <w:rFonts w:ascii="Times New Roman" w:hAnsi="Times New Roman" w:cs="Times New Roman"/>
          <w:b/>
          <w:bCs/>
          <w:noProof w:val="0"/>
          <w:sz w:val="24"/>
          <w:szCs w:val="24"/>
        </w:rPr>
        <w:t xml:space="preserve">. </w:t>
      </w:r>
      <w:r w:rsidR="0573D6D8" w:rsidRPr="00330C80">
        <w:rPr>
          <w:rFonts w:ascii="Times New Roman" w:hAnsi="Times New Roman" w:cs="Times New Roman"/>
          <w:noProof w:val="0"/>
          <w:sz w:val="24"/>
          <w:szCs w:val="24"/>
        </w:rPr>
        <w:t>The</w:t>
      </w:r>
      <w:r w:rsidR="000B48C0" w:rsidRPr="00330C80">
        <w:rPr>
          <w:rFonts w:ascii="Times New Roman" w:hAnsi="Times New Roman" w:cs="Times New Roman"/>
          <w:noProof w:val="0"/>
          <w:sz w:val="24"/>
          <w:szCs w:val="24"/>
        </w:rPr>
        <w:t xml:space="preserve"> population w</w:t>
      </w:r>
      <w:r w:rsidR="0573D6D8" w:rsidRPr="00330C80">
        <w:rPr>
          <w:rFonts w:ascii="Times New Roman" w:hAnsi="Times New Roman" w:cs="Times New Roman"/>
          <w:noProof w:val="0"/>
          <w:sz w:val="24"/>
          <w:szCs w:val="24"/>
        </w:rPr>
        <w:t>as randomly seeded w</w:t>
      </w:r>
      <w:r w:rsidR="000B48C0" w:rsidRPr="00330C80">
        <w:rPr>
          <w:rFonts w:ascii="Times New Roman" w:hAnsi="Times New Roman" w:cs="Times New Roman"/>
          <w:noProof w:val="0"/>
          <w:sz w:val="24"/>
          <w:szCs w:val="24"/>
        </w:rPr>
        <w:t>ith 10% HIV prevalence</w:t>
      </w:r>
      <w:r w:rsidR="0573D6D8" w:rsidRPr="00330C80">
        <w:rPr>
          <w:rFonts w:ascii="Times New Roman" w:hAnsi="Times New Roman" w:cs="Times New Roman"/>
          <w:noProof w:val="0"/>
          <w:sz w:val="24"/>
          <w:szCs w:val="24"/>
        </w:rPr>
        <w:t xml:space="preserve"> at the start</w:t>
      </w:r>
      <w:r w:rsidR="001502A3">
        <w:rPr>
          <w:rFonts w:ascii="Times New Roman" w:hAnsi="Times New Roman" w:cs="Times New Roman"/>
          <w:noProof w:val="0"/>
          <w:sz w:val="24"/>
          <w:szCs w:val="24"/>
        </w:rPr>
        <w:t>, sufficient to sustain an epidemic</w:t>
      </w:r>
      <w:r w:rsidR="00D174F2">
        <w:rPr>
          <w:rFonts w:ascii="Times New Roman" w:hAnsi="Times New Roman" w:cs="Times New Roman"/>
          <w:noProof w:val="0"/>
          <w:sz w:val="24"/>
          <w:szCs w:val="24"/>
        </w:rPr>
        <w:t xml:space="preserve">, as has been done in previous </w:t>
      </w:r>
      <w:r w:rsidR="00922B35">
        <w:rPr>
          <w:rFonts w:ascii="Times New Roman" w:hAnsi="Times New Roman" w:cs="Times New Roman"/>
          <w:noProof w:val="0"/>
          <w:sz w:val="24"/>
          <w:szCs w:val="24"/>
        </w:rPr>
        <w:t>agent-</w:t>
      </w:r>
      <w:r w:rsidR="004425BF">
        <w:rPr>
          <w:rFonts w:ascii="Times New Roman" w:hAnsi="Times New Roman" w:cs="Times New Roman"/>
          <w:noProof w:val="0"/>
          <w:sz w:val="24"/>
          <w:szCs w:val="24"/>
        </w:rPr>
        <w:t>ABNM</w:t>
      </w:r>
      <w:r w:rsidR="00922B35">
        <w:rPr>
          <w:rFonts w:ascii="Times New Roman" w:hAnsi="Times New Roman" w:cs="Times New Roman"/>
          <w:noProof w:val="0"/>
          <w:sz w:val="24"/>
          <w:szCs w:val="24"/>
        </w:rPr>
        <w:t xml:space="preserve"> </w:t>
      </w:r>
      <w:r w:rsidR="00D174F2">
        <w:rPr>
          <w:rFonts w:ascii="Times New Roman" w:hAnsi="Times New Roman" w:cs="Times New Roman"/>
          <w:noProof w:val="0"/>
          <w:sz w:val="24"/>
          <w:szCs w:val="24"/>
        </w:rPr>
        <w:t>studies</w:t>
      </w:r>
      <w:r w:rsidR="00BE4B2E">
        <w:rPr>
          <w:rFonts w:ascii="Times New Roman" w:hAnsi="Times New Roman" w:cs="Times New Roman"/>
          <w:noProof w:val="0"/>
          <w:sz w:val="24"/>
          <w:szCs w:val="24"/>
        </w:rPr>
        <w:t xml:space="preserve"> </w:t>
      </w:r>
      <w:r w:rsidR="007E7FD4">
        <w:rPr>
          <w:rFonts w:ascii="Times New Roman" w:hAnsi="Times New Roman" w:cs="Times New Roman"/>
          <w:noProof w:val="0"/>
          <w:sz w:val="24"/>
          <w:szCs w:val="24"/>
        </w:rPr>
        <w:t xml:space="preserve">to design HIV interventions </w:t>
      </w:r>
      <w:r w:rsidR="00C267FE">
        <w:rPr>
          <w:rFonts w:ascii="Times New Roman" w:hAnsi="Times New Roman" w:cs="Times New Roman"/>
          <w:noProof w:val="0"/>
          <w:sz w:val="24"/>
          <w:szCs w:val="24"/>
        </w:rPr>
        <w:fldChar w:fldCharType="begin" w:fldLock="1"/>
      </w:r>
      <w:r w:rsidR="00AA4409">
        <w:rPr>
          <w:rFonts w:ascii="Times New Roman" w:hAnsi="Times New Roman" w:cs="Times New Roman"/>
          <w:noProof w:val="0"/>
          <w:sz w:val="24"/>
          <w:szCs w:val="24"/>
        </w:rPr>
        <w:instrText>ADDIN CSL_CITATION {"citationItems":[{"id":"ITEM-1","itemData":{"DOI":"10.1007/s10461-013-0646-2","ISSN":"1573-3254","PMID":"24165985","abstract":"Our objective here is to demonstrate the population-level effects of individual-level post-diagnosis behavior change (PDBC) in Southern Californian men who have sex with men (MSM), recently diagnosed with HIV. While PDBC has been empirically documented, the population-level effects of such behavior change are largely unknown. To examine these effects, we develop network models derived from the exponential random graph model family. We parameterize our models using behavioral data from the Southern California Acute Infection and Early Disease Research Program, and biological data from a number of published sources. Our models incorporate vital demographic processes, biology, treatment and behavior. We find that without PDBC, HIV prevalence among MSM would be significantly higher at any reasonable frequency of testing. We also demonstrate that higher levels of HIV risk behavior among HIV-positive men relative to HIV-negative men observed in some cross-sectional studies are consistent with individual-level PDBC.","author":[{"dropping-particle":"","family":"Khanna","given":"Aditya S","non-dropping-particle":"","parse-names":false,"suffix":""},{"dropping-particle":"","family":"Goodreau","given":"Steven M","non-dropping-particle":"","parse-names":false,"suffix":""},{"dropping-particle":"","family":"Gorbach","given":"Pamina M","non-dropping-particle":"","parse-names":false,"suffix":""},{"dropping-particle":"","family":"Daar","given":"Eric","non-dropping-particle":"","parse-names":false,"suffix":""},{"dropping-particle":"","family":"Little","given":"Susan J","non-dropping-particle":"","parse-names":false,"suffix":""}],"container-title":"AIDS and behavior","id":"ITEM-1","issue":"8","issued":{"date-parts":[["2014","8","29"]]},"page":"1523-31","title":"Modeling the Impact of Post-Diagnosis Behavior Change on HIV Prevalence in Southern California Men Who Have Sex with Men (MSM)1 Khanna AS, Goodreau SM, Gorbach PM, Daar E, Little SJ. Modeling the Impact of Post-Diagnosis Behavior Change on HIV Prevalence ","type":"article-journal","volume":"18"},"uris":["http://www.mendeley.com/documents/?uuid=414af7e3-1a45-4245-9cd7-cb2d65875d66"]},{"id":"ITEM-2","itemData":{"DOI":"10.1016/j.annepidem.2014.09.012","ISSN":"10472797","author":[{"dropping-particle":"","family":"Khanna","given":"Aditya","non-dropping-particle":"","parse-names":false,"suffix":""},{"dropping-particle":"","family":"Goodreau","given":"Steven M.","non-dropping-particle":"","parse-names":false,"suffix":""},{"dropping-particle":"","family":"Wohlfeiler","given":"Dan","non-dropping-particle":"","parse-names":false,"suffix":""},{"dropping-particle":"","family":"Daar","given":"Eric","non-dropping-particle":"","parse-names":false,"suffix":""},{"dropping-particle":"","family":"Little","given":"Susan","non-dropping-particle":"","parse-names":false,"suffix":""},{"dropping-particle":"","family":"Gorbach","given":"Pamina M.","non-dropping-particle":"","parse-names":false,"suffix":""}],"container-title":"Annals of Epidemiology","id":"ITEM-2","issued":{"date-parts":[["2014","10"]]},"title":"Individualized diagnosis interventions can add significant effectiveness in reducing human immunodeficiency virus incidence among men who have sex with men: insights from Southern California","type":"article-journal"},"uris":["http://www.mendeley.com/documents/?uuid=feaec887-c7ba-4db2-ac04-ebdd7c9428a9"]},{"id":"ITEM-3","itemData":{"DOI":"10.1371/journal.pone.0134271","ISSN":"19326203","PMID":"26262889","abstract":"INTRODUCTION: Prevention of mother-to-child HIV transmission (PMTCT) strategies include combined short-course antiretrovirals during pregnancy (Option A), triple-drug antiretroviral treament (ART) during pregnancy and breastfeeding (Option B), or lifelong ART (Option B+). The WHO also recommends ART for HIV treatment and prevention of sexual transmission of HIV. The impact of PMTCT strategies on prevention of sexual HIV transmission of HIV is not known. We estimated the population-level impact of PMTCT interventions on heterosexual HIV transmission in southwestern Uganda and KwaZulu-Natal, South Africa, two regions with different HIV prevalence and fertility rates.\\n\\nMATERIALS AND METHODS: We constructed and validated dynamic, stochastic, network-based HIV transmission models for each region. PMTCT Options A, B, and B+ were simulated over ten years under three scenarios: 1) current ART and PMTCT coverage, 2) current ART and high PMTCT coverage, and 3) high ART and PMTCT coverage. We compared adult HIV incidence after ten years of each intervention to Option A (and current ART) at current coverage.\\n\\nRESULTS: At current coverage, Options B and B+ reduced heterosexual HIV incidence by about 5% and 15%, respectively, in both countries. With current ART and high PMTCT coverage, Option B+ reduced HIV incidence by 35% in Uganda and 19% in South Africa, while Option B had smaller, but meaningful, reductions. The greatest reductions in HIV incidence were achieved with high ART and PMTCT coverage. In this scenario, all PMTCT strategies yielded similar results.\\n\\nDISCUSSION: Implementation of Options B/B+ reduces adult HIV incidence, with greater effect (relative to Option A at current levels) in Uganda than South Africa. These results are likely driven by Uganda's higher fertility rates.","author":[{"dropping-particle":"","family":"Khanna","given":"Aditya S.","non-dropping-particle":"","parse-names":false,"suffix":""},{"dropping-particle":"","family":"Roberts","given":"Sarah T.","non-dropping-particle":"","parse-names":false,"suffix":""},{"dropping-particle":"","family":"Cassels","given":"Susan","non-dropping-particle":"","parse-names":false,"suffix":""},{"dropping-particle":"","family":"Ying","given":"Roger","non-dropping-particle":"","parse-names":false,"suffix":""},{"dropping-particle":"","family":"John-Stewart","given":"Grace","non-dropping-particle":"","parse-names":false,"suffix":""},{"dropping-particle":"","family":"Goodreau","given":"Steven M.","non-dropping-particle":"","parse-names":false,"suffix":""},{"dropping-particle":"","family":"Baeten","given":"Jared M.","non-dropping-particle":"","parse-names":false,"suffix":""},{"dropping-particle":"","family":"Murnane","given":"Pamela M.","non-dropping-particle":"","parse-names":false,"suffix":""},{"dropping-particle":"","family":"Celum","given":"Connie","non-dropping-particle":"","parse-names":false,"suffix":""},{"dropping-particle":"V.","family":"Barnabas","given":"Ruanne","non-dropping-particle":"","parse-names":false,"suffix":""},{"dropping-particle":"","family":"Moodley","given":"Dhayendre","non-dropping-particle":"","parse-names":false,"suffix":""}],"container-title":"PLoS ONE","id":"ITEM-3","issue":"8","issued":{"date-parts":[["2015"]]},"page":"e0134271","title":"Estimating PMTCT's impact on heterosexual HIV transmission: A mathematical modeling analysis","type":"article-journal","volume":"10"},"uris":["http://www.mendeley.com/documents/?uuid=4216a1f6-a619-4251-ba2d-8b0d7a10cff1"]},{"id":"ITEM-4","itemData":{"DOI":"10.7448/IAS.19.1.20864","ISSN":"1758-2652","author":[{"dropping-particle":"","family":"Roberts","given":"Sarah T","non-dropping-particle":"","parse-names":false,"suffix":""},{"dropping-particle":"","family":"Khanna","given":"Aditya S","non-dropping-particle":"","parse-names":false,"suffix":""},{"dropping-particle":"V","family":"Barnabas","given":"Ruanne","non-dropping-particle":"","parse-names":false,"suffix":""},{"dropping-particle":"","family":"Goodreau","given":"Steven M","non-dropping-particle":"","parse-names":false,"suffix":""},{"dropping-particle":"","family":"Baeten","given":"Jared M","non-dropping-particle":"","parse-names":false,"suffix":""},{"dropping-particle":"","family":"Celum","given":"Connie","non-dropping-particle":"","parse-names":false,"suffix":""},{"dropping-particle":"","family":"Cassels","given":"Susan","non-dropping-particle":"","parse-names":false,"suffix":""}],"container-title":"Journal of the International AIDS Society","id":"ITEM-4","issue":"1","issued":{"date-parts":[["2016","5","11"]]},"title":"Estimating the impact of universal antiretroviral therapy for HIV serodiscordant couples through home HIV testing: insights from mathematical models","type":"article-journal","volume":"19"},"uris":["http://www.mendeley.com/documents/?uuid=3213d7fa-3e68-4bcd-a312-b5d8bdd77bd4"]}],"mendeley":{"formattedCitation":"[2,4,5,7]","plainTextFormattedCitation":"[2,4,5,7]","previouslyFormattedCitation":"[2,4,5,7]"},"properties":{"noteIndex":0},"schema":"https://github.com/citation-style-language/schema/raw/master/csl-citation.json"}</w:instrText>
      </w:r>
      <w:r w:rsidR="00C267FE">
        <w:rPr>
          <w:rFonts w:ascii="Times New Roman" w:hAnsi="Times New Roman" w:cs="Times New Roman"/>
          <w:noProof w:val="0"/>
          <w:sz w:val="24"/>
          <w:szCs w:val="24"/>
        </w:rPr>
        <w:fldChar w:fldCharType="separate"/>
      </w:r>
      <w:r w:rsidR="00AA4409" w:rsidRPr="00AA4409">
        <w:rPr>
          <w:rFonts w:ascii="Times New Roman" w:hAnsi="Times New Roman" w:cs="Times New Roman"/>
          <w:sz w:val="24"/>
          <w:szCs w:val="24"/>
        </w:rPr>
        <w:t>[2,4,5,7]</w:t>
      </w:r>
      <w:r w:rsidR="00C267FE">
        <w:rPr>
          <w:rFonts w:ascii="Times New Roman" w:hAnsi="Times New Roman" w:cs="Times New Roman"/>
          <w:noProof w:val="0"/>
          <w:sz w:val="24"/>
          <w:szCs w:val="24"/>
        </w:rPr>
        <w:fldChar w:fldCharType="end"/>
      </w:r>
      <w:r w:rsidR="000B48C0" w:rsidRPr="00330C80">
        <w:rPr>
          <w:rFonts w:ascii="Times New Roman" w:hAnsi="Times New Roman" w:cs="Times New Roman"/>
          <w:noProof w:val="0"/>
          <w:sz w:val="24"/>
          <w:szCs w:val="24"/>
        </w:rPr>
        <w:t xml:space="preserve">. </w:t>
      </w:r>
      <w:r w:rsidR="00E700F2" w:rsidRPr="00330C80">
        <w:rPr>
          <w:rFonts w:ascii="Times New Roman" w:hAnsi="Times New Roman" w:cs="Times New Roman"/>
          <w:noProof w:val="0"/>
          <w:sz w:val="24"/>
          <w:szCs w:val="24"/>
        </w:rPr>
        <w:t xml:space="preserve">The model </w:t>
      </w:r>
      <w:r w:rsidR="00436A42">
        <w:rPr>
          <w:rFonts w:ascii="Times New Roman" w:hAnsi="Times New Roman" w:cs="Times New Roman"/>
          <w:noProof w:val="0"/>
          <w:sz w:val="24"/>
          <w:szCs w:val="24"/>
        </w:rPr>
        <w:t xml:space="preserve">was simulated over a long period (100 years) to allow epidemic </w:t>
      </w:r>
      <w:r w:rsidR="00D174F2">
        <w:rPr>
          <w:rFonts w:ascii="Times New Roman" w:hAnsi="Times New Roman" w:cs="Times New Roman"/>
          <w:noProof w:val="0"/>
          <w:sz w:val="24"/>
          <w:szCs w:val="24"/>
        </w:rPr>
        <w:t xml:space="preserve">outcomes to become consistent with </w:t>
      </w:r>
      <w:r w:rsidR="00AC6C1F">
        <w:rPr>
          <w:rFonts w:ascii="Times New Roman" w:hAnsi="Times New Roman" w:cs="Times New Roman"/>
          <w:noProof w:val="0"/>
          <w:sz w:val="24"/>
          <w:szCs w:val="24"/>
        </w:rPr>
        <w:t>empirical data</w:t>
      </w:r>
      <w:r w:rsidR="00B56976">
        <w:rPr>
          <w:rFonts w:ascii="Times New Roman" w:hAnsi="Times New Roman" w:cs="Times New Roman"/>
          <w:noProof w:val="0"/>
          <w:sz w:val="24"/>
          <w:szCs w:val="24"/>
        </w:rPr>
        <w:t xml:space="preserve">; </w:t>
      </w:r>
      <w:r w:rsidR="000A047C">
        <w:rPr>
          <w:rFonts w:ascii="Times New Roman" w:hAnsi="Times New Roman" w:cs="Times New Roman"/>
          <w:noProof w:val="0"/>
          <w:sz w:val="24"/>
          <w:szCs w:val="24"/>
        </w:rPr>
        <w:t xml:space="preserve">similar </w:t>
      </w:r>
      <w:r w:rsidR="00B56976">
        <w:rPr>
          <w:rFonts w:ascii="Times New Roman" w:hAnsi="Times New Roman" w:cs="Times New Roman"/>
          <w:noProof w:val="0"/>
          <w:sz w:val="24"/>
          <w:szCs w:val="24"/>
        </w:rPr>
        <w:t>“</w:t>
      </w:r>
      <w:proofErr w:type="spellStart"/>
      <w:r w:rsidR="00B56976" w:rsidRPr="00BA7C39">
        <w:rPr>
          <w:rFonts w:ascii="Times New Roman" w:hAnsi="Times New Roman" w:cs="Times New Roman"/>
          <w:sz w:val="24"/>
          <w:szCs w:val="24"/>
        </w:rPr>
        <w:t>burnin</w:t>
      </w:r>
      <w:proofErr w:type="spellEnd"/>
      <w:r w:rsidR="00B56976">
        <w:rPr>
          <w:rFonts w:ascii="Times New Roman" w:hAnsi="Times New Roman" w:cs="Times New Roman"/>
          <w:noProof w:val="0"/>
          <w:sz w:val="24"/>
          <w:szCs w:val="24"/>
        </w:rPr>
        <w:t>” period</w:t>
      </w:r>
      <w:r w:rsidR="000A047C">
        <w:rPr>
          <w:rFonts w:ascii="Times New Roman" w:hAnsi="Times New Roman" w:cs="Times New Roman"/>
          <w:noProof w:val="0"/>
          <w:sz w:val="24"/>
          <w:szCs w:val="24"/>
        </w:rPr>
        <w:t>s</w:t>
      </w:r>
      <w:r w:rsidR="00B56976">
        <w:rPr>
          <w:rFonts w:ascii="Times New Roman" w:hAnsi="Times New Roman" w:cs="Times New Roman"/>
          <w:noProof w:val="0"/>
          <w:sz w:val="24"/>
          <w:szCs w:val="24"/>
        </w:rPr>
        <w:t xml:space="preserve"> ha</w:t>
      </w:r>
      <w:r w:rsidR="000A047C">
        <w:rPr>
          <w:rFonts w:ascii="Times New Roman" w:hAnsi="Times New Roman" w:cs="Times New Roman"/>
          <w:noProof w:val="0"/>
          <w:sz w:val="24"/>
          <w:szCs w:val="24"/>
        </w:rPr>
        <w:t>ve</w:t>
      </w:r>
      <w:r w:rsidR="00B56976">
        <w:rPr>
          <w:rFonts w:ascii="Times New Roman" w:hAnsi="Times New Roman" w:cs="Times New Roman"/>
          <w:noProof w:val="0"/>
          <w:sz w:val="24"/>
          <w:szCs w:val="24"/>
        </w:rPr>
        <w:t xml:space="preserve"> been instituted in </w:t>
      </w:r>
      <w:r w:rsidR="00ED1505">
        <w:rPr>
          <w:rFonts w:ascii="Times New Roman" w:hAnsi="Times New Roman" w:cs="Times New Roman"/>
          <w:noProof w:val="0"/>
          <w:sz w:val="24"/>
          <w:szCs w:val="24"/>
        </w:rPr>
        <w:t xml:space="preserve">previous </w:t>
      </w:r>
      <w:r w:rsidR="00B56976">
        <w:rPr>
          <w:rFonts w:ascii="Times New Roman" w:hAnsi="Times New Roman" w:cs="Times New Roman"/>
          <w:noProof w:val="0"/>
          <w:sz w:val="24"/>
          <w:szCs w:val="24"/>
        </w:rPr>
        <w:t xml:space="preserve">ABNM studies </w:t>
      </w:r>
      <w:r w:rsidR="00D360A0">
        <w:rPr>
          <w:rFonts w:ascii="Times New Roman" w:hAnsi="Times New Roman" w:cs="Times New Roman"/>
          <w:noProof w:val="0"/>
          <w:sz w:val="24"/>
          <w:szCs w:val="24"/>
        </w:rPr>
        <w:fldChar w:fldCharType="begin" w:fldLock="1"/>
      </w:r>
      <w:r w:rsidR="00AA4409">
        <w:rPr>
          <w:rFonts w:ascii="Times New Roman" w:hAnsi="Times New Roman" w:cs="Times New Roman"/>
          <w:noProof w:val="0"/>
          <w:sz w:val="24"/>
          <w:szCs w:val="24"/>
        </w:rPr>
        <w:instrText>ADDIN CSL_CITATION {"citationItems":[{"id":"ITEM-1","itemData":{"DOI":"10.1007/s10461-013-0646-2","ISSN":"1573-3254","PMID":"24165985","abstract":"Our objective here is to demonstrate the population-level effects of individual-level post-diagnosis behavior change (PDBC) in Southern Californian men who have sex with men (MSM), recently diagnosed with HIV. While PDBC has been empirically documented, the population-level effects of such behavior change are largely unknown. To examine these effects, we develop network models derived from the exponential random graph model family. We parameterize our models using behavioral data from the Southern California Acute Infection and Early Disease Research Program, and biological data from a number of published sources. Our models incorporate vital demographic processes, biology, treatment and behavior. We find that without PDBC, HIV prevalence among MSM would be significantly higher at any reasonable frequency of testing. We also demonstrate that higher levels of HIV risk behavior among HIV-positive men relative to HIV-negative men observed in some cross-sectional studies are consistent with individual-level PDBC.","author":[{"dropping-particle":"","family":"Khanna","given":"Aditya S","non-dropping-particle":"","parse-names":false,"suffix":""},{"dropping-particle":"","family":"Goodreau","given":"Steven M","non-dropping-particle":"","parse-names":false,"suffix":""},{"dropping-particle":"","family":"Gorbach","given":"Pamina M","non-dropping-particle":"","parse-names":false,"suffix":""},{"dropping-particle":"","family":"Daar","given":"Eric","non-dropping-particle":"","parse-names":false,"suffix":""},{"dropping-particle":"","family":"Little","given":"Susan J","non-dropping-particle":"","parse-names":false,"suffix":""}],"container-title":"AIDS and behavior","id":"ITEM-1","issue":"8","issued":{"date-parts":[["2014","8","29"]]},"page":"1523-31","title":"Modeling the Impact of Post-Diagnosis Behavior Change on HIV Prevalence in Southern California Men Who Have Sex with Men (MSM)1 Khanna AS, Goodreau SM, Gorbach PM, Daar E, Little SJ. Modeling the Impact of Post-Diagnosis Behavior Change on HIV Prevalence ","type":"article-journal","volume":"18"},"uris":["http://www.mendeley.com/documents/?uuid=414af7e3-1a45-4245-9cd7-cb2d65875d66"]},{"id":"ITEM-2","itemData":{"DOI":"10.1016/j.annepidem.2014.09.012","ISSN":"10472797","author":[{"dropping-particle":"","family":"Khanna","given":"Aditya","non-dropping-particle":"","parse-names":false,"suffix":""},{"dropping-particle":"","family":"Goodreau","given":"Steven M.","non-dropping-particle":"","parse-names":false,"suffix":""},{"dropping-particle":"","family":"Wohlfeiler","given":"Dan","non-dropping-particle":"","parse-names":false,"suffix":""},{"dropping-particle":"","family":"Daar","given":"Eric","non-dropping-particle":"","parse-names":false,"suffix":""},{"dropping-particle":"","family":"Little","given":"Susan","non-dropping-particle":"","parse-names":false,"suffix":""},{"dropping-particle":"","family":"Gorbach","given":"Pamina M.","non-dropping-particle":"","parse-names":false,"suffix":""}],"container-title":"Annals of Epidemiology","id":"ITEM-2","issued":{"date-parts":[["2014","10"]]},"title":"Individualized diagnosis interventions can add significant effectiveness in reducing human immunodeficiency virus incidence among men who have sex with men: insights from Southern California","type":"article-journal"},"uris":["http://www.mendeley.com/documents/?uuid=feaec887-c7ba-4db2-ac04-ebdd7c9428a9"]},{"id":"ITEM-3","itemData":{"DOI":"10.1371/journal.pone.0134271","ISSN":"19326203","PMID":"26262889","abstract":"INTRODUCTION: Prevention of mother-to-child HIV transmission (PMTCT) strategies include combined short-course antiretrovirals during pregnancy (Option A), triple-drug antiretroviral treament (ART) during pregnancy and breastfeeding (Option B), or lifelong ART (Option B+). The WHO also recommends ART for HIV treatment and prevention of sexual transmission of HIV. The impact of PMTCT strategies on prevention of sexual HIV transmission of HIV is not known. We estimated the population-level impact of PMTCT interventions on heterosexual HIV transmission in southwestern Uganda and KwaZulu-Natal, South Africa, two regions with different HIV prevalence and fertility rates.\\n\\nMATERIALS AND METHODS: We constructed and validated dynamic, stochastic, network-based HIV transmission models for each region. PMTCT Options A, B, and B+ were simulated over ten years under three scenarios: 1) current ART and PMTCT coverage, 2) current ART and high PMTCT coverage, and 3) high ART and PMTCT coverage. We compared adult HIV incidence after ten years of each intervention to Option A (and current ART) at current coverage.\\n\\nRESULTS: At current coverage, Options B and B+ reduced heterosexual HIV incidence by about 5% and 15%, respectively, in both countries. With current ART and high PMTCT coverage, Option B+ reduced HIV incidence by 35% in Uganda and 19% in South Africa, while Option B had smaller, but meaningful, reductions. The greatest reductions in HIV incidence were achieved with high ART and PMTCT coverage. In this scenario, all PMTCT strategies yielded similar results.\\n\\nDISCUSSION: Implementation of Options B/B+ reduces adult HIV incidence, with greater effect (relative to Option A at current levels) in Uganda than South Africa. These results are likely driven by Uganda's higher fertility rates.","author":[{"dropping-particle":"","family":"Khanna","given":"Aditya S.","non-dropping-particle":"","parse-names":false,"suffix":""},{"dropping-particle":"","family":"Roberts","given":"Sarah T.","non-dropping-particle":"","parse-names":false,"suffix":""},{"dropping-particle":"","family":"Cassels","given":"Susan","non-dropping-particle":"","parse-names":false,"suffix":""},{"dropping-particle":"","family":"Ying","given":"Roger","non-dropping-particle":"","parse-names":false,"suffix":""},{"dropping-particle":"","family":"John-Stewart","given":"Grace","non-dropping-particle":"","parse-names":false,"suffix":""},{"dropping-particle":"","family":"Goodreau","given":"Steven M.","non-dropping-particle":"","parse-names":false,"suffix":""},{"dropping-particle":"","family":"Baeten","given":"Jared M.","non-dropping-particle":"","parse-names":false,"suffix":""},{"dropping-particle":"","family":"Murnane","given":"Pamela M.","non-dropping-particle":"","parse-names":false,"suffix":""},{"dropping-particle":"","family":"Celum","given":"Connie","non-dropping-particle":"","parse-names":false,"suffix":""},{"dropping-particle":"V.","family":"Barnabas","given":"Ruanne","non-dropping-particle":"","parse-names":false,"suffix":""},{"dropping-particle":"","family":"Moodley","given":"Dhayendre","non-dropping-particle":"","parse-names":false,"suffix":""}],"container-title":"PLoS ONE","id":"ITEM-3","issue":"8","issued":{"date-parts":[["2015"]]},"page":"e0134271","title":"Estimating PMTCT's impact on heterosexual HIV transmission: A mathematical modeling analysis","type":"article-journal","volume":"10"},"uris":["http://www.mendeley.com/documents/?uuid=4216a1f6-a619-4251-ba2d-8b0d7a10cff1"]},{"id":"ITEM-4","itemData":{"DOI":"10.7448/IAS.19.1.20864","ISSN":"1758-2652","author":[{"dropping-particle":"","family":"Roberts","given":"Sarah T","non-dropping-particle":"","parse-names":false,"suffix":""},{"dropping-particle":"","family":"Khanna","given":"Aditya S","non-dropping-particle":"","parse-names":false,"suffix":""},{"dropping-particle":"V","family":"Barnabas","given":"Ruanne","non-dropping-particle":"","parse-names":false,"suffix":""},{"dropping-particle":"","family":"Goodreau","given":"Steven M","non-dropping-particle":"","parse-names":false,"suffix":""},{"dropping-particle":"","family":"Baeten","given":"Jared M","non-dropping-particle":"","parse-names":false,"suffix":""},{"dropping-particle":"","family":"Celum","given":"Connie","non-dropping-particle":"","parse-names":false,"suffix":""},{"dropping-particle":"","family":"Cassels","given":"Susan","non-dropping-particle":"","parse-names":false,"suffix":""}],"container-title":"Journal of the International AIDS Society","id":"ITEM-4","issue":"1","issued":{"date-parts":[["2016","5","11"]]},"title":"Estimating the impact of universal antiretroviral therapy for HIV serodiscordant couples through home HIV testing: insights from mathematical models","type":"article-journal","volume":"19"},"uris":["http://www.mendeley.com/documents/?uuid=3213d7fa-3e68-4bcd-a312-b5d8bdd77bd4"]}],"mendeley":{"formattedCitation":"[2,4,5,7]","plainTextFormattedCitation":"[2,4,5,7]","previouslyFormattedCitation":"[2,4,5,7]"},"properties":{"noteIndex":0},"schema":"https://github.com/citation-style-language/schema/raw/master/csl-citation.json"}</w:instrText>
      </w:r>
      <w:r w:rsidR="00D360A0">
        <w:rPr>
          <w:rFonts w:ascii="Times New Roman" w:hAnsi="Times New Roman" w:cs="Times New Roman"/>
          <w:noProof w:val="0"/>
          <w:sz w:val="24"/>
          <w:szCs w:val="24"/>
        </w:rPr>
        <w:fldChar w:fldCharType="separate"/>
      </w:r>
      <w:r w:rsidR="00AA4409" w:rsidRPr="00AA4409">
        <w:rPr>
          <w:rFonts w:ascii="Times New Roman" w:hAnsi="Times New Roman" w:cs="Times New Roman"/>
          <w:sz w:val="24"/>
          <w:szCs w:val="24"/>
        </w:rPr>
        <w:t>[2,4,5,7]</w:t>
      </w:r>
      <w:r w:rsidR="00D360A0">
        <w:rPr>
          <w:rFonts w:ascii="Times New Roman" w:hAnsi="Times New Roman" w:cs="Times New Roman"/>
          <w:noProof w:val="0"/>
          <w:sz w:val="24"/>
          <w:szCs w:val="24"/>
        </w:rPr>
        <w:fldChar w:fldCharType="end"/>
      </w:r>
      <w:r w:rsidR="00B27031">
        <w:rPr>
          <w:rFonts w:ascii="Times New Roman" w:hAnsi="Times New Roman" w:cs="Times New Roman"/>
          <w:noProof w:val="0"/>
          <w:sz w:val="24"/>
          <w:szCs w:val="24"/>
        </w:rPr>
        <w:t xml:space="preserve">. </w:t>
      </w:r>
      <w:r w:rsidR="00C45B13">
        <w:rPr>
          <w:rFonts w:ascii="Times New Roman" w:hAnsi="Times New Roman" w:cs="Times New Roman"/>
          <w:noProof w:val="0"/>
          <w:sz w:val="24"/>
          <w:szCs w:val="24"/>
        </w:rPr>
        <w:t xml:space="preserve">The simulations incorporated </w:t>
      </w:r>
      <w:r w:rsidR="00E700F2" w:rsidRPr="00330C80">
        <w:rPr>
          <w:rFonts w:ascii="Times New Roman" w:hAnsi="Times New Roman" w:cs="Times New Roman"/>
          <w:noProof w:val="0"/>
          <w:sz w:val="24"/>
          <w:szCs w:val="24"/>
        </w:rPr>
        <w:t>a number of demographic, network, biological, and behavioral</w:t>
      </w:r>
      <w:r w:rsidR="00984DA5" w:rsidRPr="00330C80">
        <w:rPr>
          <w:rFonts w:ascii="Times New Roman" w:hAnsi="Times New Roman" w:cs="Times New Roman"/>
          <w:noProof w:val="0"/>
          <w:sz w:val="24"/>
          <w:szCs w:val="24"/>
        </w:rPr>
        <w:t xml:space="preserve"> </w:t>
      </w:r>
      <w:r w:rsidR="00E700F2" w:rsidRPr="00330C80">
        <w:rPr>
          <w:rFonts w:ascii="Times New Roman" w:hAnsi="Times New Roman" w:cs="Times New Roman"/>
          <w:noProof w:val="0"/>
          <w:sz w:val="24"/>
          <w:szCs w:val="24"/>
        </w:rPr>
        <w:t>features</w:t>
      </w:r>
      <w:r w:rsidR="008008DE">
        <w:rPr>
          <w:rFonts w:ascii="Times New Roman" w:hAnsi="Times New Roman" w:cs="Times New Roman"/>
          <w:noProof w:val="0"/>
          <w:sz w:val="24"/>
          <w:szCs w:val="24"/>
        </w:rPr>
        <w:t xml:space="preserve"> </w:t>
      </w:r>
      <w:r w:rsidR="00FC1FA7">
        <w:rPr>
          <w:rFonts w:ascii="Times New Roman" w:hAnsi="Times New Roman" w:cs="Times New Roman"/>
          <w:noProof w:val="0"/>
          <w:sz w:val="24"/>
          <w:szCs w:val="24"/>
        </w:rPr>
        <w:t xml:space="preserve">mentioned </w:t>
      </w:r>
      <w:r w:rsidR="00BA731F" w:rsidRPr="00330C80">
        <w:rPr>
          <w:rFonts w:ascii="Times New Roman" w:hAnsi="Times New Roman" w:cs="Times New Roman"/>
          <w:noProof w:val="0"/>
          <w:sz w:val="24"/>
          <w:szCs w:val="24"/>
        </w:rPr>
        <w:t xml:space="preserve">in the </w:t>
      </w:r>
      <w:r w:rsidR="008F6133">
        <w:rPr>
          <w:rFonts w:ascii="Times New Roman" w:hAnsi="Times New Roman" w:cs="Times New Roman"/>
          <w:noProof w:val="0"/>
          <w:sz w:val="24"/>
          <w:szCs w:val="24"/>
        </w:rPr>
        <w:t xml:space="preserve">Methods </w:t>
      </w:r>
      <w:r w:rsidR="00383300">
        <w:rPr>
          <w:rFonts w:ascii="Times New Roman" w:hAnsi="Times New Roman" w:cs="Times New Roman"/>
          <w:noProof w:val="0"/>
          <w:sz w:val="24"/>
          <w:szCs w:val="24"/>
        </w:rPr>
        <w:t xml:space="preserve">section of the </w:t>
      </w:r>
      <w:r w:rsidR="00BA731F" w:rsidRPr="00330C80">
        <w:rPr>
          <w:rFonts w:ascii="Times New Roman" w:hAnsi="Times New Roman" w:cs="Times New Roman"/>
          <w:noProof w:val="0"/>
          <w:sz w:val="24"/>
          <w:szCs w:val="24"/>
        </w:rPr>
        <w:t>main body of the manuscript</w:t>
      </w:r>
      <w:r w:rsidR="00D03F50">
        <w:rPr>
          <w:rFonts w:ascii="Times New Roman" w:hAnsi="Times New Roman" w:cs="Times New Roman"/>
          <w:noProof w:val="0"/>
          <w:sz w:val="24"/>
          <w:szCs w:val="24"/>
        </w:rPr>
        <w:t>;</w:t>
      </w:r>
      <w:r w:rsidR="00BA731F" w:rsidRPr="00330C80">
        <w:rPr>
          <w:rFonts w:ascii="Times New Roman" w:hAnsi="Times New Roman" w:cs="Times New Roman"/>
          <w:noProof w:val="0"/>
          <w:sz w:val="24"/>
          <w:szCs w:val="24"/>
        </w:rPr>
        <w:t xml:space="preserve"> </w:t>
      </w:r>
      <w:r w:rsidR="00D03F50">
        <w:rPr>
          <w:rFonts w:ascii="Times New Roman" w:hAnsi="Times New Roman" w:cs="Times New Roman"/>
          <w:noProof w:val="0"/>
          <w:sz w:val="24"/>
          <w:szCs w:val="24"/>
        </w:rPr>
        <w:t xml:space="preserve">these features are </w:t>
      </w:r>
      <w:r w:rsidR="00A02DB7">
        <w:rPr>
          <w:rFonts w:ascii="Times New Roman" w:hAnsi="Times New Roman" w:cs="Times New Roman"/>
          <w:noProof w:val="0"/>
          <w:sz w:val="24"/>
          <w:szCs w:val="24"/>
        </w:rPr>
        <w:t xml:space="preserve">described in </w:t>
      </w:r>
      <w:r w:rsidR="00BA731F" w:rsidRPr="00330C80">
        <w:rPr>
          <w:rFonts w:ascii="Times New Roman" w:hAnsi="Times New Roman" w:cs="Times New Roman"/>
          <w:noProof w:val="0"/>
          <w:sz w:val="24"/>
          <w:szCs w:val="24"/>
        </w:rPr>
        <w:t xml:space="preserve">detail below. </w:t>
      </w:r>
    </w:p>
    <w:p w14:paraId="12A0AE9B" w14:textId="075A5D67" w:rsidR="000B48C0" w:rsidRDefault="001211B7" w:rsidP="00E70D1B">
      <w:pPr>
        <w:pStyle w:val="Heading1"/>
      </w:pPr>
      <w:bookmarkStart w:id="2" w:name="_Toc3377330"/>
      <w:r>
        <w:t>A.</w:t>
      </w:r>
      <w:r w:rsidR="0573D6D8" w:rsidRPr="0573D6D8">
        <w:t xml:space="preserve">3 Models for </w:t>
      </w:r>
      <w:r w:rsidR="00A52F4A">
        <w:t xml:space="preserve">Main and Casual </w:t>
      </w:r>
      <w:r w:rsidR="0573D6D8" w:rsidRPr="0573D6D8">
        <w:t>Partnership Networks</w:t>
      </w:r>
      <w:bookmarkEnd w:id="2"/>
    </w:p>
    <w:p w14:paraId="08B2F87C" w14:textId="77777777" w:rsidR="00E70D1B" w:rsidRPr="00E70D1B" w:rsidRDefault="00E70D1B" w:rsidP="00E70D1B"/>
    <w:p w14:paraId="395719AB" w14:textId="6FB7045D" w:rsidR="000B48C0" w:rsidRPr="00330C80" w:rsidRDefault="000B48C0" w:rsidP="0573D6D8">
      <w:pPr>
        <w:spacing w:line="480" w:lineRule="auto"/>
        <w:ind w:firstLine="720"/>
        <w:rPr>
          <w:rFonts w:ascii="Times New Roman" w:hAnsi="Times New Roman" w:cs="Times New Roman"/>
          <w:noProof w:val="0"/>
          <w:sz w:val="24"/>
          <w:szCs w:val="24"/>
        </w:rPr>
      </w:pPr>
      <w:r w:rsidRPr="00330C80">
        <w:rPr>
          <w:rFonts w:ascii="Times New Roman" w:hAnsi="Times New Roman" w:cs="Times New Roman"/>
          <w:noProof w:val="0"/>
          <w:sz w:val="24"/>
          <w:szCs w:val="24"/>
        </w:rPr>
        <w:t xml:space="preserve">The theoretical framework for modeling main and casual partnership networks </w:t>
      </w:r>
      <w:r w:rsidR="00961E4E">
        <w:rPr>
          <w:rFonts w:ascii="Times New Roman" w:hAnsi="Times New Roman" w:cs="Times New Roman"/>
          <w:noProof w:val="0"/>
          <w:sz w:val="24"/>
          <w:szCs w:val="24"/>
        </w:rPr>
        <w:t>is based upon</w:t>
      </w:r>
      <w:r w:rsidR="00961E4E" w:rsidRPr="00330C80">
        <w:rPr>
          <w:rFonts w:ascii="Times New Roman" w:hAnsi="Times New Roman" w:cs="Times New Roman"/>
          <w:noProof w:val="0"/>
          <w:sz w:val="24"/>
          <w:szCs w:val="24"/>
        </w:rPr>
        <w:t xml:space="preserve"> </w:t>
      </w:r>
      <w:r w:rsidRPr="00330C80">
        <w:rPr>
          <w:rFonts w:ascii="Times New Roman" w:hAnsi="Times New Roman" w:cs="Times New Roman"/>
          <w:noProof w:val="0"/>
          <w:sz w:val="24"/>
          <w:szCs w:val="24"/>
        </w:rPr>
        <w:t>the exponential random graph models (ERGMs)</w:t>
      </w:r>
      <w:r w:rsidR="007D1C35">
        <w:rPr>
          <w:rFonts w:ascii="Times New Roman" w:hAnsi="Times New Roman" w:cs="Times New Roman"/>
          <w:noProof w:val="0"/>
          <w:sz w:val="24"/>
          <w:szCs w:val="24"/>
        </w:rPr>
        <w:t>,</w:t>
      </w:r>
      <w:r w:rsidRPr="00330C80">
        <w:rPr>
          <w:rFonts w:ascii="Times New Roman" w:hAnsi="Times New Roman" w:cs="Times New Roman"/>
          <w:noProof w:val="0"/>
          <w:sz w:val="24"/>
          <w:szCs w:val="24"/>
        </w:rPr>
        <w:t xml:space="preserve"> described elsewhere</w:t>
      </w:r>
      <w:r w:rsidR="00250CA5" w:rsidRPr="00330C80">
        <w:rPr>
          <w:rFonts w:ascii="Times New Roman" w:hAnsi="Times New Roman" w:cs="Times New Roman"/>
          <w:noProof w:val="0"/>
          <w:sz w:val="24"/>
          <w:szCs w:val="24"/>
        </w:rPr>
        <w:t xml:space="preserve"> </w:t>
      </w:r>
      <w:r w:rsidRPr="0573D6D8">
        <w:fldChar w:fldCharType="begin" w:fldLock="1"/>
      </w:r>
      <w:r w:rsidR="00D026CF">
        <w:rPr>
          <w:rFonts w:ascii="Times New Roman" w:hAnsi="Times New Roman" w:cs="Times New Roman"/>
          <w:noProof w:val="0"/>
          <w:sz w:val="24"/>
          <w:szCs w:val="24"/>
        </w:rPr>
        <w:instrText>ADDIN CSL_CITATION {"citationItems":[{"id":"ITEM-1","itemData":{"author":[{"dropping-particle":"","family":"Krivitsky","given":"Pavel N","non-dropping-particle":"","parse-names":false,"suffix":""},{"dropping-particle":"","family":"Handcock","given":"Mark S","non-dropping-particle":"","parse-names":false,"suffix":""}],"container-title":"J R Stat Soc Series B Stat Methodol","id":"ITEM-1","issue":"1","issued":{"date-parts":[["2014","1"]]},"note":"In Press","page":"29-46","title":"A Separable Model for Dynamic Networks","type":"article-journal","volume":"76"},"uris":["http://www.mendeley.com/documents/?uuid=a27d2e0c-9d6c-40d9-88e3-d1e967e52649"]}],"mendeley":{"formattedCitation":"[8]","plainTextFormattedCitation":"[8]","previouslyFormattedCitation":"[8]"},"properties":{"noteIndex":0},"schema":"https://github.com/citation-style-language/schema/raw/master/csl-citation.json"}</w:instrText>
      </w:r>
      <w:r w:rsidRPr="0573D6D8">
        <w:rPr>
          <w:rFonts w:ascii="Times New Roman" w:hAnsi="Times New Roman" w:cs="Times New Roman"/>
          <w:noProof w:val="0"/>
          <w:sz w:val="24"/>
          <w:szCs w:val="24"/>
        </w:rPr>
        <w:fldChar w:fldCharType="separate"/>
      </w:r>
      <w:r w:rsidR="00710FC1" w:rsidRPr="00710FC1">
        <w:rPr>
          <w:rFonts w:ascii="Times New Roman" w:hAnsi="Times New Roman" w:cs="Times New Roman"/>
          <w:sz w:val="24"/>
          <w:szCs w:val="24"/>
        </w:rPr>
        <w:t>[8]</w:t>
      </w:r>
      <w:r w:rsidRPr="0573D6D8">
        <w:fldChar w:fldCharType="end"/>
      </w:r>
      <w:r w:rsidR="0098562B">
        <w:t>,</w:t>
      </w:r>
      <w:r w:rsidRPr="00330C80">
        <w:rPr>
          <w:rFonts w:ascii="Times New Roman" w:hAnsi="Times New Roman" w:cs="Times New Roman"/>
          <w:noProof w:val="0"/>
          <w:sz w:val="24"/>
          <w:szCs w:val="24"/>
        </w:rPr>
        <w:t xml:space="preserve"> and implemented in the </w:t>
      </w:r>
      <w:r w:rsidRPr="00BA7C39">
        <w:rPr>
          <w:rFonts w:ascii="Times New Roman" w:hAnsi="Times New Roman" w:cs="Times New Roman"/>
          <w:i/>
          <w:iCs/>
          <w:sz w:val="24"/>
          <w:szCs w:val="24"/>
        </w:rPr>
        <w:t>statnet</w:t>
      </w:r>
      <w:r w:rsidRPr="0573D6D8">
        <w:rPr>
          <w:rFonts w:ascii="Times New Roman" w:hAnsi="Times New Roman" w:cs="Times New Roman"/>
          <w:i/>
          <w:iCs/>
          <w:noProof w:val="0"/>
          <w:sz w:val="24"/>
          <w:szCs w:val="24"/>
        </w:rPr>
        <w:t xml:space="preserve"> </w:t>
      </w:r>
      <w:r w:rsidRPr="0573D6D8">
        <w:rPr>
          <w:rFonts w:ascii="Times New Roman" w:hAnsi="Times New Roman" w:cs="Times New Roman"/>
          <w:noProof w:val="0"/>
          <w:sz w:val="24"/>
          <w:szCs w:val="24"/>
        </w:rPr>
        <w:t xml:space="preserve">suite of </w:t>
      </w:r>
      <w:r w:rsidRPr="00330C80">
        <w:rPr>
          <w:rFonts w:ascii="Times New Roman" w:hAnsi="Times New Roman" w:cs="Times New Roman"/>
          <w:noProof w:val="0"/>
          <w:sz w:val="24"/>
          <w:szCs w:val="24"/>
        </w:rPr>
        <w:t xml:space="preserve">packages </w:t>
      </w:r>
      <w:r w:rsidR="006936E4">
        <w:rPr>
          <w:rFonts w:ascii="Times New Roman" w:hAnsi="Times New Roman" w:cs="Times New Roman"/>
          <w:noProof w:val="0"/>
          <w:sz w:val="24"/>
          <w:szCs w:val="24"/>
        </w:rPr>
        <w:fldChar w:fldCharType="begin" w:fldLock="1"/>
      </w:r>
      <w:r w:rsidR="00D026CF">
        <w:rPr>
          <w:rFonts w:ascii="Times New Roman" w:hAnsi="Times New Roman" w:cs="Times New Roman"/>
          <w:noProof w:val="0"/>
          <w:sz w:val="24"/>
          <w:szCs w:val="24"/>
        </w:rPr>
        <w:instrText>ADDIN CSL_CITATION {"citationItems":[{"id":"ITEM-1","itemData":{"author":[{"dropping-particle":"","family":"Handcock","given":"Mark S","non-dropping-particle":"","parse-names":false,"suffix":""},{"dropping-particle":"","family":"Hunter","given":"David R","non-dropping-particle":"","parse-names":false,"suffix":""},{"dropping-particle":"","family":"Butts","given":"Carter T","non-dropping-particle":"","parse-names":false,"suffix":""},{"dropping-particle":"","family":"Goodreau","given":"Steven M","non-dropping-particle":"","parse-names":false,"suffix":""},{"dropping-particle":"","family":"Morris","given":"Martina","non-dropping-particle":"","parse-names":false,"suffix":""}],"id":"ITEM-1","issued":{"date-parts":[["2003"]]},"note":"Version 2.0","publisher-place":"Seattle, WA","title":"statnet: Software tools for the Statistical Modeling of Network Data","type":"article"},"uris":["http://www.mendeley.com/documents/?uuid=2cc1424f-1d18-4069-b78a-4fc9327371d6"]}],"mendeley":{"formattedCitation":"[9]","plainTextFormattedCitation":"[9]","previouslyFormattedCitation":"[9]"},"properties":{"noteIndex":0},"schema":"https://github.com/citation-style-language/schema/raw/master/csl-citation.json"}</w:instrText>
      </w:r>
      <w:r w:rsidR="006936E4">
        <w:rPr>
          <w:rFonts w:ascii="Times New Roman" w:hAnsi="Times New Roman" w:cs="Times New Roman"/>
          <w:noProof w:val="0"/>
          <w:sz w:val="24"/>
          <w:szCs w:val="24"/>
        </w:rPr>
        <w:fldChar w:fldCharType="separate"/>
      </w:r>
      <w:r w:rsidR="00710FC1" w:rsidRPr="00710FC1">
        <w:rPr>
          <w:rFonts w:ascii="Times New Roman" w:hAnsi="Times New Roman" w:cs="Times New Roman"/>
          <w:sz w:val="24"/>
          <w:szCs w:val="24"/>
        </w:rPr>
        <w:t>[9]</w:t>
      </w:r>
      <w:r w:rsidR="006936E4">
        <w:rPr>
          <w:rFonts w:ascii="Times New Roman" w:hAnsi="Times New Roman" w:cs="Times New Roman"/>
          <w:noProof w:val="0"/>
          <w:sz w:val="24"/>
          <w:szCs w:val="24"/>
        </w:rPr>
        <w:fldChar w:fldCharType="end"/>
      </w:r>
      <w:r w:rsidR="006936E4">
        <w:rPr>
          <w:rFonts w:ascii="Times New Roman" w:hAnsi="Times New Roman" w:cs="Times New Roman"/>
          <w:noProof w:val="0"/>
          <w:sz w:val="24"/>
          <w:szCs w:val="24"/>
        </w:rPr>
        <w:t xml:space="preserve"> </w:t>
      </w:r>
      <w:r w:rsidRPr="00330C80">
        <w:rPr>
          <w:rFonts w:ascii="Times New Roman" w:hAnsi="Times New Roman" w:cs="Times New Roman"/>
          <w:noProof w:val="0"/>
          <w:sz w:val="24"/>
          <w:szCs w:val="24"/>
        </w:rPr>
        <w:t>in the R programming language</w:t>
      </w:r>
      <w:r w:rsidR="0062250C">
        <w:rPr>
          <w:rFonts w:ascii="Times New Roman" w:hAnsi="Times New Roman" w:cs="Times New Roman"/>
          <w:noProof w:val="0"/>
          <w:sz w:val="24"/>
          <w:szCs w:val="24"/>
        </w:rPr>
        <w:t>.</w:t>
      </w:r>
      <w:r w:rsidR="0087757A">
        <w:rPr>
          <w:rFonts w:ascii="Times New Roman" w:hAnsi="Times New Roman" w:cs="Times New Roman"/>
          <w:noProof w:val="0"/>
          <w:sz w:val="24"/>
          <w:szCs w:val="24"/>
        </w:rPr>
        <w:t xml:space="preserve"> </w:t>
      </w:r>
    </w:p>
    <w:p w14:paraId="5D809926" w14:textId="77777777" w:rsidR="000B48C0" w:rsidRPr="00330C80" w:rsidRDefault="0573D6D8" w:rsidP="0573D6D8">
      <w:pPr>
        <w:spacing w:line="480" w:lineRule="auto"/>
        <w:ind w:firstLine="720"/>
        <w:rPr>
          <w:rFonts w:ascii="Times New Roman" w:hAnsi="Times New Roman" w:cs="Times New Roman"/>
          <w:noProof w:val="0"/>
          <w:sz w:val="24"/>
          <w:szCs w:val="24"/>
        </w:rPr>
      </w:pPr>
      <w:r w:rsidRPr="0573D6D8">
        <w:rPr>
          <w:rFonts w:ascii="Times New Roman" w:hAnsi="Times New Roman" w:cs="Times New Roman"/>
          <w:i/>
          <w:iCs/>
          <w:noProof w:val="0"/>
          <w:sz w:val="24"/>
          <w:szCs w:val="24"/>
        </w:rPr>
        <w:t>Main and Casual Partnerships.</w:t>
      </w:r>
      <w:r w:rsidRPr="0573D6D8">
        <w:rPr>
          <w:rFonts w:ascii="Times New Roman" w:hAnsi="Times New Roman" w:cs="Times New Roman"/>
          <w:noProof w:val="0"/>
          <w:sz w:val="24"/>
          <w:szCs w:val="24"/>
        </w:rPr>
        <w:t xml:space="preserve"> Two different partnership networks were simulated in the model. The log-odds of formation of each partnership type were dependent upon the number and distribution of existing partnerships within the network, and the absolute difference in the relative ages of partners for each partner type. The log-odds of the dissolution of each partnership were derived on estimates of the mean partnership duration. </w:t>
      </w:r>
    </w:p>
    <w:p w14:paraId="5EFED3C8" w14:textId="13B06313" w:rsidR="00BD6E1B" w:rsidRDefault="008A2CD1" w:rsidP="009271A0">
      <w:pPr>
        <w:spacing w:line="480" w:lineRule="auto"/>
        <w:ind w:firstLine="720"/>
        <w:rPr>
          <w:sz w:val="24"/>
          <w:szCs w:val="24"/>
        </w:rPr>
      </w:pPr>
      <w:r w:rsidRPr="00330C80">
        <w:rPr>
          <w:rFonts w:ascii="Times New Roman" w:hAnsi="Times New Roman" w:cs="Times New Roman"/>
          <w:noProof w:val="0"/>
          <w:sz w:val="24"/>
          <w:szCs w:val="24"/>
        </w:rPr>
        <w:t xml:space="preserve">The </w:t>
      </w:r>
      <w:r w:rsidR="007C69CE" w:rsidRPr="00330C80">
        <w:rPr>
          <w:rFonts w:ascii="Times New Roman" w:hAnsi="Times New Roman" w:cs="Times New Roman"/>
          <w:noProof w:val="0"/>
          <w:sz w:val="24"/>
          <w:szCs w:val="24"/>
        </w:rPr>
        <w:t xml:space="preserve">log odds of the </w:t>
      </w:r>
      <w:r w:rsidRPr="00330C80">
        <w:rPr>
          <w:rFonts w:ascii="Times New Roman" w:hAnsi="Times New Roman" w:cs="Times New Roman"/>
          <w:noProof w:val="0"/>
          <w:sz w:val="24"/>
          <w:szCs w:val="24"/>
        </w:rPr>
        <w:t xml:space="preserve">formation of </w:t>
      </w:r>
      <w:r w:rsidR="0081695F" w:rsidRPr="00330C80">
        <w:rPr>
          <w:rFonts w:ascii="Times New Roman" w:hAnsi="Times New Roman" w:cs="Times New Roman"/>
          <w:noProof w:val="0"/>
          <w:sz w:val="24"/>
          <w:szCs w:val="24"/>
        </w:rPr>
        <w:t xml:space="preserve">partnerships in </w:t>
      </w:r>
      <w:r w:rsidR="002D06E9" w:rsidRPr="00330C80">
        <w:rPr>
          <w:rFonts w:ascii="Times New Roman" w:hAnsi="Times New Roman" w:cs="Times New Roman"/>
          <w:noProof w:val="0"/>
          <w:sz w:val="24"/>
          <w:szCs w:val="24"/>
        </w:rPr>
        <w:t xml:space="preserve">both </w:t>
      </w:r>
      <w:r w:rsidR="00381032" w:rsidRPr="00330C80">
        <w:rPr>
          <w:rFonts w:ascii="Times New Roman" w:hAnsi="Times New Roman" w:cs="Times New Roman"/>
          <w:noProof w:val="0"/>
          <w:sz w:val="24"/>
          <w:szCs w:val="24"/>
        </w:rPr>
        <w:t>the main and casual</w:t>
      </w:r>
      <w:r w:rsidRPr="00330C80">
        <w:rPr>
          <w:rFonts w:ascii="Times New Roman" w:hAnsi="Times New Roman" w:cs="Times New Roman"/>
          <w:noProof w:val="0"/>
          <w:sz w:val="24"/>
          <w:szCs w:val="24"/>
        </w:rPr>
        <w:t xml:space="preserve"> network</w:t>
      </w:r>
      <w:r w:rsidR="00EC4725" w:rsidRPr="00330C80">
        <w:rPr>
          <w:rFonts w:ascii="Times New Roman" w:hAnsi="Times New Roman" w:cs="Times New Roman"/>
          <w:noProof w:val="0"/>
          <w:sz w:val="24"/>
          <w:szCs w:val="24"/>
        </w:rPr>
        <w:t>s</w:t>
      </w:r>
      <w:r w:rsidRPr="00330C80">
        <w:rPr>
          <w:rFonts w:ascii="Times New Roman" w:hAnsi="Times New Roman" w:cs="Times New Roman"/>
          <w:noProof w:val="0"/>
          <w:sz w:val="24"/>
          <w:szCs w:val="24"/>
        </w:rPr>
        <w:t xml:space="preserve"> </w:t>
      </w:r>
      <w:r w:rsidR="009F358D" w:rsidRPr="00330C80">
        <w:rPr>
          <w:rFonts w:ascii="Times New Roman" w:hAnsi="Times New Roman" w:cs="Times New Roman"/>
          <w:noProof w:val="0"/>
          <w:sz w:val="24"/>
          <w:szCs w:val="24"/>
        </w:rPr>
        <w:t>wa</w:t>
      </w:r>
      <w:r w:rsidR="002D06E9" w:rsidRPr="00330C80">
        <w:rPr>
          <w:rFonts w:ascii="Times New Roman" w:hAnsi="Times New Roman" w:cs="Times New Roman"/>
          <w:noProof w:val="0"/>
          <w:sz w:val="24"/>
          <w:szCs w:val="24"/>
        </w:rPr>
        <w:t>s specified as</w:t>
      </w:r>
      <w:r w:rsidR="00E57A76">
        <w:rPr>
          <w:rFonts w:ascii="Times New Roman" w:hAnsi="Times New Roman" w:cs="Times New Roman"/>
          <w:noProof w:val="0"/>
          <w:sz w:val="24"/>
          <w:szCs w:val="24"/>
        </w:rPr>
        <w:br/>
      </w:r>
      <m:oMathPara>
        <m:oMath>
          <m:r>
            <m:rPr>
              <m:nor/>
            </m:rPr>
            <w:rPr>
              <w:rFonts w:ascii="Times New Roman" w:hAnsi="Times New Roman" w:cs="Times New Roman"/>
              <w:sz w:val="24"/>
              <w:szCs w:val="24"/>
            </w:rPr>
            <w:lastRenderedPageBreak/>
            <m:t>logit(p(</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ij,t</m:t>
              </m:r>
            </m:sub>
          </m:sSub>
          <m:r>
            <w:rPr>
              <w:rFonts w:ascii="Cambria Math" w:hAnsi="Cambria Math" w:cs="Times New Roman"/>
              <w:sz w:val="24"/>
              <w:szCs w:val="24"/>
            </w:rPr>
            <m:t>=1|</m:t>
          </m:r>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ij,t-1</m:t>
              </m:r>
            </m:sub>
            <m:sup>
              <m:r>
                <w:rPr>
                  <w:rFonts w:ascii="Cambria Math" w:hAnsi="Cambria Math" w:cs="Times New Roman"/>
                  <w:sz w:val="24"/>
                  <w:szCs w:val="24"/>
                </w:rPr>
                <m:t>c</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ij,t-1</m:t>
              </m:r>
            </m:sub>
          </m:sSub>
          <m:r>
            <w:rPr>
              <w:rFonts w:ascii="Cambria Math" w:hAnsi="Cambria Math" w:cs="Times New Roman"/>
              <w:sz w:val="24"/>
              <w:szCs w:val="24"/>
            </w:rPr>
            <m:t>=0))=θ</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e</m:t>
              </m:r>
            </m:sub>
          </m:sSub>
          <m:r>
            <w:rPr>
              <w:rFonts w:ascii="Cambria Math" w:hAnsi="Cambria Math" w:cs="Times New Roman"/>
              <w:sz w:val="24"/>
              <w:szCs w:val="24"/>
            </w:rPr>
            <m:t>(e)+</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d=0</m:t>
              </m:r>
            </m:sub>
            <m:sup>
              <m:r>
                <w:rPr>
                  <w:rFonts w:ascii="Cambria Math" w:hAnsi="Cambria Math" w:cs="Times New Roman"/>
                  <w:sz w:val="24"/>
                  <w:szCs w:val="24"/>
                </w:rPr>
                <m:t>2</m:t>
              </m:r>
            </m:sup>
            <m:e>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d</m:t>
                  </m:r>
                </m:sub>
              </m:sSub>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d</m:t>
                  </m:r>
                </m:sub>
              </m:sSub>
              <m:d>
                <m:dPr>
                  <m:ctrlPr>
                    <w:rPr>
                      <w:rFonts w:ascii="Cambria Math" w:hAnsi="Cambria Math" w:cs="Times New Roman"/>
                      <w:i/>
                      <w:sz w:val="24"/>
                      <w:szCs w:val="24"/>
                    </w:rPr>
                  </m:ctrlPr>
                </m:dPr>
                <m:e>
                  <m:r>
                    <w:rPr>
                      <w:rFonts w:ascii="Cambria Math" w:hAnsi="Cambria Math" w:cs="Times New Roman"/>
                      <w:sz w:val="24"/>
                      <w:szCs w:val="24"/>
                    </w:rPr>
                    <m:t>η</m:t>
                  </m:r>
                  <m:d>
                    <m:dPr>
                      <m:ctrlPr>
                        <w:rPr>
                          <w:rFonts w:ascii="Cambria Math" w:hAnsi="Cambria Math" w:cs="Times New Roman"/>
                          <w:i/>
                          <w:sz w:val="24"/>
                          <w:szCs w:val="24"/>
                        </w:rPr>
                      </m:ctrlPr>
                    </m:dPr>
                    <m:e>
                      <m:r>
                        <w:rPr>
                          <w:rFonts w:ascii="Cambria Math" w:hAnsi="Cambria Math" w:cs="Times New Roman"/>
                          <w:sz w:val="24"/>
                          <w:szCs w:val="24"/>
                        </w:rPr>
                        <m:t>d</m:t>
                      </m:r>
                    </m:e>
                  </m:d>
                </m:e>
              </m:d>
            </m:e>
          </m:nary>
          <m:r>
            <m:rPr>
              <m:nor/>
            </m:rPr>
            <w:rPr>
              <w:rFonts w:ascii="Times New Roman" w:hAnsi="Times New Roman"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a</m:t>
              </m:r>
            </m:sub>
          </m:sSub>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r>
                <w:rPr>
                  <w:rFonts w:ascii="Cambria Math" w:hAnsi="Cambria Math" w:cs="Times New Roman"/>
                  <w:sz w:val="24"/>
                  <w:szCs w:val="24"/>
                </w:rPr>
                <m:t>|</m:t>
              </m:r>
            </m:e>
          </m:d>
          <m:r>
            <m:rPr>
              <m:sty m:val="p"/>
            </m:rPr>
            <w:rPr>
              <w:sz w:val="24"/>
              <w:szCs w:val="24"/>
            </w:rPr>
            <w:br/>
          </m:r>
        </m:oMath>
      </m:oMathPara>
      <w:r w:rsidR="00ED13B8" w:rsidRPr="0573D6D8">
        <w:rPr>
          <w:sz w:val="24"/>
          <w:szCs w:val="24"/>
        </w:rPr>
        <w:t>where</w:t>
      </w:r>
      <w:r w:rsidR="00C60C76" w:rsidRPr="0573D6D8">
        <w:rPr>
          <w:sz w:val="24"/>
          <w:szCs w:val="24"/>
        </w:rPr>
        <w:t xml:space="preserve"> </w:t>
      </w:r>
      <m:oMath>
        <m:r>
          <w:rPr>
            <w:rFonts w:ascii="Cambria Math" w:hAnsi="Cambria Math"/>
            <w:sz w:val="24"/>
            <w:szCs w:val="24"/>
          </w:rPr>
          <m:t>i</m:t>
        </m:r>
      </m:oMath>
      <w:r w:rsidR="00C60C76" w:rsidRPr="0573D6D8">
        <w:rPr>
          <w:sz w:val="24"/>
          <w:szCs w:val="24"/>
        </w:rPr>
        <w:t xml:space="preserve"> and </w:t>
      </w:r>
      <m:oMath>
        <m:r>
          <w:rPr>
            <w:rFonts w:ascii="Cambria Math" w:hAnsi="Cambria Math"/>
            <w:sz w:val="24"/>
            <w:szCs w:val="24"/>
          </w:rPr>
          <m:t>j</m:t>
        </m:r>
      </m:oMath>
      <w:r w:rsidR="00C60C76" w:rsidRPr="0573D6D8">
        <w:rPr>
          <w:sz w:val="24"/>
          <w:szCs w:val="24"/>
        </w:rPr>
        <w:t xml:space="preserve"> are two </w:t>
      </w:r>
      <w:r w:rsidR="00AA15B0">
        <w:rPr>
          <w:sz w:val="24"/>
          <w:szCs w:val="24"/>
        </w:rPr>
        <w:t xml:space="preserve">individuals </w:t>
      </w:r>
      <w:r w:rsidR="00C60C76" w:rsidRPr="0573D6D8">
        <w:rPr>
          <w:sz w:val="24"/>
          <w:szCs w:val="24"/>
        </w:rPr>
        <w:t xml:space="preserve">in the network; </w:t>
      </w:r>
      <m:oMath>
        <m:r>
          <w:rPr>
            <w:rFonts w:ascii="Cambria Math" w:hAnsi="Cambria Math"/>
            <w:sz w:val="24"/>
            <w:szCs w:val="24"/>
          </w:rPr>
          <m:t>t</m:t>
        </m:r>
      </m:oMath>
      <w:r w:rsidR="00C60C76" w:rsidRPr="0573D6D8">
        <w:rPr>
          <w:sz w:val="24"/>
          <w:szCs w:val="24"/>
        </w:rPr>
        <w:t xml:space="preserve"> is a time step</w:t>
      </w:r>
      <w:r w:rsidR="00567AE0">
        <w:rPr>
          <w:sz w:val="24"/>
          <w:szCs w:val="24"/>
        </w:rPr>
        <w:t xml:space="preserve"> (simulated forward in daily units in this model)</w:t>
      </w:r>
      <w:r w:rsidR="00C60C76" w:rsidRPr="0573D6D8">
        <w:rPr>
          <w:sz w:val="24"/>
          <w:szCs w:val="24"/>
        </w:rPr>
        <w:t xml:space="preserve">, </w:t>
      </w:r>
      <m:oMath>
        <m:r>
          <w:rPr>
            <w:rFonts w:ascii="Cambria Math" w:hAnsi="Cambria Math"/>
            <w:sz w:val="24"/>
            <w:szCs w:val="24"/>
          </w:rPr>
          <m:t>t-1</m:t>
        </m:r>
      </m:oMath>
      <w:r w:rsidR="00C60C76" w:rsidRPr="0573D6D8">
        <w:rPr>
          <w:sz w:val="24"/>
          <w:szCs w:val="24"/>
        </w:rPr>
        <w:t xml:space="preserve"> is the previous time step; </w:t>
      </w:r>
      <m:oMath>
        <m:r>
          <w:rPr>
            <w:rFonts w:ascii="Cambria Math" w:hAnsi="Cambria Math"/>
            <w:sz w:val="24"/>
            <w:szCs w:val="24"/>
          </w:rPr>
          <m:t>e</m:t>
        </m:r>
      </m:oMath>
      <w:r w:rsidR="00991F89" w:rsidRPr="0573D6D8">
        <w:rPr>
          <w:sz w:val="24"/>
          <w:szCs w:val="24"/>
        </w:rPr>
        <w:t xml:space="preserve"> i</w:t>
      </w:r>
      <w:r w:rsidR="00ED13B8" w:rsidRPr="0573D6D8">
        <w:rPr>
          <w:sz w:val="24"/>
          <w:szCs w:val="24"/>
        </w:rPr>
        <w:t xml:space="preserve">s the number of edges; </w:t>
      </w:r>
      <m:oMath>
        <m:r>
          <w:rPr>
            <w:rFonts w:ascii="Cambria Math" w:hAnsi="Cambria Math"/>
            <w:sz w:val="24"/>
            <w:szCs w:val="24"/>
          </w:rPr>
          <m:t>η</m:t>
        </m:r>
        <m:d>
          <m:dPr>
            <m:ctrlPr>
              <w:rPr>
                <w:rFonts w:ascii="Cambria Math" w:hAnsi="Cambria Math"/>
                <w:i/>
                <w:sz w:val="24"/>
                <w:szCs w:val="24"/>
              </w:rPr>
            </m:ctrlPr>
          </m:dPr>
          <m:e>
            <m:r>
              <w:rPr>
                <w:rFonts w:ascii="Cambria Math" w:hAnsi="Cambria Math"/>
                <w:sz w:val="24"/>
                <w:szCs w:val="24"/>
              </w:rPr>
              <m:t>d</m:t>
            </m:r>
          </m:e>
        </m:d>
      </m:oMath>
      <w:r w:rsidR="00991F89" w:rsidRPr="0573D6D8">
        <w:rPr>
          <w:sz w:val="24"/>
          <w:szCs w:val="24"/>
        </w:rPr>
        <w:t xml:space="preserve"> i</w:t>
      </w:r>
      <w:r w:rsidR="00ED13B8" w:rsidRPr="0573D6D8">
        <w:rPr>
          <w:sz w:val="24"/>
          <w:szCs w:val="24"/>
        </w:rPr>
        <w:t xml:space="preserve">s the number of </w:t>
      </w:r>
      <w:r w:rsidR="009F3F61" w:rsidRPr="0573D6D8">
        <w:rPr>
          <w:sz w:val="24"/>
          <w:szCs w:val="24"/>
        </w:rPr>
        <w:t xml:space="preserve">nodes </w:t>
      </w:r>
      <w:r w:rsidR="00ED13B8" w:rsidRPr="0573D6D8">
        <w:rPr>
          <w:sz w:val="24"/>
          <w:szCs w:val="24"/>
        </w:rPr>
        <w:t xml:space="preserve">with degree </w:t>
      </w:r>
      <m:oMath>
        <m:r>
          <w:rPr>
            <w:rFonts w:ascii="Cambria Math" w:hAnsi="Cambria Math"/>
            <w:sz w:val="24"/>
            <w:szCs w:val="24"/>
          </w:rPr>
          <m:t>d</m:t>
        </m:r>
      </m:oMath>
      <w:r w:rsidR="00924447" w:rsidRPr="0573D6D8">
        <w:rPr>
          <w:sz w:val="24"/>
          <w:szCs w:val="24"/>
        </w:rPr>
        <w:t>, specified for degrees 0, 1, and 2 in bo</w:t>
      </w:r>
      <w:r w:rsidR="006A3618" w:rsidRPr="0573D6D8">
        <w:rPr>
          <w:sz w:val="24"/>
          <w:szCs w:val="24"/>
        </w:rPr>
        <w:t>th the main and casual networks;</w:t>
      </w:r>
      <w:r w:rsidR="00924447" w:rsidRPr="0573D6D8">
        <w:rPr>
          <w:sz w:val="24"/>
          <w:szCs w:val="24"/>
        </w:rPr>
        <w:t xml:space="preserve"> </w:t>
      </w:r>
      <w:r w:rsidR="006C6BD4" w:rsidRPr="0573D6D8">
        <w:rPr>
          <w:sz w:val="24"/>
          <w:szCs w:val="24"/>
        </w:rPr>
        <w:t xml:space="preserve">and </w:t>
      </w:r>
      <m:oMath>
        <m:d>
          <m:dPr>
            <m:ctrlPr>
              <w:rPr>
                <w:rFonts w:ascii="Cambria Math" w:hAnsi="Cambria Math" w:cs="Times New Roman"/>
                <w:i/>
                <w:sz w:val="24"/>
                <w:szCs w:val="24"/>
              </w:rPr>
            </m:ctrlPr>
          </m:d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r>
              <w:rPr>
                <w:rFonts w:ascii="Cambria Math" w:hAnsi="Cambria Math" w:cs="Times New Roman"/>
                <w:sz w:val="24"/>
                <w:szCs w:val="24"/>
              </w:rPr>
              <m:t>|</m:t>
            </m:r>
          </m:e>
        </m:d>
      </m:oMath>
      <w:r w:rsidR="00607E53">
        <w:rPr>
          <w:sz w:val="24"/>
          <w:szCs w:val="24"/>
        </w:rPr>
        <w:t xml:space="preserve"> </w:t>
      </w:r>
      <w:r w:rsidR="009A7D10" w:rsidRPr="0573D6D8">
        <w:rPr>
          <w:sz w:val="24"/>
          <w:szCs w:val="24"/>
        </w:rPr>
        <w:t xml:space="preserve">is the difference in the </w:t>
      </w:r>
      <w:r w:rsidR="00CE4E99">
        <w:rPr>
          <w:sz w:val="24"/>
          <w:szCs w:val="24"/>
        </w:rPr>
        <w:t>absolute values</w:t>
      </w:r>
      <w:r w:rsidR="009A7D10" w:rsidRPr="0573D6D8">
        <w:rPr>
          <w:sz w:val="24"/>
          <w:szCs w:val="24"/>
        </w:rPr>
        <w:t xml:space="preserve"> of</w:t>
      </w:r>
      <w:r w:rsidR="0048397D">
        <w:rPr>
          <w:sz w:val="24"/>
          <w:szCs w:val="24"/>
        </w:rPr>
        <w:t xml:space="preserve"> </w:t>
      </w:r>
      <w:r w:rsidR="00CE4E99">
        <w:rPr>
          <w:sz w:val="24"/>
          <w:szCs w:val="24"/>
        </w:rPr>
        <w:t xml:space="preserve">the </w:t>
      </w:r>
      <w:r w:rsidR="0048397D">
        <w:rPr>
          <w:sz w:val="24"/>
          <w:szCs w:val="24"/>
        </w:rPr>
        <w:t>ages of individuals</w:t>
      </w:r>
      <w:r w:rsidR="009A7D10" w:rsidRPr="0573D6D8">
        <w:rPr>
          <w:sz w:val="24"/>
          <w:szCs w:val="24"/>
        </w:rPr>
        <w:t xml:space="preserve"> </w:t>
      </w:r>
      <w:r w:rsidR="00DA5D91" w:rsidRPr="0573D6D8">
        <w:rPr>
          <w:sz w:val="24"/>
          <w:szCs w:val="24"/>
        </w:rPr>
        <w:t xml:space="preserve">individuals who are in main </w:t>
      </w:r>
      <w:r w:rsidR="009A7D10" w:rsidRPr="0573D6D8">
        <w:rPr>
          <w:sz w:val="24"/>
          <w:szCs w:val="24"/>
        </w:rPr>
        <w:t>and casual edge</w:t>
      </w:r>
      <w:r w:rsidR="00ED13B8" w:rsidRPr="0573D6D8">
        <w:rPr>
          <w:sz w:val="24"/>
          <w:szCs w:val="24"/>
        </w:rPr>
        <w:t>s</w:t>
      </w:r>
      <w:r w:rsidR="00DA5D91" w:rsidRPr="0573D6D8">
        <w:rPr>
          <w:sz w:val="24"/>
          <w:szCs w:val="24"/>
        </w:rPr>
        <w:t xml:space="preserve"> multipled</w:t>
      </w:r>
      <w:r w:rsidR="00ED13B8" w:rsidRPr="0573D6D8">
        <w:rPr>
          <w:sz w:val="24"/>
          <w:szCs w:val="24"/>
        </w:rPr>
        <w:t xml:space="preserve"> </w:t>
      </w:r>
      <w:r w:rsidR="00DA5D91" w:rsidRPr="0573D6D8">
        <w:rPr>
          <w:sz w:val="24"/>
          <w:szCs w:val="24"/>
        </w:rPr>
        <w:t>by the number of main and casual partnerships</w:t>
      </w:r>
      <m:oMath>
        <m:r>
          <w:rPr>
            <w:rFonts w:ascii="Cambria Math" w:hAnsi="Cambria Math"/>
            <w:sz w:val="24"/>
            <w:szCs w:val="24"/>
          </w:rPr>
          <m:t>.</m:t>
        </m:r>
      </m:oMath>
      <w:r w:rsidR="00C60C76">
        <w:rPr>
          <w:sz w:val="24"/>
          <w:szCs w:val="24"/>
        </w:rPr>
        <w:t xml:space="preserve"> </w:t>
      </w:r>
      <w:r w:rsidR="000337D8">
        <w:rPr>
          <w:sz w:val="24"/>
          <w:szCs w:val="24"/>
        </w:rPr>
        <w:t xml:space="preserve">The </w:t>
      </w:r>
      <m:oMath>
        <m:r>
          <w:rPr>
            <w:rFonts w:ascii="Cambria Math" w:hAnsi="Cambria Math" w:cs="Times New Roman"/>
            <w:sz w:val="24"/>
            <w:szCs w:val="24"/>
          </w:rPr>
          <m:t>δ</m:t>
        </m:r>
      </m:oMath>
      <w:r w:rsidR="000337D8">
        <w:rPr>
          <w:sz w:val="24"/>
          <w:szCs w:val="24"/>
        </w:rPr>
        <w:t xml:space="preserve">  functions corresponding to each of these model terms represent the change in their value corresponding to the “toggle” of one dyad</w:t>
      </w:r>
      <w:r w:rsidR="00941809">
        <w:rPr>
          <w:sz w:val="24"/>
          <w:szCs w:val="24"/>
        </w:rPr>
        <w:t xml:space="preserve"> (</w:t>
      </w:r>
      <w:r w:rsidR="000337D8">
        <w:rPr>
          <w:sz w:val="24"/>
          <w:szCs w:val="24"/>
        </w:rPr>
        <w:t xml:space="preserve">defined as </w:t>
      </w:r>
      <w:r w:rsidR="001B4A45">
        <w:rPr>
          <w:sz w:val="24"/>
          <w:szCs w:val="24"/>
        </w:rPr>
        <w:t>removing one existing tie, or adding a non-existent one</w:t>
      </w:r>
      <w:r w:rsidR="00941809">
        <w:rPr>
          <w:sz w:val="24"/>
          <w:szCs w:val="24"/>
        </w:rPr>
        <w:t>)</w:t>
      </w:r>
      <w:r w:rsidR="00316FF3">
        <w:rPr>
          <w:sz w:val="24"/>
          <w:szCs w:val="24"/>
        </w:rPr>
        <w:t>;</w:t>
      </w:r>
      <w:r w:rsidR="00941809">
        <w:rPr>
          <w:sz w:val="24"/>
          <w:szCs w:val="24"/>
        </w:rPr>
        <w:t xml:space="preserve"> </w:t>
      </w:r>
      <w:r w:rsidR="00316FF3">
        <w:rPr>
          <w:sz w:val="24"/>
          <w:szCs w:val="24"/>
        </w:rPr>
        <w:t>t</w:t>
      </w:r>
      <w:r w:rsidR="00941809">
        <w:rPr>
          <w:sz w:val="24"/>
          <w:szCs w:val="24"/>
        </w:rPr>
        <w:t>he</w:t>
      </w:r>
      <w:r w:rsidR="00316FF3">
        <w:rPr>
          <w:sz w:val="24"/>
          <w:szCs w:val="24"/>
        </w:rPr>
        <w:t xml:space="preserve"> change statistic </w:t>
      </w:r>
      <w:r w:rsidR="00941809">
        <w:rPr>
          <w:sz w:val="24"/>
          <w:szCs w:val="24"/>
        </w:rPr>
        <w:t>functions are needed to estimate the coefficients</w:t>
      </w:r>
      <w:r w:rsidR="0048397D">
        <w:rPr>
          <w:sz w:val="24"/>
          <w:szCs w:val="24"/>
        </w:rPr>
        <w:t xml:space="preserve"> </w:t>
      </w:r>
      <m:oMath>
        <m:r>
          <w:rPr>
            <w:rFonts w:ascii="Cambria Math" w:hAnsi="Cambria Math" w:cs="Times New Roman"/>
            <w:sz w:val="24"/>
            <w:szCs w:val="24"/>
          </w:rPr>
          <m:t>θ</m:t>
        </m:r>
      </m:oMath>
      <w:r w:rsidR="0048397D">
        <w:rPr>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d</m:t>
            </m:r>
          </m:sub>
        </m:sSub>
        <m:r>
          <w:rPr>
            <w:rFonts w:ascii="Cambria Math" w:hAnsi="Cambria Math" w:cs="Times New Roman"/>
            <w:sz w:val="24"/>
            <w:szCs w:val="24"/>
          </w:rPr>
          <m:t xml:space="preserve"> </m:t>
        </m:r>
      </m:oMath>
      <w:r w:rsidR="0048397D">
        <w:rPr>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a</m:t>
            </m:r>
          </m:sub>
        </m:sSub>
      </m:oMath>
      <w:r w:rsidR="00941809">
        <w:rPr>
          <w:sz w:val="24"/>
          <w:szCs w:val="24"/>
        </w:rPr>
        <w:t xml:space="preserve">, corresponding to the </w:t>
      </w:r>
      <w:r w:rsidR="002A57AE">
        <w:rPr>
          <w:sz w:val="24"/>
          <w:szCs w:val="24"/>
        </w:rPr>
        <w:t xml:space="preserve">edges, degree distribution and age mixing </w:t>
      </w:r>
      <w:r w:rsidR="00941809">
        <w:rPr>
          <w:sz w:val="24"/>
          <w:szCs w:val="24"/>
        </w:rPr>
        <w:t xml:space="preserve">terms </w:t>
      </w:r>
      <w:r w:rsidR="002A57AE">
        <w:rPr>
          <w:sz w:val="24"/>
          <w:szCs w:val="24"/>
        </w:rPr>
        <w:t xml:space="preserve">respectively. </w:t>
      </w:r>
      <w:r w:rsidR="00BD6E1B">
        <w:rPr>
          <w:sz w:val="24"/>
          <w:szCs w:val="24"/>
        </w:rPr>
        <w:t>These coefficients are estimated using Markov Chain Monte Carlo techniques</w:t>
      </w:r>
      <w:r w:rsidR="000E21F1">
        <w:rPr>
          <w:sz w:val="24"/>
          <w:szCs w:val="24"/>
        </w:rPr>
        <w:t xml:space="preserve"> </w:t>
      </w:r>
      <w:r w:rsidR="0053412F">
        <w:rPr>
          <w:sz w:val="24"/>
          <w:szCs w:val="24"/>
        </w:rPr>
        <w:fldChar w:fldCharType="begin" w:fldLock="1"/>
      </w:r>
      <w:r w:rsidR="00D026CF">
        <w:rPr>
          <w:sz w:val="24"/>
          <w:szCs w:val="24"/>
        </w:rPr>
        <w:instrText>ADDIN CSL_CITATION {"citationItems":[{"id":"ITEM-1","itemData":{"ISSN":"1548-7660","PMID":"19756229","abstract":"We describe some of the capabilities of the ergm package and the statistical theory underlying it. This package contains tools for accomplishing three important, and interrelated, tasks involving exponential-family random graph models (ERGMs): estimation, simulation, and goodness of fit. More precisely, ergm has the capability of approximating a maximum likelihood estimator for an ERGM given a network data set; simulating new network data sets from a fitted ERGM using Markov chain Monte Carlo; and assessing how well a fitted ERGM does at capturing characteristics of a particular network data set.","author":[{"dropping-particle":"","family":"Hunter","given":"David R","non-dropping-particle":"","parse-names":false,"suffix":""},{"dropping-particle":"","family":"Handcock","given":"Mark S","non-dropping-particle":"","parse-names":false,"suffix":""},{"dropping-particle":"","family":"Butts","given":"Carter T","non-dropping-particle":"","parse-names":false,"suffix":""},{"dropping-particle":"","family":"Goodreau","given":"Steven M","non-dropping-particle":"","parse-names":false,"suffix":""},{"dropping-particle":"","family":"Morris","given":"Martina","non-dropping-particle":"","parse-names":false,"suffix":""}],"container-title":"Journal of statistical software","id":"ITEM-1","issue":"3","issued":{"date-parts":[["2008","5","1"]]},"page":"nihpa54860","title":"ergm: A Package to Fit, Simulate and Diagnose Exponential-Family Models for Networks.","type":"article-journal","volume":"24"},"uris":["http://www.mendeley.com/documents/?uuid=d3b2d346-85fa-4a43-8407-81f604d0a33b"]}],"mendeley":{"formattedCitation":"[10]","plainTextFormattedCitation":"[10]","previouslyFormattedCitation":"[10]"},"properties":{"noteIndex":0},"schema":"https://github.com/citation-style-language/schema/raw/master/csl-citation.json"}</w:instrText>
      </w:r>
      <w:r w:rsidR="0053412F">
        <w:rPr>
          <w:sz w:val="24"/>
          <w:szCs w:val="24"/>
        </w:rPr>
        <w:fldChar w:fldCharType="separate"/>
      </w:r>
      <w:r w:rsidR="00710FC1" w:rsidRPr="00710FC1">
        <w:rPr>
          <w:sz w:val="24"/>
          <w:szCs w:val="24"/>
        </w:rPr>
        <w:t>[10]</w:t>
      </w:r>
      <w:r w:rsidR="0053412F">
        <w:rPr>
          <w:sz w:val="24"/>
          <w:szCs w:val="24"/>
        </w:rPr>
        <w:fldChar w:fldCharType="end"/>
      </w:r>
      <w:r w:rsidR="00BD6E1B">
        <w:rPr>
          <w:sz w:val="24"/>
          <w:szCs w:val="24"/>
        </w:rPr>
        <w:t xml:space="preserve">, as </w:t>
      </w:r>
      <w:r w:rsidR="00A73554">
        <w:rPr>
          <w:sz w:val="24"/>
          <w:szCs w:val="24"/>
        </w:rPr>
        <w:t xml:space="preserve">per the algorithmic routines </w:t>
      </w:r>
      <w:r w:rsidR="00C77FC7">
        <w:rPr>
          <w:sz w:val="24"/>
          <w:szCs w:val="24"/>
        </w:rPr>
        <w:t xml:space="preserve">contained </w:t>
      </w:r>
      <w:r w:rsidR="00A73554">
        <w:rPr>
          <w:sz w:val="24"/>
          <w:szCs w:val="24"/>
        </w:rPr>
        <w:t xml:space="preserve">in the </w:t>
      </w:r>
      <w:r w:rsidR="00A73554" w:rsidRPr="00A73554">
        <w:rPr>
          <w:i/>
          <w:sz w:val="24"/>
          <w:szCs w:val="24"/>
        </w:rPr>
        <w:t>statnet</w:t>
      </w:r>
      <w:r w:rsidR="00A73554">
        <w:rPr>
          <w:sz w:val="24"/>
          <w:szCs w:val="24"/>
        </w:rPr>
        <w:t xml:space="preserve"> package</w:t>
      </w:r>
      <w:r w:rsidR="003D69A9">
        <w:rPr>
          <w:sz w:val="24"/>
          <w:szCs w:val="24"/>
        </w:rPr>
        <w:t xml:space="preserve"> </w:t>
      </w:r>
      <w:r w:rsidR="002C34A7">
        <w:rPr>
          <w:sz w:val="24"/>
          <w:szCs w:val="24"/>
        </w:rPr>
        <w:fldChar w:fldCharType="begin" w:fldLock="1"/>
      </w:r>
      <w:r w:rsidR="00D026CF">
        <w:rPr>
          <w:sz w:val="24"/>
          <w:szCs w:val="24"/>
        </w:rPr>
        <w:instrText>ADDIN CSL_CITATION {"citationItems":[{"id":"ITEM-1","itemData":{"DOI":"10.1016/j.biotechadv.2011.08.021.Secreted","ISBN":"1548-7660 (Electronic)\\n1548-7660 (Linking)","ISSN":"1548-7660","PMID":"18612375","abstract":"The statnet suite of R packages contains a wide range of functionality for the statistical analysis of social networks, including the implementation of exponential-family random graph (ERG) models. In this paper we illustrate some of the functionality of statnet through a tutorial analysis of a friendship network of 1,461 adolescents.","author":[{"dropping-particle":"","family":"Goodreau","given":"Steven M","non-dropping-particle":"","parse-names":false,"suffix":""},{"dropping-particle":"","family":"Handcock","given":"Mark S","non-dropping-particle":"","parse-names":false,"suffix":""},{"dropping-particle":"","family":"Hunter","given":"David R","non-dropping-particle":"","parse-names":false,"suffix":""},{"dropping-particle":"","family":"Butts","given":"Carter T","non-dropping-particle":"","parse-names":false,"suffix":""},{"dropping-particle":"","family":"Morris","given":"Martina","non-dropping-particle":"","parse-names":false,"suffix":""}],"container-title":"Journal of statistical software","id":"ITEM-1","issue":"9","issued":{"date-parts":[["2008"]]},"page":"1-27","title":"A statnet Tutorial.","type":"article-journal","volume":"24"},"uris":["http://www.mendeley.com/documents/?uuid=3edc1ee5-d81d-476b-b491-3da627c9efce"]}],"mendeley":{"formattedCitation":"[11]","plainTextFormattedCitation":"[11]","previouslyFormattedCitation":"[11]"},"properties":{"noteIndex":0},"schema":"https://github.com/citation-style-language/schema/raw/master/csl-citation.json"}</w:instrText>
      </w:r>
      <w:r w:rsidR="002C34A7">
        <w:rPr>
          <w:sz w:val="24"/>
          <w:szCs w:val="24"/>
        </w:rPr>
        <w:fldChar w:fldCharType="separate"/>
      </w:r>
      <w:r w:rsidR="00710FC1" w:rsidRPr="00710FC1">
        <w:rPr>
          <w:sz w:val="24"/>
          <w:szCs w:val="24"/>
        </w:rPr>
        <w:t>[11]</w:t>
      </w:r>
      <w:r w:rsidR="002C34A7">
        <w:rPr>
          <w:sz w:val="24"/>
          <w:szCs w:val="24"/>
        </w:rPr>
        <w:fldChar w:fldCharType="end"/>
      </w:r>
      <w:r w:rsidR="00A73554">
        <w:rPr>
          <w:sz w:val="24"/>
          <w:szCs w:val="24"/>
        </w:rPr>
        <w:t xml:space="preserve">. </w:t>
      </w:r>
    </w:p>
    <w:p w14:paraId="15682F95" w14:textId="22294E62" w:rsidR="002A1BD7" w:rsidRPr="00E57A76" w:rsidRDefault="00C60C76" w:rsidP="009271A0">
      <w:pPr>
        <w:spacing w:line="480" w:lineRule="auto"/>
        <w:ind w:firstLine="720"/>
        <w:rPr>
          <w:rFonts w:ascii="Times New Roman" w:hAnsi="Times New Roman" w:cs="Times New Roman"/>
          <w:noProof w:val="0"/>
          <w:sz w:val="24"/>
          <w:szCs w:val="24"/>
        </w:rPr>
      </w:pPr>
      <w:r>
        <w:rPr>
          <w:sz w:val="24"/>
          <w:szCs w:val="24"/>
        </w:rPr>
        <w:t>For both main and casual networks, the persistence of each partnership was defined as</w:t>
      </w:r>
      <w:r w:rsidR="00E57A76">
        <w:rPr>
          <w:sz w:val="24"/>
          <w:szCs w:val="24"/>
        </w:rPr>
        <w:br/>
      </w:r>
      <m:oMathPara>
        <m:oMath>
          <m:r>
            <m:rPr>
              <m:nor/>
            </m:rPr>
            <w:rPr>
              <w:rFonts w:ascii="Cambria Math" w:hAnsi="Times New Roman" w:cs="Times New Roman"/>
              <w:sz w:val="24"/>
              <w:szCs w:val="24"/>
            </w:rPr>
            <m:t>l</m:t>
          </m:r>
          <m:r>
            <m:rPr>
              <m:nor/>
            </m:rPr>
            <w:rPr>
              <w:rFonts w:ascii="Times New Roman" w:hAnsi="Times New Roman" w:cs="Times New Roman"/>
              <w:sz w:val="24"/>
              <w:szCs w:val="24"/>
            </w:rPr>
            <m:t>ogit(p(</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ij,t</m:t>
              </m:r>
            </m:sub>
          </m:sSub>
          <m:r>
            <w:rPr>
              <w:rFonts w:ascii="Cambria Math" w:hAnsi="Cambria Math" w:cs="Times New Roman"/>
              <w:sz w:val="24"/>
              <w:szCs w:val="24"/>
            </w:rPr>
            <m:t>=0|</m:t>
          </m:r>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ij,t-1</m:t>
              </m:r>
            </m:sub>
            <m:sup>
              <m:r>
                <w:rPr>
                  <w:rFonts w:ascii="Cambria Math" w:hAnsi="Cambria Math" w:cs="Times New Roman"/>
                  <w:sz w:val="24"/>
                  <w:szCs w:val="24"/>
                </w:rPr>
                <m:t>c</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ij,t-1</m:t>
              </m:r>
            </m:sub>
          </m:sSub>
          <m:r>
            <w:rPr>
              <w:rFonts w:ascii="Cambria Math" w:hAnsi="Cambria Math" w:cs="Times New Roman"/>
              <w:sz w:val="24"/>
              <w:szCs w:val="24"/>
            </w:rPr>
            <m:t xml:space="preserve">=1))= </m:t>
          </m:r>
          <m:sSub>
            <m:sSubPr>
              <m:ctrlPr>
                <w:rPr>
                  <w:rFonts w:ascii="Cambria Math" w:hAnsi="Cambria Math" w:cs="Times New Roman"/>
                  <w:i/>
                  <w:sz w:val="24"/>
                  <w:szCs w:val="24"/>
                </w:rPr>
              </m:ctrlPr>
            </m:sSubPr>
            <m:e>
              <m:r>
                <w:rPr>
                  <w:rFonts w:ascii="Cambria Math" w:hAnsi="Cambria Math" w:cs="Times New Roman"/>
                  <w:sz w:val="24"/>
                  <w:szCs w:val="24"/>
                </w:rPr>
                <m:t>θ</m:t>
              </m:r>
            </m:e>
            <m:sub>
              <m:r>
                <m:rPr>
                  <m:sty m:val="p"/>
                </m:rPr>
                <w:rPr>
                  <w:rFonts w:ascii="Cambria Math" w:hAnsi="Cambria Math" w:cs="Times New Roman"/>
                  <w:sz w:val="24"/>
                  <w:szCs w:val="24"/>
                </w:rPr>
                <m:t>diss</m:t>
              </m:r>
            </m:sub>
          </m:sSub>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e</m:t>
              </m:r>
            </m:sub>
          </m:sSub>
          <m:r>
            <w:rPr>
              <w:rFonts w:ascii="Cambria Math" w:hAnsi="Cambria Math" w:cs="Times New Roman"/>
              <w:sz w:val="24"/>
              <w:szCs w:val="24"/>
            </w:rPr>
            <m:t>(e)</m:t>
          </m:r>
          <m:r>
            <m:rPr>
              <m:sty m:val="p"/>
            </m:rPr>
            <w:rPr>
              <w:sz w:val="24"/>
              <w:szCs w:val="24"/>
            </w:rPr>
            <w:br/>
          </m:r>
        </m:oMath>
      </m:oMathPara>
      <w:r w:rsidR="008A7161">
        <w:rPr>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m:rPr>
                <m:sty m:val="p"/>
              </m:rPr>
              <w:rPr>
                <w:rFonts w:ascii="Cambria Math" w:hAnsi="Cambria Math" w:cs="Times New Roman"/>
                <w:sz w:val="24"/>
                <w:szCs w:val="24"/>
              </w:rPr>
              <m:t>diss</m:t>
            </m:r>
          </m:sub>
        </m:sSub>
      </m:oMath>
      <w:r w:rsidR="008A7161">
        <w:rPr>
          <w:sz w:val="24"/>
          <w:szCs w:val="24"/>
        </w:rPr>
        <w:t xml:space="preserve">is the </w:t>
      </w:r>
      <w:r w:rsidR="00187072">
        <w:rPr>
          <w:sz w:val="24"/>
          <w:szCs w:val="24"/>
        </w:rPr>
        <w:t xml:space="preserve">coefficient associated with the dissolutoin of one tie. </w:t>
      </w:r>
      <w:r w:rsidR="00517BF0">
        <w:rPr>
          <w:sz w:val="24"/>
          <w:szCs w:val="24"/>
        </w:rPr>
        <w:t>The model simulations</w:t>
      </w:r>
      <w:r w:rsidR="00D7010F">
        <w:rPr>
          <w:sz w:val="24"/>
          <w:szCs w:val="24"/>
        </w:rPr>
        <w:t>, described in Section 4 below,</w:t>
      </w:r>
      <w:r w:rsidR="00517BF0">
        <w:rPr>
          <w:sz w:val="24"/>
          <w:szCs w:val="24"/>
        </w:rPr>
        <w:t xml:space="preserve"> incorporated the formation and dissolution coefficients derived </w:t>
      </w:r>
      <w:r w:rsidR="004C74D4">
        <w:rPr>
          <w:sz w:val="24"/>
          <w:szCs w:val="24"/>
        </w:rPr>
        <w:t>here</w:t>
      </w:r>
      <w:r w:rsidR="00517BF0">
        <w:rPr>
          <w:sz w:val="24"/>
          <w:szCs w:val="24"/>
        </w:rPr>
        <w:t>.</w:t>
      </w:r>
    </w:p>
    <w:p w14:paraId="54F3725B" w14:textId="22F5C9AD" w:rsidR="00E70D1B" w:rsidRDefault="00B03FB7" w:rsidP="00E030E2">
      <w:pPr>
        <w:pStyle w:val="Heading1"/>
      </w:pPr>
      <w:bookmarkStart w:id="3" w:name="_Toc3377331"/>
      <w:r w:rsidRPr="00E030E2">
        <w:t>A.</w:t>
      </w:r>
      <w:r w:rsidR="0573D6D8" w:rsidRPr="00E030E2">
        <w:t>4 Simulating Baseline Epidemics</w:t>
      </w:r>
      <w:bookmarkEnd w:id="3"/>
      <w:r w:rsidR="0573D6D8" w:rsidRPr="00E030E2">
        <w:t xml:space="preserve"> </w:t>
      </w:r>
    </w:p>
    <w:p w14:paraId="12FFBC99" w14:textId="77777777" w:rsidR="00E030E2" w:rsidRPr="00E030E2" w:rsidRDefault="00E030E2" w:rsidP="00E030E2"/>
    <w:p w14:paraId="3642AB27" w14:textId="1D01AE96" w:rsidR="000B48C0" w:rsidRPr="00330C80" w:rsidRDefault="0573D6D8" w:rsidP="0573D6D8">
      <w:pPr>
        <w:spacing w:line="480" w:lineRule="auto"/>
        <w:ind w:firstLine="720"/>
        <w:rPr>
          <w:rFonts w:ascii="Times New Roman" w:hAnsi="Times New Roman" w:cs="Times New Roman"/>
          <w:b/>
          <w:bCs/>
          <w:noProof w:val="0"/>
          <w:sz w:val="24"/>
          <w:szCs w:val="24"/>
        </w:rPr>
      </w:pPr>
      <w:r w:rsidRPr="0573D6D8">
        <w:rPr>
          <w:rFonts w:ascii="Times New Roman" w:hAnsi="Times New Roman" w:cs="Times New Roman"/>
          <w:noProof w:val="0"/>
          <w:sz w:val="24"/>
          <w:szCs w:val="24"/>
        </w:rPr>
        <w:t>The estimated models for main and casual partnership networks were simulated forward in daily time steps. These baseline epidemics were simulated for</w:t>
      </w:r>
      <w:r w:rsidR="00A7168E">
        <w:rPr>
          <w:rFonts w:ascii="Times New Roman" w:hAnsi="Times New Roman" w:cs="Times New Roman"/>
          <w:noProof w:val="0"/>
          <w:sz w:val="24"/>
          <w:szCs w:val="24"/>
        </w:rPr>
        <w:t xml:space="preserve"> a long </w:t>
      </w:r>
      <w:r w:rsidR="00A7168E" w:rsidRPr="00BA7C39">
        <w:rPr>
          <w:rFonts w:ascii="Times New Roman" w:hAnsi="Times New Roman" w:cs="Times New Roman"/>
          <w:sz w:val="24"/>
          <w:szCs w:val="24"/>
        </w:rPr>
        <w:t>burnin</w:t>
      </w:r>
      <w:r w:rsidR="00A7168E">
        <w:rPr>
          <w:rFonts w:ascii="Times New Roman" w:hAnsi="Times New Roman" w:cs="Times New Roman"/>
          <w:noProof w:val="0"/>
          <w:sz w:val="24"/>
          <w:szCs w:val="24"/>
        </w:rPr>
        <w:t xml:space="preserve"> period</w:t>
      </w:r>
      <w:r w:rsidRPr="0573D6D8">
        <w:rPr>
          <w:rFonts w:ascii="Times New Roman" w:hAnsi="Times New Roman" w:cs="Times New Roman"/>
          <w:noProof w:val="0"/>
          <w:sz w:val="24"/>
          <w:szCs w:val="24"/>
        </w:rPr>
        <w:t>, allowing the model interdependencies sufficient time to equilibrate</w:t>
      </w:r>
      <w:r w:rsidR="00E33070">
        <w:rPr>
          <w:rFonts w:ascii="Times New Roman" w:hAnsi="Times New Roman" w:cs="Times New Roman"/>
          <w:noProof w:val="0"/>
          <w:sz w:val="24"/>
          <w:szCs w:val="24"/>
        </w:rPr>
        <w:t xml:space="preserve"> (</w:t>
      </w:r>
      <w:r w:rsidR="00E33070" w:rsidRPr="0573D6D8">
        <w:rPr>
          <w:rFonts w:ascii="Times New Roman" w:hAnsi="Times New Roman" w:cs="Times New Roman"/>
          <w:noProof w:val="0"/>
          <w:sz w:val="24"/>
          <w:szCs w:val="24"/>
        </w:rPr>
        <w:t>100 years</w:t>
      </w:r>
      <w:r w:rsidR="00E33070">
        <w:rPr>
          <w:rFonts w:ascii="Times New Roman" w:hAnsi="Times New Roman" w:cs="Times New Roman"/>
          <w:noProof w:val="0"/>
          <w:sz w:val="24"/>
          <w:szCs w:val="24"/>
        </w:rPr>
        <w:t xml:space="preserve"> in this case)</w:t>
      </w:r>
      <w:r w:rsidRPr="0573D6D8">
        <w:rPr>
          <w:rFonts w:ascii="Times New Roman" w:hAnsi="Times New Roman" w:cs="Times New Roman"/>
          <w:noProof w:val="0"/>
          <w:sz w:val="24"/>
          <w:szCs w:val="24"/>
        </w:rPr>
        <w:t>. Each step of the simulation included the following processes: (1</w:t>
      </w:r>
      <w:r w:rsidR="009267BB">
        <w:rPr>
          <w:rFonts w:ascii="Times New Roman" w:hAnsi="Times New Roman" w:cs="Times New Roman"/>
          <w:noProof w:val="0"/>
          <w:sz w:val="24"/>
          <w:szCs w:val="24"/>
        </w:rPr>
        <w:t xml:space="preserve">) entry of individuals into </w:t>
      </w:r>
      <w:r w:rsidRPr="0573D6D8">
        <w:rPr>
          <w:rFonts w:ascii="Times New Roman" w:hAnsi="Times New Roman" w:cs="Times New Roman"/>
          <w:noProof w:val="0"/>
          <w:sz w:val="24"/>
          <w:szCs w:val="24"/>
        </w:rPr>
        <w:t xml:space="preserve">the modeled </w:t>
      </w:r>
      <w:r w:rsidRPr="0573D6D8">
        <w:rPr>
          <w:rFonts w:ascii="Times New Roman" w:hAnsi="Times New Roman" w:cs="Times New Roman"/>
          <w:noProof w:val="0"/>
          <w:sz w:val="24"/>
          <w:szCs w:val="24"/>
        </w:rPr>
        <w:lastRenderedPageBreak/>
        <w:t>population</w:t>
      </w:r>
      <w:r w:rsidR="004D5486">
        <w:rPr>
          <w:rFonts w:ascii="Times New Roman" w:hAnsi="Times New Roman" w:cs="Times New Roman"/>
          <w:noProof w:val="0"/>
          <w:sz w:val="24"/>
          <w:szCs w:val="24"/>
        </w:rPr>
        <w:t>;</w:t>
      </w:r>
      <w:r w:rsidRPr="0573D6D8">
        <w:rPr>
          <w:rFonts w:ascii="Times New Roman" w:hAnsi="Times New Roman" w:cs="Times New Roman"/>
          <w:noProof w:val="0"/>
          <w:sz w:val="24"/>
          <w:szCs w:val="24"/>
        </w:rPr>
        <w:t xml:space="preserve"> (2) </w:t>
      </w:r>
      <w:r w:rsidR="00F9630C">
        <w:rPr>
          <w:rFonts w:ascii="Times New Roman" w:hAnsi="Times New Roman" w:cs="Times New Roman"/>
          <w:noProof w:val="0"/>
          <w:sz w:val="24"/>
          <w:szCs w:val="24"/>
        </w:rPr>
        <w:t xml:space="preserve">departures of individuals from </w:t>
      </w:r>
      <w:r w:rsidRPr="0573D6D8">
        <w:rPr>
          <w:rFonts w:ascii="Times New Roman" w:hAnsi="Times New Roman" w:cs="Times New Roman"/>
          <w:noProof w:val="0"/>
          <w:sz w:val="24"/>
          <w:szCs w:val="24"/>
        </w:rPr>
        <w:t>the modeled population</w:t>
      </w:r>
      <w:r w:rsidR="001567CF">
        <w:rPr>
          <w:rFonts w:ascii="Times New Roman" w:hAnsi="Times New Roman" w:cs="Times New Roman"/>
          <w:noProof w:val="0"/>
          <w:sz w:val="24"/>
          <w:szCs w:val="24"/>
        </w:rPr>
        <w:t>;</w:t>
      </w:r>
      <w:r w:rsidRPr="0573D6D8">
        <w:rPr>
          <w:rFonts w:ascii="Times New Roman" w:hAnsi="Times New Roman" w:cs="Times New Roman"/>
          <w:noProof w:val="0"/>
          <w:sz w:val="24"/>
          <w:szCs w:val="24"/>
        </w:rPr>
        <w:t xml:space="preserve"> </w:t>
      </w:r>
      <w:r w:rsidR="00EC50FC">
        <w:rPr>
          <w:rFonts w:ascii="Times New Roman" w:hAnsi="Times New Roman" w:cs="Times New Roman"/>
          <w:noProof w:val="0"/>
          <w:sz w:val="24"/>
          <w:szCs w:val="24"/>
        </w:rPr>
        <w:t>(</w:t>
      </w:r>
      <w:r w:rsidR="001567CF">
        <w:rPr>
          <w:rFonts w:ascii="Times New Roman" w:hAnsi="Times New Roman" w:cs="Times New Roman"/>
          <w:noProof w:val="0"/>
          <w:sz w:val="24"/>
          <w:szCs w:val="24"/>
        </w:rPr>
        <w:t>3</w:t>
      </w:r>
      <w:r w:rsidR="00EC50FC">
        <w:rPr>
          <w:rFonts w:ascii="Times New Roman" w:hAnsi="Times New Roman" w:cs="Times New Roman"/>
          <w:noProof w:val="0"/>
          <w:sz w:val="24"/>
          <w:szCs w:val="24"/>
        </w:rPr>
        <w:t>) modeling main and casual sexual networks</w:t>
      </w:r>
      <w:r w:rsidR="008F6F42">
        <w:rPr>
          <w:rFonts w:ascii="Times New Roman" w:hAnsi="Times New Roman" w:cs="Times New Roman"/>
          <w:noProof w:val="0"/>
          <w:sz w:val="24"/>
          <w:szCs w:val="24"/>
        </w:rPr>
        <w:t>;</w:t>
      </w:r>
      <w:r w:rsidR="00EC50FC">
        <w:rPr>
          <w:rFonts w:ascii="Times New Roman" w:hAnsi="Times New Roman" w:cs="Times New Roman"/>
          <w:noProof w:val="0"/>
          <w:sz w:val="24"/>
          <w:szCs w:val="24"/>
        </w:rPr>
        <w:t xml:space="preserve"> </w:t>
      </w:r>
      <w:r w:rsidRPr="0573D6D8">
        <w:rPr>
          <w:rFonts w:ascii="Times New Roman" w:hAnsi="Times New Roman" w:cs="Times New Roman"/>
          <w:noProof w:val="0"/>
          <w:sz w:val="24"/>
          <w:szCs w:val="24"/>
        </w:rPr>
        <w:t>(</w:t>
      </w:r>
      <w:r w:rsidR="008F6F42">
        <w:rPr>
          <w:rFonts w:ascii="Times New Roman" w:hAnsi="Times New Roman" w:cs="Times New Roman"/>
          <w:noProof w:val="0"/>
          <w:sz w:val="24"/>
          <w:szCs w:val="24"/>
        </w:rPr>
        <w:t>4</w:t>
      </w:r>
      <w:r w:rsidRPr="0573D6D8">
        <w:rPr>
          <w:rFonts w:ascii="Times New Roman" w:hAnsi="Times New Roman" w:cs="Times New Roman"/>
          <w:noProof w:val="0"/>
          <w:sz w:val="24"/>
          <w:szCs w:val="24"/>
        </w:rPr>
        <w:t>) HIV testing</w:t>
      </w:r>
      <w:r w:rsidR="00A93F41">
        <w:rPr>
          <w:rFonts w:ascii="Times New Roman" w:hAnsi="Times New Roman" w:cs="Times New Roman"/>
          <w:noProof w:val="0"/>
          <w:sz w:val="24"/>
          <w:szCs w:val="24"/>
        </w:rPr>
        <w:t xml:space="preserve"> and diagnosis</w:t>
      </w:r>
      <w:r w:rsidR="00772EE4">
        <w:rPr>
          <w:rFonts w:ascii="Times New Roman" w:hAnsi="Times New Roman" w:cs="Times New Roman"/>
          <w:noProof w:val="0"/>
          <w:sz w:val="24"/>
          <w:szCs w:val="24"/>
        </w:rPr>
        <w:t>;</w:t>
      </w:r>
      <w:r w:rsidRPr="0573D6D8">
        <w:rPr>
          <w:rFonts w:ascii="Times New Roman" w:hAnsi="Times New Roman" w:cs="Times New Roman"/>
          <w:noProof w:val="0"/>
          <w:sz w:val="24"/>
          <w:szCs w:val="24"/>
        </w:rPr>
        <w:t xml:space="preserve"> (</w:t>
      </w:r>
      <w:r w:rsidR="002265B8">
        <w:rPr>
          <w:rFonts w:ascii="Times New Roman" w:hAnsi="Times New Roman" w:cs="Times New Roman"/>
          <w:noProof w:val="0"/>
          <w:sz w:val="24"/>
          <w:szCs w:val="24"/>
        </w:rPr>
        <w:t>5</w:t>
      </w:r>
      <w:r w:rsidRPr="0573D6D8">
        <w:rPr>
          <w:rFonts w:ascii="Times New Roman" w:hAnsi="Times New Roman" w:cs="Times New Roman"/>
          <w:noProof w:val="0"/>
          <w:sz w:val="24"/>
          <w:szCs w:val="24"/>
        </w:rPr>
        <w:t xml:space="preserve">) </w:t>
      </w:r>
      <w:r w:rsidR="00B83424">
        <w:rPr>
          <w:rFonts w:ascii="Times New Roman" w:hAnsi="Times New Roman" w:cs="Times New Roman"/>
          <w:noProof w:val="0"/>
          <w:sz w:val="24"/>
          <w:szCs w:val="24"/>
        </w:rPr>
        <w:t xml:space="preserve">temporal </w:t>
      </w:r>
      <w:r w:rsidR="006F32CD">
        <w:rPr>
          <w:rFonts w:ascii="Times New Roman" w:hAnsi="Times New Roman" w:cs="Times New Roman"/>
          <w:noProof w:val="0"/>
          <w:sz w:val="24"/>
          <w:szCs w:val="24"/>
        </w:rPr>
        <w:t>evolution</w:t>
      </w:r>
      <w:r w:rsidRPr="0573D6D8">
        <w:rPr>
          <w:rFonts w:ascii="Times New Roman" w:hAnsi="Times New Roman" w:cs="Times New Roman"/>
          <w:noProof w:val="0"/>
          <w:sz w:val="24"/>
          <w:szCs w:val="24"/>
        </w:rPr>
        <w:t xml:space="preserve"> of CD4 counts</w:t>
      </w:r>
      <w:r w:rsidR="00772EE4">
        <w:rPr>
          <w:rFonts w:ascii="Times New Roman" w:hAnsi="Times New Roman" w:cs="Times New Roman"/>
          <w:noProof w:val="0"/>
          <w:sz w:val="24"/>
          <w:szCs w:val="24"/>
        </w:rPr>
        <w:t>;</w:t>
      </w:r>
      <w:r w:rsidRPr="0573D6D8">
        <w:rPr>
          <w:rFonts w:ascii="Times New Roman" w:hAnsi="Times New Roman" w:cs="Times New Roman"/>
          <w:noProof w:val="0"/>
          <w:sz w:val="24"/>
          <w:szCs w:val="24"/>
        </w:rPr>
        <w:t xml:space="preserve"> (</w:t>
      </w:r>
      <w:r w:rsidR="00772EE4">
        <w:rPr>
          <w:rFonts w:ascii="Times New Roman" w:hAnsi="Times New Roman" w:cs="Times New Roman"/>
          <w:noProof w:val="0"/>
          <w:sz w:val="24"/>
          <w:szCs w:val="24"/>
        </w:rPr>
        <w:t>6</w:t>
      </w:r>
      <w:r w:rsidRPr="0573D6D8">
        <w:rPr>
          <w:rFonts w:ascii="Times New Roman" w:hAnsi="Times New Roman" w:cs="Times New Roman"/>
          <w:noProof w:val="0"/>
          <w:sz w:val="24"/>
          <w:szCs w:val="24"/>
        </w:rPr>
        <w:t xml:space="preserve">) </w:t>
      </w:r>
      <w:r w:rsidR="006F32CD">
        <w:rPr>
          <w:rFonts w:ascii="Times New Roman" w:hAnsi="Times New Roman" w:cs="Times New Roman"/>
          <w:noProof w:val="0"/>
          <w:sz w:val="24"/>
          <w:szCs w:val="24"/>
        </w:rPr>
        <w:t>temporal evolution</w:t>
      </w:r>
      <w:r w:rsidR="006F32CD" w:rsidRPr="0573D6D8">
        <w:rPr>
          <w:rFonts w:ascii="Times New Roman" w:hAnsi="Times New Roman" w:cs="Times New Roman"/>
          <w:noProof w:val="0"/>
          <w:sz w:val="24"/>
          <w:szCs w:val="24"/>
        </w:rPr>
        <w:t xml:space="preserve"> of</w:t>
      </w:r>
      <w:r w:rsidRPr="0573D6D8">
        <w:rPr>
          <w:rFonts w:ascii="Times New Roman" w:hAnsi="Times New Roman" w:cs="Times New Roman"/>
          <w:noProof w:val="0"/>
          <w:sz w:val="24"/>
          <w:szCs w:val="24"/>
        </w:rPr>
        <w:t xml:space="preserve"> </w:t>
      </w:r>
      <w:r w:rsidR="00A22429">
        <w:rPr>
          <w:rFonts w:ascii="Times New Roman" w:hAnsi="Times New Roman" w:cs="Times New Roman"/>
          <w:noProof w:val="0"/>
          <w:sz w:val="24"/>
          <w:szCs w:val="24"/>
        </w:rPr>
        <w:t>HIV RNA (“</w:t>
      </w:r>
      <w:r w:rsidRPr="0573D6D8">
        <w:rPr>
          <w:rFonts w:ascii="Times New Roman" w:hAnsi="Times New Roman" w:cs="Times New Roman"/>
          <w:noProof w:val="0"/>
          <w:sz w:val="24"/>
          <w:szCs w:val="24"/>
        </w:rPr>
        <w:t>viral load</w:t>
      </w:r>
      <w:r w:rsidR="00A22429">
        <w:rPr>
          <w:rFonts w:ascii="Times New Roman" w:hAnsi="Times New Roman" w:cs="Times New Roman"/>
          <w:noProof w:val="0"/>
          <w:sz w:val="24"/>
          <w:szCs w:val="24"/>
        </w:rPr>
        <w:t>”)</w:t>
      </w:r>
      <w:r w:rsidR="008533F1">
        <w:rPr>
          <w:rFonts w:ascii="Times New Roman" w:hAnsi="Times New Roman" w:cs="Times New Roman"/>
          <w:noProof w:val="0"/>
          <w:sz w:val="24"/>
          <w:szCs w:val="24"/>
        </w:rPr>
        <w:t>;</w:t>
      </w:r>
      <w:r w:rsidRPr="0573D6D8">
        <w:rPr>
          <w:rFonts w:ascii="Times New Roman" w:hAnsi="Times New Roman" w:cs="Times New Roman"/>
          <w:noProof w:val="0"/>
          <w:sz w:val="24"/>
          <w:szCs w:val="24"/>
        </w:rPr>
        <w:t xml:space="preserve"> (</w:t>
      </w:r>
      <w:r w:rsidR="008533F1">
        <w:rPr>
          <w:rFonts w:ascii="Times New Roman" w:hAnsi="Times New Roman" w:cs="Times New Roman"/>
          <w:noProof w:val="0"/>
          <w:sz w:val="24"/>
          <w:szCs w:val="24"/>
        </w:rPr>
        <w:t>7</w:t>
      </w:r>
      <w:r w:rsidRPr="0573D6D8">
        <w:rPr>
          <w:rFonts w:ascii="Times New Roman" w:hAnsi="Times New Roman" w:cs="Times New Roman"/>
          <w:noProof w:val="0"/>
          <w:sz w:val="24"/>
          <w:szCs w:val="24"/>
        </w:rPr>
        <w:t xml:space="preserve">) </w:t>
      </w:r>
      <w:r w:rsidR="00747A2F">
        <w:rPr>
          <w:rFonts w:ascii="Times New Roman" w:hAnsi="Times New Roman" w:cs="Times New Roman"/>
          <w:noProof w:val="0"/>
          <w:sz w:val="24"/>
          <w:szCs w:val="24"/>
        </w:rPr>
        <w:t>dynamics and effects of</w:t>
      </w:r>
      <w:r w:rsidRPr="0573D6D8">
        <w:rPr>
          <w:rFonts w:ascii="Times New Roman" w:hAnsi="Times New Roman" w:cs="Times New Roman"/>
          <w:noProof w:val="0"/>
          <w:sz w:val="24"/>
          <w:szCs w:val="24"/>
        </w:rPr>
        <w:t xml:space="preserve"> antiretroviral (</w:t>
      </w:r>
      <w:r w:rsidR="00B8754D">
        <w:rPr>
          <w:rFonts w:ascii="Times New Roman" w:hAnsi="Times New Roman" w:cs="Times New Roman"/>
          <w:noProof w:val="0"/>
          <w:sz w:val="24"/>
          <w:szCs w:val="24"/>
        </w:rPr>
        <w:t>ART</w:t>
      </w:r>
      <w:r w:rsidRPr="0573D6D8">
        <w:rPr>
          <w:rFonts w:ascii="Times New Roman" w:hAnsi="Times New Roman" w:cs="Times New Roman"/>
          <w:noProof w:val="0"/>
          <w:sz w:val="24"/>
          <w:szCs w:val="24"/>
        </w:rPr>
        <w:t xml:space="preserve">) </w:t>
      </w:r>
      <w:r w:rsidR="00747A2F">
        <w:rPr>
          <w:rFonts w:ascii="Times New Roman" w:hAnsi="Times New Roman" w:cs="Times New Roman"/>
          <w:noProof w:val="0"/>
          <w:sz w:val="24"/>
          <w:szCs w:val="24"/>
        </w:rPr>
        <w:t>use</w:t>
      </w:r>
      <w:r w:rsidR="006B748D">
        <w:rPr>
          <w:rFonts w:ascii="Times New Roman" w:hAnsi="Times New Roman" w:cs="Times New Roman"/>
          <w:noProof w:val="0"/>
          <w:sz w:val="24"/>
          <w:szCs w:val="24"/>
        </w:rPr>
        <w:t>;</w:t>
      </w:r>
      <w:r w:rsidRPr="0573D6D8">
        <w:rPr>
          <w:rFonts w:ascii="Times New Roman" w:hAnsi="Times New Roman" w:cs="Times New Roman"/>
          <w:noProof w:val="0"/>
          <w:sz w:val="24"/>
          <w:szCs w:val="24"/>
        </w:rPr>
        <w:t xml:space="preserve"> (</w:t>
      </w:r>
      <w:r w:rsidR="006B748D">
        <w:rPr>
          <w:rFonts w:ascii="Times New Roman" w:hAnsi="Times New Roman" w:cs="Times New Roman"/>
          <w:noProof w:val="0"/>
          <w:sz w:val="24"/>
          <w:szCs w:val="24"/>
        </w:rPr>
        <w:t>8</w:t>
      </w:r>
      <w:r w:rsidRPr="0573D6D8">
        <w:rPr>
          <w:rFonts w:ascii="Times New Roman" w:hAnsi="Times New Roman" w:cs="Times New Roman"/>
          <w:noProof w:val="0"/>
          <w:sz w:val="24"/>
          <w:szCs w:val="24"/>
        </w:rPr>
        <w:t xml:space="preserve">) </w:t>
      </w:r>
      <w:r w:rsidR="00BF0A09">
        <w:rPr>
          <w:rFonts w:ascii="Times New Roman" w:hAnsi="Times New Roman" w:cs="Times New Roman"/>
          <w:noProof w:val="0"/>
          <w:sz w:val="24"/>
          <w:szCs w:val="24"/>
        </w:rPr>
        <w:t xml:space="preserve">dynamics and effects </w:t>
      </w:r>
      <w:r w:rsidRPr="0573D6D8">
        <w:rPr>
          <w:rFonts w:ascii="Times New Roman" w:hAnsi="Times New Roman" w:cs="Times New Roman"/>
          <w:noProof w:val="0"/>
          <w:sz w:val="24"/>
          <w:szCs w:val="24"/>
        </w:rPr>
        <w:t xml:space="preserve">of </w:t>
      </w:r>
      <w:r w:rsidR="00747A2F" w:rsidRPr="00BE5D23">
        <w:rPr>
          <w:rFonts w:ascii="Times New Roman" w:hAnsi="Times New Roman" w:cs="Times New Roman"/>
          <w:sz w:val="24"/>
          <w:szCs w:val="24"/>
          <w:u w:val="thick" w:color="E2534F"/>
        </w:rPr>
        <w:t>preexposure</w:t>
      </w:r>
      <w:r w:rsidR="00747A2F">
        <w:rPr>
          <w:rFonts w:ascii="Times New Roman" w:hAnsi="Times New Roman" w:cs="Times New Roman"/>
          <w:noProof w:val="0"/>
          <w:sz w:val="24"/>
          <w:szCs w:val="24"/>
        </w:rPr>
        <w:t xml:space="preserve"> prophylaxis (</w:t>
      </w:r>
      <w:r w:rsidRPr="0573D6D8">
        <w:rPr>
          <w:rFonts w:ascii="Times New Roman" w:hAnsi="Times New Roman" w:cs="Times New Roman"/>
          <w:noProof w:val="0"/>
          <w:sz w:val="24"/>
          <w:szCs w:val="24"/>
        </w:rPr>
        <w:t>PrEP</w:t>
      </w:r>
      <w:r w:rsidR="00747A2F">
        <w:rPr>
          <w:rFonts w:ascii="Times New Roman" w:hAnsi="Times New Roman" w:cs="Times New Roman"/>
          <w:noProof w:val="0"/>
          <w:sz w:val="24"/>
          <w:szCs w:val="24"/>
        </w:rPr>
        <w:t>)</w:t>
      </w:r>
      <w:r w:rsidRPr="0573D6D8">
        <w:rPr>
          <w:rFonts w:ascii="Times New Roman" w:hAnsi="Times New Roman" w:cs="Times New Roman"/>
          <w:noProof w:val="0"/>
          <w:sz w:val="24"/>
          <w:szCs w:val="24"/>
        </w:rPr>
        <w:t xml:space="preserve"> </w:t>
      </w:r>
      <w:r w:rsidR="00A2349A">
        <w:rPr>
          <w:rFonts w:ascii="Times New Roman" w:hAnsi="Times New Roman" w:cs="Times New Roman"/>
          <w:noProof w:val="0"/>
          <w:sz w:val="24"/>
          <w:szCs w:val="24"/>
        </w:rPr>
        <w:t>use</w:t>
      </w:r>
      <w:r w:rsidRPr="0573D6D8">
        <w:rPr>
          <w:rFonts w:ascii="Times New Roman" w:hAnsi="Times New Roman" w:cs="Times New Roman"/>
          <w:noProof w:val="0"/>
          <w:sz w:val="24"/>
          <w:szCs w:val="24"/>
        </w:rPr>
        <w:t>, (</w:t>
      </w:r>
      <w:r w:rsidR="00D3125A">
        <w:rPr>
          <w:rFonts w:ascii="Times New Roman" w:hAnsi="Times New Roman" w:cs="Times New Roman"/>
          <w:noProof w:val="0"/>
          <w:sz w:val="24"/>
          <w:szCs w:val="24"/>
        </w:rPr>
        <w:t>9</w:t>
      </w:r>
      <w:r w:rsidRPr="0573D6D8">
        <w:rPr>
          <w:rFonts w:ascii="Times New Roman" w:hAnsi="Times New Roman" w:cs="Times New Roman"/>
          <w:noProof w:val="0"/>
          <w:sz w:val="24"/>
          <w:szCs w:val="24"/>
        </w:rPr>
        <w:t>) incidence of external HIV infections</w:t>
      </w:r>
      <w:r w:rsidR="0088762B">
        <w:rPr>
          <w:rFonts w:ascii="Times New Roman" w:hAnsi="Times New Roman" w:cs="Times New Roman"/>
          <w:noProof w:val="0"/>
          <w:sz w:val="24"/>
          <w:szCs w:val="24"/>
        </w:rPr>
        <w:t>;</w:t>
      </w:r>
      <w:r w:rsidRPr="0573D6D8">
        <w:rPr>
          <w:rFonts w:ascii="Times New Roman" w:hAnsi="Times New Roman" w:cs="Times New Roman"/>
          <w:noProof w:val="0"/>
          <w:sz w:val="24"/>
          <w:szCs w:val="24"/>
        </w:rPr>
        <w:t xml:space="preserve"> and</w:t>
      </w:r>
      <w:r w:rsidR="00DE0587">
        <w:rPr>
          <w:rFonts w:ascii="Times New Roman" w:hAnsi="Times New Roman" w:cs="Times New Roman"/>
          <w:noProof w:val="0"/>
          <w:sz w:val="24"/>
          <w:szCs w:val="24"/>
        </w:rPr>
        <w:t>,</w:t>
      </w:r>
      <w:r w:rsidRPr="0573D6D8">
        <w:rPr>
          <w:rFonts w:ascii="Times New Roman" w:hAnsi="Times New Roman" w:cs="Times New Roman"/>
          <w:noProof w:val="0"/>
          <w:sz w:val="24"/>
          <w:szCs w:val="24"/>
        </w:rPr>
        <w:t xml:space="preserve"> (</w:t>
      </w:r>
      <w:r w:rsidR="0088762B">
        <w:rPr>
          <w:rFonts w:ascii="Times New Roman" w:hAnsi="Times New Roman" w:cs="Times New Roman"/>
          <w:noProof w:val="0"/>
          <w:sz w:val="24"/>
          <w:szCs w:val="24"/>
        </w:rPr>
        <w:t>10</w:t>
      </w:r>
      <w:r w:rsidRPr="0573D6D8">
        <w:rPr>
          <w:rFonts w:ascii="Times New Roman" w:hAnsi="Times New Roman" w:cs="Times New Roman"/>
          <w:noProof w:val="0"/>
          <w:sz w:val="24"/>
          <w:szCs w:val="24"/>
        </w:rPr>
        <w:t xml:space="preserve">) transmission of infection within serodiscordant main and casual partnerships. The estimation of the demographic, biological, and treatment parameters required to model </w:t>
      </w:r>
      <w:r w:rsidR="00DC7198" w:rsidRPr="0573D6D8">
        <w:rPr>
          <w:rFonts w:ascii="Times New Roman" w:hAnsi="Times New Roman" w:cs="Times New Roman"/>
          <w:noProof w:val="0"/>
          <w:sz w:val="24"/>
          <w:szCs w:val="24"/>
        </w:rPr>
        <w:t>these processes</w:t>
      </w:r>
      <w:r w:rsidRPr="0573D6D8">
        <w:rPr>
          <w:rFonts w:ascii="Times New Roman" w:hAnsi="Times New Roman" w:cs="Times New Roman"/>
          <w:noProof w:val="0"/>
          <w:sz w:val="24"/>
          <w:szCs w:val="24"/>
        </w:rPr>
        <w:t xml:space="preserve"> </w:t>
      </w:r>
      <w:r w:rsidR="00622B87">
        <w:rPr>
          <w:rFonts w:ascii="Times New Roman" w:hAnsi="Times New Roman" w:cs="Times New Roman"/>
          <w:sz w:val="24"/>
          <w:szCs w:val="24"/>
        </w:rPr>
        <w:t xml:space="preserve">is </w:t>
      </w:r>
      <w:r w:rsidRPr="0573D6D8">
        <w:rPr>
          <w:rFonts w:ascii="Times New Roman" w:hAnsi="Times New Roman" w:cs="Times New Roman"/>
          <w:noProof w:val="0"/>
          <w:sz w:val="24"/>
          <w:szCs w:val="24"/>
        </w:rPr>
        <w:t xml:space="preserve">described below. </w:t>
      </w:r>
    </w:p>
    <w:p w14:paraId="38D0D09A" w14:textId="2BF7CE0B" w:rsidR="00B03FB7" w:rsidRDefault="00B03FB7" w:rsidP="00B03FB7">
      <w:pPr>
        <w:tabs>
          <w:tab w:val="left" w:pos="720"/>
        </w:tabs>
        <w:spacing w:line="480" w:lineRule="auto"/>
        <w:rPr>
          <w:rFonts w:ascii="Times New Roman" w:hAnsi="Times New Roman" w:cs="Times New Roman"/>
          <w:noProof w:val="0"/>
          <w:sz w:val="24"/>
          <w:szCs w:val="24"/>
        </w:rPr>
      </w:pPr>
      <w:bookmarkStart w:id="4" w:name="_Toc3377332"/>
      <w:r w:rsidRPr="00E70D1B">
        <w:rPr>
          <w:rStyle w:val="Heading2Char"/>
        </w:rPr>
        <w:t xml:space="preserve">A.4.1 </w:t>
      </w:r>
      <w:r w:rsidR="0573D6D8" w:rsidRPr="00E70D1B">
        <w:rPr>
          <w:rStyle w:val="Heading2Char"/>
        </w:rPr>
        <w:t>Arrivals</w:t>
      </w:r>
      <w:bookmarkEnd w:id="4"/>
      <w:r w:rsidR="0573D6D8" w:rsidRPr="00B03FB7">
        <w:rPr>
          <w:rFonts w:ascii="Times New Roman" w:hAnsi="Times New Roman" w:cs="Times New Roman"/>
          <w:noProof w:val="0"/>
          <w:sz w:val="24"/>
          <w:szCs w:val="24"/>
        </w:rPr>
        <w:t xml:space="preserve">: </w:t>
      </w:r>
      <w:r w:rsidR="00EE4326">
        <w:rPr>
          <w:rFonts w:ascii="Times New Roman" w:hAnsi="Times New Roman" w:cs="Times New Roman"/>
          <w:noProof w:val="0"/>
          <w:sz w:val="24"/>
          <w:szCs w:val="24"/>
        </w:rPr>
        <w:t xml:space="preserve">Individuals aged into </w:t>
      </w:r>
      <w:r w:rsidR="006E5A86">
        <w:rPr>
          <w:rFonts w:ascii="Times New Roman" w:hAnsi="Times New Roman" w:cs="Times New Roman"/>
          <w:noProof w:val="0"/>
          <w:sz w:val="24"/>
          <w:szCs w:val="24"/>
        </w:rPr>
        <w:t>the</w:t>
      </w:r>
      <w:r w:rsidR="00EE4326">
        <w:rPr>
          <w:rFonts w:ascii="Times New Roman" w:hAnsi="Times New Roman" w:cs="Times New Roman"/>
          <w:noProof w:val="0"/>
          <w:sz w:val="24"/>
          <w:szCs w:val="24"/>
        </w:rPr>
        <w:t xml:space="preserve"> model</w:t>
      </w:r>
      <w:r w:rsidR="0573D6D8" w:rsidRPr="00B03FB7">
        <w:rPr>
          <w:rFonts w:ascii="Times New Roman" w:hAnsi="Times New Roman" w:cs="Times New Roman"/>
          <w:noProof w:val="0"/>
          <w:sz w:val="24"/>
          <w:szCs w:val="24"/>
        </w:rPr>
        <w:t xml:space="preserve"> at 18</w:t>
      </w:r>
      <w:r w:rsidR="005A6F95">
        <w:rPr>
          <w:rFonts w:ascii="Times New Roman" w:hAnsi="Times New Roman" w:cs="Times New Roman"/>
          <w:noProof w:val="0"/>
          <w:sz w:val="24"/>
          <w:szCs w:val="24"/>
        </w:rPr>
        <w:t xml:space="preserve"> years</w:t>
      </w:r>
      <w:r w:rsidR="0573D6D8" w:rsidRPr="00B03FB7">
        <w:rPr>
          <w:rFonts w:ascii="Times New Roman" w:hAnsi="Times New Roman" w:cs="Times New Roman"/>
          <w:noProof w:val="0"/>
          <w:sz w:val="24"/>
          <w:szCs w:val="24"/>
        </w:rPr>
        <w:t xml:space="preserve">. </w:t>
      </w:r>
      <w:r w:rsidR="0017003B">
        <w:rPr>
          <w:rFonts w:ascii="Times New Roman" w:hAnsi="Times New Roman" w:cs="Times New Roman"/>
          <w:noProof w:val="0"/>
          <w:sz w:val="24"/>
          <w:szCs w:val="24"/>
        </w:rPr>
        <w:t xml:space="preserve">The </w:t>
      </w:r>
      <w:r w:rsidR="00925ED0">
        <w:rPr>
          <w:rFonts w:ascii="Times New Roman" w:hAnsi="Times New Roman" w:cs="Times New Roman"/>
          <w:noProof w:val="0"/>
          <w:sz w:val="24"/>
          <w:szCs w:val="24"/>
        </w:rPr>
        <w:t xml:space="preserve">arrival </w:t>
      </w:r>
      <w:r w:rsidR="0017003B">
        <w:rPr>
          <w:rFonts w:ascii="Times New Roman" w:hAnsi="Times New Roman" w:cs="Times New Roman"/>
          <w:noProof w:val="0"/>
          <w:sz w:val="24"/>
          <w:szCs w:val="24"/>
        </w:rPr>
        <w:t xml:space="preserve">of new agents in the model was simulated as a Poisson process, with the mean set to 2.0. </w:t>
      </w:r>
      <w:r w:rsidR="00F46689">
        <w:rPr>
          <w:rFonts w:ascii="Times New Roman" w:hAnsi="Times New Roman" w:cs="Times New Roman"/>
          <w:noProof w:val="0"/>
          <w:sz w:val="24"/>
          <w:szCs w:val="24"/>
        </w:rPr>
        <w:t xml:space="preserve">Thus, the </w:t>
      </w:r>
      <w:r w:rsidR="0017003B">
        <w:rPr>
          <w:rFonts w:ascii="Times New Roman" w:hAnsi="Times New Roman" w:cs="Times New Roman"/>
          <w:noProof w:val="0"/>
          <w:sz w:val="24"/>
          <w:szCs w:val="24"/>
        </w:rPr>
        <w:t xml:space="preserve">entry rate was empirically </w:t>
      </w:r>
      <w:r w:rsidR="00CC3AEE">
        <w:rPr>
          <w:rFonts w:ascii="Times New Roman" w:hAnsi="Times New Roman" w:cs="Times New Roman"/>
          <w:noProof w:val="0"/>
          <w:sz w:val="24"/>
          <w:szCs w:val="24"/>
        </w:rPr>
        <w:t xml:space="preserve">determined, </w:t>
      </w:r>
      <w:r w:rsidR="00455CCB">
        <w:rPr>
          <w:rFonts w:ascii="Times New Roman" w:hAnsi="Times New Roman" w:cs="Times New Roman"/>
          <w:noProof w:val="0"/>
          <w:sz w:val="24"/>
          <w:szCs w:val="24"/>
        </w:rPr>
        <w:t xml:space="preserve">to balance the </w:t>
      </w:r>
      <w:r w:rsidR="00596B63">
        <w:rPr>
          <w:rFonts w:ascii="Times New Roman" w:hAnsi="Times New Roman" w:cs="Times New Roman"/>
          <w:noProof w:val="0"/>
          <w:sz w:val="24"/>
          <w:szCs w:val="24"/>
        </w:rPr>
        <w:t xml:space="preserve">various </w:t>
      </w:r>
      <w:r w:rsidR="00925ED0">
        <w:rPr>
          <w:rFonts w:ascii="Times New Roman" w:hAnsi="Times New Roman" w:cs="Times New Roman"/>
          <w:noProof w:val="0"/>
          <w:sz w:val="24"/>
          <w:szCs w:val="24"/>
        </w:rPr>
        <w:t xml:space="preserve">departure </w:t>
      </w:r>
      <w:r w:rsidR="00455CCB">
        <w:rPr>
          <w:rFonts w:ascii="Times New Roman" w:hAnsi="Times New Roman" w:cs="Times New Roman"/>
          <w:noProof w:val="0"/>
          <w:sz w:val="24"/>
          <w:szCs w:val="24"/>
        </w:rPr>
        <w:t>processes</w:t>
      </w:r>
      <w:r w:rsidR="006A54CD">
        <w:rPr>
          <w:rFonts w:ascii="Times New Roman" w:hAnsi="Times New Roman" w:cs="Times New Roman"/>
          <w:noProof w:val="0"/>
          <w:sz w:val="24"/>
          <w:szCs w:val="24"/>
        </w:rPr>
        <w:t xml:space="preserve"> (see Section A.4.2 below)</w:t>
      </w:r>
      <w:r w:rsidR="00455CCB">
        <w:rPr>
          <w:rFonts w:ascii="Times New Roman" w:hAnsi="Times New Roman" w:cs="Times New Roman"/>
          <w:noProof w:val="0"/>
          <w:sz w:val="24"/>
          <w:szCs w:val="24"/>
        </w:rPr>
        <w:t xml:space="preserve">, </w:t>
      </w:r>
      <w:r w:rsidR="00CC3AEE">
        <w:rPr>
          <w:rFonts w:ascii="Times New Roman" w:hAnsi="Times New Roman" w:cs="Times New Roman"/>
          <w:noProof w:val="0"/>
          <w:sz w:val="24"/>
          <w:szCs w:val="24"/>
        </w:rPr>
        <w:t>so that the population grew at approximately the same growth rate as the population of interest (s</w:t>
      </w:r>
      <w:r w:rsidR="00F33451">
        <w:rPr>
          <w:rFonts w:ascii="Times New Roman" w:hAnsi="Times New Roman" w:cs="Times New Roman"/>
          <w:noProof w:val="0"/>
          <w:sz w:val="24"/>
          <w:szCs w:val="24"/>
        </w:rPr>
        <w:t>e</w:t>
      </w:r>
      <w:r w:rsidR="00CC3AEE">
        <w:rPr>
          <w:rFonts w:ascii="Times New Roman" w:hAnsi="Times New Roman" w:cs="Times New Roman"/>
          <w:noProof w:val="0"/>
          <w:sz w:val="24"/>
          <w:szCs w:val="24"/>
        </w:rPr>
        <w:t xml:space="preserve">e Section A.4.2 </w:t>
      </w:r>
      <w:r w:rsidR="00F33451">
        <w:rPr>
          <w:rFonts w:ascii="Times New Roman" w:hAnsi="Times New Roman" w:cs="Times New Roman"/>
          <w:noProof w:val="0"/>
          <w:sz w:val="24"/>
          <w:szCs w:val="24"/>
        </w:rPr>
        <w:t>below</w:t>
      </w:r>
      <w:r w:rsidR="006238A1">
        <w:rPr>
          <w:rFonts w:ascii="Times New Roman" w:hAnsi="Times New Roman" w:cs="Times New Roman"/>
          <w:noProof w:val="0"/>
          <w:sz w:val="24"/>
          <w:szCs w:val="24"/>
        </w:rPr>
        <w:t>).</w:t>
      </w:r>
      <w:r w:rsidR="00F33451">
        <w:rPr>
          <w:rFonts w:ascii="Times New Roman" w:hAnsi="Times New Roman" w:cs="Times New Roman"/>
          <w:noProof w:val="0"/>
          <w:sz w:val="24"/>
          <w:szCs w:val="24"/>
        </w:rPr>
        <w:t xml:space="preserve"> </w:t>
      </w:r>
    </w:p>
    <w:p w14:paraId="36ACD1FB" w14:textId="0B2FFF61" w:rsidR="000B48C0" w:rsidRPr="00B03FB7" w:rsidRDefault="00B03FB7" w:rsidP="00B03FB7">
      <w:pPr>
        <w:tabs>
          <w:tab w:val="left" w:pos="720"/>
        </w:tabs>
        <w:spacing w:line="480" w:lineRule="auto"/>
        <w:rPr>
          <w:rFonts w:ascii="Times New Roman" w:hAnsi="Times New Roman" w:cs="Times New Roman"/>
          <w:noProof w:val="0"/>
          <w:sz w:val="24"/>
          <w:szCs w:val="24"/>
        </w:rPr>
      </w:pPr>
      <w:bookmarkStart w:id="5" w:name="_Toc3377333"/>
      <w:r w:rsidRPr="00E70D1B">
        <w:rPr>
          <w:rStyle w:val="Heading2Char"/>
        </w:rPr>
        <w:t xml:space="preserve">A.4.2 </w:t>
      </w:r>
      <w:r w:rsidR="0573D6D8" w:rsidRPr="00E70D1B">
        <w:rPr>
          <w:rStyle w:val="Heading2Char"/>
        </w:rPr>
        <w:t>Departures</w:t>
      </w:r>
      <w:r w:rsidR="00CA4E51" w:rsidRPr="00E70D1B">
        <w:rPr>
          <w:rStyle w:val="Heading2Char"/>
        </w:rPr>
        <w:t xml:space="preserve"> and </w:t>
      </w:r>
      <w:r w:rsidR="00051C0D" w:rsidRPr="00E70D1B">
        <w:rPr>
          <w:rStyle w:val="Heading2Char"/>
        </w:rPr>
        <w:t>net population growth</w:t>
      </w:r>
      <w:bookmarkEnd w:id="5"/>
      <w:r w:rsidR="0573D6D8" w:rsidRPr="00B03FB7">
        <w:rPr>
          <w:rFonts w:ascii="Times New Roman" w:hAnsi="Times New Roman" w:cs="Times New Roman"/>
          <w:noProof w:val="0"/>
          <w:sz w:val="24"/>
          <w:szCs w:val="24"/>
        </w:rPr>
        <w:t xml:space="preserve">: </w:t>
      </w:r>
      <w:r w:rsidR="00355F03">
        <w:rPr>
          <w:rFonts w:ascii="Times New Roman" w:hAnsi="Times New Roman" w:cs="Times New Roman"/>
          <w:noProof w:val="0"/>
          <w:sz w:val="24"/>
          <w:szCs w:val="24"/>
        </w:rPr>
        <w:t>Individuals d</w:t>
      </w:r>
      <w:r w:rsidR="0573D6D8" w:rsidRPr="00B03FB7">
        <w:rPr>
          <w:rFonts w:ascii="Times New Roman" w:hAnsi="Times New Roman" w:cs="Times New Roman"/>
          <w:noProof w:val="0"/>
          <w:sz w:val="24"/>
          <w:szCs w:val="24"/>
        </w:rPr>
        <w:t>epart</w:t>
      </w:r>
      <w:r w:rsidR="00A72470">
        <w:rPr>
          <w:rFonts w:ascii="Times New Roman" w:hAnsi="Times New Roman" w:cs="Times New Roman"/>
          <w:noProof w:val="0"/>
          <w:sz w:val="24"/>
          <w:szCs w:val="24"/>
        </w:rPr>
        <w:t>ed</w:t>
      </w:r>
      <w:r w:rsidR="00B608B1">
        <w:rPr>
          <w:rFonts w:ascii="Times New Roman" w:hAnsi="Times New Roman" w:cs="Times New Roman"/>
          <w:noProof w:val="0"/>
          <w:sz w:val="24"/>
          <w:szCs w:val="24"/>
        </w:rPr>
        <w:t xml:space="preserve"> </w:t>
      </w:r>
      <w:r w:rsidR="0573D6D8" w:rsidRPr="00B03FB7">
        <w:rPr>
          <w:rFonts w:ascii="Times New Roman" w:hAnsi="Times New Roman" w:cs="Times New Roman"/>
          <w:noProof w:val="0"/>
          <w:sz w:val="24"/>
          <w:szCs w:val="24"/>
        </w:rPr>
        <w:t>from the model on account of the following reasons:</w:t>
      </w:r>
    </w:p>
    <w:p w14:paraId="1F0069B8" w14:textId="7704C926" w:rsidR="000B48C0" w:rsidRPr="00330C80" w:rsidRDefault="00F1770E" w:rsidP="0573D6D8">
      <w:pPr>
        <w:pStyle w:val="ListParagraph"/>
        <w:numPr>
          <w:ilvl w:val="0"/>
          <w:numId w:val="3"/>
        </w:numPr>
        <w:spacing w:line="480" w:lineRule="auto"/>
        <w:rPr>
          <w:rFonts w:ascii="Times New Roman" w:hAnsi="Times New Roman" w:cs="Times New Roman"/>
          <w:noProof w:val="0"/>
          <w:sz w:val="24"/>
          <w:szCs w:val="24"/>
        </w:rPr>
      </w:pPr>
      <w:r>
        <w:rPr>
          <w:rFonts w:ascii="Times New Roman" w:hAnsi="Times New Roman" w:cs="Times New Roman"/>
          <w:noProof w:val="0"/>
          <w:sz w:val="24"/>
          <w:szCs w:val="24"/>
        </w:rPr>
        <w:t xml:space="preserve">Aging out of the model at age </w:t>
      </w:r>
      <w:r w:rsidR="0573D6D8" w:rsidRPr="0573D6D8">
        <w:rPr>
          <w:rFonts w:ascii="Times New Roman" w:hAnsi="Times New Roman" w:cs="Times New Roman"/>
          <w:noProof w:val="0"/>
          <w:sz w:val="24"/>
          <w:szCs w:val="24"/>
        </w:rPr>
        <w:t>&gt;34 years</w:t>
      </w:r>
      <w:r>
        <w:rPr>
          <w:rFonts w:ascii="Times New Roman" w:hAnsi="Times New Roman" w:cs="Times New Roman"/>
          <w:noProof w:val="0"/>
          <w:sz w:val="24"/>
          <w:szCs w:val="24"/>
        </w:rPr>
        <w:t>;</w:t>
      </w:r>
      <w:r w:rsidR="00E37C51">
        <w:rPr>
          <w:rFonts w:ascii="Times New Roman" w:hAnsi="Times New Roman" w:cs="Times New Roman"/>
          <w:noProof w:val="0"/>
          <w:sz w:val="24"/>
          <w:szCs w:val="24"/>
        </w:rPr>
        <w:t xml:space="preserve"> </w:t>
      </w:r>
    </w:p>
    <w:p w14:paraId="2517C033" w14:textId="3C3883C7" w:rsidR="00BC6C59" w:rsidRDefault="0573D6D8" w:rsidP="0573D6D8">
      <w:pPr>
        <w:pStyle w:val="ListParagraph"/>
        <w:numPr>
          <w:ilvl w:val="0"/>
          <w:numId w:val="3"/>
        </w:numPr>
        <w:spacing w:line="480" w:lineRule="auto"/>
        <w:rPr>
          <w:rFonts w:ascii="Times New Roman" w:hAnsi="Times New Roman" w:cs="Times New Roman"/>
          <w:noProof w:val="0"/>
          <w:sz w:val="24"/>
          <w:szCs w:val="24"/>
        </w:rPr>
      </w:pPr>
      <w:r w:rsidRPr="0573D6D8">
        <w:rPr>
          <w:rFonts w:ascii="Times New Roman" w:hAnsi="Times New Roman" w:cs="Times New Roman"/>
          <w:noProof w:val="0"/>
          <w:sz w:val="24"/>
          <w:szCs w:val="24"/>
        </w:rPr>
        <w:t>HIV-uninfected individuals</w:t>
      </w:r>
      <w:r w:rsidR="00B1308E">
        <w:rPr>
          <w:rFonts w:ascii="Times New Roman" w:hAnsi="Times New Roman" w:cs="Times New Roman"/>
          <w:noProof w:val="0"/>
          <w:sz w:val="24"/>
          <w:szCs w:val="24"/>
        </w:rPr>
        <w:t xml:space="preserve"> experience mortality</w:t>
      </w:r>
      <w:r w:rsidRPr="0573D6D8">
        <w:rPr>
          <w:rFonts w:ascii="Times New Roman" w:hAnsi="Times New Roman" w:cs="Times New Roman"/>
          <w:noProof w:val="0"/>
          <w:sz w:val="24"/>
          <w:szCs w:val="24"/>
        </w:rPr>
        <w:t xml:space="preserve">, </w:t>
      </w:r>
      <w:r w:rsidR="005D54E0">
        <w:rPr>
          <w:rFonts w:ascii="Times New Roman" w:hAnsi="Times New Roman" w:cs="Times New Roman"/>
          <w:noProof w:val="0"/>
          <w:sz w:val="24"/>
          <w:szCs w:val="24"/>
        </w:rPr>
        <w:t xml:space="preserve">based on </w:t>
      </w:r>
      <w:r w:rsidR="0067004B">
        <w:rPr>
          <w:rFonts w:ascii="Times New Roman" w:hAnsi="Times New Roman" w:cs="Times New Roman"/>
          <w:noProof w:val="0"/>
          <w:sz w:val="24"/>
          <w:szCs w:val="24"/>
        </w:rPr>
        <w:t xml:space="preserve">daily probabilities </w:t>
      </w:r>
      <w:r w:rsidR="005B0074">
        <w:rPr>
          <w:rFonts w:ascii="Times New Roman" w:hAnsi="Times New Roman" w:cs="Times New Roman"/>
          <w:noProof w:val="0"/>
          <w:sz w:val="24"/>
          <w:szCs w:val="24"/>
        </w:rPr>
        <w:t>estimated from CDC Wonder data</w:t>
      </w:r>
      <w:r w:rsidR="00B35866">
        <w:rPr>
          <w:rFonts w:ascii="Times New Roman" w:hAnsi="Times New Roman" w:cs="Times New Roman"/>
          <w:noProof w:val="0"/>
          <w:sz w:val="24"/>
          <w:szCs w:val="24"/>
        </w:rPr>
        <w:t xml:space="preserve"> </w:t>
      </w:r>
      <w:r w:rsidR="001A24BB">
        <w:rPr>
          <w:rFonts w:ascii="Times New Roman" w:hAnsi="Times New Roman" w:cs="Times New Roman"/>
          <w:noProof w:val="0"/>
          <w:sz w:val="24"/>
          <w:szCs w:val="24"/>
        </w:rPr>
        <w:fldChar w:fldCharType="begin" w:fldLock="1"/>
      </w:r>
      <w:r w:rsidR="00D026CF">
        <w:rPr>
          <w:rFonts w:ascii="Times New Roman" w:hAnsi="Times New Roman" w:cs="Times New Roman"/>
          <w:noProof w:val="0"/>
          <w:sz w:val="24"/>
          <w:szCs w:val="24"/>
        </w:rPr>
        <w:instrText>ADDIN CSL_CITATION {"citationItems":[{"id":"ITEM-1","itemData":{"URL":"http://wonder.cdc.gov/ucd-icd10.html","accessed":{"date-parts":[["2017","12","5"]]},"author":[{"dropping-particle":"","family":"Centers for Disease Control and Prevention","given":"","non-dropping-particle":"","parse-names":false,"suffix":""}],"id":"ITEM-1","issued":{"date-parts":[["2017"]]},"title":"CDC Wonder","type":"webpage"},"uris":["http://www.mendeley.com/documents/?uuid=1a98c97f-6b59-4839-acf4-30ab8c500d96"]}],"mendeley":{"formattedCitation":"[12]","plainTextFormattedCitation":"[12]","previouslyFormattedCitation":"[12]"},"properties":{"noteIndex":0},"schema":"https://github.com/citation-style-language/schema/raw/master/csl-citation.json"}</w:instrText>
      </w:r>
      <w:r w:rsidR="001A24BB">
        <w:rPr>
          <w:rFonts w:ascii="Times New Roman" w:hAnsi="Times New Roman" w:cs="Times New Roman"/>
          <w:noProof w:val="0"/>
          <w:sz w:val="24"/>
          <w:szCs w:val="24"/>
        </w:rPr>
        <w:fldChar w:fldCharType="separate"/>
      </w:r>
      <w:r w:rsidR="00710FC1" w:rsidRPr="00710FC1">
        <w:rPr>
          <w:rFonts w:ascii="Times New Roman" w:hAnsi="Times New Roman" w:cs="Times New Roman"/>
          <w:sz w:val="24"/>
          <w:szCs w:val="24"/>
        </w:rPr>
        <w:t>[12]</w:t>
      </w:r>
      <w:r w:rsidR="001A24BB">
        <w:rPr>
          <w:rFonts w:ascii="Times New Roman" w:hAnsi="Times New Roman" w:cs="Times New Roman"/>
          <w:noProof w:val="0"/>
          <w:sz w:val="24"/>
          <w:szCs w:val="24"/>
        </w:rPr>
        <w:fldChar w:fldCharType="end"/>
      </w:r>
      <w:r w:rsidRPr="0573D6D8">
        <w:rPr>
          <w:rFonts w:ascii="Times New Roman" w:hAnsi="Times New Roman" w:cs="Times New Roman"/>
          <w:noProof w:val="0"/>
          <w:sz w:val="24"/>
          <w:szCs w:val="24"/>
        </w:rPr>
        <w:t>.</w:t>
      </w:r>
    </w:p>
    <w:p w14:paraId="60F54634" w14:textId="0A4310A5" w:rsidR="00232228" w:rsidRDefault="00344128" w:rsidP="00005197">
      <w:pPr>
        <w:pStyle w:val="ListParagraph"/>
        <w:numPr>
          <w:ilvl w:val="0"/>
          <w:numId w:val="3"/>
        </w:numPr>
        <w:spacing w:line="480" w:lineRule="auto"/>
        <w:rPr>
          <w:rFonts w:ascii="Times New Roman" w:hAnsi="Times New Roman" w:cs="Times New Roman"/>
          <w:noProof w:val="0"/>
          <w:sz w:val="24"/>
          <w:szCs w:val="24"/>
        </w:rPr>
      </w:pPr>
      <w:r>
        <w:rPr>
          <w:rFonts w:ascii="Times New Roman" w:hAnsi="Times New Roman" w:cs="Times New Roman"/>
          <w:noProof w:val="0"/>
          <w:sz w:val="24"/>
          <w:szCs w:val="24"/>
        </w:rPr>
        <w:t>U</w:t>
      </w:r>
      <w:r w:rsidR="0573D6D8" w:rsidRPr="0573D6D8">
        <w:rPr>
          <w:rFonts w:ascii="Times New Roman" w:hAnsi="Times New Roman" w:cs="Times New Roman"/>
          <w:noProof w:val="0"/>
          <w:sz w:val="24"/>
          <w:szCs w:val="24"/>
        </w:rPr>
        <w:t xml:space="preserve">ntreated individuals </w:t>
      </w:r>
      <w:r>
        <w:rPr>
          <w:rFonts w:ascii="Times New Roman" w:hAnsi="Times New Roman" w:cs="Times New Roman"/>
          <w:noProof w:val="0"/>
          <w:sz w:val="24"/>
          <w:szCs w:val="24"/>
        </w:rPr>
        <w:t xml:space="preserve">with HIV infection </w:t>
      </w:r>
      <w:r w:rsidR="0573D6D8" w:rsidRPr="0573D6D8">
        <w:rPr>
          <w:rFonts w:ascii="Times New Roman" w:hAnsi="Times New Roman" w:cs="Times New Roman"/>
          <w:noProof w:val="0"/>
          <w:sz w:val="24"/>
          <w:szCs w:val="24"/>
        </w:rPr>
        <w:t xml:space="preserve">had a maximum lifespan of 4279 days (approximately 11.7 years), estimated by summing the lengths of acute, chronic, and late-stage infection (details in Section </w:t>
      </w:r>
      <w:r w:rsidR="002B77F1">
        <w:rPr>
          <w:rFonts w:ascii="Times New Roman" w:hAnsi="Times New Roman" w:cs="Times New Roman"/>
          <w:noProof w:val="0"/>
          <w:sz w:val="24"/>
          <w:szCs w:val="24"/>
        </w:rPr>
        <w:t>A.</w:t>
      </w:r>
      <w:r w:rsidR="0573D6D8" w:rsidRPr="0573D6D8">
        <w:rPr>
          <w:rFonts w:ascii="Times New Roman" w:hAnsi="Times New Roman" w:cs="Times New Roman"/>
          <w:noProof w:val="0"/>
          <w:sz w:val="24"/>
          <w:szCs w:val="24"/>
        </w:rPr>
        <w:t>4.</w:t>
      </w:r>
      <w:r w:rsidR="002B77F1">
        <w:rPr>
          <w:rFonts w:ascii="Times New Roman" w:hAnsi="Times New Roman" w:cs="Times New Roman"/>
          <w:noProof w:val="0"/>
          <w:sz w:val="24"/>
          <w:szCs w:val="24"/>
        </w:rPr>
        <w:t>10</w:t>
      </w:r>
      <w:r w:rsidR="0573D6D8" w:rsidRPr="0573D6D8">
        <w:rPr>
          <w:rFonts w:ascii="Times New Roman" w:hAnsi="Times New Roman" w:cs="Times New Roman"/>
          <w:noProof w:val="0"/>
          <w:sz w:val="24"/>
          <w:szCs w:val="24"/>
        </w:rPr>
        <w:t>)</w:t>
      </w:r>
      <w:r w:rsidR="00005197">
        <w:rPr>
          <w:rFonts w:ascii="Times New Roman" w:hAnsi="Times New Roman" w:cs="Times New Roman"/>
          <w:noProof w:val="0"/>
          <w:sz w:val="24"/>
          <w:szCs w:val="24"/>
        </w:rPr>
        <w:t>.</w:t>
      </w:r>
    </w:p>
    <w:p w14:paraId="7A220B59" w14:textId="5F9263C3" w:rsidR="005434EB" w:rsidRPr="002A5763" w:rsidRDefault="005434EB" w:rsidP="002A5763">
      <w:pPr>
        <w:pStyle w:val="ListParagraph"/>
        <w:numPr>
          <w:ilvl w:val="0"/>
          <w:numId w:val="3"/>
        </w:numPr>
        <w:spacing w:line="480" w:lineRule="auto"/>
        <w:rPr>
          <w:rFonts w:ascii="Times New Roman" w:hAnsi="Times New Roman" w:cs="Times New Roman"/>
          <w:noProof w:val="0"/>
          <w:sz w:val="24"/>
          <w:szCs w:val="24"/>
        </w:rPr>
      </w:pPr>
      <w:r>
        <w:rPr>
          <w:rFonts w:ascii="Times New Roman" w:hAnsi="Times New Roman" w:cs="Times New Roman"/>
          <w:noProof w:val="0"/>
          <w:sz w:val="24"/>
          <w:szCs w:val="24"/>
        </w:rPr>
        <w:t xml:space="preserve">HIV-infected individuals on </w:t>
      </w:r>
      <w:r w:rsidR="00344128">
        <w:rPr>
          <w:rFonts w:ascii="Times New Roman" w:hAnsi="Times New Roman" w:cs="Times New Roman"/>
          <w:noProof w:val="0"/>
          <w:sz w:val="24"/>
          <w:szCs w:val="24"/>
        </w:rPr>
        <w:t>AR</w:t>
      </w:r>
      <w:r w:rsidR="002A5763">
        <w:rPr>
          <w:rFonts w:ascii="Times New Roman" w:hAnsi="Times New Roman" w:cs="Times New Roman"/>
          <w:noProof w:val="0"/>
          <w:sz w:val="24"/>
          <w:szCs w:val="24"/>
        </w:rPr>
        <w:t>T</w:t>
      </w:r>
      <w:r w:rsidR="00B83643">
        <w:rPr>
          <w:rFonts w:ascii="Times New Roman" w:hAnsi="Times New Roman" w:cs="Times New Roman"/>
          <w:noProof w:val="0"/>
          <w:sz w:val="24"/>
          <w:szCs w:val="24"/>
        </w:rPr>
        <w:t xml:space="preserve"> experienced </w:t>
      </w:r>
      <w:r w:rsidRPr="002A5763">
        <w:rPr>
          <w:rFonts w:ascii="Times New Roman" w:hAnsi="Times New Roman" w:cs="Times New Roman"/>
          <w:noProof w:val="0"/>
          <w:sz w:val="24"/>
          <w:szCs w:val="24"/>
        </w:rPr>
        <w:t xml:space="preserve">an increase in the age-specific mortality rates, based on individual CD4 counts, </w:t>
      </w:r>
      <w:r w:rsidR="00CA01A6" w:rsidRPr="002A5763">
        <w:rPr>
          <w:rFonts w:ascii="Times New Roman" w:hAnsi="Times New Roman" w:cs="Times New Roman"/>
          <w:noProof w:val="0"/>
          <w:sz w:val="24"/>
          <w:szCs w:val="24"/>
        </w:rPr>
        <w:t>in accordance with published data</w:t>
      </w:r>
      <w:r w:rsidR="00C46FAB" w:rsidRPr="002A5763">
        <w:rPr>
          <w:rFonts w:ascii="Times New Roman" w:hAnsi="Times New Roman" w:cs="Times New Roman"/>
          <w:noProof w:val="0"/>
          <w:sz w:val="24"/>
          <w:szCs w:val="24"/>
        </w:rPr>
        <w:t xml:space="preserve"> </w:t>
      </w:r>
      <w:r w:rsidR="00C46FAB" w:rsidRPr="002A5763">
        <w:rPr>
          <w:rFonts w:ascii="Times New Roman" w:hAnsi="Times New Roman" w:cs="Times New Roman"/>
          <w:noProof w:val="0"/>
          <w:sz w:val="24"/>
          <w:szCs w:val="24"/>
        </w:rPr>
        <w:fldChar w:fldCharType="begin" w:fldLock="1"/>
      </w:r>
      <w:r w:rsidR="00D026CF">
        <w:rPr>
          <w:rFonts w:ascii="Times New Roman" w:hAnsi="Times New Roman" w:cs="Times New Roman"/>
          <w:noProof w:val="0"/>
          <w:sz w:val="24"/>
          <w:szCs w:val="24"/>
        </w:rPr>
        <w:instrText>ADDIN CSL_CITATION {"citationItems":[{"id":"ITEM-1","itemData":{"DOI":"10.1093/cid/ciw183","ISSN":"1537-6591","PMID":"27025828","abstract":"BACKGROUND CD4 count at start of combination antiretroviral therapy (ART) is strongly associated with short-term survival, but its association with longer-term survival is less well characterized. METHODS We estimated mortality rates (MRs) by time since start of ART (&lt;0.5, 0.5-0.9, 1-2.9, 3-4.9, 5-9.9, and ≥10 years) among patients from 18 European and North American cohorts who started ART during 1996-2001. Piecewise exponential models stratified by cohort were used to estimate crude and adjusted (for sex, age, transmission risk, period of starting ART [1996-1997, 1998-1999, 2000-2001], and AIDS and human immunodeficiency virus type 1 RNA at baseline) mortality rate ratios (MRRs) by CD4 count at start of ART (0-49, 50-99, 100-199, 200-349, 350-499, ≥500 cells/µL) overall and separately according to time since start of ART. RESULTS A total of 6344 of 37 496 patients died during 359 219 years of follow-up. The MR per 1000 person-years was 32.8 (95% confidence interval [CI], 30.2-35.5) during the first 6 months, declining to 16.0 (95% CI, 15.4-16.8) during 5-9.9 years and 14.2 (95% CI, 13.3-15.1) after 10 years' duration of ART. During the first year of ART, there was a strong inverse association of CD4 count at start of ART with mortality. This diminished over the next 4 years. The adjusted MRR per CD4 group was 0.97 (95% CI, .94-1.00; P = .054) and 1.02 (95% CI, .98-1.07; P = .32) among patients followed for 5-9.9 and ≥10 years, respectively. CONCLUSIONS After surviving 5 years of ART, the mortality of patients who started ART with low baseline CD4 count converged with mortality of patients with intermediate and high baseline CD4 counts.","author":[{"dropping-particle":"","family":"May","given":"Margaret T","non-dropping-particle":"","parse-names":false,"suffix":""},{"dropping-particle":"","family":"Vehreschild","given":"Jorg-Janne","non-dropping-particle":"","parse-names":false,"suffix":""},{"dropping-particle":"","family":"Trickey","given":"Adam","non-dropping-particle":"","parse-names":false,"suffix":""},{"dropping-particle":"","family":"Obel","given":"Niels","non-dropping-particle":"","parse-names":false,"suffix":""},{"dropping-particle":"","family":"Reiss","given":"Peter","non-dropping-particle":"","parse-names":false,"suffix":""},{"dropping-particle":"","family":"Bonnet","given":"Fabrice","non-dropping-particle":"","parse-names":false,"suffix":""},{"dropping-particle":"","family":"Mary-Krause","given":"Murielle","non-dropping-particle":"","parse-names":false,"suffix":""},{"dropping-particle":"","family":"Samji","given":"Hasina","non-dropping-particle":"","parse-names":false,"suffix":""},{"dropping-particle":"","family":"Cavassini","given":"Matthias","non-dropping-particle":"","parse-names":false,"suffix":""},{"dropping-particle":"","family":"Gill","given":"Michael John","non-dropping-particle":"","parse-names":false,"suffix":""},{"dropping-particle":"","family":"Shepherd","given":"Leah C","non-dropping-particle":"","parse-names":false,"suffix":""},{"dropping-particle":"","family":"Crane","given":"Heidi M","non-dropping-particle":"","parse-names":false,"suffix":""},{"dropping-particle":"","family":"d'Arminio Monforte","given":"Antonella","non-dropping-particle":"","parse-names":false,"suffix":""},{"dropping-particle":"","family":"Burkholder","given":"Greer A","non-dropping-particle":"","parse-names":false,"suffix":""},{"dropping-particle":"","family":"Johnson","given":"Margaret M","non-dropping-particle":"","parse-names":false,"suffix":""},{"dropping-particle":"","family":"Sobrino-Vegas","given":"Paz","non-dropping-particle":"","parse-names":false,"suffix":""},{"dropping-particle":"","family":"Domingo","given":"Pere","non-dropping-particle":"","parse-names":false,"suffix":""},{"dropping-particle":"","family":"Zangerle","given":"Robert","non-dropping-particle":"","parse-names":false,"suffix":""},{"dropping-particle":"","family":"Justice","given":"Amy C","non-dropping-particle":"","parse-names":false,"suffix":""},{"dropping-particle":"","family":"Sterling","given":"Timothy R","non-dropping-particle":"","parse-names":false,"suffix":""},{"dropping-particle":"","family":"Miró","given":"José M","non-dropping-particle":"","parse-names":false,"suffix":""},{"dropping-particle":"","family":"Sterne","given":"Jonathan A C","non-dropping-particle":"","parse-names":false,"suffix":""},{"dropping-particle":"","family":"Antiretroviral Therapy Cohort Collaboration (ART-CC)","given":"","non-dropping-particle":"","parse-names":false,"suffix":""},{"dropping-particle":"","family":"Boulle","given":"Andrew","non-dropping-particle":"","parse-names":false,"suffix":""},{"dropping-particle":"","family":"Stephan","given":"Christoph","non-dropping-particle":"","parse-names":false,"suffix":""},{"dropping-particle":"","family":"Miro","given":"Jose M","non-dropping-particle":"","parse-names":false,"suffix":""},{"dropping-particle":"","family":"Cavassini","given":"Matthias","non-dropping-particle":"","parse-names":false,"suffix":""},{"dropping-particle":"","family":"Chêne","given":"Geneviève","non-dropping-particle":"","parse-names":false,"suffix":""},{"dropping-particle":"","family":"Costagliola","given":"Dominique","non-dropping-particle":"","parse-names":false,"suffix":""},{"dropping-particle":"","family":"Dabis","given":"François","non-dropping-particle":"","parse-names":false,"suffix":""},{"dropping-particle":"","family":"Monforte","given":"Antonella D'Arminio","non-dropping-particle":"","parse-names":false,"suffix":""},{"dropping-particle":"","family":"Amo","given":"Julia","non-dropping-particle":"Del","parse-names":false,"suffix":""},{"dropping-particle":"","family":"Sighem","given":"Ard","non-dropping-particle":"Van","parse-names":false,"suffix":""},{"dropping-particle":"","family":"Fätkenheuer","given":"Gerd","non-dropping-particle":"","parse-names":false,"suffix":""},{"dropping-particle":"","family":"Gill","given":"John","non-dropping-particle":"","parse-names":false,"suffix":""},{"dropping-particle":"","family":"Guest","given":"Jodie","non-dropping-particle":"","parse-names":false,"suffix":""},{"dropping-particle":"","family":"Haerry","given":"David Hans-Ulrich","non-dropping-particle":"","parse-names":false,"suffix":""},{"dropping-particle":"","family":"Hogg","given":"Robert","non-dropping-particle":"","parse-names":false,"suffix":""},{"dropping-particle":"","family":"Justice","given":"Amy","non-dropping-particle":"","parse-names":false,"suffix":""},{"dropping-particle":"","family":"Shepherd","given":"Leah","non-dropping-particle":"","parse-names":false,"suffix":""},{"dropping-particle":"","family":"Obel","given":"Neils","non-dropping-particle":"","parse-names":false,"suffix":""},{"dropping-particle":"","family":"Crane","given":"Heidi","non-dropping-particle":"","parse-names":false,"suffix":""},{"dropping-particle":"","family":"Smith","given":"Colette","non-dropping-particle":"","parse-names":false,"suffix":""},{"dropping-particle":"","family":"Reiss","given":"Peter","non-dropping-particle":"","parse-names":false,"suffix":""},{"dropping-particle":"","family":"Saag","given":"Michael","non-dropping-particle":"","parse-names":false,"suffix":""},{"dropping-particle":"","family":"Sterling","given":"Tim","non-dropping-particle":"","parse-names":false,"suffix":""},{"dropping-particle":"","family":"Teira","given":"Ramon","non-dropping-particle":"","parse-names":false,"suffix":""},{"dropping-particle":"","family":"Williams","given":"Matthew","non-dropping-particle":"","parse-names":false,"suffix":""},{"dropping-particle":"","family":"Zangerle","given":"Robert","non-dropping-particle":"","parse-names":false,"suffix":""},{"dropping-particle":"","family":"Sterne","given":"Jonathan","non-dropping-particle":"","parse-names":false,"suffix":""},{"dropping-particle":"","family":"May","given":"Margaret","non-dropping-particle":"","parse-names":false,"suffix":""},{"dropping-particle":"","family":"Ingle","given":"Suzanne","non-dropping-particle":"","parse-names":false,"suffix":""},{"dropping-particle":"","family":"Trickey","given":"Adam","non-dropping-particle":"","parse-names":false,"suffix":""}],"container-title":"Clinical infectious diseases : an official publication of the Infectious Diseases Society of America","id":"ITEM-1","issue":"12","issued":{"date-parts":[["2016","6","15"]]},"page":"1571-1577","title":"Mortality According to CD4 Count at Start of Combination Antiretroviral Therapy Among HIV-infected Patients Followed for up to 15 Years After Start of Treatment: Collaborative Cohort Study.","type":"article-journal","volume":"62"},"uris":["http://www.mendeley.com/documents/?uuid=4634768b-62b2-3198-866b-4d609e132efc"]}],"mendeley":{"formattedCitation":"[13]","plainTextFormattedCitation":"[13]","previouslyFormattedCitation":"[13]"},"properties":{"noteIndex":0},"schema":"https://github.com/citation-style-language/schema/raw/master/csl-citation.json"}</w:instrText>
      </w:r>
      <w:r w:rsidR="00C46FAB" w:rsidRPr="002A5763">
        <w:rPr>
          <w:rFonts w:ascii="Times New Roman" w:hAnsi="Times New Roman" w:cs="Times New Roman"/>
          <w:noProof w:val="0"/>
          <w:sz w:val="24"/>
          <w:szCs w:val="24"/>
        </w:rPr>
        <w:fldChar w:fldCharType="separate"/>
      </w:r>
      <w:r w:rsidR="00710FC1" w:rsidRPr="00710FC1">
        <w:rPr>
          <w:rFonts w:ascii="Times New Roman" w:hAnsi="Times New Roman" w:cs="Times New Roman"/>
          <w:sz w:val="24"/>
          <w:szCs w:val="24"/>
        </w:rPr>
        <w:t>[13]</w:t>
      </w:r>
      <w:r w:rsidR="00C46FAB" w:rsidRPr="002A5763">
        <w:rPr>
          <w:rFonts w:ascii="Times New Roman" w:hAnsi="Times New Roman" w:cs="Times New Roman"/>
          <w:noProof w:val="0"/>
          <w:sz w:val="24"/>
          <w:szCs w:val="24"/>
        </w:rPr>
        <w:fldChar w:fldCharType="end"/>
      </w:r>
      <w:r w:rsidRPr="002A5763">
        <w:rPr>
          <w:rFonts w:ascii="Times New Roman" w:hAnsi="Times New Roman" w:cs="Times New Roman"/>
          <w:noProof w:val="0"/>
          <w:sz w:val="24"/>
          <w:szCs w:val="24"/>
        </w:rPr>
        <w:t xml:space="preserve">. The increase in the </w:t>
      </w:r>
      <w:r w:rsidR="00303B65">
        <w:rPr>
          <w:rFonts w:ascii="Times New Roman" w:hAnsi="Times New Roman" w:cs="Times New Roman"/>
          <w:noProof w:val="0"/>
          <w:sz w:val="24"/>
          <w:szCs w:val="24"/>
        </w:rPr>
        <w:t xml:space="preserve">daily </w:t>
      </w:r>
      <w:r w:rsidRPr="002A5763">
        <w:rPr>
          <w:rFonts w:ascii="Times New Roman" w:hAnsi="Times New Roman" w:cs="Times New Roman"/>
          <w:noProof w:val="0"/>
          <w:sz w:val="24"/>
          <w:szCs w:val="24"/>
        </w:rPr>
        <w:t xml:space="preserve">mortality rates </w:t>
      </w:r>
      <w:r w:rsidR="00BC4F4A">
        <w:rPr>
          <w:rFonts w:ascii="Times New Roman" w:hAnsi="Times New Roman" w:cs="Times New Roman"/>
          <w:noProof w:val="0"/>
          <w:sz w:val="24"/>
          <w:szCs w:val="24"/>
        </w:rPr>
        <w:t xml:space="preserve">for HIV-infected individuals </w:t>
      </w:r>
      <w:r w:rsidRPr="002A5763">
        <w:rPr>
          <w:rFonts w:ascii="Times New Roman" w:hAnsi="Times New Roman" w:cs="Times New Roman"/>
          <w:noProof w:val="0"/>
          <w:sz w:val="24"/>
          <w:szCs w:val="24"/>
        </w:rPr>
        <w:t xml:space="preserve">is </w:t>
      </w:r>
      <w:r w:rsidRPr="002A5763">
        <w:rPr>
          <w:rFonts w:ascii="Times New Roman" w:hAnsi="Times New Roman" w:cs="Times New Roman"/>
          <w:noProof w:val="0"/>
          <w:sz w:val="24"/>
          <w:szCs w:val="24"/>
        </w:rPr>
        <w:lastRenderedPageBreak/>
        <w:t>below.</w:t>
      </w:r>
    </w:p>
    <w:tbl>
      <w:tblPr>
        <w:tblStyle w:val="TableGrid"/>
        <w:tblW w:w="0" w:type="auto"/>
        <w:tblLook w:val="04A0" w:firstRow="1" w:lastRow="0" w:firstColumn="1" w:lastColumn="0" w:noHBand="0" w:noVBand="1"/>
      </w:tblPr>
      <w:tblGrid>
        <w:gridCol w:w="4675"/>
        <w:gridCol w:w="4675"/>
      </w:tblGrid>
      <w:tr w:rsidR="00236490" w14:paraId="76B2CE42" w14:textId="77777777" w:rsidTr="001461C1">
        <w:tc>
          <w:tcPr>
            <w:tcW w:w="9576" w:type="dxa"/>
            <w:gridSpan w:val="2"/>
          </w:tcPr>
          <w:p w14:paraId="5E4420FF" w14:textId="77588EBC" w:rsidR="00236490" w:rsidRPr="002A7827" w:rsidRDefault="00F75C00" w:rsidP="00236490">
            <w:pPr>
              <w:rPr>
                <w:rFonts w:ascii="Times New Roman" w:hAnsi="Times New Roman" w:cs="Times New Roman"/>
                <w:b/>
                <w:noProof w:val="0"/>
                <w:sz w:val="24"/>
                <w:szCs w:val="24"/>
              </w:rPr>
            </w:pPr>
            <w:r w:rsidRPr="002A7827">
              <w:rPr>
                <w:rFonts w:ascii="Times New Roman" w:hAnsi="Times New Roman" w:cs="Times New Roman"/>
                <w:b/>
                <w:noProof w:val="0"/>
                <w:sz w:val="24"/>
                <w:szCs w:val="24"/>
              </w:rPr>
              <w:t>Table A.</w:t>
            </w:r>
            <w:r w:rsidR="002D45C8">
              <w:rPr>
                <w:rFonts w:ascii="Times New Roman" w:hAnsi="Times New Roman" w:cs="Times New Roman"/>
                <w:b/>
                <w:noProof w:val="0"/>
                <w:sz w:val="24"/>
                <w:szCs w:val="24"/>
              </w:rPr>
              <w:t>1</w:t>
            </w:r>
            <w:r w:rsidRPr="002A7827">
              <w:rPr>
                <w:rFonts w:ascii="Times New Roman" w:hAnsi="Times New Roman" w:cs="Times New Roman"/>
                <w:b/>
                <w:noProof w:val="0"/>
                <w:sz w:val="24"/>
                <w:szCs w:val="24"/>
              </w:rPr>
              <w:t xml:space="preserve">. Increased mortality rates for HIV-infected individuals who are not </w:t>
            </w:r>
            <w:r w:rsidR="009F26C5" w:rsidRPr="002A7827">
              <w:rPr>
                <w:rFonts w:ascii="Times New Roman" w:hAnsi="Times New Roman" w:cs="Times New Roman"/>
                <w:b/>
                <w:noProof w:val="0"/>
                <w:sz w:val="24"/>
                <w:szCs w:val="24"/>
              </w:rPr>
              <w:t xml:space="preserve">using </w:t>
            </w:r>
            <w:r w:rsidRPr="002A7827">
              <w:rPr>
                <w:rFonts w:ascii="Times New Roman" w:hAnsi="Times New Roman" w:cs="Times New Roman"/>
                <w:b/>
                <w:noProof w:val="0"/>
                <w:sz w:val="24"/>
                <w:szCs w:val="24"/>
              </w:rPr>
              <w:t>AR</w:t>
            </w:r>
            <w:r w:rsidR="00583CF4">
              <w:rPr>
                <w:rFonts w:ascii="Times New Roman" w:hAnsi="Times New Roman" w:cs="Times New Roman"/>
                <w:b/>
                <w:noProof w:val="0"/>
                <w:sz w:val="24"/>
                <w:szCs w:val="24"/>
              </w:rPr>
              <w:t>T</w:t>
            </w:r>
            <w:r w:rsidRPr="002A7827">
              <w:rPr>
                <w:rFonts w:ascii="Times New Roman" w:hAnsi="Times New Roman" w:cs="Times New Roman"/>
                <w:b/>
                <w:noProof w:val="0"/>
                <w:sz w:val="24"/>
                <w:szCs w:val="24"/>
              </w:rPr>
              <w:t xml:space="preserve">. </w:t>
            </w:r>
          </w:p>
        </w:tc>
      </w:tr>
      <w:tr w:rsidR="005434EB" w14:paraId="69FA2CF9" w14:textId="77777777" w:rsidTr="005434EB">
        <w:tc>
          <w:tcPr>
            <w:tcW w:w="4788" w:type="dxa"/>
          </w:tcPr>
          <w:p w14:paraId="1D2EC3D0" w14:textId="3D28CAB2" w:rsidR="005434EB" w:rsidRDefault="005434EB" w:rsidP="00236490">
            <w:pPr>
              <w:rPr>
                <w:rFonts w:ascii="Times New Roman" w:hAnsi="Times New Roman" w:cs="Times New Roman"/>
                <w:noProof w:val="0"/>
                <w:sz w:val="24"/>
                <w:szCs w:val="24"/>
              </w:rPr>
            </w:pPr>
            <w:r>
              <w:rPr>
                <w:rFonts w:ascii="Times New Roman" w:hAnsi="Times New Roman" w:cs="Times New Roman"/>
                <w:noProof w:val="0"/>
                <w:sz w:val="24"/>
                <w:szCs w:val="24"/>
              </w:rPr>
              <w:t>CD4 count</w:t>
            </w:r>
            <w:r w:rsidR="002C72D4">
              <w:rPr>
                <w:rFonts w:ascii="Times New Roman" w:hAnsi="Times New Roman" w:cs="Times New Roman"/>
                <w:noProof w:val="0"/>
                <w:sz w:val="24"/>
                <w:szCs w:val="24"/>
              </w:rPr>
              <w:t xml:space="preserve"> (</w:t>
            </w:r>
            <w:r w:rsidR="002C72D4" w:rsidRPr="00FF4114">
              <w:rPr>
                <w:rFonts w:ascii="Times New Roman" w:hAnsi="Times New Roman" w:cs="Times New Roman"/>
                <w:noProof w:val="0"/>
                <w:sz w:val="24"/>
                <w:szCs w:val="24"/>
              </w:rPr>
              <w:t>cells/µl</w:t>
            </w:r>
            <w:r w:rsidR="002C72D4">
              <w:rPr>
                <w:rFonts w:ascii="Times New Roman" w:hAnsi="Times New Roman" w:cs="Times New Roman"/>
                <w:noProof w:val="0"/>
                <w:sz w:val="24"/>
                <w:szCs w:val="24"/>
              </w:rPr>
              <w:t>)</w:t>
            </w:r>
          </w:p>
        </w:tc>
        <w:tc>
          <w:tcPr>
            <w:tcW w:w="4788" w:type="dxa"/>
          </w:tcPr>
          <w:p w14:paraId="261AB764" w14:textId="74CB276C" w:rsidR="005434EB" w:rsidRDefault="00410219" w:rsidP="00236490">
            <w:pPr>
              <w:rPr>
                <w:rFonts w:ascii="Times New Roman" w:hAnsi="Times New Roman" w:cs="Times New Roman"/>
                <w:noProof w:val="0"/>
                <w:sz w:val="24"/>
                <w:szCs w:val="24"/>
              </w:rPr>
            </w:pPr>
            <w:r>
              <w:rPr>
                <w:rFonts w:ascii="Times New Roman" w:hAnsi="Times New Roman" w:cs="Times New Roman"/>
                <w:noProof w:val="0"/>
                <w:sz w:val="24"/>
                <w:szCs w:val="24"/>
              </w:rPr>
              <w:t>%</w:t>
            </w:r>
            <w:r w:rsidR="005434EB">
              <w:rPr>
                <w:rFonts w:ascii="Times New Roman" w:hAnsi="Times New Roman" w:cs="Times New Roman"/>
                <w:noProof w:val="0"/>
                <w:sz w:val="24"/>
                <w:szCs w:val="24"/>
              </w:rPr>
              <w:t xml:space="preserve"> increase in </w:t>
            </w:r>
            <w:r w:rsidR="002C72D4">
              <w:rPr>
                <w:rFonts w:ascii="Times New Roman" w:hAnsi="Times New Roman" w:cs="Times New Roman"/>
                <w:noProof w:val="0"/>
                <w:sz w:val="24"/>
                <w:szCs w:val="24"/>
              </w:rPr>
              <w:t>age-specific mortality rates</w:t>
            </w:r>
          </w:p>
        </w:tc>
      </w:tr>
      <w:tr w:rsidR="005434EB" w14:paraId="28F01781" w14:textId="77777777" w:rsidTr="005434EB">
        <w:tc>
          <w:tcPr>
            <w:tcW w:w="4788" w:type="dxa"/>
          </w:tcPr>
          <w:p w14:paraId="3D9C4EC2" w14:textId="4AC0F800" w:rsidR="005434EB" w:rsidRDefault="00557C1D" w:rsidP="00236490">
            <w:pPr>
              <w:rPr>
                <w:rFonts w:ascii="Times New Roman" w:hAnsi="Times New Roman" w:cs="Times New Roman"/>
                <w:noProof w:val="0"/>
                <w:sz w:val="24"/>
                <w:szCs w:val="24"/>
              </w:rPr>
            </w:pPr>
            <w:r>
              <w:rPr>
                <w:rFonts w:ascii="Times New Roman" w:hAnsi="Times New Roman" w:cs="Times New Roman"/>
                <w:noProof w:val="0"/>
                <w:sz w:val="24"/>
                <w:szCs w:val="24"/>
              </w:rPr>
              <w:t>&lt; 50</w:t>
            </w:r>
          </w:p>
        </w:tc>
        <w:tc>
          <w:tcPr>
            <w:tcW w:w="4788" w:type="dxa"/>
          </w:tcPr>
          <w:p w14:paraId="30863D72" w14:textId="67B6501D" w:rsidR="005434EB" w:rsidRDefault="00557C1D" w:rsidP="00236490">
            <w:pPr>
              <w:rPr>
                <w:rFonts w:ascii="Times New Roman" w:hAnsi="Times New Roman" w:cs="Times New Roman"/>
                <w:noProof w:val="0"/>
                <w:sz w:val="24"/>
                <w:szCs w:val="24"/>
              </w:rPr>
            </w:pPr>
            <w:r>
              <w:rPr>
                <w:rFonts w:ascii="Times New Roman" w:hAnsi="Times New Roman" w:cs="Times New Roman"/>
                <w:noProof w:val="0"/>
                <w:sz w:val="24"/>
                <w:szCs w:val="24"/>
              </w:rPr>
              <w:t>51%</w:t>
            </w:r>
          </w:p>
        </w:tc>
      </w:tr>
      <w:tr w:rsidR="005434EB" w14:paraId="1E685AD8" w14:textId="77777777" w:rsidTr="005434EB">
        <w:tc>
          <w:tcPr>
            <w:tcW w:w="4788" w:type="dxa"/>
          </w:tcPr>
          <w:p w14:paraId="1DC28895" w14:textId="487E38D9" w:rsidR="005434EB" w:rsidRDefault="00557C1D" w:rsidP="00236490">
            <w:pPr>
              <w:rPr>
                <w:rFonts w:ascii="Times New Roman" w:hAnsi="Times New Roman" w:cs="Times New Roman"/>
                <w:noProof w:val="0"/>
                <w:sz w:val="24"/>
                <w:szCs w:val="24"/>
              </w:rPr>
            </w:pPr>
            <w:r>
              <w:rPr>
                <w:rFonts w:ascii="Times New Roman" w:hAnsi="Times New Roman" w:cs="Times New Roman"/>
                <w:noProof w:val="0"/>
                <w:sz w:val="24"/>
                <w:szCs w:val="24"/>
              </w:rPr>
              <w:t>50 – 99</w:t>
            </w:r>
          </w:p>
        </w:tc>
        <w:tc>
          <w:tcPr>
            <w:tcW w:w="4788" w:type="dxa"/>
          </w:tcPr>
          <w:p w14:paraId="4AFE7201" w14:textId="582C5674" w:rsidR="005434EB" w:rsidRDefault="00557C1D" w:rsidP="00236490">
            <w:pPr>
              <w:rPr>
                <w:rFonts w:ascii="Times New Roman" w:hAnsi="Times New Roman" w:cs="Times New Roman"/>
                <w:noProof w:val="0"/>
                <w:sz w:val="24"/>
                <w:szCs w:val="24"/>
              </w:rPr>
            </w:pPr>
            <w:r>
              <w:rPr>
                <w:rFonts w:ascii="Times New Roman" w:hAnsi="Times New Roman" w:cs="Times New Roman"/>
                <w:noProof w:val="0"/>
                <w:sz w:val="24"/>
                <w:szCs w:val="24"/>
              </w:rPr>
              <w:t>37%</w:t>
            </w:r>
          </w:p>
        </w:tc>
      </w:tr>
      <w:tr w:rsidR="005434EB" w14:paraId="55EFB50C" w14:textId="77777777" w:rsidTr="005434EB">
        <w:tc>
          <w:tcPr>
            <w:tcW w:w="4788" w:type="dxa"/>
          </w:tcPr>
          <w:p w14:paraId="2471D914" w14:textId="06FEB4BD" w:rsidR="005434EB" w:rsidRDefault="00557C1D" w:rsidP="00236490">
            <w:pPr>
              <w:rPr>
                <w:rFonts w:ascii="Times New Roman" w:hAnsi="Times New Roman" w:cs="Times New Roman"/>
                <w:noProof w:val="0"/>
                <w:sz w:val="24"/>
                <w:szCs w:val="24"/>
              </w:rPr>
            </w:pPr>
            <w:r>
              <w:rPr>
                <w:rFonts w:ascii="Times New Roman" w:hAnsi="Times New Roman" w:cs="Times New Roman"/>
                <w:noProof w:val="0"/>
                <w:sz w:val="24"/>
                <w:szCs w:val="24"/>
              </w:rPr>
              <w:t>100 – 199</w:t>
            </w:r>
          </w:p>
        </w:tc>
        <w:tc>
          <w:tcPr>
            <w:tcW w:w="4788" w:type="dxa"/>
          </w:tcPr>
          <w:p w14:paraId="3EA1881E" w14:textId="37FD8BE3" w:rsidR="005434EB" w:rsidRDefault="00557C1D" w:rsidP="00236490">
            <w:pPr>
              <w:rPr>
                <w:rFonts w:ascii="Times New Roman" w:hAnsi="Times New Roman" w:cs="Times New Roman"/>
                <w:noProof w:val="0"/>
                <w:sz w:val="24"/>
                <w:szCs w:val="24"/>
              </w:rPr>
            </w:pPr>
            <w:r>
              <w:rPr>
                <w:rFonts w:ascii="Times New Roman" w:hAnsi="Times New Roman" w:cs="Times New Roman"/>
                <w:noProof w:val="0"/>
                <w:sz w:val="24"/>
                <w:szCs w:val="24"/>
              </w:rPr>
              <w:t>26%</w:t>
            </w:r>
          </w:p>
        </w:tc>
      </w:tr>
      <w:tr w:rsidR="005434EB" w14:paraId="07B5C7AA" w14:textId="77777777" w:rsidTr="00542360">
        <w:trPr>
          <w:trHeight w:val="61"/>
        </w:trPr>
        <w:tc>
          <w:tcPr>
            <w:tcW w:w="4788" w:type="dxa"/>
          </w:tcPr>
          <w:p w14:paraId="68017881" w14:textId="74687DFD" w:rsidR="005434EB" w:rsidRDefault="00557C1D" w:rsidP="00236490">
            <w:pPr>
              <w:rPr>
                <w:rFonts w:ascii="Times New Roman" w:hAnsi="Times New Roman" w:cs="Times New Roman"/>
                <w:noProof w:val="0"/>
                <w:sz w:val="24"/>
                <w:szCs w:val="24"/>
              </w:rPr>
            </w:pPr>
            <w:r>
              <w:rPr>
                <w:rFonts w:ascii="Times New Roman" w:hAnsi="Times New Roman" w:cs="Times New Roman"/>
                <w:noProof w:val="0"/>
                <w:sz w:val="24"/>
                <w:szCs w:val="24"/>
              </w:rPr>
              <w:t>200+</w:t>
            </w:r>
          </w:p>
        </w:tc>
        <w:tc>
          <w:tcPr>
            <w:tcW w:w="4788" w:type="dxa"/>
          </w:tcPr>
          <w:p w14:paraId="1B78E354" w14:textId="7710B322" w:rsidR="005434EB" w:rsidRDefault="00557C1D" w:rsidP="00236490">
            <w:pPr>
              <w:rPr>
                <w:rFonts w:ascii="Times New Roman" w:hAnsi="Times New Roman" w:cs="Times New Roman"/>
                <w:noProof w:val="0"/>
                <w:sz w:val="24"/>
                <w:szCs w:val="24"/>
              </w:rPr>
            </w:pPr>
            <w:r>
              <w:rPr>
                <w:rFonts w:ascii="Times New Roman" w:hAnsi="Times New Roman" w:cs="Times New Roman"/>
                <w:noProof w:val="0"/>
                <w:sz w:val="24"/>
                <w:szCs w:val="24"/>
              </w:rPr>
              <w:t>0%</w:t>
            </w:r>
          </w:p>
        </w:tc>
      </w:tr>
    </w:tbl>
    <w:p w14:paraId="339E1C1F" w14:textId="58D80571" w:rsidR="00C77444" w:rsidRDefault="0573D6D8" w:rsidP="005434EB">
      <w:pPr>
        <w:spacing w:line="480" w:lineRule="auto"/>
        <w:rPr>
          <w:rFonts w:ascii="Times New Roman" w:hAnsi="Times New Roman" w:cs="Times New Roman"/>
          <w:noProof w:val="0"/>
          <w:sz w:val="24"/>
          <w:szCs w:val="24"/>
        </w:rPr>
      </w:pPr>
      <w:r w:rsidRPr="005434EB">
        <w:rPr>
          <w:rFonts w:ascii="Times New Roman" w:hAnsi="Times New Roman" w:cs="Times New Roman"/>
          <w:noProof w:val="0"/>
          <w:sz w:val="24"/>
          <w:szCs w:val="24"/>
        </w:rPr>
        <w:t xml:space="preserve"> </w:t>
      </w:r>
      <w:r w:rsidR="00C77444" w:rsidRPr="005434EB">
        <w:rPr>
          <w:rFonts w:ascii="Times New Roman" w:hAnsi="Times New Roman" w:cs="Times New Roman"/>
          <w:noProof w:val="0"/>
          <w:sz w:val="24"/>
          <w:szCs w:val="24"/>
        </w:rPr>
        <w:tab/>
      </w:r>
    </w:p>
    <w:p w14:paraId="4F215414" w14:textId="73294132" w:rsidR="00821CA6" w:rsidRDefault="002A51BE" w:rsidP="005434EB">
      <w:pPr>
        <w:spacing w:line="480" w:lineRule="auto"/>
        <w:rPr>
          <w:rFonts w:ascii="Times New Roman" w:hAnsi="Times New Roman" w:cs="Times New Roman"/>
          <w:noProof w:val="0"/>
          <w:sz w:val="24"/>
          <w:szCs w:val="24"/>
        </w:rPr>
      </w:pPr>
      <w:r>
        <w:rPr>
          <w:rFonts w:ascii="Times New Roman" w:hAnsi="Times New Roman" w:cs="Times New Roman"/>
          <w:noProof w:val="0"/>
          <w:sz w:val="24"/>
          <w:szCs w:val="24"/>
        </w:rPr>
        <w:t>The arrival and departure processes described above resulted in a net simulated growth rate of 0</w:t>
      </w:r>
      <w:r w:rsidR="00553435">
        <w:rPr>
          <w:rFonts w:ascii="Times New Roman" w:hAnsi="Times New Roman" w:cs="Times New Roman"/>
          <w:noProof w:val="0"/>
          <w:sz w:val="24"/>
          <w:szCs w:val="24"/>
        </w:rPr>
        <w:t>.047</w:t>
      </w:r>
      <w:r w:rsidR="00B33F32">
        <w:rPr>
          <w:rFonts w:ascii="Times New Roman" w:hAnsi="Times New Roman" w:cs="Times New Roman"/>
          <w:noProof w:val="0"/>
          <w:sz w:val="24"/>
          <w:szCs w:val="24"/>
        </w:rPr>
        <w:t>%; Figure</w:t>
      </w:r>
      <w:r w:rsidR="00DC6A1C">
        <w:rPr>
          <w:rFonts w:ascii="Times New Roman" w:hAnsi="Times New Roman" w:cs="Times New Roman"/>
          <w:noProof w:val="0"/>
          <w:sz w:val="24"/>
          <w:szCs w:val="24"/>
        </w:rPr>
        <w:t xml:space="preserve"> </w:t>
      </w:r>
      <w:r w:rsidR="00A25A1D">
        <w:rPr>
          <w:rFonts w:ascii="Times New Roman" w:hAnsi="Times New Roman" w:cs="Times New Roman"/>
          <w:noProof w:val="0"/>
          <w:sz w:val="24"/>
          <w:szCs w:val="24"/>
        </w:rPr>
        <w:t>A.1</w:t>
      </w:r>
      <w:r w:rsidR="00DC6A1C">
        <w:rPr>
          <w:rFonts w:ascii="Times New Roman" w:hAnsi="Times New Roman" w:cs="Times New Roman"/>
          <w:noProof w:val="0"/>
          <w:sz w:val="24"/>
          <w:szCs w:val="24"/>
        </w:rPr>
        <w:t xml:space="preserve"> below shows the </w:t>
      </w:r>
      <w:r w:rsidR="00977811">
        <w:rPr>
          <w:rFonts w:ascii="Times New Roman" w:hAnsi="Times New Roman" w:cs="Times New Roman"/>
          <w:noProof w:val="0"/>
          <w:sz w:val="24"/>
          <w:szCs w:val="24"/>
        </w:rPr>
        <w:t xml:space="preserve">simulated </w:t>
      </w:r>
      <w:r w:rsidR="00DC6A1C">
        <w:rPr>
          <w:rFonts w:ascii="Times New Roman" w:hAnsi="Times New Roman" w:cs="Times New Roman"/>
          <w:noProof w:val="0"/>
          <w:sz w:val="24"/>
          <w:szCs w:val="24"/>
        </w:rPr>
        <w:t>population size over 10 years</w:t>
      </w:r>
      <w:r w:rsidR="00E27148">
        <w:rPr>
          <w:rFonts w:ascii="Times New Roman" w:hAnsi="Times New Roman" w:cs="Times New Roman"/>
          <w:noProof w:val="0"/>
          <w:sz w:val="24"/>
          <w:szCs w:val="24"/>
        </w:rPr>
        <w:t>, averaged over 30 simulations,</w:t>
      </w:r>
      <w:r w:rsidR="00DC6A1C">
        <w:rPr>
          <w:rFonts w:ascii="Times New Roman" w:hAnsi="Times New Roman" w:cs="Times New Roman"/>
          <w:noProof w:val="0"/>
          <w:sz w:val="24"/>
          <w:szCs w:val="24"/>
        </w:rPr>
        <w:t xml:space="preserve"> with PrEP </w:t>
      </w:r>
      <w:r w:rsidR="009B025B">
        <w:rPr>
          <w:rFonts w:ascii="Times New Roman" w:hAnsi="Times New Roman" w:cs="Times New Roman"/>
          <w:noProof w:val="0"/>
          <w:sz w:val="24"/>
          <w:szCs w:val="24"/>
        </w:rPr>
        <w:t>initiation</w:t>
      </w:r>
      <w:r w:rsidR="00DC6A1C">
        <w:rPr>
          <w:rFonts w:ascii="Times New Roman" w:hAnsi="Times New Roman" w:cs="Times New Roman"/>
          <w:noProof w:val="0"/>
          <w:sz w:val="24"/>
          <w:szCs w:val="24"/>
        </w:rPr>
        <w:t xml:space="preserve"> </w:t>
      </w:r>
      <w:r w:rsidR="00BC47B7">
        <w:rPr>
          <w:rFonts w:ascii="Times New Roman" w:hAnsi="Times New Roman" w:cs="Times New Roman"/>
          <w:noProof w:val="0"/>
          <w:sz w:val="24"/>
          <w:szCs w:val="24"/>
        </w:rPr>
        <w:t xml:space="preserve">and </w:t>
      </w:r>
      <w:r w:rsidR="00DC6A1C">
        <w:rPr>
          <w:rFonts w:ascii="Times New Roman" w:hAnsi="Times New Roman" w:cs="Times New Roman"/>
          <w:noProof w:val="0"/>
          <w:sz w:val="24"/>
          <w:szCs w:val="24"/>
        </w:rPr>
        <w:t xml:space="preserve">retention </w:t>
      </w:r>
      <w:r w:rsidR="00631314">
        <w:rPr>
          <w:rFonts w:ascii="Times New Roman" w:hAnsi="Times New Roman" w:cs="Times New Roman"/>
          <w:noProof w:val="0"/>
          <w:sz w:val="24"/>
          <w:szCs w:val="24"/>
        </w:rPr>
        <w:t>h</w:t>
      </w:r>
      <w:r w:rsidR="0036220C">
        <w:rPr>
          <w:rFonts w:ascii="Times New Roman" w:hAnsi="Times New Roman" w:cs="Times New Roman"/>
          <w:noProof w:val="0"/>
          <w:sz w:val="24"/>
          <w:szCs w:val="24"/>
        </w:rPr>
        <w:t>eld at</w:t>
      </w:r>
      <w:r w:rsidR="00631314">
        <w:rPr>
          <w:rFonts w:ascii="Times New Roman" w:hAnsi="Times New Roman" w:cs="Times New Roman"/>
          <w:noProof w:val="0"/>
          <w:sz w:val="24"/>
          <w:szCs w:val="24"/>
        </w:rPr>
        <w:t xml:space="preserve"> </w:t>
      </w:r>
      <w:r w:rsidR="00DC6A1C">
        <w:rPr>
          <w:rFonts w:ascii="Times New Roman" w:hAnsi="Times New Roman" w:cs="Times New Roman"/>
          <w:noProof w:val="0"/>
          <w:sz w:val="24"/>
          <w:szCs w:val="24"/>
        </w:rPr>
        <w:t>baseline levels.</w:t>
      </w:r>
    </w:p>
    <w:p w14:paraId="7A840823" w14:textId="4E64BA4A" w:rsidR="00977811" w:rsidRPr="009B025B" w:rsidRDefault="00D50F72" w:rsidP="009B025B">
      <w:pPr>
        <w:spacing w:line="480" w:lineRule="auto"/>
        <w:jc w:val="center"/>
        <w:rPr>
          <w:rFonts w:ascii="Times New Roman" w:hAnsi="Times New Roman" w:cs="Times New Roman"/>
          <w:b/>
          <w:noProof w:val="0"/>
          <w:sz w:val="24"/>
          <w:szCs w:val="24"/>
        </w:rPr>
      </w:pPr>
      <w:r w:rsidRPr="009B025B">
        <w:rPr>
          <w:rFonts w:ascii="Times New Roman" w:hAnsi="Times New Roman" w:cs="Times New Roman"/>
          <w:b/>
          <w:noProof w:val="0"/>
          <w:sz w:val="24"/>
          <w:szCs w:val="24"/>
        </w:rPr>
        <w:t xml:space="preserve">Figure A.1: </w:t>
      </w:r>
      <w:r w:rsidR="00DF56C3" w:rsidRPr="009B025B">
        <w:rPr>
          <w:rFonts w:ascii="Times New Roman" w:hAnsi="Times New Roman" w:cs="Times New Roman"/>
          <w:b/>
          <w:noProof w:val="0"/>
          <w:sz w:val="24"/>
          <w:szCs w:val="24"/>
        </w:rPr>
        <w:t>S</w:t>
      </w:r>
      <w:r w:rsidRPr="009B025B">
        <w:rPr>
          <w:rFonts w:ascii="Times New Roman" w:hAnsi="Times New Roman" w:cs="Times New Roman"/>
          <w:b/>
          <w:noProof w:val="0"/>
          <w:sz w:val="24"/>
          <w:szCs w:val="24"/>
        </w:rPr>
        <w:t xml:space="preserve">imulated population size over 10 years, averaged over 30 simulations, with PrEP </w:t>
      </w:r>
      <w:r w:rsidR="005B31CB" w:rsidRPr="009B025B">
        <w:rPr>
          <w:rFonts w:ascii="Times New Roman" w:hAnsi="Times New Roman" w:cs="Times New Roman"/>
          <w:b/>
          <w:noProof w:val="0"/>
          <w:sz w:val="24"/>
          <w:szCs w:val="24"/>
        </w:rPr>
        <w:t>initiation</w:t>
      </w:r>
      <w:r w:rsidRPr="009B025B">
        <w:rPr>
          <w:rFonts w:ascii="Times New Roman" w:hAnsi="Times New Roman" w:cs="Times New Roman"/>
          <w:b/>
          <w:noProof w:val="0"/>
          <w:sz w:val="24"/>
          <w:szCs w:val="24"/>
        </w:rPr>
        <w:t xml:space="preserve"> and retention held at baseline levels.</w:t>
      </w:r>
    </w:p>
    <w:p w14:paraId="1FFD0DD4" w14:textId="44D07849" w:rsidR="002A51BE" w:rsidRDefault="00DC6A1C" w:rsidP="009B025B">
      <w:pPr>
        <w:spacing w:line="480" w:lineRule="auto"/>
        <w:jc w:val="center"/>
        <w:rPr>
          <w:rFonts w:ascii="Times New Roman" w:hAnsi="Times New Roman" w:cs="Times New Roman"/>
          <w:noProof w:val="0"/>
          <w:sz w:val="24"/>
          <w:szCs w:val="24"/>
        </w:rPr>
      </w:pPr>
      <w:r>
        <w:rPr>
          <w:rFonts w:ascii="Times New Roman" w:hAnsi="Times New Roman" w:cs="Times New Roman"/>
          <w:sz w:val="24"/>
          <w:szCs w:val="24"/>
          <w:lang w:val="en-GB" w:eastAsia="en-GB"/>
        </w:rPr>
        <w:drawing>
          <wp:inline distT="0" distB="0" distL="0" distR="0" wp14:anchorId="207C5713" wp14:editId="75235C85">
            <wp:extent cx="4134465" cy="2120238"/>
            <wp:effectExtent l="0" t="0" r="0" b="0"/>
            <wp:docPr id="7" name="Picture 7" descr="C:\Users\akhanna\Box Sync\BARS\Writing\ABNM-barspap#1\consolidated-drafts\RESUBMISSION\archives\simulated_population_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hanna\Box Sync\BARS\Writing\ABNM-barspap#1\consolidated-drafts\RESUBMISSION\archives\simulated_population_siz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4465" cy="2120238"/>
                    </a:xfrm>
                    <a:prstGeom prst="rect">
                      <a:avLst/>
                    </a:prstGeom>
                    <a:noFill/>
                    <a:ln>
                      <a:noFill/>
                    </a:ln>
                  </pic:spPr>
                </pic:pic>
              </a:graphicData>
            </a:graphic>
          </wp:inline>
        </w:drawing>
      </w:r>
    </w:p>
    <w:p w14:paraId="335B6D8D" w14:textId="590CD20D" w:rsidR="002A51BE" w:rsidRPr="005434EB" w:rsidRDefault="00950318" w:rsidP="005434EB">
      <w:pPr>
        <w:spacing w:line="480" w:lineRule="auto"/>
        <w:rPr>
          <w:rFonts w:ascii="Times New Roman" w:hAnsi="Times New Roman" w:cs="Times New Roman"/>
          <w:noProof w:val="0"/>
          <w:sz w:val="24"/>
          <w:szCs w:val="24"/>
        </w:rPr>
      </w:pPr>
      <w:r>
        <w:rPr>
          <w:rFonts w:ascii="Times New Roman" w:hAnsi="Times New Roman" w:cs="Times New Roman"/>
          <w:noProof w:val="0"/>
          <w:sz w:val="24"/>
          <w:szCs w:val="24"/>
        </w:rPr>
        <w:t xml:space="preserve">Since </w:t>
      </w:r>
      <w:r w:rsidR="00550FC3">
        <w:rPr>
          <w:rFonts w:ascii="Times New Roman" w:hAnsi="Times New Roman" w:cs="Times New Roman"/>
          <w:noProof w:val="0"/>
          <w:sz w:val="24"/>
          <w:szCs w:val="24"/>
        </w:rPr>
        <w:t>empirical</w:t>
      </w:r>
      <w:r w:rsidR="005804A3">
        <w:rPr>
          <w:rFonts w:ascii="Times New Roman" w:hAnsi="Times New Roman" w:cs="Times New Roman"/>
          <w:noProof w:val="0"/>
          <w:sz w:val="24"/>
          <w:szCs w:val="24"/>
        </w:rPr>
        <w:t xml:space="preserve"> data for </w:t>
      </w:r>
      <w:r w:rsidR="00BA7C39">
        <w:rPr>
          <w:rFonts w:ascii="Times New Roman" w:hAnsi="Times New Roman" w:cs="Times New Roman"/>
          <w:noProof w:val="0"/>
          <w:sz w:val="24"/>
          <w:szCs w:val="24"/>
        </w:rPr>
        <w:t xml:space="preserve">the </w:t>
      </w:r>
      <w:r w:rsidRPr="00BA7C39">
        <w:rPr>
          <w:rFonts w:ascii="Times New Roman" w:hAnsi="Times New Roman" w:cs="Times New Roman"/>
          <w:sz w:val="24"/>
          <w:szCs w:val="24"/>
        </w:rPr>
        <w:t>population</w:t>
      </w:r>
      <w:r>
        <w:rPr>
          <w:rFonts w:ascii="Times New Roman" w:hAnsi="Times New Roman" w:cs="Times New Roman"/>
          <w:noProof w:val="0"/>
          <w:sz w:val="24"/>
          <w:szCs w:val="24"/>
        </w:rPr>
        <w:t xml:space="preserve"> growth rate of </w:t>
      </w:r>
      <w:r w:rsidR="005804A3">
        <w:rPr>
          <w:rFonts w:ascii="Times New Roman" w:hAnsi="Times New Roman" w:cs="Times New Roman"/>
          <w:noProof w:val="0"/>
          <w:sz w:val="24"/>
          <w:szCs w:val="24"/>
        </w:rPr>
        <w:t xml:space="preserve">YBMSM </w:t>
      </w:r>
      <w:r w:rsidR="00CA4875">
        <w:rPr>
          <w:rFonts w:ascii="Times New Roman" w:hAnsi="Times New Roman" w:cs="Times New Roman"/>
          <w:noProof w:val="0"/>
          <w:sz w:val="24"/>
          <w:szCs w:val="24"/>
        </w:rPr>
        <w:t xml:space="preserve">specifically </w:t>
      </w:r>
      <w:r w:rsidR="005804A3">
        <w:rPr>
          <w:rFonts w:ascii="Times New Roman" w:hAnsi="Times New Roman" w:cs="Times New Roman"/>
          <w:noProof w:val="0"/>
          <w:sz w:val="24"/>
          <w:szCs w:val="24"/>
        </w:rPr>
        <w:t xml:space="preserve">in Illinois </w:t>
      </w:r>
      <w:r>
        <w:rPr>
          <w:rFonts w:ascii="Times New Roman" w:hAnsi="Times New Roman" w:cs="Times New Roman"/>
          <w:noProof w:val="0"/>
          <w:sz w:val="24"/>
          <w:szCs w:val="24"/>
        </w:rPr>
        <w:t>were not available,</w:t>
      </w:r>
      <w:r w:rsidR="00662B87">
        <w:rPr>
          <w:rFonts w:ascii="Times New Roman" w:hAnsi="Times New Roman" w:cs="Times New Roman"/>
          <w:noProof w:val="0"/>
          <w:sz w:val="24"/>
          <w:szCs w:val="24"/>
        </w:rPr>
        <w:t xml:space="preserve"> </w:t>
      </w:r>
      <w:r w:rsidR="005804A3">
        <w:rPr>
          <w:rFonts w:ascii="Times New Roman" w:hAnsi="Times New Roman" w:cs="Times New Roman"/>
          <w:noProof w:val="0"/>
          <w:sz w:val="24"/>
          <w:szCs w:val="24"/>
        </w:rPr>
        <w:t xml:space="preserve">we considered </w:t>
      </w:r>
      <w:r w:rsidR="00550FC3">
        <w:rPr>
          <w:rFonts w:ascii="Times New Roman" w:hAnsi="Times New Roman" w:cs="Times New Roman"/>
          <w:noProof w:val="0"/>
          <w:sz w:val="24"/>
          <w:szCs w:val="24"/>
        </w:rPr>
        <w:t>the population of young (18-3</w:t>
      </w:r>
      <w:r w:rsidR="008E6A5A">
        <w:rPr>
          <w:rFonts w:ascii="Times New Roman" w:hAnsi="Times New Roman" w:cs="Times New Roman"/>
          <w:noProof w:val="0"/>
          <w:sz w:val="24"/>
          <w:szCs w:val="24"/>
        </w:rPr>
        <w:t>5</w:t>
      </w:r>
      <w:r w:rsidR="00550FC3">
        <w:rPr>
          <w:rFonts w:ascii="Times New Roman" w:hAnsi="Times New Roman" w:cs="Times New Roman"/>
          <w:noProof w:val="0"/>
          <w:sz w:val="24"/>
          <w:szCs w:val="24"/>
        </w:rPr>
        <w:t xml:space="preserve"> years) Black males in Illinois</w:t>
      </w:r>
      <w:r w:rsidR="008330D9">
        <w:rPr>
          <w:rFonts w:ascii="Times New Roman" w:hAnsi="Times New Roman" w:cs="Times New Roman"/>
          <w:noProof w:val="0"/>
          <w:sz w:val="24"/>
          <w:szCs w:val="24"/>
        </w:rPr>
        <w:t>, which</w:t>
      </w:r>
      <w:r w:rsidR="00550FC3">
        <w:rPr>
          <w:rFonts w:ascii="Times New Roman" w:hAnsi="Times New Roman" w:cs="Times New Roman"/>
          <w:noProof w:val="0"/>
          <w:sz w:val="24"/>
          <w:szCs w:val="24"/>
        </w:rPr>
        <w:t xml:space="preserve"> grew at </w:t>
      </w:r>
      <w:r w:rsidR="002416AF">
        <w:rPr>
          <w:rFonts w:ascii="Times New Roman" w:hAnsi="Times New Roman" w:cs="Times New Roman"/>
          <w:noProof w:val="0"/>
          <w:sz w:val="24"/>
          <w:szCs w:val="24"/>
        </w:rPr>
        <w:t>about 0.88</w:t>
      </w:r>
      <w:r w:rsidR="00550FC3">
        <w:rPr>
          <w:rFonts w:ascii="Times New Roman" w:hAnsi="Times New Roman" w:cs="Times New Roman"/>
          <w:noProof w:val="0"/>
          <w:sz w:val="24"/>
          <w:szCs w:val="24"/>
        </w:rPr>
        <w:t>% per year from 2010-201</w:t>
      </w:r>
      <w:r w:rsidR="006D2756">
        <w:rPr>
          <w:rFonts w:ascii="Times New Roman" w:hAnsi="Times New Roman" w:cs="Times New Roman"/>
          <w:noProof w:val="0"/>
          <w:sz w:val="24"/>
          <w:szCs w:val="24"/>
        </w:rPr>
        <w:t>7</w:t>
      </w:r>
      <w:r w:rsidR="00550FC3">
        <w:rPr>
          <w:rFonts w:ascii="Times New Roman" w:hAnsi="Times New Roman" w:cs="Times New Roman"/>
          <w:noProof w:val="0"/>
          <w:sz w:val="24"/>
          <w:szCs w:val="24"/>
        </w:rPr>
        <w:t xml:space="preserve">, </w:t>
      </w:r>
      <w:r w:rsidR="0023765D">
        <w:rPr>
          <w:rFonts w:ascii="Times New Roman" w:hAnsi="Times New Roman" w:cs="Times New Roman"/>
          <w:noProof w:val="0"/>
          <w:sz w:val="24"/>
          <w:szCs w:val="24"/>
        </w:rPr>
        <w:t xml:space="preserve">as per data provided by the </w:t>
      </w:r>
      <w:r w:rsidR="009B5FF9">
        <w:rPr>
          <w:rFonts w:ascii="Times New Roman" w:hAnsi="Times New Roman" w:cs="Times New Roman"/>
          <w:noProof w:val="0"/>
          <w:sz w:val="24"/>
          <w:szCs w:val="24"/>
        </w:rPr>
        <w:t xml:space="preserve">U.S. Census Bureau </w:t>
      </w:r>
      <w:r w:rsidR="009B5FF9">
        <w:rPr>
          <w:rFonts w:ascii="Times New Roman" w:hAnsi="Times New Roman" w:cs="Times New Roman"/>
          <w:noProof w:val="0"/>
          <w:sz w:val="24"/>
          <w:szCs w:val="24"/>
        </w:rPr>
        <w:fldChar w:fldCharType="begin" w:fldLock="1"/>
      </w:r>
      <w:r w:rsidR="002569A7">
        <w:rPr>
          <w:rFonts w:ascii="Times New Roman" w:hAnsi="Times New Roman" w:cs="Times New Roman"/>
          <w:noProof w:val="0"/>
          <w:sz w:val="24"/>
          <w:szCs w:val="24"/>
        </w:rPr>
        <w:instrText>ADDIN CSL_CITATION {"citationItems":[{"id":"ITEM-1","itemData":{"URL":"https://www.census.gov/data/datasets/2017/demo/popest/state-detail.html","accessed":{"date-parts":[["2019","1","31"]]},"author":[{"dropping-particle":"","family":"United States Census Bureau","given":"","non-dropping-particle":"","parse-names":false,"suffix":""}],"id":"ITEM-1","issued":{"date-parts":[["2018"]]},"title":"State Population by Characteristics: 2010-2017","type":"webpage"},"uris":["http://www.mendeley.com/documents/?uuid=8bd24bbd-76c8-487f-8e37-93d29128fa71"]}],"mendeley":{"formattedCitation":"[14]","plainTextFormattedCitation":"[14]","previouslyFormattedCitation":"[14]"},"properties":{"noteIndex":0},"schema":"https://github.com/citation-style-language/schema/raw/master/csl-citation.json"}</w:instrText>
      </w:r>
      <w:r w:rsidR="009B5FF9">
        <w:rPr>
          <w:rFonts w:ascii="Times New Roman" w:hAnsi="Times New Roman" w:cs="Times New Roman"/>
          <w:noProof w:val="0"/>
          <w:sz w:val="24"/>
          <w:szCs w:val="24"/>
        </w:rPr>
        <w:fldChar w:fldCharType="separate"/>
      </w:r>
      <w:r w:rsidR="009B5FF9" w:rsidRPr="009B5FF9">
        <w:rPr>
          <w:rFonts w:ascii="Times New Roman" w:hAnsi="Times New Roman" w:cs="Times New Roman"/>
          <w:sz w:val="24"/>
          <w:szCs w:val="24"/>
        </w:rPr>
        <w:t>[14]</w:t>
      </w:r>
      <w:r w:rsidR="009B5FF9">
        <w:rPr>
          <w:rFonts w:ascii="Times New Roman" w:hAnsi="Times New Roman" w:cs="Times New Roman"/>
          <w:noProof w:val="0"/>
          <w:sz w:val="24"/>
          <w:szCs w:val="24"/>
        </w:rPr>
        <w:fldChar w:fldCharType="end"/>
      </w:r>
      <w:r w:rsidR="009B5FF9">
        <w:rPr>
          <w:rFonts w:ascii="Times New Roman" w:hAnsi="Times New Roman" w:cs="Times New Roman"/>
          <w:noProof w:val="0"/>
          <w:sz w:val="24"/>
          <w:szCs w:val="24"/>
        </w:rPr>
        <w:t>.</w:t>
      </w:r>
      <w:r w:rsidR="00956F6C">
        <w:rPr>
          <w:rFonts w:ascii="Times New Roman" w:hAnsi="Times New Roman" w:cs="Times New Roman"/>
          <w:noProof w:val="0"/>
          <w:sz w:val="24"/>
          <w:szCs w:val="24"/>
        </w:rPr>
        <w:t xml:space="preserve"> Thus, both the modeled and empirical data revealed a population growth rate of &lt;1% per year.</w:t>
      </w:r>
    </w:p>
    <w:p w14:paraId="46B214F9" w14:textId="07B8BB4C" w:rsidR="00772982" w:rsidRDefault="00B03FB7" w:rsidP="00B03FB7">
      <w:pPr>
        <w:spacing w:line="480" w:lineRule="auto"/>
        <w:rPr>
          <w:rFonts w:ascii="Times New Roman" w:hAnsi="Times New Roman" w:cs="Times New Roman"/>
          <w:noProof w:val="0"/>
          <w:sz w:val="24"/>
          <w:szCs w:val="24"/>
        </w:rPr>
      </w:pPr>
      <w:bookmarkStart w:id="6" w:name="_Toc3377334"/>
      <w:r w:rsidRPr="000B44D1">
        <w:rPr>
          <w:rStyle w:val="Heading2Char"/>
        </w:rPr>
        <w:t xml:space="preserve">A.4.3 </w:t>
      </w:r>
      <w:r w:rsidR="00005197" w:rsidRPr="000B44D1">
        <w:rPr>
          <w:rStyle w:val="Heading2Char"/>
        </w:rPr>
        <w:t>Sexual network structure</w:t>
      </w:r>
      <w:bookmarkEnd w:id="6"/>
      <w:r w:rsidR="00005197" w:rsidRPr="00B03FB7">
        <w:rPr>
          <w:rFonts w:ascii="Times New Roman" w:hAnsi="Times New Roman" w:cs="Times New Roman"/>
          <w:noProof w:val="0"/>
          <w:sz w:val="24"/>
          <w:szCs w:val="24"/>
        </w:rPr>
        <w:t xml:space="preserve">: Two different sexual networks within this population were </w:t>
      </w:r>
      <w:r w:rsidR="00005197" w:rsidRPr="00B03FB7">
        <w:rPr>
          <w:rFonts w:ascii="Times New Roman" w:hAnsi="Times New Roman" w:cs="Times New Roman"/>
          <w:noProof w:val="0"/>
          <w:sz w:val="24"/>
          <w:szCs w:val="24"/>
        </w:rPr>
        <w:lastRenderedPageBreak/>
        <w:t xml:space="preserve">modeled, based on two types of partnerships: “main” and “casual”. The formation and dissolution processes of both partnership types were set such that their cross-sectional structure remained consistent with empirical data.  The key parameters for main and casual partnerships, estimated for a given day, were: the mean number and distribution of partnerships, the mean partnership duration, and the mean of the absolute difference in ages for partners. </w:t>
      </w:r>
    </w:p>
    <w:p w14:paraId="5A6EF969" w14:textId="6677A903" w:rsidR="00C0395D" w:rsidRPr="00B03FB7" w:rsidRDefault="002353AD" w:rsidP="001D4C7E">
      <w:pPr>
        <w:spacing w:line="480" w:lineRule="auto"/>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Sexual </w:t>
      </w:r>
      <w:r w:rsidR="005F2BC2">
        <w:rPr>
          <w:rFonts w:ascii="Times New Roman" w:hAnsi="Times New Roman" w:cs="Times New Roman"/>
          <w:noProof w:val="0"/>
          <w:sz w:val="24"/>
          <w:szCs w:val="24"/>
        </w:rPr>
        <w:t xml:space="preserve">networks </w:t>
      </w:r>
      <w:r w:rsidR="003351B4">
        <w:rPr>
          <w:rFonts w:ascii="Times New Roman" w:hAnsi="Times New Roman" w:cs="Times New Roman"/>
          <w:noProof w:val="0"/>
          <w:sz w:val="24"/>
          <w:szCs w:val="24"/>
        </w:rPr>
        <w:t xml:space="preserve">were </w:t>
      </w:r>
      <w:r w:rsidR="00144B72">
        <w:rPr>
          <w:rFonts w:ascii="Times New Roman" w:hAnsi="Times New Roman" w:cs="Times New Roman"/>
          <w:noProof w:val="0"/>
          <w:sz w:val="24"/>
          <w:szCs w:val="24"/>
        </w:rPr>
        <w:t xml:space="preserve">dichotomized as </w:t>
      </w:r>
      <w:r w:rsidR="008E02BE">
        <w:rPr>
          <w:rFonts w:ascii="Times New Roman" w:hAnsi="Times New Roman" w:cs="Times New Roman"/>
          <w:noProof w:val="0"/>
          <w:sz w:val="24"/>
          <w:szCs w:val="24"/>
        </w:rPr>
        <w:t xml:space="preserve">“main” and </w:t>
      </w:r>
      <w:r w:rsidR="00E714BC">
        <w:rPr>
          <w:rFonts w:ascii="Times New Roman" w:hAnsi="Times New Roman" w:cs="Times New Roman"/>
          <w:noProof w:val="0"/>
          <w:sz w:val="24"/>
          <w:szCs w:val="24"/>
        </w:rPr>
        <w:t>“casual”</w:t>
      </w:r>
      <w:r w:rsidR="005B776C">
        <w:rPr>
          <w:rFonts w:ascii="Times New Roman" w:hAnsi="Times New Roman" w:cs="Times New Roman"/>
          <w:noProof w:val="0"/>
          <w:sz w:val="24"/>
          <w:szCs w:val="24"/>
        </w:rPr>
        <w:t xml:space="preserve">. The underlying cohort data </w:t>
      </w:r>
      <w:r w:rsidR="0006354F" w:rsidRPr="0055744D">
        <w:rPr>
          <w:rFonts w:ascii="Times New Roman" w:hAnsi="Times New Roman" w:cs="Times New Roman"/>
          <w:noProof w:val="0"/>
          <w:sz w:val="24"/>
          <w:szCs w:val="24"/>
        </w:rPr>
        <w:fldChar w:fldCharType="begin" w:fldLock="1"/>
      </w:r>
      <w:r w:rsidR="002569A7">
        <w:rPr>
          <w:rFonts w:ascii="Times New Roman" w:hAnsi="Times New Roman" w:cs="Times New Roman"/>
          <w:noProof w:val="0"/>
          <w:sz w:val="24"/>
          <w:szCs w:val="24"/>
        </w:rPr>
        <w:instrText>ADDIN CSL_CITATION {"citationItems":[{"id":"ITEM-1","itemData":{"DOI":"10.1001/jamainternmed.2015.6536","ISSN":"2168-6114","PMID":"26571368","author":[{"dropping-particle":"","family":"Khanna","given":"Aditya S","non-dropping-particle":"","parse-names":false,"suffix":""},{"dropping-particle":"","family":"Michaels","given":"Stuart","non-dropping-particle":"","parse-names":false,"suffix":""},{"dropping-particle":"","family":"Skaathun","given":"Britt","non-dropping-particle":"","parse-names":false,"suffix":""},{"dropping-particle":"","family":"Morgan","given":"Ethan","non-dropping-particle":"","parse-names":false,"suffix":""},{"dropping-particle":"","family":"Green","given":"Keith","non-dropping-particle":"","parse-names":false,"suffix":""},{"dropping-particle":"","family":"Young","given":"Lindsay","non-dropping-particle":"","parse-names":false,"suffix":""},{"dropping-particle":"","family":"Schneider","given":"John A","non-dropping-particle":"","parse-names":false,"suffix":""},{"dropping-particle":"","family":"uConnect Study Team","given":"","non-dropping-particle":"","parse-names":false,"suffix":""}],"container-title":"JAMA internal medicine","id":"ITEM-1","issue":"1","issued":{"date-parts":[["2016","1","1"]]},"page":"136-8","title":"Preexposure Prophylaxis Awareness and Use in a Population-Based Sample of Young Black Men Who Have Sex With Men.","type":"article-journal","volume":"176"},"uris":["http://www.mendeley.com/documents/?uuid=bef9a2cc-c473-47ef-a5fd-8efebf8bacd9"]},{"id":"ITEM-2","itemData":{"DOI":"10.1017/nws.2016.27","ISSN":"2050-1242","abstract":"Critical to the development of improved HIV elimination efforts is a greater understanding of how social networks and their dynamics are related to HIV risk and prevention. In this paper, we examine network stability of confidant and sexual networks among young black men who have sex with men (YBMSM). We use data from uConnect (2013–2016), a population-based, longitudinal cohort study. We use an innovative approach to measure both sexual and confidant network stability at three time points, and examine the relationship between each type of stability and HIV risk and prevention behaviors. This approach is consistent with a co-evolutionary perspective in which behavior is not only affected by static properties of an individual's network, but may also be associated with changes in the topology of his or her egocentric network. Our results indicate that although confidant and sexual network stability are moderately correlated, their dynamics are distinct with different predictors and differing associations with behavior. Both types of stability are associated with lower rates of risk behaviors, and both are reduced among those who have spent time in jail. Public health awareness and engagement with both types of networks may provide new opportunities for HIV prevention interventions.","author":[{"dropping-particle":"","family":"Schneider","given":"J.","non-dropping-particle":"","parse-names":false,"suffix":""},{"dropping-particle":"","family":"Cornwell","given":"B.","non-dropping-particle":"","parse-names":false,"suffix":""},{"dropping-particle":"","family":"Jonas","given":"A.","non-dropping-particle":"","parse-names":false,"suffix":""},{"dropping-particle":"","family":"Lancki","given":"N.","non-dropping-particle":"","parse-names":false,"suffix":""},{"dropping-particle":"","family":"Behler","given":"R.","non-dropping-particle":"","parse-names":false,"suffix":""},{"dropping-particle":"","family":"Skaathun","given":"B.","non-dropping-particle":"","parse-names":false,"suffix":""},{"dropping-particle":"","family":"Young","given":"L. E.","non-dropping-particle":"","parse-names":false,"suffix":""},{"dropping-particle":"","family":"Morgan","given":"E.","non-dropping-particle":"","parse-names":false,"suffix":""},{"dropping-particle":"","family":"Michaels","given":"S.","non-dropping-particle":"","parse-names":false,"suffix":""},{"dropping-particle":"","family":"Duvosin","given":"R.","non-dropping-particle":"","parse-names":false,"suffix":""},{"dropping-particle":"","family":"Khanna","given":"A. S.","non-dropping-particle":"","parse-names":false,"suffix":""},{"dropping-particle":"","family":"Friedman","given":"S.","non-dropping-particle":"","parse-names":false,"suffix":""},{"dropping-particle":"","family":"Schumm","given":"P.","non-dropping-particle":"","parse-names":false,"suffix":""},{"dropping-particle":"","family":"Laumann","given":"E.","non-dropping-particle":"","parse-names":false,"suffix":""}],"container-title":"Network Science","id":"ITEM-2","issued":{"date-parts":[["2017","2","1"]]},"page":"1-29","title":"Network dynamics of HIV risk and prevention in a population-based cohort of young Black men who have sex with men","type":"article-journal"},"uris":["http://www.mendeley.com/documents/?uuid=8555ec92-af42-4c8d-82ce-7037a468896b"]}],"mendeley":{"formattedCitation":"[15,16]","plainTextFormattedCitation":"[15,16]","previouslyFormattedCitation":"[15,16]"},"properties":{"noteIndex":0},"schema":"https://github.com/citation-style-language/schema/raw/master/csl-citation.json"}</w:instrText>
      </w:r>
      <w:r w:rsidR="0006354F" w:rsidRPr="0055744D">
        <w:rPr>
          <w:rFonts w:ascii="Times New Roman" w:hAnsi="Times New Roman" w:cs="Times New Roman"/>
          <w:noProof w:val="0"/>
          <w:sz w:val="24"/>
          <w:szCs w:val="24"/>
        </w:rPr>
        <w:fldChar w:fldCharType="separate"/>
      </w:r>
      <w:r w:rsidR="009B5FF9" w:rsidRPr="009B5FF9">
        <w:rPr>
          <w:rFonts w:ascii="Times New Roman" w:hAnsi="Times New Roman" w:cs="Times New Roman"/>
          <w:sz w:val="24"/>
          <w:szCs w:val="24"/>
        </w:rPr>
        <w:t>[15,16]</w:t>
      </w:r>
      <w:r w:rsidR="0006354F" w:rsidRPr="0055744D">
        <w:rPr>
          <w:rFonts w:ascii="Times New Roman" w:hAnsi="Times New Roman" w:cs="Times New Roman"/>
          <w:noProof w:val="0"/>
          <w:sz w:val="24"/>
          <w:szCs w:val="24"/>
        </w:rPr>
        <w:fldChar w:fldCharType="end"/>
      </w:r>
      <w:r w:rsidR="0006354F">
        <w:rPr>
          <w:rFonts w:ascii="Times New Roman" w:hAnsi="Times New Roman" w:cs="Times New Roman"/>
          <w:noProof w:val="0"/>
          <w:sz w:val="24"/>
          <w:szCs w:val="24"/>
        </w:rPr>
        <w:t xml:space="preserve"> </w:t>
      </w:r>
      <w:r w:rsidR="005B776C">
        <w:rPr>
          <w:rFonts w:ascii="Times New Roman" w:hAnsi="Times New Roman" w:cs="Times New Roman"/>
          <w:noProof w:val="0"/>
          <w:sz w:val="24"/>
          <w:szCs w:val="24"/>
        </w:rPr>
        <w:t xml:space="preserve">used to parameterize these networks also contained information on </w:t>
      </w:r>
      <w:r w:rsidR="00E714BC">
        <w:rPr>
          <w:rFonts w:ascii="Times New Roman" w:hAnsi="Times New Roman" w:cs="Times New Roman"/>
          <w:noProof w:val="0"/>
          <w:sz w:val="24"/>
          <w:szCs w:val="24"/>
        </w:rPr>
        <w:t>“</w:t>
      </w:r>
      <w:r w:rsidR="00BD6097">
        <w:rPr>
          <w:rFonts w:ascii="Times New Roman" w:hAnsi="Times New Roman" w:cs="Times New Roman"/>
          <w:noProof w:val="0"/>
          <w:sz w:val="24"/>
          <w:szCs w:val="24"/>
        </w:rPr>
        <w:t>e</w:t>
      </w:r>
      <w:r w:rsidR="00E714BC">
        <w:rPr>
          <w:rFonts w:ascii="Times New Roman" w:hAnsi="Times New Roman" w:cs="Times New Roman"/>
          <w:noProof w:val="0"/>
          <w:sz w:val="24"/>
          <w:szCs w:val="24"/>
        </w:rPr>
        <w:t>xchange” partners</w:t>
      </w:r>
      <w:r w:rsidR="0006354F">
        <w:rPr>
          <w:rFonts w:ascii="Times New Roman" w:hAnsi="Times New Roman" w:cs="Times New Roman"/>
          <w:noProof w:val="0"/>
          <w:sz w:val="24"/>
          <w:szCs w:val="24"/>
        </w:rPr>
        <w:t>;</w:t>
      </w:r>
      <w:r w:rsidR="00E714BC">
        <w:rPr>
          <w:rFonts w:ascii="Times New Roman" w:hAnsi="Times New Roman" w:cs="Times New Roman"/>
          <w:noProof w:val="0"/>
          <w:sz w:val="24"/>
          <w:szCs w:val="24"/>
        </w:rPr>
        <w:t xml:space="preserve"> </w:t>
      </w:r>
      <w:r w:rsidR="0006354F">
        <w:rPr>
          <w:rFonts w:ascii="Times New Roman" w:hAnsi="Times New Roman" w:cs="Times New Roman"/>
          <w:noProof w:val="0"/>
          <w:sz w:val="24"/>
          <w:szCs w:val="24"/>
        </w:rPr>
        <w:t xml:space="preserve">these partnerships were </w:t>
      </w:r>
      <w:r w:rsidR="00B51B51">
        <w:rPr>
          <w:rFonts w:ascii="Times New Roman" w:hAnsi="Times New Roman" w:cs="Times New Roman"/>
          <w:noProof w:val="0"/>
          <w:sz w:val="24"/>
          <w:szCs w:val="24"/>
        </w:rPr>
        <w:t xml:space="preserve">modeled </w:t>
      </w:r>
      <w:r>
        <w:rPr>
          <w:rFonts w:ascii="Times New Roman" w:hAnsi="Times New Roman" w:cs="Times New Roman"/>
          <w:noProof w:val="0"/>
          <w:sz w:val="24"/>
          <w:szCs w:val="24"/>
        </w:rPr>
        <w:t>with</w:t>
      </w:r>
      <w:r w:rsidR="00E714BC">
        <w:rPr>
          <w:rFonts w:ascii="Times New Roman" w:hAnsi="Times New Roman" w:cs="Times New Roman"/>
          <w:noProof w:val="0"/>
          <w:sz w:val="24"/>
          <w:szCs w:val="24"/>
        </w:rPr>
        <w:t xml:space="preserve">in </w:t>
      </w:r>
      <w:r>
        <w:rPr>
          <w:rFonts w:ascii="Times New Roman" w:hAnsi="Times New Roman" w:cs="Times New Roman"/>
          <w:noProof w:val="0"/>
          <w:sz w:val="24"/>
          <w:szCs w:val="24"/>
        </w:rPr>
        <w:t>the “</w:t>
      </w:r>
      <w:r w:rsidR="00E714BC">
        <w:rPr>
          <w:rFonts w:ascii="Times New Roman" w:hAnsi="Times New Roman" w:cs="Times New Roman"/>
          <w:noProof w:val="0"/>
          <w:sz w:val="24"/>
          <w:szCs w:val="24"/>
        </w:rPr>
        <w:t>casual</w:t>
      </w:r>
      <w:r>
        <w:rPr>
          <w:rFonts w:ascii="Times New Roman" w:hAnsi="Times New Roman" w:cs="Times New Roman"/>
          <w:noProof w:val="0"/>
          <w:sz w:val="24"/>
          <w:szCs w:val="24"/>
        </w:rPr>
        <w:t xml:space="preserve">” </w:t>
      </w:r>
      <w:r w:rsidR="00041111">
        <w:rPr>
          <w:rFonts w:ascii="Times New Roman" w:hAnsi="Times New Roman" w:cs="Times New Roman"/>
          <w:noProof w:val="0"/>
          <w:sz w:val="24"/>
          <w:szCs w:val="24"/>
        </w:rPr>
        <w:t xml:space="preserve">partnership </w:t>
      </w:r>
      <w:r>
        <w:rPr>
          <w:rFonts w:ascii="Times New Roman" w:hAnsi="Times New Roman" w:cs="Times New Roman"/>
          <w:noProof w:val="0"/>
          <w:sz w:val="24"/>
          <w:szCs w:val="24"/>
        </w:rPr>
        <w:t>typology</w:t>
      </w:r>
      <w:r w:rsidR="00BE0089">
        <w:rPr>
          <w:rFonts w:ascii="Times New Roman" w:hAnsi="Times New Roman" w:cs="Times New Roman"/>
          <w:noProof w:val="0"/>
          <w:sz w:val="24"/>
          <w:szCs w:val="24"/>
        </w:rPr>
        <w:t>.</w:t>
      </w:r>
      <w:r w:rsidR="00FB12CB">
        <w:rPr>
          <w:rFonts w:ascii="Times New Roman" w:hAnsi="Times New Roman" w:cs="Times New Roman"/>
          <w:noProof w:val="0"/>
          <w:sz w:val="24"/>
          <w:szCs w:val="24"/>
        </w:rPr>
        <w:t xml:space="preserve"> </w:t>
      </w:r>
      <w:r w:rsidR="00E714BC">
        <w:rPr>
          <w:rFonts w:ascii="Times New Roman" w:hAnsi="Times New Roman" w:cs="Times New Roman"/>
          <w:noProof w:val="0"/>
          <w:sz w:val="24"/>
          <w:szCs w:val="24"/>
        </w:rPr>
        <w:t>Th</w:t>
      </w:r>
      <w:r w:rsidR="001A24BB">
        <w:rPr>
          <w:rFonts w:ascii="Times New Roman" w:hAnsi="Times New Roman" w:cs="Times New Roman"/>
          <w:noProof w:val="0"/>
          <w:sz w:val="24"/>
          <w:szCs w:val="24"/>
        </w:rPr>
        <w:t>e</w:t>
      </w:r>
      <w:r w:rsidR="00F61220">
        <w:rPr>
          <w:rFonts w:ascii="Times New Roman" w:hAnsi="Times New Roman" w:cs="Times New Roman"/>
          <w:noProof w:val="0"/>
          <w:sz w:val="24"/>
          <w:szCs w:val="24"/>
        </w:rPr>
        <w:t xml:space="preserve"> same cohort</w:t>
      </w:r>
      <w:r w:rsidR="00E714BC">
        <w:rPr>
          <w:rFonts w:ascii="Times New Roman" w:hAnsi="Times New Roman" w:cs="Times New Roman"/>
          <w:noProof w:val="0"/>
          <w:sz w:val="24"/>
          <w:szCs w:val="24"/>
        </w:rPr>
        <w:t xml:space="preserve"> data w</w:t>
      </w:r>
      <w:r w:rsidR="001A24BB">
        <w:rPr>
          <w:rFonts w:ascii="Times New Roman" w:hAnsi="Times New Roman" w:cs="Times New Roman"/>
          <w:noProof w:val="0"/>
          <w:sz w:val="24"/>
          <w:szCs w:val="24"/>
        </w:rPr>
        <w:t>ere</w:t>
      </w:r>
      <w:r w:rsidR="00B02583">
        <w:rPr>
          <w:rFonts w:ascii="Times New Roman" w:hAnsi="Times New Roman" w:cs="Times New Roman"/>
          <w:noProof w:val="0"/>
          <w:sz w:val="24"/>
          <w:szCs w:val="24"/>
        </w:rPr>
        <w:t xml:space="preserve"> used to estimate </w:t>
      </w:r>
      <w:r w:rsidR="008230A1">
        <w:rPr>
          <w:rFonts w:ascii="Times New Roman" w:hAnsi="Times New Roman" w:cs="Times New Roman"/>
          <w:noProof w:val="0"/>
          <w:sz w:val="24"/>
          <w:szCs w:val="24"/>
        </w:rPr>
        <w:t xml:space="preserve">other </w:t>
      </w:r>
      <w:r w:rsidR="00B02583">
        <w:rPr>
          <w:rFonts w:ascii="Times New Roman" w:hAnsi="Times New Roman" w:cs="Times New Roman"/>
          <w:noProof w:val="0"/>
          <w:sz w:val="24"/>
          <w:szCs w:val="24"/>
        </w:rPr>
        <w:t xml:space="preserve">parameters </w:t>
      </w:r>
      <w:r w:rsidR="008230A1">
        <w:rPr>
          <w:rFonts w:ascii="Times New Roman" w:hAnsi="Times New Roman" w:cs="Times New Roman"/>
          <w:noProof w:val="0"/>
          <w:sz w:val="24"/>
          <w:szCs w:val="24"/>
        </w:rPr>
        <w:t>used to model the sexual networks</w:t>
      </w:r>
      <w:r w:rsidR="00B02583">
        <w:rPr>
          <w:rFonts w:ascii="Times New Roman" w:hAnsi="Times New Roman" w:cs="Times New Roman"/>
          <w:noProof w:val="0"/>
          <w:sz w:val="24"/>
          <w:szCs w:val="24"/>
        </w:rPr>
        <w:t xml:space="preserve">, namely the </w:t>
      </w:r>
      <w:r w:rsidR="003C0B9B">
        <w:rPr>
          <w:rFonts w:ascii="Times New Roman" w:hAnsi="Times New Roman" w:cs="Times New Roman"/>
          <w:noProof w:val="0"/>
          <w:sz w:val="24"/>
          <w:szCs w:val="24"/>
        </w:rPr>
        <w:t xml:space="preserve">mean </w:t>
      </w:r>
      <w:r w:rsidR="00B02583">
        <w:rPr>
          <w:rFonts w:ascii="Times New Roman" w:hAnsi="Times New Roman" w:cs="Times New Roman"/>
          <w:noProof w:val="0"/>
          <w:sz w:val="24"/>
          <w:szCs w:val="24"/>
        </w:rPr>
        <w:t xml:space="preserve">number </w:t>
      </w:r>
      <w:r w:rsidR="003C0B9B">
        <w:rPr>
          <w:rFonts w:ascii="Times New Roman" w:hAnsi="Times New Roman" w:cs="Times New Roman"/>
          <w:noProof w:val="0"/>
          <w:sz w:val="24"/>
          <w:szCs w:val="24"/>
        </w:rPr>
        <w:t xml:space="preserve">of cross-sectional </w:t>
      </w:r>
      <w:r w:rsidR="00B67075">
        <w:rPr>
          <w:rFonts w:ascii="Times New Roman" w:hAnsi="Times New Roman" w:cs="Times New Roman"/>
          <w:noProof w:val="0"/>
          <w:sz w:val="24"/>
          <w:szCs w:val="24"/>
        </w:rPr>
        <w:t xml:space="preserve">main and casual </w:t>
      </w:r>
      <w:r w:rsidR="003C0B9B">
        <w:rPr>
          <w:rFonts w:ascii="Times New Roman" w:hAnsi="Times New Roman" w:cs="Times New Roman"/>
          <w:noProof w:val="0"/>
          <w:sz w:val="24"/>
          <w:szCs w:val="24"/>
        </w:rPr>
        <w:t>partnerships</w:t>
      </w:r>
      <w:r w:rsidR="00705731">
        <w:rPr>
          <w:rFonts w:ascii="Times New Roman" w:hAnsi="Times New Roman" w:cs="Times New Roman"/>
          <w:noProof w:val="0"/>
          <w:sz w:val="24"/>
          <w:szCs w:val="24"/>
        </w:rPr>
        <w:t xml:space="preserve">, </w:t>
      </w:r>
      <w:r w:rsidR="003C0B9B">
        <w:rPr>
          <w:rFonts w:ascii="Times New Roman" w:hAnsi="Times New Roman" w:cs="Times New Roman"/>
          <w:noProof w:val="0"/>
          <w:sz w:val="24"/>
          <w:szCs w:val="24"/>
        </w:rPr>
        <w:t xml:space="preserve">the distribution of the number of </w:t>
      </w:r>
      <w:r w:rsidR="008F338D">
        <w:rPr>
          <w:rFonts w:ascii="Times New Roman" w:hAnsi="Times New Roman" w:cs="Times New Roman"/>
          <w:noProof w:val="0"/>
          <w:sz w:val="24"/>
          <w:szCs w:val="24"/>
        </w:rPr>
        <w:t xml:space="preserve">main and </w:t>
      </w:r>
      <w:r w:rsidR="00CF0724">
        <w:rPr>
          <w:rFonts w:ascii="Times New Roman" w:hAnsi="Times New Roman" w:cs="Times New Roman"/>
          <w:noProof w:val="0"/>
          <w:sz w:val="24"/>
          <w:szCs w:val="24"/>
        </w:rPr>
        <w:t xml:space="preserve">casual </w:t>
      </w:r>
      <w:r w:rsidR="003C0B9B">
        <w:rPr>
          <w:rFonts w:ascii="Times New Roman" w:hAnsi="Times New Roman" w:cs="Times New Roman"/>
          <w:noProof w:val="0"/>
          <w:sz w:val="24"/>
          <w:szCs w:val="24"/>
        </w:rPr>
        <w:t>partnerships (0, 1, 2)</w:t>
      </w:r>
      <w:r w:rsidR="00DD6A32">
        <w:rPr>
          <w:rFonts w:ascii="Times New Roman" w:hAnsi="Times New Roman" w:cs="Times New Roman"/>
          <w:noProof w:val="0"/>
          <w:sz w:val="24"/>
          <w:szCs w:val="24"/>
        </w:rPr>
        <w:t>, and age-mixing</w:t>
      </w:r>
      <w:r w:rsidR="003C0B9B">
        <w:rPr>
          <w:rFonts w:ascii="Times New Roman" w:hAnsi="Times New Roman" w:cs="Times New Roman"/>
          <w:noProof w:val="0"/>
          <w:sz w:val="24"/>
          <w:szCs w:val="24"/>
        </w:rPr>
        <w:t xml:space="preserve">. </w:t>
      </w:r>
      <w:r w:rsidR="00B018C0" w:rsidRPr="00B018C0">
        <w:rPr>
          <w:rFonts w:ascii="Times New Roman" w:hAnsi="Times New Roman" w:cs="Times New Roman"/>
          <w:bCs/>
          <w:noProof w:val="0"/>
          <w:sz w:val="24"/>
          <w:szCs w:val="24"/>
        </w:rPr>
        <w:t xml:space="preserve">The </w:t>
      </w:r>
      <w:r w:rsidR="00B018C0">
        <w:rPr>
          <w:rFonts w:ascii="Times New Roman" w:hAnsi="Times New Roman" w:cs="Times New Roman"/>
          <w:bCs/>
          <w:noProof w:val="0"/>
          <w:sz w:val="24"/>
          <w:szCs w:val="24"/>
        </w:rPr>
        <w:t xml:space="preserve">degree </w:t>
      </w:r>
      <w:r w:rsidR="00B018C0" w:rsidRPr="00B018C0">
        <w:rPr>
          <w:rFonts w:ascii="Times New Roman" w:hAnsi="Times New Roman" w:cs="Times New Roman"/>
          <w:bCs/>
          <w:noProof w:val="0"/>
          <w:sz w:val="24"/>
          <w:szCs w:val="24"/>
        </w:rPr>
        <w:t xml:space="preserve">distributions were estimated by computing overlaps in the dates of first and last sex between the study respondent and each of their partners (each respondent reported on up to 5 partners in the last six months). </w:t>
      </w:r>
      <w:r w:rsidR="006D04F9">
        <w:rPr>
          <w:rFonts w:ascii="Times New Roman" w:hAnsi="Times New Roman" w:cs="Times New Roman"/>
          <w:noProof w:val="0"/>
          <w:sz w:val="24"/>
          <w:szCs w:val="24"/>
        </w:rPr>
        <w:t>Because the age ranges of agents in our model spanned a relatively narrow range (18 – 34 years), t</w:t>
      </w:r>
      <w:r w:rsidR="00A95E0E">
        <w:rPr>
          <w:rFonts w:ascii="Times New Roman" w:hAnsi="Times New Roman" w:cs="Times New Roman"/>
          <w:noProof w:val="0"/>
          <w:sz w:val="24"/>
          <w:szCs w:val="24"/>
        </w:rPr>
        <w:t xml:space="preserve">he age-mixing </w:t>
      </w:r>
      <w:r w:rsidR="00087E6C">
        <w:rPr>
          <w:rFonts w:ascii="Times New Roman" w:hAnsi="Times New Roman" w:cs="Times New Roman"/>
          <w:noProof w:val="0"/>
          <w:sz w:val="24"/>
          <w:szCs w:val="24"/>
        </w:rPr>
        <w:t>parameter</w:t>
      </w:r>
      <w:r w:rsidR="005E3A21">
        <w:rPr>
          <w:rFonts w:ascii="Times New Roman" w:hAnsi="Times New Roman" w:cs="Times New Roman"/>
          <w:noProof w:val="0"/>
          <w:sz w:val="24"/>
          <w:szCs w:val="24"/>
        </w:rPr>
        <w:t xml:space="preserve"> was </w:t>
      </w:r>
      <w:r w:rsidR="00D171C8">
        <w:rPr>
          <w:rFonts w:ascii="Times New Roman" w:hAnsi="Times New Roman" w:cs="Times New Roman"/>
          <w:noProof w:val="0"/>
          <w:sz w:val="24"/>
          <w:szCs w:val="24"/>
        </w:rPr>
        <w:t xml:space="preserve">estimated </w:t>
      </w:r>
      <w:r w:rsidR="00A95E0E">
        <w:rPr>
          <w:rFonts w:ascii="Times New Roman" w:hAnsi="Times New Roman" w:cs="Times New Roman"/>
          <w:noProof w:val="0"/>
          <w:sz w:val="24"/>
          <w:szCs w:val="24"/>
        </w:rPr>
        <w:t xml:space="preserve">as the </w:t>
      </w:r>
      <w:r w:rsidR="00B80375">
        <w:rPr>
          <w:rFonts w:ascii="Times New Roman" w:hAnsi="Times New Roman" w:cs="Times New Roman"/>
          <w:noProof w:val="0"/>
          <w:sz w:val="24"/>
          <w:szCs w:val="24"/>
        </w:rPr>
        <w:t xml:space="preserve">mean </w:t>
      </w:r>
      <w:r w:rsidR="004A1061">
        <w:rPr>
          <w:rFonts w:ascii="Times New Roman" w:hAnsi="Times New Roman" w:cs="Times New Roman"/>
          <w:noProof w:val="0"/>
          <w:sz w:val="24"/>
          <w:szCs w:val="24"/>
        </w:rPr>
        <w:t xml:space="preserve">of the </w:t>
      </w:r>
      <w:r w:rsidR="00A73B84">
        <w:rPr>
          <w:rFonts w:ascii="Times New Roman" w:hAnsi="Times New Roman" w:cs="Times New Roman"/>
          <w:noProof w:val="0"/>
          <w:sz w:val="24"/>
          <w:szCs w:val="24"/>
        </w:rPr>
        <w:t>absolute</w:t>
      </w:r>
      <w:r w:rsidR="004A1061">
        <w:rPr>
          <w:rFonts w:ascii="Times New Roman" w:hAnsi="Times New Roman" w:cs="Times New Roman"/>
          <w:noProof w:val="0"/>
          <w:sz w:val="24"/>
          <w:szCs w:val="24"/>
        </w:rPr>
        <w:t xml:space="preserve"> value</w:t>
      </w:r>
      <w:r w:rsidR="00E8796C">
        <w:rPr>
          <w:rFonts w:ascii="Times New Roman" w:hAnsi="Times New Roman" w:cs="Times New Roman"/>
          <w:noProof w:val="0"/>
          <w:sz w:val="24"/>
          <w:szCs w:val="24"/>
        </w:rPr>
        <w:t>s</w:t>
      </w:r>
      <w:r w:rsidR="004A1061">
        <w:rPr>
          <w:rFonts w:ascii="Times New Roman" w:hAnsi="Times New Roman" w:cs="Times New Roman"/>
          <w:noProof w:val="0"/>
          <w:sz w:val="24"/>
          <w:szCs w:val="24"/>
        </w:rPr>
        <w:t xml:space="preserve"> of the </w:t>
      </w:r>
      <w:r w:rsidR="00B80375">
        <w:rPr>
          <w:rFonts w:ascii="Times New Roman" w:hAnsi="Times New Roman" w:cs="Times New Roman"/>
          <w:noProof w:val="0"/>
          <w:sz w:val="24"/>
          <w:szCs w:val="24"/>
        </w:rPr>
        <w:t xml:space="preserve">difference </w:t>
      </w:r>
      <w:r w:rsidR="00644D93">
        <w:rPr>
          <w:rFonts w:ascii="Times New Roman" w:hAnsi="Times New Roman" w:cs="Times New Roman"/>
          <w:noProof w:val="0"/>
          <w:sz w:val="24"/>
          <w:szCs w:val="24"/>
        </w:rPr>
        <w:t xml:space="preserve">in </w:t>
      </w:r>
      <w:r w:rsidR="00B80375">
        <w:rPr>
          <w:rFonts w:ascii="Times New Roman" w:hAnsi="Times New Roman" w:cs="Times New Roman"/>
          <w:noProof w:val="0"/>
          <w:sz w:val="24"/>
          <w:szCs w:val="24"/>
        </w:rPr>
        <w:t xml:space="preserve">the ages of </w:t>
      </w:r>
      <w:r w:rsidR="00D7555A">
        <w:rPr>
          <w:rFonts w:ascii="Times New Roman" w:hAnsi="Times New Roman" w:cs="Times New Roman"/>
          <w:noProof w:val="0"/>
          <w:sz w:val="24"/>
          <w:szCs w:val="24"/>
        </w:rPr>
        <w:t>the partners</w:t>
      </w:r>
      <w:r w:rsidR="00843B0C">
        <w:rPr>
          <w:rFonts w:ascii="Times New Roman" w:hAnsi="Times New Roman" w:cs="Times New Roman"/>
          <w:noProof w:val="0"/>
          <w:sz w:val="24"/>
          <w:szCs w:val="24"/>
        </w:rPr>
        <w:t xml:space="preserve">, </w:t>
      </w:r>
      <w:r w:rsidR="006D04F9">
        <w:rPr>
          <w:rFonts w:ascii="Times New Roman" w:hAnsi="Times New Roman" w:cs="Times New Roman"/>
          <w:noProof w:val="0"/>
          <w:sz w:val="24"/>
          <w:szCs w:val="24"/>
        </w:rPr>
        <w:t xml:space="preserve">in contrast to other </w:t>
      </w:r>
      <w:r w:rsidR="001C163C">
        <w:rPr>
          <w:rFonts w:ascii="Times New Roman" w:hAnsi="Times New Roman" w:cs="Times New Roman"/>
          <w:noProof w:val="0"/>
          <w:sz w:val="24"/>
          <w:szCs w:val="24"/>
        </w:rPr>
        <w:t xml:space="preserve">models that were developed for broader age ranges and </w:t>
      </w:r>
      <w:r w:rsidR="006D04F9">
        <w:rPr>
          <w:rFonts w:ascii="Times New Roman" w:hAnsi="Times New Roman" w:cs="Times New Roman"/>
          <w:noProof w:val="0"/>
          <w:sz w:val="24"/>
          <w:szCs w:val="24"/>
        </w:rPr>
        <w:t xml:space="preserve">used the difference in the square-roots of </w:t>
      </w:r>
      <w:r w:rsidR="00EB3310">
        <w:rPr>
          <w:rFonts w:ascii="Times New Roman" w:hAnsi="Times New Roman" w:cs="Times New Roman"/>
          <w:noProof w:val="0"/>
          <w:sz w:val="24"/>
          <w:szCs w:val="24"/>
        </w:rPr>
        <w:t xml:space="preserve">partner </w:t>
      </w:r>
      <w:r w:rsidR="006D04F9">
        <w:rPr>
          <w:rFonts w:ascii="Times New Roman" w:hAnsi="Times New Roman" w:cs="Times New Roman"/>
          <w:noProof w:val="0"/>
          <w:sz w:val="24"/>
          <w:szCs w:val="24"/>
        </w:rPr>
        <w:t xml:space="preserve">ages </w:t>
      </w:r>
      <w:r w:rsidR="005376E5">
        <w:rPr>
          <w:rFonts w:ascii="Times New Roman" w:hAnsi="Times New Roman" w:cs="Times New Roman"/>
          <w:noProof w:val="0"/>
          <w:sz w:val="24"/>
          <w:szCs w:val="24"/>
        </w:rPr>
        <w:fldChar w:fldCharType="begin" w:fldLock="1"/>
      </w:r>
      <w:r w:rsidR="002569A7">
        <w:rPr>
          <w:rFonts w:ascii="Times New Roman" w:hAnsi="Times New Roman" w:cs="Times New Roman"/>
          <w:noProof w:val="0"/>
          <w:sz w:val="24"/>
          <w:szCs w:val="24"/>
        </w:rPr>
        <w:instrText>ADDIN CSL_CITATION {"citationItems":[{"id":"ITEM-1","itemData":{"DOI":"10.1007/s10461-013-0646-2","ISSN":"1573-3254","PMID":"24165985","abstract":"Our objective here is to demonstrate the population-level effects of individual-level post-diagnosis behavior change (PDBC) in Southern Californian men who have sex with men (MSM), recently diagnosed with HIV. While PDBC has been empirically documented, the population-level effects of such behavior change are largely unknown. To examine these effects, we develop network models derived from the exponential random graph model family. We parameterize our models using behavioral data from the Southern California Acute Infection and Early Disease Research Program, and biological data from a number of published sources. Our models incorporate vital demographic processes, biology, treatment and behavior. We find that without PDBC, HIV prevalence among MSM would be significantly higher at any reasonable frequency of testing. We also demonstrate that higher levels of HIV risk behavior among HIV-positive men relative to HIV-negative men observed in some cross-sectional studies are consistent with individual-level PDBC.","author":[{"dropping-particle":"","family":"Khanna","given":"Aditya S","non-dropping-particle":"","parse-names":false,"suffix":""},{"dropping-particle":"","family":"Goodreau","given":"S.M.","non-dropping-particle":"","parse-names":false,"suffix":""},{"dropping-particle":"","family":"Gorbach","given":"Pamina M","non-dropping-particle":"","parse-names":false,"suffix":""},{"dropping-particle":"","family":"Daar","given":"Eric","non-dropping-particle":"","parse-names":false,"suffix":""},{"dropping-particle":"","family":"Little","given":"Susan J","non-dropping-particle":"","parse-names":false,"suffix":""}],"container-title":"AIDS and behavior","id":"ITEM-1","issue":"8","issued":{"date-parts":[["2014","8","29"]]},"page":"1523-31","title":"Modeling the Impact of Post-Diagnosis Behavior Change on HIV Prevalence in Southern California Men Who Have Sex with Men (MSM).","type":"article-journal","volume":"18"},"uris":["http://www.mendeley.com/documents/?uuid=41309773-5be7-499d-8688-a2db0f468d5a"]},{"id":"ITEM-2","itemData":{"DOI":"10.1016/j.annepidem.2014.09.012","ISSN":"18732585","abstract":"© 2015 Elsevier Inc. Purpose: In this article, we examine the effectiveness of a variety of HIV diagnosis interventions in recently HIV-diagnosed men who have sex with men (MSM). These interventions use the preventive potential of postdiagnosis behavior change (PDBC), as measured by the reduction in the number of new infections. Empirical evidence for PDBC was presented in the behavioral substudy of the Southern California Acute Infection and Early Disease Research Program. In previous modeling work, we demonstrated the existing preventive effects of PDBC. However, a large proportion of new infections among MSM are either undiagnosed or diagnosed late, and the preventive potential of PDBC is not fully utilized. Methods: We derive empirical, stochastic, network-based models to examine the effectiveness of several diagnosis interventions that account for PDBC among MSM over a 10-year period. These interventions involve tests with shorter detection windows, more frequent testing, and individualized testing regimens. Results: We find that individualized testing interventions (i.e., testing individuals every three partners or 3months, whichever is first, or every six partners or 6months, whichever is first) result in significantly fewer new HIV infections than the generalized interventions we consider. Conclusions: This work highlights the potential of individualized interventions for new public health policies in HIV prevention.","author":[{"dropping-particle":"","family":"Khanna","given":"A.","non-dropping-particle":"","parse-names":false,"suffix":""},{"dropping-particle":"","family":"Goodreau","given":"S.M.","non-dropping-particle":"","parse-names":false,"suffix":""},{"dropping-particle":"","family":"Wohlfeiler","given":"D.","non-dropping-particle":"","parse-names":false,"suffix":""},{"dropping-particle":"","family":"Daar","given":"E.","non-dropping-particle":"","parse-names":false,"suffix":""},{"dropping-particle":"","family":"Little","given":"S.","non-dropping-particle":"","parse-names":false,"suffix":""},{"dropping-particle":"","family":"Gorbach","given":"P.M.","non-dropping-particle":"","parse-names":false,"suffix":""}],"container-title":"Annals of Epidemiology","id":"ITEM-2","issue":"1","issued":{"date-parts":[["2015"]]},"title":"Individualized diagnosis interventions can add significant effectiveness in reducing human immunodeficiency virus incidence among men who have sex with men: Insights from Southern California","type":"article-journal","volume":"25"},"uris":["http://www.mendeley.com/documents/?uuid=654806ce-3f92-362f-b76a-57d39ceb17dc"]}],"mendeley":{"formattedCitation":"[1,17]","plainTextFormattedCitation":"[1,17]","previouslyFormattedCitation":"[1,17]"},"properties":{"noteIndex":0},"schema":"https://github.com/citation-style-language/schema/raw/master/csl-citation.json"}</w:instrText>
      </w:r>
      <w:r w:rsidR="005376E5">
        <w:rPr>
          <w:rFonts w:ascii="Times New Roman" w:hAnsi="Times New Roman" w:cs="Times New Roman"/>
          <w:noProof w:val="0"/>
          <w:sz w:val="24"/>
          <w:szCs w:val="24"/>
        </w:rPr>
        <w:fldChar w:fldCharType="separate"/>
      </w:r>
      <w:r w:rsidR="009B5FF9" w:rsidRPr="009B5FF9">
        <w:rPr>
          <w:rFonts w:ascii="Times New Roman" w:hAnsi="Times New Roman" w:cs="Times New Roman"/>
          <w:sz w:val="24"/>
          <w:szCs w:val="24"/>
        </w:rPr>
        <w:t>[1,17]</w:t>
      </w:r>
      <w:r w:rsidR="005376E5">
        <w:rPr>
          <w:rFonts w:ascii="Times New Roman" w:hAnsi="Times New Roman" w:cs="Times New Roman"/>
          <w:noProof w:val="0"/>
          <w:sz w:val="24"/>
          <w:szCs w:val="24"/>
        </w:rPr>
        <w:fldChar w:fldCharType="end"/>
      </w:r>
      <w:r w:rsidR="00B80375">
        <w:rPr>
          <w:rFonts w:ascii="Times New Roman" w:hAnsi="Times New Roman" w:cs="Times New Roman"/>
          <w:noProof w:val="0"/>
          <w:sz w:val="24"/>
          <w:szCs w:val="24"/>
        </w:rPr>
        <w:t xml:space="preserve">. </w:t>
      </w:r>
      <w:r w:rsidR="0055744D">
        <w:rPr>
          <w:rFonts w:ascii="Times New Roman" w:hAnsi="Times New Roman" w:cs="Times New Roman"/>
          <w:noProof w:val="0"/>
          <w:sz w:val="24"/>
          <w:szCs w:val="24"/>
        </w:rPr>
        <w:t xml:space="preserve">The </w:t>
      </w:r>
      <w:r w:rsidR="003C72FF" w:rsidRPr="00BA7C39">
        <w:rPr>
          <w:rFonts w:ascii="Times New Roman" w:hAnsi="Times New Roman" w:cs="Times New Roman"/>
          <w:sz w:val="24"/>
          <w:szCs w:val="24"/>
        </w:rPr>
        <w:t>duration</w:t>
      </w:r>
      <w:r w:rsidR="005B583E" w:rsidRPr="00BA7C39">
        <w:rPr>
          <w:rFonts w:ascii="Times New Roman" w:hAnsi="Times New Roman" w:cs="Times New Roman"/>
          <w:sz w:val="24"/>
          <w:szCs w:val="24"/>
        </w:rPr>
        <w:t>s</w:t>
      </w:r>
      <w:r w:rsidR="003C72FF">
        <w:rPr>
          <w:rFonts w:ascii="Times New Roman" w:hAnsi="Times New Roman" w:cs="Times New Roman"/>
          <w:noProof w:val="0"/>
          <w:sz w:val="24"/>
          <w:szCs w:val="24"/>
        </w:rPr>
        <w:t xml:space="preserve"> of </w:t>
      </w:r>
      <w:r w:rsidR="005B583E">
        <w:rPr>
          <w:rFonts w:ascii="Times New Roman" w:hAnsi="Times New Roman" w:cs="Times New Roman"/>
          <w:noProof w:val="0"/>
          <w:sz w:val="24"/>
          <w:szCs w:val="24"/>
        </w:rPr>
        <w:t xml:space="preserve">mean and casual </w:t>
      </w:r>
      <w:r w:rsidR="003C72FF">
        <w:rPr>
          <w:rFonts w:ascii="Times New Roman" w:hAnsi="Times New Roman" w:cs="Times New Roman"/>
          <w:noProof w:val="0"/>
          <w:sz w:val="24"/>
          <w:szCs w:val="24"/>
        </w:rPr>
        <w:t>partnerships w</w:t>
      </w:r>
      <w:r w:rsidR="005B583E">
        <w:rPr>
          <w:rFonts w:ascii="Times New Roman" w:hAnsi="Times New Roman" w:cs="Times New Roman"/>
          <w:noProof w:val="0"/>
          <w:sz w:val="24"/>
          <w:szCs w:val="24"/>
        </w:rPr>
        <w:t xml:space="preserve">ere </w:t>
      </w:r>
      <w:r w:rsidR="003C72FF">
        <w:rPr>
          <w:rFonts w:ascii="Times New Roman" w:hAnsi="Times New Roman" w:cs="Times New Roman"/>
          <w:noProof w:val="0"/>
          <w:sz w:val="24"/>
          <w:szCs w:val="24"/>
        </w:rPr>
        <w:t xml:space="preserve">estimated using </w:t>
      </w:r>
      <w:r w:rsidR="00BA7C39">
        <w:rPr>
          <w:rFonts w:ascii="Times New Roman" w:hAnsi="Times New Roman" w:cs="Times New Roman"/>
          <w:noProof w:val="0"/>
          <w:sz w:val="24"/>
          <w:szCs w:val="24"/>
        </w:rPr>
        <w:t xml:space="preserve">the </w:t>
      </w:r>
      <w:r w:rsidR="003C72FF" w:rsidRPr="00BA7C39">
        <w:rPr>
          <w:rFonts w:ascii="Times New Roman" w:hAnsi="Times New Roman" w:cs="Times New Roman"/>
          <w:sz w:val="24"/>
          <w:szCs w:val="24"/>
        </w:rPr>
        <w:t>last</w:t>
      </w:r>
      <w:r w:rsidR="003C72FF">
        <w:rPr>
          <w:rFonts w:ascii="Times New Roman" w:hAnsi="Times New Roman" w:cs="Times New Roman"/>
          <w:noProof w:val="0"/>
          <w:sz w:val="24"/>
          <w:szCs w:val="24"/>
        </w:rPr>
        <w:t xml:space="preserve"> partner reports from NHBS data</w:t>
      </w:r>
      <w:r w:rsidR="00742B97">
        <w:rPr>
          <w:rFonts w:ascii="Times New Roman" w:hAnsi="Times New Roman" w:cs="Times New Roman"/>
          <w:noProof w:val="0"/>
          <w:sz w:val="24"/>
          <w:szCs w:val="24"/>
        </w:rPr>
        <w:t xml:space="preserve"> </w:t>
      </w:r>
      <w:r w:rsidR="002569A7">
        <w:rPr>
          <w:rFonts w:ascii="Times New Roman" w:hAnsi="Times New Roman" w:cs="Times New Roman"/>
          <w:noProof w:val="0"/>
          <w:sz w:val="24"/>
          <w:szCs w:val="24"/>
        </w:rPr>
        <w:fldChar w:fldCharType="begin" w:fldLock="1"/>
      </w:r>
      <w:r w:rsidR="006F2C9A">
        <w:rPr>
          <w:rFonts w:ascii="Times New Roman" w:hAnsi="Times New Roman" w:cs="Times New Roman"/>
          <w:noProof w:val="0"/>
          <w:sz w:val="24"/>
          <w:szCs w:val="24"/>
        </w:rPr>
        <w:instrText>ADDIN CSL_CITATION {"citationItems":[{"id":"ITEM-1","itemData":{"DOI":"10.1097/QAD.0000000000001139","ISSN":"0269-9370","author":[{"dropping-particle":"","family":"Paz-Bailey","given":"Gabriela","non-dropping-particle":"","parse-names":false,"suffix":""},{"dropping-particle":"","family":"Mendoza","given":"Maria C.B.","non-dropping-particle":"","parse-names":false,"suffix":""},{"dropping-particle":"","family":"Finlayson","given":"Teresa","non-dropping-particle":"","parse-names":false,"suffix":""},{"dropping-particle":"","family":"Wejnert","given":"Cyprian","non-dropping-particle":"","parse-names":false,"suffix":""},{"dropping-particle":"","family":"Le","given":"Binh","non-dropping-particle":"","parse-names":false,"suffix":""},{"dropping-particle":"","family":"Rose","given":"Charles","non-dropping-particle":"","parse-names":false,"suffix":""},{"dropping-particle":"","family":"Raymond","given":"Henry Fisher","non-dropping-particle":"","parse-names":false,"suffix":""},{"dropping-particle":"","family":"Prejean","given":"Joseph","non-dropping-particle":"","parse-names":false,"suffix":""}],"container-title":"AIDS","id":"ITEM-1","issue":"12","issued":{"date-parts":[["2016","7"]]},"page":"1985-1990","title":"Trends in condom use among MSM in the United States","type":"article-journal","volume":"30"},"uris":["http://www.mendeley.com/documents/?uuid=397ef5f2-ce63-4ab1-95e2-508d72f794cc"]}],"mendeley":{"formattedCitation":"[18]","plainTextFormattedCitation":"[18]","previouslyFormattedCitation":"[18]"},"properties":{"noteIndex":0},"schema":"https://github.com/citation-style-language/schema/raw/master/csl-citation.json"}</w:instrText>
      </w:r>
      <w:r w:rsidR="002569A7">
        <w:rPr>
          <w:rFonts w:ascii="Times New Roman" w:hAnsi="Times New Roman" w:cs="Times New Roman"/>
          <w:noProof w:val="0"/>
          <w:sz w:val="24"/>
          <w:szCs w:val="24"/>
        </w:rPr>
        <w:fldChar w:fldCharType="separate"/>
      </w:r>
      <w:r w:rsidR="002569A7" w:rsidRPr="002569A7">
        <w:rPr>
          <w:rFonts w:ascii="Times New Roman" w:hAnsi="Times New Roman" w:cs="Times New Roman"/>
          <w:sz w:val="24"/>
          <w:szCs w:val="24"/>
        </w:rPr>
        <w:t>[18]</w:t>
      </w:r>
      <w:r w:rsidR="002569A7">
        <w:rPr>
          <w:rFonts w:ascii="Times New Roman" w:hAnsi="Times New Roman" w:cs="Times New Roman"/>
          <w:noProof w:val="0"/>
          <w:sz w:val="24"/>
          <w:szCs w:val="24"/>
        </w:rPr>
        <w:fldChar w:fldCharType="end"/>
      </w:r>
      <w:r w:rsidR="003C72FF">
        <w:rPr>
          <w:rFonts w:ascii="Times New Roman" w:hAnsi="Times New Roman" w:cs="Times New Roman"/>
          <w:noProof w:val="0"/>
          <w:sz w:val="24"/>
          <w:szCs w:val="24"/>
        </w:rPr>
        <w:t xml:space="preserve">. </w:t>
      </w:r>
    </w:p>
    <w:p w14:paraId="3248ABB0" w14:textId="228E7AB3" w:rsidR="00FF4114" w:rsidRPr="00B03FB7" w:rsidRDefault="00B03FB7" w:rsidP="00002AC6">
      <w:pPr>
        <w:spacing w:line="480" w:lineRule="auto"/>
        <w:rPr>
          <w:rFonts w:ascii="Times New Roman" w:hAnsi="Times New Roman" w:cs="Times New Roman"/>
          <w:noProof w:val="0"/>
          <w:sz w:val="24"/>
          <w:szCs w:val="24"/>
        </w:rPr>
      </w:pPr>
      <w:bookmarkStart w:id="7" w:name="_Toc3377335"/>
      <w:r w:rsidRPr="000B44D1">
        <w:rPr>
          <w:rStyle w:val="Heading2Char"/>
        </w:rPr>
        <w:t xml:space="preserve">A.4.4 </w:t>
      </w:r>
      <w:r w:rsidR="00980A67" w:rsidRPr="000B44D1">
        <w:rPr>
          <w:rStyle w:val="Heading2Char"/>
        </w:rPr>
        <w:t>Temporal evolution of CD4 counts</w:t>
      </w:r>
      <w:bookmarkEnd w:id="7"/>
      <w:r w:rsidR="000B48C0" w:rsidRPr="00B03FB7">
        <w:rPr>
          <w:rFonts w:ascii="Times New Roman" w:hAnsi="Times New Roman" w:cs="Times New Roman"/>
          <w:noProof w:val="0"/>
          <w:sz w:val="24"/>
          <w:szCs w:val="24"/>
        </w:rPr>
        <w:t xml:space="preserve">: The CD4 count of uninfected men was assumed to be </w:t>
      </w:r>
      <w:r w:rsidR="00DA7E2E" w:rsidRPr="00B03FB7">
        <w:rPr>
          <w:rFonts w:ascii="Times New Roman" w:hAnsi="Times New Roman" w:cs="Times New Roman"/>
          <w:noProof w:val="0"/>
          <w:sz w:val="24"/>
          <w:szCs w:val="24"/>
        </w:rPr>
        <w:t xml:space="preserve">constant at </w:t>
      </w:r>
      <w:r w:rsidR="000B48C0" w:rsidRPr="00B03FB7">
        <w:rPr>
          <w:rFonts w:ascii="Times New Roman" w:hAnsi="Times New Roman" w:cs="Times New Roman"/>
          <w:noProof w:val="0"/>
          <w:sz w:val="24"/>
          <w:szCs w:val="24"/>
        </w:rPr>
        <w:t xml:space="preserve">916 </w:t>
      </w:r>
      <w:r w:rsidR="000C6D90" w:rsidRPr="00B03FB7">
        <w:rPr>
          <w:rFonts w:ascii="Times New Roman" w:hAnsi="Times New Roman" w:cs="Times New Roman"/>
          <w:noProof w:val="0"/>
          <w:sz w:val="24"/>
          <w:szCs w:val="24"/>
        </w:rPr>
        <w:t xml:space="preserve">cells/µl </w:t>
      </w:r>
      <w:r w:rsidR="000B48C0" w:rsidRPr="0573D6D8">
        <w:fldChar w:fldCharType="begin" w:fldLock="1"/>
      </w:r>
      <w:r w:rsidR="002569A7">
        <w:rPr>
          <w:rFonts w:ascii="Times New Roman" w:hAnsi="Times New Roman" w:cs="Times New Roman"/>
          <w:noProof w:val="0"/>
          <w:sz w:val="24"/>
          <w:szCs w:val="24"/>
        </w:rPr>
        <w:instrText>ADDIN CSL_CITATION {"citationItems":[{"id":"ITEM-1","itemData":{"DOI":"10.1093/cid/cis908","ISSN":"1537-6591","PMID":"23090927","abstract":"BACKGROUND The significance of hepatitis B core antibody (anti-HBc) without hepatitis B surface antigen (HBsAg) or hepatitis B surface antibody (anti-HBs) is unclear. METHODS This cohort study included men enrolled in the Multicenter AIDS Cohort to determine clinical and laboratory predictors of isolated anti-HBc. RESULTS A total of 2286 subjects (51% human immunodeficiency virus [HIV]-infected) were followed over 3.9 years. Overall, 16.9% (387) had at least 1 visit with isolated anti-HBc. The isolated anti-HBc pattern was stable 84% of the time, and transitioned to or from a pattern of past infection (anti-HBc and anti-HBs). Isolated anti-HBc was associated with HIV infection (odds ratio [OR], 2.19; 95% confidence interval [CI], 1.73-2.79) and hepatitis C virus (HCV; OR, 4.21; 95% CI; 2.99-5.91). The HCV association was stronger for chronic HCV infection (OR, 6.76; 95% CI, 5.08-8.99) than for cleared HCV (OR, 3.03; 95% CI, 1.83-5.03). HIV infection, chronic HCV, and cleared HCV infection all remained associated with isolated anti-HBc in multivariable models (OR, 1.74; 95% CI, 1.33-2.29; OR, 6.24; 95% CI, 4.62-8.42; and OR, 2.77; 95% CI, 1.65-4.66, respectively). Among HIV-infected subjects, highly active antiretroviral therapy was negatively associated (OR, 0.79; 95% CI, .66-.95) with isolated anti-HBc. CONCLUSIONS Isolated anti-HBc is associated with HIV and HCV coinfection, especially active HCV replication, and most commonly occurs as a transition to or from the pattern of natural immunity (anti-HBc and anti-HBs). The isolated anti-HBc pattern likely represents resolved HBV infection with low or undetected anti-HBs.","author":[{"dropping-particle":"","family":"Witt","given":"Mallory D","non-dropping-particle":"","parse-names":false,"suffix":""},{"dropping-particle":"","family":"Lewis","given":"Roger J","non-dropping-particle":"","parse-names":false,"suffix":""},{"dropping-particle":"","family":"Rieg","given":"Gunter","non-dropping-particle":"","parse-names":false,"suffix":""},{"dropping-particle":"","family":"Seaberg","given":"Eric C","non-dropping-particle":"","parse-names":false,"suffix":""},{"dropping-particle":"","family":"Rinaldo","given":"Charles R","non-dropping-particle":"","parse-names":false,"suffix":""},{"dropping-particle":"","family":"Thio","given":"Chloe L","non-dropping-particle":"","parse-names":false,"suffix":""}],"container-title":"Clinical infectious diseases : an official publication of the Infectious Diseases Society of America","id":"ITEM-1","issue":"4","issued":{"date-parts":[["2013","2","15"]]},"page":"606-12","title":"Predictors of the isolated hepatitis B core antibody pattern in HIV-infected and -uninfected men in the multicenter AIDS cohort study.","type":"article-journal","volume":"56"},"uris":["http://www.mendeley.com/documents/?uuid=512f2117-b5ba-4403-8e0a-47ac70aeb0cd"]}],"mendeley":{"formattedCitation":"[19]","plainTextFormattedCitation":"[19]","previouslyFormattedCitation":"[19]"},"properties":{"noteIndex":0},"schema":"https://github.com/citation-style-language/schema/raw/master/csl-citation.json"}</w:instrText>
      </w:r>
      <w:r w:rsidR="000B48C0" w:rsidRPr="0573D6D8">
        <w:rPr>
          <w:rFonts w:ascii="Times New Roman" w:hAnsi="Times New Roman" w:cs="Times New Roman"/>
          <w:noProof w:val="0"/>
          <w:sz w:val="24"/>
          <w:szCs w:val="24"/>
        </w:rPr>
        <w:fldChar w:fldCharType="separate"/>
      </w:r>
      <w:r w:rsidR="009B5FF9" w:rsidRPr="009B5FF9">
        <w:rPr>
          <w:rFonts w:ascii="Times New Roman" w:hAnsi="Times New Roman" w:cs="Times New Roman"/>
          <w:sz w:val="24"/>
          <w:szCs w:val="24"/>
        </w:rPr>
        <w:t>[19]</w:t>
      </w:r>
      <w:r w:rsidR="000B48C0" w:rsidRPr="0573D6D8">
        <w:fldChar w:fldCharType="end"/>
      </w:r>
      <w:r w:rsidR="000C6D90" w:rsidRPr="00B03FB7">
        <w:rPr>
          <w:rFonts w:ascii="Times New Roman" w:hAnsi="Times New Roman" w:cs="Times New Roman"/>
          <w:noProof w:val="0"/>
          <w:sz w:val="24"/>
          <w:szCs w:val="24"/>
        </w:rPr>
        <w:t>.</w:t>
      </w:r>
      <w:r w:rsidR="000B48C0" w:rsidRPr="00B03FB7">
        <w:rPr>
          <w:rFonts w:ascii="Times New Roman" w:hAnsi="Times New Roman" w:cs="Times New Roman"/>
          <w:noProof w:val="0"/>
          <w:sz w:val="24"/>
          <w:szCs w:val="24"/>
        </w:rPr>
        <w:t xml:space="preserve"> </w:t>
      </w:r>
      <w:r w:rsidR="00532922" w:rsidRPr="00B03FB7">
        <w:rPr>
          <w:rFonts w:ascii="Times New Roman" w:hAnsi="Times New Roman" w:cs="Times New Roman"/>
          <w:noProof w:val="0"/>
          <w:sz w:val="24"/>
          <w:szCs w:val="24"/>
        </w:rPr>
        <w:t xml:space="preserve">Upon HIV seroconversion, an individual’s CD4 count declined </w:t>
      </w:r>
      <w:r w:rsidR="00AF2A1C">
        <w:rPr>
          <w:rFonts w:ascii="Times New Roman" w:hAnsi="Times New Roman" w:cs="Times New Roman"/>
          <w:noProof w:val="0"/>
          <w:sz w:val="24"/>
          <w:szCs w:val="24"/>
        </w:rPr>
        <w:t xml:space="preserve">piecewise </w:t>
      </w:r>
      <w:r w:rsidR="00532922" w:rsidRPr="00B03FB7">
        <w:rPr>
          <w:rFonts w:ascii="Times New Roman" w:hAnsi="Times New Roman" w:cs="Times New Roman"/>
          <w:noProof w:val="0"/>
          <w:sz w:val="24"/>
          <w:szCs w:val="24"/>
        </w:rPr>
        <w:t xml:space="preserve">linearly, using a </w:t>
      </w:r>
      <w:r w:rsidR="000B48C0" w:rsidRPr="00B03FB7">
        <w:rPr>
          <w:rFonts w:ascii="Times New Roman" w:hAnsi="Times New Roman" w:cs="Times New Roman"/>
          <w:noProof w:val="0"/>
          <w:sz w:val="24"/>
          <w:szCs w:val="24"/>
        </w:rPr>
        <w:t>deterministic</w:t>
      </w:r>
      <w:r w:rsidR="00532922" w:rsidRPr="00B03FB7">
        <w:rPr>
          <w:rFonts w:ascii="Times New Roman" w:hAnsi="Times New Roman" w:cs="Times New Roman"/>
          <w:noProof w:val="0"/>
          <w:sz w:val="24"/>
          <w:szCs w:val="24"/>
        </w:rPr>
        <w:t xml:space="preserve"> model where CD4 count was</w:t>
      </w:r>
      <w:r w:rsidR="000B48C0" w:rsidRPr="00B03FB7">
        <w:rPr>
          <w:rFonts w:ascii="Times New Roman" w:hAnsi="Times New Roman" w:cs="Times New Roman"/>
          <w:noProof w:val="0"/>
          <w:sz w:val="24"/>
          <w:szCs w:val="24"/>
        </w:rPr>
        <w:t xml:space="preserve"> dependent on age at seroconversion, sex, and time since seroconversion, as described by </w:t>
      </w:r>
      <w:proofErr w:type="spellStart"/>
      <w:r w:rsidR="000B48C0" w:rsidRPr="00B03FB7">
        <w:rPr>
          <w:rFonts w:ascii="Times New Roman" w:hAnsi="Times New Roman" w:cs="Times New Roman"/>
          <w:noProof w:val="0"/>
          <w:sz w:val="24"/>
          <w:szCs w:val="24"/>
        </w:rPr>
        <w:t>Pantazis</w:t>
      </w:r>
      <w:proofErr w:type="spellEnd"/>
      <w:r w:rsidR="000B48C0" w:rsidRPr="00B03FB7">
        <w:rPr>
          <w:rFonts w:ascii="Times New Roman" w:hAnsi="Times New Roman" w:cs="Times New Roman"/>
          <w:noProof w:val="0"/>
          <w:sz w:val="24"/>
          <w:szCs w:val="24"/>
        </w:rPr>
        <w:t xml:space="preserve"> et al</w:t>
      </w:r>
      <w:r w:rsidR="00806F34" w:rsidRPr="00B03FB7">
        <w:rPr>
          <w:rFonts w:ascii="Times New Roman" w:hAnsi="Times New Roman" w:cs="Times New Roman"/>
          <w:noProof w:val="0"/>
          <w:sz w:val="24"/>
          <w:szCs w:val="24"/>
        </w:rPr>
        <w:t xml:space="preserve"> </w:t>
      </w:r>
      <w:r w:rsidR="000B48C0" w:rsidRPr="0573D6D8">
        <w:fldChar w:fldCharType="begin" w:fldLock="1"/>
      </w:r>
      <w:r w:rsidR="002569A7">
        <w:rPr>
          <w:rFonts w:ascii="Times New Roman" w:hAnsi="Times New Roman" w:cs="Times New Roman"/>
          <w:noProof w:val="0"/>
          <w:sz w:val="24"/>
          <w:szCs w:val="24"/>
        </w:rPr>
        <w:instrText>ADDIN CSL_CITATION {"citationItems":[{"id":"ITEM-1","itemData":{"DOI":"10.1371/journal.pone.0032369","ISSN":"1932-6203","PMID":"22412867","abstract":"It is unknown whether HIV treatment guidelines, based on resource-rich country cohorts, are applicable to African populations.","author":[{"dropping-particle":"","family":"Pantazis","given":"Nikos","non-dropping-particle":"","parse-names":false,"suffix":""},{"dropping-particle":"","family":"Morrison","given":"Charles","non-dropping-particle":"","parse-names":false,"suffix":""},{"dropping-particle":"","family":"Amornkul","given":"Pauli N","non-dropping-particle":"","parse-names":false,"suffix":""},{"dropping-particle":"","family":"Lewden","given":"Charlotte","non-dropping-particle":"","parse-names":false,"suffix":""},{"dropping-particle":"","family":"Salata","given":"Robert a","non-dropping-particle":"","parse-names":false,"suffix":""},{"dropping-particle":"","family":"Minga","given":"Albert","non-dropping-particle":"","parse-names":false,"suffix":""},{"dropping-particle":"","family":"Chipato","given":"Tsungai","non-dropping-particle":"","parse-names":false,"suffix":""},{"dropping-particle":"","family":"Jaffe","given":"Harold","non-dropping-particle":"","parse-names":false,"suffix":""},{"dropping-particle":"","family":"Lakhi","given":"Shabir","non-dropping-particle":"","parse-names":false,"suffix":""},{"dropping-particle":"","family":"Karita","given":"Etienne","non-dropping-particle":"","parse-names":false,"suffix":""},{"dropping-particle":"","family":"Porter","given":"Kholoud","non-dropping-particle":"","parse-names":false,"suffix":""},{"dropping-particle":"","family":"Meyer","given":"Laurence","non-dropping-particle":"","parse-names":false,"suffix":""},{"dropping-particle":"","family":"Touloumi","given":"Giota","non-dropping-particle":"","parse-names":false,"suffix":""},{"dropping-particle":"","family":"Amo","given":"J","non-dropping-particle":"Del","parse-names":false,"suffix":""},{"dropping-particle":"","family":"Bucher","given":"H C","non-dropping-particle":"","parse-names":false,"suffix":""},{"dropping-particle":"","family":"Chene","given":"G","non-dropping-particle":"","parse-names":false,"suffix":""},{"dropping-particle":"","family":"Hamouda","given":"O","non-dropping-particle":"","parse-names":false,"suffix":""},{"dropping-particle":"","family":"Pillay","given":"D","non-dropping-particle":"","parse-names":false,"suffix":""},{"dropping-particle":"","family":"Prins","given":"M","non-dropping-particle":"","parse-names":false,"suffix":""},{"dropping-particle":"","family":"Rosinska","given":"M","non-dropping-particle":"","parse-names":false,"suffix":""},{"dropping-particle":"","family":"Sabin","given":"C","non-dropping-particle":"","parse-names":false,"suffix":""},{"dropping-particle":"","family":"Lodi","given":"S","non-dropping-particle":"","parse-names":false,"suffix":""},{"dropping-particle":"","family":"Coughlin","given":"K","non-dropping-particle":"","parse-names":false,"suffix":""},{"dropping-particle":"","family":"Walker","given":"S","non-dropping-particle":"","parse-names":false,"suffix":""},{"dropping-particle":"","family":"Babiker","given":"A","non-dropping-particle":"","parse-names":false,"suffix":""},{"dropping-particle":"","family":"Luca","given":"A","non-dropping-particle":"De","parse-names":false,"suffix":""},{"dropping-particle":"","family":"Fisher","given":"M","non-dropping-particle":"","parse-names":false,"suffix":""},{"dropping-particle":"","family":"Muga","given":"R","non-dropping-particle":"","parse-names":false,"suffix":""},{"dropping-particle":"","family":"Zangerle","given":"R","non-dropping-particle":"","parse-names":false,"suffix":""},{"dropping-particle":"","family":"Kelleher","given":"A D","non-dropping-particle":"","parse-names":false,"suffix":""},{"dropping-particle":"","family":"Cooper","given":"D A","non-dropping-particle":"","parse-names":false,"suffix":""},{"dropping-particle":"","family":"Grey","given":"P","non-dropping-particle":"","parse-names":false,"suffix":""},{"dropping-particle":"","family":"Finlayson","given":"R","non-dropping-particle":"","parse-names":false,"suffix":""},{"dropping-particle":"","family":"Bloch","given":"M","non-dropping-particle":"","parse-names":false,"suffix":""},{"dropping-particle":"","family":"Kelleher","given":"T","non-dropping-particle":"","parse-names":false,"suffix":""},{"dropping-particle":"","family":"Ramacciotti","given":"T","non-dropping-particle":"","parse-names":false,"suffix":""},{"dropping-particle":"","family":"Gelgor","given":"L","non-dropping-particle":"","parse-names":false,"suffix":""},{"dropping-particle":"","family":"Cooper","given":"D A","non-dropping-particle":"","parse-names":false,"suffix":""},{"dropping-particle":"","family":"Smith","given":"D","non-dropping-particle":"","parse-names":false,"suffix":""},{"dropping-particle":"","family":"Gill","given":"J","non-dropping-particle":"","parse-names":false,"suffix":""},{"dropping-particle":"","family":"J?rgensen","given":"L B","non-dropping-particle":"","parse-names":false,"suffix":""},{"dropping-particle":"","family":"Lutsar","given":"I","non-dropping-particle":"","parse-names":false,"suffix":""},{"dropping-particle":"","family":"Dabis","given":"F","non-dropping-particle":"","parse-names":false,"suffix":""},{"dropping-particle":"","family":"Thiebaut","given":"R","non-dropping-particle":"","parse-names":false,"suffix":""},{"dropping-particle":"","family":"Masquelier","given":"B","non-dropping-particle":"","parse-names":false,"suffix":""},{"dropping-particle":"","family":"Costagliola","given":"D","non-dropping-particle":"","parse-names":false,"suffix":""},{"dropping-particle":"","family":"Guiguet","given":"M","non-dropping-particle":"","parse-names":false,"suffix":""},{"dropping-particle":"","family":"Vanhems","given":"P","non-dropping-particle":"","parse-names":false,"suffix":""},{"dropping-particle":"","family":"Chaix","given":"M L","non-dropping-particle":"","parse-names":false,"suffix":""},{"dropping-particle":"","family":"Ghosn","given":"J","non-dropping-particle":"","parse-names":false,"suffix":""},{"dropping-particle":"","family":"Boufassa","given":"F","non-dropping-particle":"","parse-names":false,"suffix":""},{"dropping-particle":"","family":"Kucherer","given":"C","non-dropping-particle":"","parse-names":false,"suffix":""},{"dropping-particle":"","family":"Bartmeyer","given":"B","non-dropping-particle":"","parse-names":false,"suffix":""},{"dropping-particle":"","family":"Katsarou","given":"O","non-dropping-particle":"","parse-names":false,"suffix":""},{"dropping-particle":"","family":"Paparizos","given":"V","non-dropping-particle":"","parse-names":false,"suffix":""},{"dropping-particle":"","family":"Gargalianos-Kakolyris","given":"P","non-dropping-particle":"","parse-names":false,"suffix":""},{"dropping-particle":"","family":"Lazanas","given":"M","non-dropping-particle":"","parse-names":false,"suffix":""},{"dropping-particle":"","family":"Rezza","given":"G","non-dropping-particle":"","parse-names":false,"suffix":""},{"dropping-particle":"","family":"Dorrucci","given":"M","non-dropping-particle":"","parse-names":false,"suffix":""},{"dropping-particle":"","family":"d'Arminio Monforte","given":"A","non-dropping-particle":"","parse-names":false,"suffix":""},{"dropping-particle":"","family":"Geskus","given":"R","non-dropping-particle":"","parse-names":false,"suffix":""},{"dropping-particle":"","family":"Helm","given":"J","non-dropping-particle":"van der","parse-names":false,"suffix":""},{"dropping-particle":"","family":"Schuitemaker","given":"H","non-dropping-particle":"","parse-names":false,"suffix":""},{"dropping-particle":"","family":"Sannes","given":"M","non-dropping-particle":"","parse-names":false,"suffix":""},{"dropping-particle":"","family":"Brubakk","given":"O","non-dropping-particle":"","parse-names":false,"suffix":""},{"dropping-particle":"","family":"Kran","given":"A M","non-dropping-particle":"","parse-names":false,"suffix":""},{"dropping-particle":"","family":"Tor","given":"J","non-dropping-particle":"","parse-names":false,"suffix":""},{"dropping-particle":"","family":"Olalla","given":"P","non-dropping-particle":"de","parse-names":false,"suffix":""},{"dropping-particle":"","family":"Cayla","given":"J","non-dropping-particle":"","parse-names":false,"suffix":""},{"dropping-particle":"","family":"Amo","given":"J","non-dropping-particle":"Del","parse-names":false,"suffix":""},{"dropping-particle":"","family":"Moreno","given":"S","non-dropping-particle":"","parse-names":false,"suffix":""},{"dropping-particle":"","family":"Monge","given":"S","non-dropping-particle":"","parse-names":false,"suffix":""},{"dropping-particle":"","family":"Romero","given":"J","non-dropping-particle":"del","parse-names":false,"suffix":""},{"dropping-particle":"","family":"Perez-Hoyos","given":"S","non-dropping-particle":"","parse-names":false,"suffix":""},{"dropping-particle":"","family":"Rickenbach","given":"M","non-dropping-particle":"","parse-names":false,"suffix":""},{"dropping-particle":"","family":"Francioli","given":"P","non-dropping-particle":"","parse-names":false,"suffix":""},{"dropping-particle":"","family":"Malyuta","given":"R","non-dropping-particle":"","parse-names":false,"suffix":""},{"dropping-particle":"","family":"Brettle","given":"R","non-dropping-particle":"","parse-names":false,"suffix":""},{"dropping-particle":"","family":"Murphy","given":"G","non-dropping-particle":"","parse-names":false,"suffix":""},{"dropping-particle":"","family":"Johnson","given":"A","non-dropping-particle":"","parse-names":false,"suffix":""},{"dropping-particle":"","family":"Phillips","given":"A","non-dropping-particle":"","parse-names":false,"suffix":""},{"dropping-particle":"","family":"Delpech","given":"V","non-dropping-particle":"","parse-names":false,"suffix":""},{"dropping-particle":"","family":"Salata","given":"Robert a","non-dropping-particle":"","parse-names":false,"suffix":""},{"dropping-particle":"","family":"Mugerwa","given":"R","non-dropping-particle":"","parse-names":false,"suffix":""},{"dropping-particle":"","family":"Amornkul","given":"Pauli N","non-dropping-particle":"","parse-names":false,"suffix":""},{"dropping-particle":"","family":"Giaquinto","given":"C","non-dropping-particle":"","parse-names":false,"suffix":""},{"dropping-particle":"","family":"Gibb","given":"D","non-dropping-particle":"","parse-names":false,"suffix":""},{"dropping-particle":"","family":"Grarup","given":"J","non-dropping-particle":"","parse-names":false,"suffix":""},{"dropping-particle":"","family":"Kirk","given":"O","non-dropping-particle":"","parse-names":false,"suffix":""},{"dropping-particle":"","family":"Ledergerber","given":"B","non-dropping-particle":"","parse-names":false,"suffix":""},{"dropping-particle":"","family":"Panteleev","given":"A","non-dropping-particle":"","parse-names":false,"suffix":""},{"dropping-particle":"","family":"Thorne","given":"C","non-dropping-particle":"","parse-names":false,"suffix":""},{"dropping-particle":"","family":"Welch","given":"S","non-dropping-particle":"","parse-names":false,"suffix":""},{"dropping-particle":"","family":"Aboulker","given":"J P","non-dropping-particle":"","parse-names":false,"suffix":""},{"dropping-particle":"","family":"Albert","given":"J","non-dropping-particle":"","parse-names":false,"suffix":""},{"dropping-particle":"","family":"Asandi","given":"S","non-dropping-particle":"","parse-names":false,"suffix":""},{"dropping-particle":"","family":"Wit","given":"S","non-dropping-particle":"De","parse-names":false,"suffix":""},{"dropping-particle":"","family":"Wolf","given":"F","non-dropping-particle":"De","parse-names":false,"suffix":""},{"dropping-particle":"","family":"Gatell","given":"J","non-dropping-particle":"","parse-names":false,"suffix":""},{"dropping-particle":"","family":"Karpov","given":"I","non-dropping-particle":"","parse-names":false,"suffix":""},{"dropping-particle":"","family":"Lundgren","given":"J","non-dropping-particle":"","parse-names":false,"suffix":""},{"dropping-particle":"","family":"M?ller","given":"C","non-dropping-particle":"","parse-names":false,"suffix":""},{"dropping-particle":"","family":"Rakhmanova","given":"A","non-dropping-particle":"","parse-names":false,"suffix":""},{"dropping-particle":"","family":"Rockstroh","given":"J","non-dropping-particle":"","parse-names":false,"suffix":""},{"dropping-particle":"","family":"Volny Anne","given":"A","non-dropping-particle":"","parse-names":false,"suffix":""},{"dropping-particle":"","family":"Dedes","given":"N","non-dropping-particle":"","parse-names":false,"suffix":""},{"dropping-particle":"","family":"Fenton","given":"K","non-dropping-particle":"","parse-names":false,"suffix":""},{"dropping-particle":"","family":"Pizzuti","given":"D","non-dropping-particle":"","parse-names":false,"suffix":""},{"dropping-particle":"","family":"Vitoria","given":"M","non-dropping-particle":"","parse-names":false,"suffix":""},{"dropping-particle":"","family":"Faggion","given":"S","non-dropping-particle":"","parse-names":false,"suffix":""},{"dropping-particle":"","family":"Frost","given":"R","non-dropping-particle":"","parse-names":false,"suffix":""},{"dropping-particle":"","family":"Fradette","given":"L","non-dropping-particle":"","parse-names":false,"suffix":""},{"dropping-particle":"","family":"Schwimmer","given":"C","non-dropping-particle":"","parse-names":false,"suffix":""},{"dropping-particle":"","family":"Scott","given":"M","non-dropping-particle":"","parse-names":false,"suffix":""},{"dropping-particle":"","family":"Abo","given":"Y","non-dropping-particle":"","parse-names":false,"suffix":""},{"dropping-particle":"","family":"Dohoun","given":"L","non-dropping-particle":"","parse-names":false,"suffix":""},{"dropping-particle":"","family":"Drowa","given":"E A","non-dropping-particle":"","parse-names":false,"suffix":""},{"dropping-particle":"","family":"Bades","given":"I B","non-dropping-particle":"","parse-names":false,"suffix":""},{"dropping-particle":"","family":"Kouame","given":"T","non-dropping-particle":"","parse-names":false,"suffix":""},{"dropping-particle":"","family":"N'Dri","given":"M J","non-dropping-particle":"","parse-names":false,"suffix":""},{"dropping-particle":"","family":"Ouattara","given":"M","non-dropping-particle":"","parse-names":false,"suffix":""},{"dropping-particle":"","family":"Sidibe","given":"A","non-dropping-particle":"","parse-names":false,"suffix":""},{"dropping-particle":"","family":"Afi","given":"R","non-dropping-particle":"","parse-names":false,"suffix":""},{"dropping-particle":"","family":"Emieme","given":"A","non-dropping-particle":"","parse-names":false,"suffix":""},{"dropping-particle":"","family":"Inwoley","given":"A","non-dropping-particle":"","parse-names":false,"suffix":""},{"dropping-particle":"","family":"Toni","given":"T d.","non-dropping-particle":"","parse-names":false,"suffix":""},{"dropping-particle":"","family":"Coulibaly","given":"A","non-dropping-particle":"","parse-names":false,"suffix":""},{"dropping-particle":"","family":"Bomisso","given":"G","non-dropping-particle":"","parse-names":false,"suffix":""},{"dropping-particle":"","family":"Konate","given":"M","non-dropping-particle":"","parse-names":false,"suffix":""},{"dropping-particle":"","family":"Anglaret","given":"X","non-dropping-particle":"","parse-names":false,"suffix":""},{"dropping-particle":"","family":"Bazin","given":"B","non-dropping-particle":"","parse-names":false,"suffix":""},{"dropping-particle":"","family":"Danel","given":"C","non-dropping-particle":"","parse-names":false,"suffix":""},{"dropping-particle":"","family":"Deveau","given":"C","non-dropping-particle":"","parse-names":false,"suffix":""},{"dropping-particle":"","family":"Goujard","given":"C","non-dropping-particle":"","parse-names":false,"suffix":""},{"dropping-particle":"","family":"Quinty","given":"L","non-dropping-particle":"","parse-names":false,"suffix":""},{"dropping-particle":"","family":"Salamon","given":"R","non-dropping-particle":"","parse-names":false,"suffix":""},{"dropping-particle":"","family":"Rouzioux","given":"C","non-dropping-particle":"","parse-names":false,"suffix":""},{"dropping-particle":"","family":"Sinet","given":"M","non-dropping-particle":"","parse-names":false,"suffix":""},{"dropping-particle":"","family":"Allen","given":"S","non-dropping-particle":"","parse-names":false,"suffix":""},{"dropping-particle":"","family":"Anzala","given":"O","non-dropping-particle":"","parse-names":false,"suffix":""},{"dropping-particle":"","family":"Bekker","given":"L G","non-dropping-particle":"","parse-names":false,"suffix":""},{"dropping-particle":"","family":"Inambao","given":"M","non-dropping-particle":"","parse-names":false,"suffix":""},{"dropping-particle":"","family":"Kamali","given":"A","non-dropping-particle":"","parse-names":false,"suffix":""},{"dropping-particle":"","family":"Kilembe","given":"W","non-dropping-particle":"","parse-names":false,"suffix":""},{"dropping-particle":"","family":"Latka","given":"M H","non-dropping-particle":"","parse-names":false,"suffix":""},{"dropping-particle":"","family":"Sanders","given":"E","non-dropping-particle":"","parse-names":false,"suffix":""},{"dropping-particle":"","family":"Mutua","given":"G","non-dropping-particle":"","parse-names":false,"suffix":""},{"dropping-particle":"","family":"Mwangome","given":"M","non-dropping-particle":"","parse-names":false,"suffix":""},{"dropping-particle":"","family":"Ruzagira","given":"E","non-dropping-particle":"","parse-names":false,"suffix":""},{"dropping-particle":"","family":"Twesigye","given":"R","non-dropping-particle":"","parse-names":false,"suffix":""},{"dropping-particle":"","family":"Cormier","given":"E","non-dropping-particle":"","parse-names":false,"suffix":""},{"dropping-particle":"","family":"Fast","given":"P","non-dropping-particle":"","parse-names":false,"suffix":""},{"dropping-particle":"","family":"Gilmour","given":"J","non-dropping-particle":"","parse-names":false,"suffix":""},{"dropping-particle":"","family":"Krebs","given":"M","non-dropping-particle":"","parse-names":false,"suffix":""},{"dropping-particle":"","family":"Price","given":"M","non-dropping-particle":"","parse-names":false,"suffix":""},{"dropping-particle":"","family":"Stevens","given":"G","non-dropping-particle":"","parse-names":false,"suffix":""},{"dropping-particle":"","family":"Thomson","given":"H","non-dropping-particle":"","parse-names":false,"suffix":""},{"dropping-particle":"","family":"Yates","given":"S","non-dropping-particle":"","parse-names":false,"suffix":""},{"dropping-particle":"","family":"Kaleebu","given":"P","non-dropping-particle":"","parse-names":false,"suffix":""},{"dropping-particle":"","family":"Hunter","given":"E","non-dropping-particle":"","parse-names":false,"suffix":""},{"dropping-particle":"","family":"Byamugisha","given":"J","non-dropping-particle":"","parse-names":false,"suffix":""},{"dropping-particle":"","family":"Magwali","given":"T","non-dropping-particle":"","parse-names":false,"suffix":""},{"dropping-particle":"","family":"on behalf of CASCADE Collaboration in EuroCoord and ANRS 1220 Primo-CI Study Group","given":"","non-dropping-particle":"","parse-names":false,"suffix":""}],"container-title":"PLoS ONE","id":"ITEM-1","issue":"3","issued":{"date-parts":[["2012","1"]]},"page":"e32369","title":"Differences in HIV natural history among African and non-African seroconverters in Europe and seroconverters in sub-Saharan Africa","type":"article-journal","volume":"7"},"uris":["http://www.mendeley.com/documents/?uuid=be49a8a3-9866-4381-9c0d-c0e58901d38d"]}],"mendeley":{"formattedCitation":"[20]","plainTextFormattedCitation":"[20]","previouslyFormattedCitation":"[20]"},"properties":{"noteIndex":0},"schema":"https://github.com/citation-style-language/schema/raw/master/csl-citation.json"}</w:instrText>
      </w:r>
      <w:r w:rsidR="000B48C0" w:rsidRPr="0573D6D8">
        <w:rPr>
          <w:rFonts w:ascii="Times New Roman" w:hAnsi="Times New Roman" w:cs="Times New Roman"/>
          <w:noProof w:val="0"/>
          <w:sz w:val="24"/>
          <w:szCs w:val="24"/>
        </w:rPr>
        <w:fldChar w:fldCharType="separate"/>
      </w:r>
      <w:r w:rsidR="009B5FF9" w:rsidRPr="009B5FF9">
        <w:rPr>
          <w:rFonts w:ascii="Times New Roman" w:hAnsi="Times New Roman" w:cs="Times New Roman"/>
          <w:sz w:val="24"/>
          <w:szCs w:val="24"/>
        </w:rPr>
        <w:t>[20]</w:t>
      </w:r>
      <w:r w:rsidR="000B48C0" w:rsidRPr="0573D6D8">
        <w:fldChar w:fldCharType="end"/>
      </w:r>
      <w:r w:rsidR="00806F34" w:rsidRPr="00B03FB7">
        <w:rPr>
          <w:rFonts w:ascii="Times New Roman" w:hAnsi="Times New Roman" w:cs="Times New Roman"/>
          <w:noProof w:val="0"/>
          <w:sz w:val="24"/>
          <w:szCs w:val="24"/>
        </w:rPr>
        <w:t>:</w:t>
      </w:r>
      <w:r w:rsidR="00C64710" w:rsidRPr="00B03FB7">
        <w:rPr>
          <w:rFonts w:ascii="Times New Roman" w:hAnsi="Times New Roman" w:cs="Times New Roman"/>
          <w:noProof w:val="0"/>
          <w:sz w:val="24"/>
          <w:szCs w:val="24"/>
        </w:rPr>
        <w:br/>
      </w:r>
      <m:oMathPara>
        <m:oMath>
          <m:sSub>
            <m:sSubPr>
              <m:ctrlPr>
                <w:rPr>
                  <w:rFonts w:ascii="Cambria Math" w:hAnsi="Cambria Math" w:cs="Times New Roman"/>
                  <w:i/>
                  <w:sz w:val="24"/>
                  <w:szCs w:val="24"/>
                </w:rPr>
              </m:ctrlPr>
            </m:sSubPr>
            <m:e>
              <m:r>
                <m:rPr>
                  <m:nor/>
                </m:rPr>
                <w:rPr>
                  <w:rFonts w:ascii="Times New Roman" w:hAnsi="Times New Roman" w:cs="Times New Roman"/>
                  <w:sz w:val="24"/>
                  <w:szCs w:val="24"/>
                </w:rPr>
                <m:t>CD4</m:t>
              </m:r>
              <m:ctrlPr>
                <w:rPr>
                  <w:rFonts w:ascii="Cambria Math" w:hAnsi="Cambria Math" w:cs="Times New Roman"/>
                  <w:sz w:val="24"/>
                  <w:szCs w:val="24"/>
                </w:rPr>
              </m:ctrlPr>
            </m:e>
            <m:sub>
              <m:r>
                <w:rPr>
                  <w:rFonts w:ascii="Cambria Math" w:hAnsi="Cambria Math" w:cs="Times New Roman"/>
                  <w:sz w:val="24"/>
                  <w:szCs w:val="24"/>
                </w:rPr>
                <m:t>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R+</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F</m:t>
          </m:r>
          <m:r>
            <w:rPr>
              <w:rFonts w:ascii="Cambria Math" w:hAnsi="Cambria Math" w:cs="Times New Roman"/>
              <w:sz w:val="24"/>
              <w:szCs w:val="24"/>
            </w:rPr>
            <m:t>+t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A</m:t>
                  </m:r>
                </m:e>
              </m:d>
            </m:e>
            <m:sup>
              <m:r>
                <w:rPr>
                  <w:rFonts w:ascii="Cambria Math" w:hAnsi="Cambria Math" w:cs="Times New Roman"/>
                  <w:sz w:val="24"/>
                  <w:szCs w:val="24"/>
                </w:rPr>
                <m:t>2</m:t>
              </m:r>
            </m:sup>
          </m:sSup>
          <m:r>
            <m:rPr>
              <m:sty m:val="p"/>
            </m:rPr>
            <w:rPr>
              <w:rFonts w:ascii="Cambria Math" w:hAnsi="Cambria Math" w:cs="Times New Roman"/>
              <w:sz w:val="24"/>
              <w:szCs w:val="24"/>
            </w:rPr>
            <w:br/>
          </m:r>
        </m:oMath>
      </m:oMathPara>
      <w:r w:rsidR="000B48C0" w:rsidRPr="00B03FB7">
        <w:rPr>
          <w:rFonts w:ascii="Times New Roman" w:hAnsi="Times New Roman" w:cs="Times New Roman"/>
          <w:sz w:val="24"/>
          <w:szCs w:val="24"/>
        </w:rPr>
        <w:t xml:space="preserve">where </w:t>
      </w:r>
      <m:oMath>
        <m:r>
          <m:rPr>
            <m:nor/>
          </m:rPr>
          <w:rPr>
            <w:rFonts w:ascii="Times New Roman" w:hAnsi="Times New Roman" w:cs="Times New Roman"/>
            <w:sz w:val="24"/>
            <w:szCs w:val="24"/>
          </w:rPr>
          <m:t>CD</m:t>
        </m:r>
        <m:sSub>
          <m:sSubPr>
            <m:ctrlPr>
              <w:rPr>
                <w:rFonts w:ascii="Cambria Math" w:hAnsi="Cambria Math" w:cs="Times New Roman"/>
                <w:i/>
                <w:sz w:val="24"/>
                <w:szCs w:val="24"/>
              </w:rPr>
            </m:ctrlPr>
          </m:sSubPr>
          <m:e>
            <m:r>
              <w:rPr>
                <w:rFonts w:ascii="Cambria Math" w:hAnsi="Cambria Math" w:cs="Times New Roman"/>
                <w:sz w:val="24"/>
                <w:szCs w:val="24"/>
              </w:rPr>
              <m:t>4</m:t>
            </m:r>
          </m:e>
          <m:sub>
            <m:r>
              <w:rPr>
                <w:rFonts w:ascii="Cambria Math" w:hAnsi="Cambria Math" w:cs="Times New Roman"/>
                <w:sz w:val="24"/>
                <w:szCs w:val="24"/>
              </w:rPr>
              <m:t>t</m:t>
            </m:r>
          </m:sub>
        </m:sSub>
      </m:oMath>
      <w:r w:rsidR="000B48C0" w:rsidRPr="00B03FB7">
        <w:rPr>
          <w:rFonts w:ascii="Times New Roman" w:hAnsi="Times New Roman" w:cs="Times New Roman"/>
          <w:sz w:val="24"/>
          <w:szCs w:val="24"/>
        </w:rPr>
        <w:t xml:space="preserve"> was the CD4 count at </w:t>
      </w:r>
      <m:oMath>
        <m:r>
          <w:rPr>
            <w:rFonts w:ascii="Cambria Math" w:hAnsi="Cambria Math" w:cs="Times New Roman"/>
            <w:sz w:val="24"/>
            <w:szCs w:val="24"/>
          </w:rPr>
          <m:t>t</m:t>
        </m:r>
      </m:oMath>
      <w:r w:rsidR="000B48C0" w:rsidRPr="00B03FB7">
        <w:rPr>
          <w:rFonts w:ascii="Times New Roman" w:hAnsi="Times New Roman" w:cs="Times New Roman"/>
          <w:sz w:val="24"/>
          <w:szCs w:val="24"/>
        </w:rPr>
        <w:t xml:space="preserve"> years after seroconversion,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oMath>
      <w:r w:rsidR="000B48C0" w:rsidRPr="00B03FB7">
        <w:rPr>
          <w:rFonts w:ascii="Times New Roman" w:hAnsi="Times New Roman" w:cs="Times New Roman"/>
          <w:sz w:val="24"/>
          <w:szCs w:val="24"/>
        </w:rPr>
        <w:t xml:space="preserve"> was 23.53; </w:t>
      </w:r>
      <m:oMath>
        <m:r>
          <w:rPr>
            <w:rFonts w:ascii="Cambria Math" w:hAnsi="Cambria Math" w:cs="Times New Roman"/>
            <w:sz w:val="24"/>
            <w:szCs w:val="24"/>
          </w:rPr>
          <m:t>R</m:t>
        </m:r>
      </m:oMath>
      <w:r w:rsidR="000B48C0" w:rsidRPr="00B03FB7">
        <w:rPr>
          <w:rFonts w:ascii="Times New Roman" w:hAnsi="Times New Roman" w:cs="Times New Roman"/>
          <w:sz w:val="24"/>
          <w:szCs w:val="24"/>
        </w:rPr>
        <w:t xml:space="preserve"> was an indicator of African descent (set </w:t>
      </w:r>
      <w:r w:rsidR="00734795">
        <w:rPr>
          <w:rFonts w:ascii="Times New Roman" w:hAnsi="Times New Roman" w:cs="Times New Roman"/>
          <w:sz w:val="24"/>
          <w:szCs w:val="24"/>
        </w:rPr>
        <w:t xml:space="preserve">equal to </w:t>
      </w:r>
      <w:r w:rsidR="000B48C0" w:rsidRPr="00B03FB7">
        <w:rPr>
          <w:rFonts w:ascii="Times New Roman" w:hAnsi="Times New Roman" w:cs="Times New Roman"/>
          <w:sz w:val="24"/>
          <w:szCs w:val="24"/>
        </w:rPr>
        <w:t xml:space="preserve">1 </w:t>
      </w:r>
      <w:r w:rsidR="00976D46">
        <w:rPr>
          <w:rFonts w:ascii="Times New Roman" w:hAnsi="Times New Roman" w:cs="Times New Roman"/>
          <w:sz w:val="24"/>
          <w:szCs w:val="24"/>
        </w:rPr>
        <w:t>here</w:t>
      </w:r>
      <w:r w:rsidR="000B48C0" w:rsidRPr="00B03FB7">
        <w:rPr>
          <w:rFonts w:ascii="Times New Roman" w:hAnsi="Times New Roman" w:cs="Times New Roman"/>
          <w:sz w:val="24"/>
          <w:szCs w:val="24"/>
        </w:rPr>
        <w:t xml:space="preserve">), with a coefficient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000B48C0" w:rsidRPr="00B03FB7">
        <w:rPr>
          <w:rFonts w:ascii="Times New Roman" w:hAnsi="Times New Roman" w:cs="Times New Roman"/>
          <w:sz w:val="24"/>
          <w:szCs w:val="24"/>
        </w:rPr>
        <w:t xml:space="preserve"> estimated at -0.76; </w:t>
      </w:r>
      <m:oMath>
        <m:r>
          <w:rPr>
            <w:rFonts w:ascii="Cambria Math" w:hAnsi="Cambria Math" w:cs="Times New Roman"/>
            <w:sz w:val="24"/>
            <w:szCs w:val="24"/>
          </w:rPr>
          <m:t>F</m:t>
        </m:r>
      </m:oMath>
      <w:r w:rsidR="000B48C0" w:rsidRPr="00B03FB7">
        <w:rPr>
          <w:rFonts w:ascii="Times New Roman" w:hAnsi="Times New Roman" w:cs="Times New Roman"/>
          <w:sz w:val="24"/>
          <w:szCs w:val="24"/>
        </w:rPr>
        <w:t xml:space="preserve"> was an indicator for female</w:t>
      </w:r>
      <w:r w:rsidR="000F317E" w:rsidRPr="00B03FB7">
        <w:rPr>
          <w:rFonts w:ascii="Times New Roman" w:hAnsi="Times New Roman" w:cs="Times New Roman"/>
          <w:sz w:val="24"/>
          <w:szCs w:val="24"/>
        </w:rPr>
        <w:t xml:space="preserve"> </w:t>
      </w:r>
      <w:r w:rsidR="000B48C0" w:rsidRPr="00B03FB7">
        <w:rPr>
          <w:rFonts w:ascii="Times New Roman" w:hAnsi="Times New Roman" w:cs="Times New Roman"/>
          <w:sz w:val="24"/>
          <w:szCs w:val="24"/>
        </w:rPr>
        <w:t xml:space="preserve">(set equal to </w:t>
      </w:r>
      <w:r w:rsidR="00FA3AD3">
        <w:rPr>
          <w:rFonts w:ascii="Times New Roman" w:hAnsi="Times New Roman" w:cs="Times New Roman"/>
          <w:sz w:val="24"/>
          <w:szCs w:val="24"/>
        </w:rPr>
        <w:t>0</w:t>
      </w:r>
      <w:r w:rsidR="00FA3AD3" w:rsidRPr="00B03FB7">
        <w:rPr>
          <w:rFonts w:ascii="Times New Roman" w:hAnsi="Times New Roman" w:cs="Times New Roman"/>
          <w:sz w:val="24"/>
          <w:szCs w:val="24"/>
        </w:rPr>
        <w:t xml:space="preserve"> </w:t>
      </w:r>
      <w:r w:rsidR="000B48C0" w:rsidRPr="00B03FB7">
        <w:rPr>
          <w:rFonts w:ascii="Times New Roman" w:hAnsi="Times New Roman" w:cs="Times New Roman"/>
          <w:sz w:val="24"/>
          <w:szCs w:val="24"/>
        </w:rPr>
        <w:t xml:space="preserve">here),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oMath>
      <w:r w:rsidR="000B48C0" w:rsidRPr="00B03FB7">
        <w:rPr>
          <w:rFonts w:ascii="Times New Roman" w:hAnsi="Times New Roman" w:cs="Times New Roman"/>
          <w:sz w:val="24"/>
          <w:szCs w:val="24"/>
        </w:rPr>
        <w:t xml:space="preserve"> estimated at -1.49 and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oMath>
      <w:r w:rsidR="000B48C0" w:rsidRPr="00B03FB7">
        <w:rPr>
          <w:rFonts w:ascii="Times New Roman" w:hAnsi="Times New Roman" w:cs="Times New Roman"/>
          <w:sz w:val="24"/>
          <w:szCs w:val="24"/>
        </w:rPr>
        <w:t xml:space="preserve"> estimated at 0.34; </w:t>
      </w:r>
      <m:oMath>
        <m:r>
          <w:rPr>
            <w:rFonts w:ascii="Cambria Math" w:hAnsi="Cambria Math" w:cs="Times New Roman"/>
            <w:sz w:val="24"/>
            <w:szCs w:val="24"/>
          </w:rPr>
          <m:t>A</m:t>
        </m:r>
      </m:oMath>
      <w:r w:rsidR="000B48C0" w:rsidRPr="00B03FB7">
        <w:rPr>
          <w:rFonts w:ascii="Times New Roman" w:hAnsi="Times New Roman" w:cs="Times New Roman"/>
          <w:sz w:val="24"/>
          <w:szCs w:val="24"/>
        </w:rPr>
        <w:t xml:space="preserve"> was the age at seroconversion, with</w:t>
      </w:r>
      <w:r w:rsidR="006E3FD4">
        <w:rPr>
          <w:rFonts w:ascii="Times New Roman" w:hAnsi="Times New Roman" w:cs="Times New Roman"/>
          <w:sz w:val="24"/>
          <w:szCs w:val="24"/>
        </w:rPr>
        <w:t xml:space="preserve"> </w:t>
      </w:r>
      <w:r w:rsidR="000B48C0" w:rsidRPr="00B03FB7">
        <w:rPr>
          <w:rFonts w:ascii="Times New Roman" w:hAnsi="Times New Roman" w:cs="Times New Roman"/>
          <w:sz w:val="24"/>
          <w:szCs w:val="24"/>
        </w:rPr>
        <w:t xml:space="preserve">coefficient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oMath>
      <w:r w:rsidR="000B48C0" w:rsidRPr="00B03FB7">
        <w:rPr>
          <w:rFonts w:ascii="Times New Roman" w:hAnsi="Times New Roman" w:cs="Times New Roman"/>
          <w:sz w:val="24"/>
          <w:szCs w:val="24"/>
        </w:rPr>
        <w:t xml:space="preserve"> est</w:t>
      </w:r>
      <w:r w:rsidR="000B48C0" w:rsidRPr="006E51A8">
        <w:rPr>
          <w:rFonts w:ascii="Times New Roman" w:hAnsi="Times New Roman" w:cs="Times New Roman"/>
          <w:sz w:val="24"/>
          <w:szCs w:val="24"/>
        </w:rPr>
        <w:t>imated at</w:t>
      </w:r>
      <w:r w:rsidR="000B48C0" w:rsidRPr="00BA7C39">
        <w:rPr>
          <w:rFonts w:ascii="Times New Roman" w:hAnsi="Times New Roman" w:cs="Times New Roman"/>
          <w:sz w:val="24"/>
          <w:szCs w:val="24"/>
        </w:rPr>
        <w:t xml:space="preserve">: </w:t>
      </w:r>
      <w:r w:rsidR="000B48C0" w:rsidRPr="00B03FB7">
        <w:rPr>
          <w:rFonts w:ascii="Times New Roman" w:hAnsi="Times New Roman" w:cs="Times New Roman"/>
          <w:sz w:val="24"/>
          <w:szCs w:val="24"/>
        </w:rPr>
        <w:t xml:space="preserve">0 for </w:t>
      </w:r>
      <m:oMath>
        <m:r>
          <w:rPr>
            <w:rFonts w:ascii="Cambria Math" w:hAnsi="Cambria Math" w:cs="Times New Roman"/>
            <w:sz w:val="24"/>
            <w:szCs w:val="24"/>
          </w:rPr>
          <m:t>15≤A&lt;30</m:t>
        </m:r>
      </m:oMath>
      <w:r w:rsidR="000B48C0" w:rsidRPr="00B03FB7">
        <w:rPr>
          <w:rFonts w:ascii="Times New Roman" w:hAnsi="Times New Roman" w:cs="Times New Roman"/>
          <w:sz w:val="24"/>
          <w:szCs w:val="24"/>
        </w:rPr>
        <w:t xml:space="preserve">, -0.1 for </w:t>
      </w:r>
      <m:oMath>
        <m:r>
          <w:rPr>
            <w:rFonts w:ascii="Cambria Math" w:hAnsi="Cambria Math" w:cs="Times New Roman"/>
            <w:sz w:val="24"/>
            <w:szCs w:val="24"/>
          </w:rPr>
          <m:t>30≤A&lt; 34.</m:t>
        </m:r>
      </m:oMath>
      <w:r w:rsidR="000B48C0" w:rsidRPr="00B03FB7">
        <w:rPr>
          <w:rFonts w:ascii="Times New Roman" w:hAnsi="Times New Roman" w:cs="Times New Roman"/>
          <w:sz w:val="24"/>
          <w:szCs w:val="24"/>
        </w:rPr>
        <w:t xml:space="preserve"> </w:t>
      </w:r>
    </w:p>
    <w:p w14:paraId="700F4702" w14:textId="5451558B" w:rsidR="00FF4114" w:rsidRPr="00B03FB7" w:rsidRDefault="00B03FB7" w:rsidP="00B03FB7">
      <w:pPr>
        <w:spacing w:line="480" w:lineRule="auto"/>
        <w:rPr>
          <w:rFonts w:ascii="Times New Roman" w:hAnsi="Times New Roman" w:cs="Times New Roman"/>
          <w:noProof w:val="0"/>
          <w:sz w:val="24"/>
          <w:szCs w:val="24"/>
        </w:rPr>
      </w:pPr>
      <w:bookmarkStart w:id="8" w:name="_Toc3377336"/>
      <w:r w:rsidRPr="000B44D1">
        <w:rPr>
          <w:rStyle w:val="Heading2Char"/>
        </w:rPr>
        <w:t xml:space="preserve">A.4.5 </w:t>
      </w:r>
      <w:r w:rsidR="00F148A7" w:rsidRPr="000B44D1">
        <w:rPr>
          <w:rStyle w:val="Heading2Char"/>
        </w:rPr>
        <w:t xml:space="preserve">Temporal evolution of </w:t>
      </w:r>
      <w:r w:rsidR="0001299A" w:rsidRPr="000B44D1">
        <w:rPr>
          <w:rStyle w:val="Heading2Char"/>
        </w:rPr>
        <w:t>HIV RNA (“v</w:t>
      </w:r>
      <w:r w:rsidR="000B48C0" w:rsidRPr="000B44D1">
        <w:rPr>
          <w:rStyle w:val="Heading2Char"/>
        </w:rPr>
        <w:t>iral load</w:t>
      </w:r>
      <w:r w:rsidR="0001299A" w:rsidRPr="000B44D1">
        <w:rPr>
          <w:rStyle w:val="Heading2Char"/>
        </w:rPr>
        <w:t>”)</w:t>
      </w:r>
      <w:bookmarkEnd w:id="8"/>
      <w:r w:rsidR="000B48C0" w:rsidRPr="00B03FB7">
        <w:rPr>
          <w:rFonts w:ascii="Times New Roman" w:hAnsi="Times New Roman" w:cs="Times New Roman"/>
          <w:noProof w:val="0"/>
          <w:sz w:val="24"/>
          <w:szCs w:val="24"/>
        </w:rPr>
        <w:t xml:space="preserve">: </w:t>
      </w:r>
      <w:r w:rsidR="00460854" w:rsidRPr="00B03FB7">
        <w:rPr>
          <w:rFonts w:ascii="Times New Roman" w:hAnsi="Times New Roman" w:cs="Times New Roman"/>
          <w:noProof w:val="0"/>
          <w:sz w:val="24"/>
          <w:szCs w:val="24"/>
        </w:rPr>
        <w:t xml:space="preserve">The </w:t>
      </w:r>
      <w:r w:rsidR="000B48C0" w:rsidRPr="00B03FB7">
        <w:rPr>
          <w:rFonts w:ascii="Times New Roman" w:hAnsi="Times New Roman" w:cs="Times New Roman"/>
          <w:noProof w:val="0"/>
          <w:sz w:val="24"/>
          <w:szCs w:val="24"/>
        </w:rPr>
        <w:t xml:space="preserve">viral load trajectory </w:t>
      </w:r>
      <w:r w:rsidR="00356333" w:rsidRPr="00B03FB7">
        <w:rPr>
          <w:rFonts w:ascii="Times New Roman" w:hAnsi="Times New Roman" w:cs="Times New Roman"/>
          <w:noProof w:val="0"/>
          <w:sz w:val="24"/>
          <w:szCs w:val="24"/>
        </w:rPr>
        <w:t xml:space="preserve">was </w:t>
      </w:r>
      <w:r w:rsidR="00EE6CBC" w:rsidRPr="00B03FB7">
        <w:rPr>
          <w:rFonts w:ascii="Times New Roman" w:hAnsi="Times New Roman" w:cs="Times New Roman"/>
          <w:noProof w:val="0"/>
          <w:sz w:val="24"/>
          <w:szCs w:val="24"/>
        </w:rPr>
        <w:t xml:space="preserve">modeled </w:t>
      </w:r>
      <w:r w:rsidR="000B48C0" w:rsidRPr="00B03FB7">
        <w:rPr>
          <w:rFonts w:ascii="Times New Roman" w:hAnsi="Times New Roman" w:cs="Times New Roman"/>
          <w:noProof w:val="0"/>
          <w:sz w:val="24"/>
          <w:szCs w:val="24"/>
        </w:rPr>
        <w:t>deterministically</w:t>
      </w:r>
      <w:r w:rsidR="00CB6D54" w:rsidRPr="00B03FB7">
        <w:rPr>
          <w:rFonts w:ascii="Times New Roman" w:hAnsi="Times New Roman" w:cs="Times New Roman"/>
          <w:noProof w:val="0"/>
          <w:sz w:val="24"/>
          <w:szCs w:val="24"/>
        </w:rPr>
        <w:t>. F</w:t>
      </w:r>
      <w:r w:rsidR="000B48C0" w:rsidRPr="00B03FB7">
        <w:rPr>
          <w:rFonts w:ascii="Times New Roman" w:hAnsi="Times New Roman" w:cs="Times New Roman"/>
          <w:noProof w:val="0"/>
          <w:sz w:val="24"/>
          <w:szCs w:val="24"/>
        </w:rPr>
        <w:t>or each infected, untreated individual</w:t>
      </w:r>
      <w:r w:rsidR="00CB6D54" w:rsidRPr="00B03FB7">
        <w:rPr>
          <w:rFonts w:ascii="Times New Roman" w:hAnsi="Times New Roman" w:cs="Times New Roman"/>
          <w:noProof w:val="0"/>
          <w:sz w:val="24"/>
          <w:szCs w:val="24"/>
        </w:rPr>
        <w:t>, viral load was expressed</w:t>
      </w:r>
      <w:r w:rsidR="000B48C0" w:rsidRPr="00B03FB7">
        <w:rPr>
          <w:rFonts w:ascii="Times New Roman" w:hAnsi="Times New Roman" w:cs="Times New Roman"/>
          <w:noProof w:val="0"/>
          <w:sz w:val="24"/>
          <w:szCs w:val="24"/>
        </w:rPr>
        <w:t xml:space="preserve"> as a six-parameter curve with a steep increase from 0 to peak viremia at 6.17 on the log</w:t>
      </w:r>
      <w:r w:rsidR="000B48C0" w:rsidRPr="00B03FB7">
        <w:rPr>
          <w:rFonts w:ascii="Times New Roman" w:hAnsi="Times New Roman" w:cs="Times New Roman"/>
          <w:noProof w:val="0"/>
          <w:sz w:val="24"/>
          <w:szCs w:val="24"/>
          <w:vertAlign w:val="subscript"/>
        </w:rPr>
        <w:t>10</w:t>
      </w:r>
      <w:r w:rsidR="000B48C0" w:rsidRPr="00B03FB7">
        <w:rPr>
          <w:rFonts w:ascii="Times New Roman" w:hAnsi="Times New Roman" w:cs="Times New Roman"/>
          <w:noProof w:val="0"/>
          <w:sz w:val="24"/>
          <w:szCs w:val="24"/>
        </w:rPr>
        <w:t xml:space="preserve"> scale over the first 45 days of infection, followed by a decline to the viral set point of 4.2 log</w:t>
      </w:r>
      <w:r w:rsidR="000B48C0" w:rsidRPr="00B03FB7">
        <w:rPr>
          <w:rFonts w:ascii="Times New Roman" w:hAnsi="Times New Roman" w:cs="Times New Roman"/>
          <w:noProof w:val="0"/>
          <w:sz w:val="24"/>
          <w:szCs w:val="24"/>
          <w:vertAlign w:val="subscript"/>
        </w:rPr>
        <w:t>10</w:t>
      </w:r>
      <w:r w:rsidR="000B48C0" w:rsidRPr="00B03FB7">
        <w:rPr>
          <w:rFonts w:ascii="Times New Roman" w:hAnsi="Times New Roman" w:cs="Times New Roman"/>
          <w:noProof w:val="0"/>
          <w:sz w:val="24"/>
          <w:szCs w:val="24"/>
        </w:rPr>
        <w:t xml:space="preserve"> over the next 45 days</w:t>
      </w:r>
      <w:r w:rsidR="00535DF1" w:rsidRPr="00B03FB7">
        <w:rPr>
          <w:rFonts w:ascii="Times New Roman" w:hAnsi="Times New Roman" w:cs="Times New Roman"/>
          <w:noProof w:val="0"/>
          <w:sz w:val="24"/>
          <w:szCs w:val="24"/>
        </w:rPr>
        <w:t xml:space="preserve"> </w:t>
      </w:r>
      <w:r w:rsidR="000B48C0" w:rsidRPr="0573D6D8">
        <w:fldChar w:fldCharType="begin" w:fldLock="1"/>
      </w:r>
      <w:r w:rsidR="002569A7">
        <w:rPr>
          <w:rFonts w:ascii="Times New Roman" w:hAnsi="Times New Roman" w:cs="Times New Roman"/>
          <w:sz w:val="24"/>
          <w:szCs w:val="24"/>
        </w:rPr>
        <w:instrText>ADDIN CSL_CITATION {"citationItems":[{"id":"ITEM-1","itemData":{"abstract":"Viral dynamics were intensively investigated in eight patients with acute {HIV} infection to define the earliest rates of change in plasma {HIV} RNA before and after the start of antiretroviral therapy. We report the first estimates of the basic reproductive number (R-0), the number of cells infected by the progeny of an infected cell. during its lifetime when target cells are not depleted. The mean initial viral doubling time was 10 h, and the peak of viremia occurred 21 d after reported {HIV} exposure. The spontaneous rate of decline (alpha) was highly variable among individuals. The phase 1 viral decay rate (delta(I) = 0.3/day) in subjects initiating potent antiretroviral therapy during acute {HIV} infection was similar to estimates from treated subjects with chronic {HIV} infection. The doubling time in two subjects who discontinued antiretroviral therapy was almost five times slower than during acute infection. The mean basic reproductive number (R-0) of 19.3 during the logarithmic growth phase of primary {HIV} infection suggested that a vaccine or postexposure prophylaxis of at least 95% efficacy would be needed to extinguish productive viral infection in the absence of drug resistance or viral latency. These measurements provide a basis for comparison of vaccine and other strategies and support the validity of the simian immunodeficiency virus macaque model of acute {HIV} infection.","author":[{"dropping-particle":"","family":"Little","given":"S J","non-dropping-particle":"","parse-names":false,"suffix":""},{"dropping-particle":"","family":"McLean","given":"A R","non-dropping-particle":"","parse-names":false,"suffix":""},{"dropping-particle":"","family":"Spina","given":"C A","non-dropping-particle":"","parse-names":false,"suffix":""},{"dropping-particle":"","family":"Richman","given":"D D","non-dropping-particle":"","parse-names":false,"suffix":""},{"dropping-particle":"V","family":"Havlir","given":"D","non-dropping-particle":"","parse-names":false,"suffix":""}],"container-title":"Journal Of Experimental Medicine","id":"ITEM-1","issue":"6","issued":{"date-parts":[["1999","9"]]},"page":"841-850","title":"Viral dynamics of acute HIV-1 infection","type":"article-journal","volume":"190"},"uris":["http://www.mendeley.com/documents/?uuid=81d75c03-00f3-43ee-b3b8-54d4a7eccb4e"]}],"mendeley":{"formattedCitation":"[21]","plainTextFormattedCitation":"[21]","previouslyFormattedCitation":"[21]"},"properties":{"noteIndex":0},"schema":"https://github.com/citation-style-language/schema/raw/master/csl-citation.json"}</w:instrText>
      </w:r>
      <w:r w:rsidR="000B48C0" w:rsidRPr="0573D6D8">
        <w:rPr>
          <w:rFonts w:ascii="Times New Roman" w:hAnsi="Times New Roman" w:cs="Times New Roman"/>
          <w:sz w:val="24"/>
          <w:szCs w:val="24"/>
        </w:rPr>
        <w:fldChar w:fldCharType="separate"/>
      </w:r>
      <w:r w:rsidR="009B5FF9" w:rsidRPr="009B5FF9">
        <w:rPr>
          <w:rFonts w:ascii="Times New Roman" w:hAnsi="Times New Roman" w:cs="Times New Roman"/>
          <w:sz w:val="24"/>
          <w:szCs w:val="24"/>
        </w:rPr>
        <w:t>[21]</w:t>
      </w:r>
      <w:r w:rsidR="000B48C0" w:rsidRPr="0573D6D8">
        <w:fldChar w:fldCharType="end"/>
      </w:r>
      <w:r w:rsidR="00535DF1" w:rsidRPr="00B03FB7">
        <w:rPr>
          <w:rFonts w:ascii="Times New Roman" w:hAnsi="Times New Roman" w:cs="Times New Roman"/>
          <w:sz w:val="24"/>
          <w:szCs w:val="24"/>
        </w:rPr>
        <w:t>.</w:t>
      </w:r>
      <w:r w:rsidR="000B48C0" w:rsidRPr="00B03FB7">
        <w:rPr>
          <w:rFonts w:ascii="Times New Roman" w:hAnsi="Times New Roman" w:cs="Times New Roman"/>
          <w:noProof w:val="0"/>
          <w:sz w:val="24"/>
          <w:szCs w:val="24"/>
        </w:rPr>
        <w:t xml:space="preserve"> This viral set-point is maintained for the next 3550 days</w:t>
      </w:r>
      <w:r w:rsidR="00113A08" w:rsidRPr="00B03FB7">
        <w:rPr>
          <w:rFonts w:ascii="Times New Roman" w:hAnsi="Times New Roman" w:cs="Times New Roman"/>
          <w:noProof w:val="0"/>
          <w:sz w:val="24"/>
          <w:szCs w:val="24"/>
        </w:rPr>
        <w:t xml:space="preserve"> </w:t>
      </w:r>
      <w:r w:rsidR="000B48C0" w:rsidRPr="0573D6D8">
        <w:fldChar w:fldCharType="begin" w:fldLock="1"/>
      </w:r>
      <w:r w:rsidR="002569A7">
        <w:rPr>
          <w:rFonts w:ascii="Times New Roman" w:hAnsi="Times New Roman" w:cs="Times New Roman"/>
          <w:noProof w:val="0"/>
          <w:sz w:val="24"/>
          <w:szCs w:val="24"/>
        </w:rPr>
        <w:instrText>ADDIN CSL_CITATION {"citationItems":[{"id":"ITEM-1","itemData":{"ISSN":"0269-9370","PMID":"7986410","abstract":"OBJECTIVE To identify and describe a subgroup of men infected with HIV for 10-15 years without immunologic progression, and to evaluate the effect of sexually transmitted diseases (STD) and recreational drug use on delayed HIV disease progression. DESIGN Inception cohort study. SETTING Municipal STD clinic. PARTICIPANTS A total of 588 men with well documented dates of HIV seroconversion and 197 HIV-seronegative controls. MAIN OUTCOME MEASURES AIDS, CD4+ count, rate of CD4+ cell loss, CD8+ count, beta 2-microglobulin, complete blood count, p24 antigen and HIV-related symptoms. RESULTS Of 588 men, 69% had developed AIDS by 14 years after HIV seroconversion (95% confidence interval, 64-73%). Of 539 men with HIV seroconversion dates prior to 1983, 42 men (8%) were healthy long-term HIV-positives (HLP), HIV-infected &gt; or = 10 years without AIDS and with CD4+ counts &gt; 500 x 10(6)/l. When compared with progressors (men with HIV seroconversion prior to 1983 but with AIDS or CD4+ counts &lt; 200 x 10(6)/l), HLP had a significantly slower rate of CD4+ decline (6 versus 85 x 10(6)/l cells/year), and less abnormal immunologic, hematologic and clinical parameters. However, when compared with HIV-uninfected controls, HLP demonstrated lower CD4+ counts and mild hematologic abnormalities. There were no consistent differences between HLP and progressors in prior exposure to recreational drugs or STD. CONCLUSION There are individuals with long-term HIV infection who appear clinically and immunologically healthy 10-15 years after HIV seroconversion, with stable CD4+ counts. Lack of exposure to STD or recreational drugs does not appear to explain the delayed course of disease progression in HLP.","author":[{"dropping-particle":"","family":"Buchbinder","given":"S P","non-dropping-particle":"","parse-names":false,"suffix":""},{"dropping-particle":"","family":"Katz","given":"M H","non-dropping-particle":"","parse-names":false,"suffix":""},{"dropping-particle":"","family":"Hessol","given":"N A","non-dropping-particle":"","parse-names":false,"suffix":""},{"dropping-particle":"","family":"O'Malley","given":"P M","non-dropping-particle":"","parse-names":false,"suffix":""},{"dropping-particle":"","family":"Holmberg","given":"S D","non-dropping-particle":"","parse-names":false,"suffix":""}],"container-title":"AIDS (London, England)","id":"ITEM-1","issue":"8","issued":{"date-parts":[["1994","8"]]},"page":"1123-8","title":"Long-term HIV-1 infection without immunologic progression.","type":"article-journal","volume":"8"},"uris":["http://www.mendeley.com/documents/?uuid=386e3bff-cb78-3358-a567-29bfcb8636c6"]}],"mendeley":{"formattedCitation":"[22]","plainTextFormattedCitation":"[22]","previouslyFormattedCitation":"[22]"},"properties":{"noteIndex":0},"schema":"https://github.com/citation-style-language/schema/raw/master/csl-citation.json"}</w:instrText>
      </w:r>
      <w:r w:rsidR="000B48C0" w:rsidRPr="0573D6D8">
        <w:rPr>
          <w:rFonts w:ascii="Times New Roman" w:hAnsi="Times New Roman" w:cs="Times New Roman"/>
          <w:noProof w:val="0"/>
          <w:sz w:val="24"/>
          <w:szCs w:val="24"/>
        </w:rPr>
        <w:fldChar w:fldCharType="separate"/>
      </w:r>
      <w:r w:rsidR="009B5FF9" w:rsidRPr="009B5FF9">
        <w:rPr>
          <w:rFonts w:ascii="Times New Roman" w:hAnsi="Times New Roman" w:cs="Times New Roman"/>
          <w:sz w:val="24"/>
          <w:szCs w:val="24"/>
        </w:rPr>
        <w:t>[22]</w:t>
      </w:r>
      <w:r w:rsidR="000B48C0" w:rsidRPr="0573D6D8">
        <w:fldChar w:fldCharType="end"/>
      </w:r>
      <w:r w:rsidR="00113A08" w:rsidRPr="00B03FB7">
        <w:rPr>
          <w:rFonts w:ascii="Times New Roman" w:hAnsi="Times New Roman" w:cs="Times New Roman"/>
          <w:noProof w:val="0"/>
          <w:sz w:val="24"/>
          <w:szCs w:val="24"/>
        </w:rPr>
        <w:t>.</w:t>
      </w:r>
      <w:r w:rsidR="000B48C0" w:rsidRPr="00B03FB7">
        <w:rPr>
          <w:rFonts w:ascii="Times New Roman" w:hAnsi="Times New Roman" w:cs="Times New Roman"/>
          <w:noProof w:val="0"/>
          <w:sz w:val="24"/>
          <w:szCs w:val="24"/>
        </w:rPr>
        <w:t xml:space="preserve"> There is a final steady increase in viral load during </w:t>
      </w:r>
      <w:r w:rsidR="000B48C0" w:rsidRPr="006E51A8">
        <w:rPr>
          <w:rFonts w:ascii="Times New Roman" w:hAnsi="Times New Roman" w:cs="Times New Roman"/>
          <w:sz w:val="24"/>
          <w:szCs w:val="24"/>
        </w:rPr>
        <w:t>late stage</w:t>
      </w:r>
      <w:r w:rsidR="000B48C0" w:rsidRPr="00B03FB7">
        <w:rPr>
          <w:rFonts w:ascii="Times New Roman" w:hAnsi="Times New Roman" w:cs="Times New Roman"/>
          <w:noProof w:val="0"/>
          <w:sz w:val="24"/>
          <w:szCs w:val="24"/>
        </w:rPr>
        <w:t xml:space="preserve"> infection, where the viral load rises to 5.05 log</w:t>
      </w:r>
      <w:r w:rsidR="000B48C0" w:rsidRPr="00B03FB7">
        <w:rPr>
          <w:rFonts w:ascii="Times New Roman" w:hAnsi="Times New Roman" w:cs="Times New Roman"/>
          <w:noProof w:val="0"/>
          <w:sz w:val="24"/>
          <w:szCs w:val="24"/>
          <w:vertAlign w:val="subscript"/>
        </w:rPr>
        <w:t>10</w:t>
      </w:r>
      <w:r w:rsidR="008E1C73" w:rsidRPr="00B03FB7">
        <w:rPr>
          <w:rFonts w:ascii="Times New Roman" w:hAnsi="Times New Roman" w:cs="Times New Roman"/>
          <w:noProof w:val="0"/>
          <w:sz w:val="24"/>
          <w:szCs w:val="24"/>
        </w:rPr>
        <w:t xml:space="preserve"> </w:t>
      </w:r>
      <w:r w:rsidR="000B48C0" w:rsidRPr="0573D6D8">
        <w:fldChar w:fldCharType="begin" w:fldLock="1"/>
      </w:r>
      <w:r w:rsidR="002569A7">
        <w:rPr>
          <w:rFonts w:ascii="Times New Roman" w:hAnsi="Times New Roman" w:cs="Times New Roman"/>
          <w:sz w:val="24"/>
          <w:szCs w:val="24"/>
        </w:rPr>
        <w:instrText>ADDIN CSL_CITATION {"citationItems":[{"id":"ITEM-1","itemData":{"DOI":"10.1097/01.aids.0000111398.02002.de","author":[{"dropping-particle":"","family":"Pilcher","given":"Christopher D","non-dropping-particle":"","parse-names":false,"suffix":""},{"dropping-particle":"","family":"Price","given":"Matthew A","non-dropping-particle":"","parse-names":false,"suffix":""},{"dropping-particle":"","family":"Hoffman","given":"Irving F","non-dropping-particle":"","parse-names":false,"suffix":""},{"dropping-particle":"","family":"Galvin","given":"Shannon","non-dropping-particle":"","parse-names":false,"suffix":""},{"dropping-particle":"","family":"Martinson","given":"Francis E A","non-dropping-particle":"","parse-names":false,"suffix":""},{"dropping-particle":"","family":"Kazembe","given":"Peter N","non-dropping-particle":"","parse-names":false,"suffix":""},{"dropping-particle":"","family":"Eron","given":"Joseph J","non-dropping-particle":"","parse-names":false,"suffix":""},{"dropping-particle":"","family":"Miller","given":"William C","non-dropping-particle":"","parse-names":false,"suffix":""},{"dropping-particle":"","family":"Fiscus","given":"Susan A","non-dropping-particle":"","parse-names":false,"suffix":""},{"dropping-particle":"","family":"Cohen","given":"Myron S","non-dropping-particle":"","parse-names":false,"suffix":""}],"container-title":"AIDS","id":"ITEM-1","issue":"3","issued":{"date-parts":[["2004","2"]]},"page":"517-524","title":"Frequent detection of acute primary HIV infection in men in Malawi","type":"article-journal","volume":"18"},"uris":["http://www.mendeley.com/documents/?uuid=b503d3ac-2048-4d02-a06e-7678640b1ec2"]}],"mendeley":{"formattedCitation":"[23]","plainTextFormattedCitation":"[23]","previouslyFormattedCitation":"[23]"},"properties":{"noteIndex":0},"schema":"https://github.com/citation-style-language/schema/raw/master/csl-citation.json"}</w:instrText>
      </w:r>
      <w:r w:rsidR="000B48C0" w:rsidRPr="0573D6D8">
        <w:rPr>
          <w:rFonts w:ascii="Times New Roman" w:hAnsi="Times New Roman" w:cs="Times New Roman"/>
          <w:sz w:val="24"/>
          <w:szCs w:val="24"/>
        </w:rPr>
        <w:fldChar w:fldCharType="separate"/>
      </w:r>
      <w:r w:rsidR="009B5FF9" w:rsidRPr="009B5FF9">
        <w:rPr>
          <w:rFonts w:ascii="Times New Roman" w:hAnsi="Times New Roman" w:cs="Times New Roman"/>
          <w:sz w:val="24"/>
          <w:szCs w:val="24"/>
        </w:rPr>
        <w:t>[23]</w:t>
      </w:r>
      <w:r w:rsidR="000B48C0" w:rsidRPr="0573D6D8">
        <w:fldChar w:fldCharType="end"/>
      </w:r>
      <w:r w:rsidR="008E1C73" w:rsidRPr="00B03FB7">
        <w:rPr>
          <w:rFonts w:ascii="Times New Roman" w:hAnsi="Times New Roman" w:cs="Times New Roman"/>
          <w:sz w:val="24"/>
          <w:szCs w:val="24"/>
        </w:rPr>
        <w:t>,</w:t>
      </w:r>
      <w:r w:rsidR="000B48C0" w:rsidRPr="00B03FB7">
        <w:rPr>
          <w:rFonts w:ascii="Times New Roman" w:hAnsi="Times New Roman" w:cs="Times New Roman"/>
          <w:sz w:val="24"/>
          <w:szCs w:val="24"/>
        </w:rPr>
        <w:t xml:space="preserve"> over the course of 728 days</w:t>
      </w:r>
      <w:r w:rsidR="00867F69" w:rsidRPr="00B03FB7">
        <w:rPr>
          <w:rFonts w:ascii="Times New Roman" w:hAnsi="Times New Roman" w:cs="Times New Roman"/>
          <w:sz w:val="24"/>
          <w:szCs w:val="24"/>
        </w:rPr>
        <w:t xml:space="preserve"> </w:t>
      </w:r>
      <w:r w:rsidR="000B48C0" w:rsidRPr="0573D6D8">
        <w:fldChar w:fldCharType="begin" w:fldLock="1"/>
      </w:r>
      <w:r w:rsidR="002569A7">
        <w:rPr>
          <w:rFonts w:ascii="Times New Roman" w:hAnsi="Times New Roman" w:cs="Times New Roman"/>
          <w:sz w:val="24"/>
          <w:szCs w:val="24"/>
        </w:rPr>
        <w:instrText>ADDIN CSL_CITATION {"citationItems":[{"id":"ITEM-1","itemData":{"ISSN":"0269-9370","PMID":"7986410","abstract":"OBJECTIVE To identify and describe a subgroup of men infected with HIV for 10-15 years without immunologic progression, and to evaluate the effect of sexually transmitted diseases (STD) and recreational drug use on delayed HIV disease progression. DESIGN Inception cohort study. SETTING Municipal STD clinic. PARTICIPANTS A total of 588 men with well documented dates of HIV seroconversion and 197 HIV-seronegative controls. MAIN OUTCOME MEASURES AIDS, CD4+ count, rate of CD4+ cell loss, CD8+ count, beta 2-microglobulin, complete blood count, p24 antigen and HIV-related symptoms. RESULTS Of 588 men, 69% had developed AIDS by 14 years after HIV seroconversion (95% confidence interval, 64-73%). Of 539 men with HIV seroconversion dates prior to 1983, 42 men (8%) were healthy long-term HIV-positives (HLP), HIV-infected &gt; or = 10 years without AIDS and with CD4+ counts &gt; 500 x 10(6)/l. When compared with progressors (men with HIV seroconversion prior to 1983 but with AIDS or CD4+ counts &lt; 200 x 10(6)/l), HLP had a significantly slower rate of CD4+ decline (6 versus 85 x 10(6)/l cells/year), and less abnormal immunologic, hematologic and clinical parameters. However, when compared with HIV-uninfected controls, HLP demonstrated lower CD4+ counts and mild hematologic abnormalities. There were no consistent differences between HLP and progressors in prior exposure to recreational drugs or STD. CONCLUSION There are individuals with long-term HIV infection who appear clinically and immunologically healthy 10-15 years after HIV seroconversion, with stable CD4+ counts. Lack of exposure to STD or recreational drugs does not appear to explain the delayed course of disease progression in HLP.","author":[{"dropping-particle":"","family":"Buchbinder","given":"S P","non-dropping-particle":"","parse-names":false,"suffix":""},{"dropping-particle":"","family":"Katz","given":"M H","non-dropping-particle":"","parse-names":false,"suffix":""},{"dropping-particle":"","family":"Hessol","given":"N A","non-dropping-particle":"","parse-names":false,"suffix":""},{"dropping-particle":"","family":"O'Malley","given":"P M","non-dropping-particle":"","parse-names":false,"suffix":""},{"dropping-particle":"","family":"Holmberg","given":"S D","non-dropping-particle":"","parse-names":false,"suffix":""}],"container-title":"AIDS (London, England)","id":"ITEM-1","issue":"8","issued":{"date-parts":[["1994","8"]]},"page":"1123-8","title":"Long-term HIV-1 infection without immunologic progression.","type":"article-journal","volume":"8"},"uris":["http://www.mendeley.com/documents/?uuid=386e3bff-cb78-3358-a567-29bfcb8636c6"]}],"mendeley":{"formattedCitation":"[22]","plainTextFormattedCitation":"[22]","previouslyFormattedCitation":"[22]"},"properties":{"noteIndex":0},"schema":"https://github.com/citation-style-language/schema/raw/master/csl-citation.json"}</w:instrText>
      </w:r>
      <w:r w:rsidR="000B48C0" w:rsidRPr="0573D6D8">
        <w:rPr>
          <w:rFonts w:ascii="Times New Roman" w:hAnsi="Times New Roman" w:cs="Times New Roman"/>
          <w:sz w:val="24"/>
          <w:szCs w:val="24"/>
        </w:rPr>
        <w:fldChar w:fldCharType="separate"/>
      </w:r>
      <w:r w:rsidR="009B5FF9" w:rsidRPr="009B5FF9">
        <w:rPr>
          <w:rFonts w:ascii="Times New Roman" w:hAnsi="Times New Roman" w:cs="Times New Roman"/>
          <w:sz w:val="24"/>
          <w:szCs w:val="24"/>
        </w:rPr>
        <w:t>[22]</w:t>
      </w:r>
      <w:r w:rsidR="000B48C0" w:rsidRPr="0573D6D8">
        <w:fldChar w:fldCharType="end"/>
      </w:r>
      <w:r w:rsidR="00E10324" w:rsidRPr="00B03FB7">
        <w:rPr>
          <w:rFonts w:ascii="Times New Roman" w:hAnsi="Times New Roman" w:cs="Times New Roman"/>
          <w:sz w:val="24"/>
          <w:szCs w:val="24"/>
        </w:rPr>
        <w:t xml:space="preserve">. </w:t>
      </w:r>
      <w:r w:rsidR="00FA65CF">
        <w:rPr>
          <w:rFonts w:ascii="Times New Roman" w:hAnsi="Times New Roman" w:cs="Times New Roman"/>
          <w:sz w:val="24"/>
          <w:szCs w:val="24"/>
        </w:rPr>
        <w:t>The viral load of</w:t>
      </w:r>
      <w:r w:rsidR="006F4DB8" w:rsidRPr="00B03FB7">
        <w:rPr>
          <w:rFonts w:ascii="Times New Roman" w:hAnsi="Times New Roman" w:cs="Times New Roman"/>
          <w:sz w:val="24"/>
          <w:szCs w:val="24"/>
        </w:rPr>
        <w:t xml:space="preserve"> individuals who initiated AR</w:t>
      </w:r>
      <w:r w:rsidR="005D590F">
        <w:rPr>
          <w:rFonts w:ascii="Times New Roman" w:hAnsi="Times New Roman" w:cs="Times New Roman"/>
          <w:sz w:val="24"/>
          <w:szCs w:val="24"/>
        </w:rPr>
        <w:t>T</w:t>
      </w:r>
      <w:r w:rsidR="006F4DB8" w:rsidRPr="00B03FB7">
        <w:rPr>
          <w:rFonts w:ascii="Times New Roman" w:hAnsi="Times New Roman" w:cs="Times New Roman"/>
          <w:sz w:val="24"/>
          <w:szCs w:val="24"/>
        </w:rPr>
        <w:t xml:space="preserve"> decreased until treatment</w:t>
      </w:r>
      <w:r w:rsidR="000D6D22">
        <w:rPr>
          <w:rFonts w:ascii="Times New Roman" w:hAnsi="Times New Roman" w:cs="Times New Roman"/>
          <w:sz w:val="24"/>
          <w:szCs w:val="24"/>
        </w:rPr>
        <w:t xml:space="preserve"> is interrupted</w:t>
      </w:r>
      <w:r w:rsidR="006F4DB8" w:rsidRPr="00B03FB7">
        <w:rPr>
          <w:rFonts w:ascii="Times New Roman" w:hAnsi="Times New Roman" w:cs="Times New Roman"/>
          <w:sz w:val="24"/>
          <w:szCs w:val="24"/>
        </w:rPr>
        <w:t>,</w:t>
      </w:r>
      <w:r w:rsidR="005745FC" w:rsidRPr="00B03FB7">
        <w:rPr>
          <w:rFonts w:ascii="Times New Roman" w:hAnsi="Times New Roman" w:cs="Times New Roman"/>
          <w:sz w:val="24"/>
          <w:szCs w:val="24"/>
        </w:rPr>
        <w:t xml:space="preserve"> at</w:t>
      </w:r>
      <w:r w:rsidR="006F4DB8" w:rsidRPr="00B03FB7">
        <w:rPr>
          <w:rFonts w:ascii="Times New Roman" w:hAnsi="Times New Roman" w:cs="Times New Roman"/>
          <w:sz w:val="24"/>
          <w:szCs w:val="24"/>
        </w:rPr>
        <w:t xml:space="preserve"> which time the viral load increase</w:t>
      </w:r>
      <w:r w:rsidR="00A52DAE">
        <w:rPr>
          <w:rFonts w:ascii="Times New Roman" w:hAnsi="Times New Roman" w:cs="Times New Roman"/>
          <w:sz w:val="24"/>
          <w:szCs w:val="24"/>
        </w:rPr>
        <w:t>d</w:t>
      </w:r>
      <w:r w:rsidR="006F4DB8" w:rsidRPr="00B03FB7">
        <w:rPr>
          <w:rFonts w:ascii="Times New Roman" w:hAnsi="Times New Roman" w:cs="Times New Roman"/>
          <w:sz w:val="24"/>
          <w:szCs w:val="24"/>
        </w:rPr>
        <w:t xml:space="preserve"> again</w:t>
      </w:r>
      <w:r w:rsidR="005244C3">
        <w:rPr>
          <w:rFonts w:ascii="Times New Roman" w:hAnsi="Times New Roman" w:cs="Times New Roman"/>
          <w:sz w:val="24"/>
          <w:szCs w:val="24"/>
        </w:rPr>
        <w:t xml:space="preserve">, </w:t>
      </w:r>
      <w:r w:rsidR="005244C3" w:rsidRPr="00B03FB7">
        <w:rPr>
          <w:rFonts w:ascii="Times New Roman" w:hAnsi="Times New Roman" w:cs="Times New Roman"/>
          <w:sz w:val="24"/>
          <w:szCs w:val="24"/>
        </w:rPr>
        <w:t>as explained above</w:t>
      </w:r>
      <w:r w:rsidR="005244C3">
        <w:rPr>
          <w:rFonts w:ascii="Times New Roman" w:hAnsi="Times New Roman" w:cs="Times New Roman"/>
          <w:sz w:val="24"/>
          <w:szCs w:val="24"/>
        </w:rPr>
        <w:t>, as long as treatment remained interrupted</w:t>
      </w:r>
      <w:r w:rsidR="006F4DB8" w:rsidRPr="00B03FB7">
        <w:rPr>
          <w:rFonts w:ascii="Times New Roman" w:hAnsi="Times New Roman" w:cs="Times New Roman"/>
          <w:sz w:val="24"/>
          <w:szCs w:val="24"/>
        </w:rPr>
        <w:t>.</w:t>
      </w:r>
    </w:p>
    <w:p w14:paraId="15166EDE" w14:textId="2D7ABDA0" w:rsidR="003F7A80" w:rsidRPr="0085222A" w:rsidRDefault="0085222A" w:rsidP="0085222A">
      <w:pPr>
        <w:spacing w:line="480" w:lineRule="auto"/>
        <w:rPr>
          <w:rFonts w:ascii="Times New Roman" w:hAnsi="Times New Roman" w:cs="Times New Roman"/>
          <w:noProof w:val="0"/>
          <w:sz w:val="24"/>
          <w:szCs w:val="24"/>
        </w:rPr>
      </w:pPr>
      <w:bookmarkStart w:id="9" w:name="_Toc3377337"/>
      <w:r w:rsidRPr="000B44D1">
        <w:rPr>
          <w:rStyle w:val="Heading2Char"/>
        </w:rPr>
        <w:t xml:space="preserve">A.4.6 </w:t>
      </w:r>
      <w:r w:rsidR="00982B9C" w:rsidRPr="000B44D1">
        <w:rPr>
          <w:rStyle w:val="Heading2Char"/>
        </w:rPr>
        <w:t xml:space="preserve">HIV </w:t>
      </w:r>
      <w:r w:rsidR="0091666D" w:rsidRPr="000B44D1">
        <w:rPr>
          <w:rStyle w:val="Heading2Char"/>
        </w:rPr>
        <w:t>testing and d</w:t>
      </w:r>
      <w:r w:rsidR="000B48C0" w:rsidRPr="000B44D1">
        <w:rPr>
          <w:rStyle w:val="Heading2Char"/>
        </w:rPr>
        <w:t>iagnosis</w:t>
      </w:r>
      <w:bookmarkEnd w:id="9"/>
      <w:r w:rsidR="000B48C0" w:rsidRPr="0085222A">
        <w:rPr>
          <w:rFonts w:ascii="Times New Roman" w:hAnsi="Times New Roman" w:cs="Times New Roman"/>
          <w:noProof w:val="0"/>
          <w:sz w:val="24"/>
          <w:szCs w:val="24"/>
        </w:rPr>
        <w:t xml:space="preserve">: </w:t>
      </w:r>
      <w:r w:rsidR="00B773A6" w:rsidRPr="0085222A">
        <w:rPr>
          <w:rFonts w:ascii="Times New Roman" w:hAnsi="Times New Roman" w:cs="Times New Roman"/>
          <w:noProof w:val="0"/>
          <w:sz w:val="24"/>
          <w:szCs w:val="24"/>
        </w:rPr>
        <w:t xml:space="preserve">A heterogeneity of testing behaviors were modeled. </w:t>
      </w:r>
      <w:r w:rsidR="00A71F2B" w:rsidRPr="0085222A">
        <w:rPr>
          <w:rFonts w:ascii="Times New Roman" w:hAnsi="Times New Roman" w:cs="Times New Roman"/>
          <w:noProof w:val="0"/>
          <w:sz w:val="24"/>
          <w:szCs w:val="24"/>
        </w:rPr>
        <w:t xml:space="preserve">Consistent with </w:t>
      </w:r>
      <w:r w:rsidR="00C50DB1" w:rsidRPr="0085222A">
        <w:rPr>
          <w:rFonts w:ascii="Times New Roman" w:hAnsi="Times New Roman" w:cs="Times New Roman"/>
          <w:noProof w:val="0"/>
          <w:sz w:val="24"/>
          <w:szCs w:val="24"/>
        </w:rPr>
        <w:t>population</w:t>
      </w:r>
      <w:r w:rsidR="00277230" w:rsidRPr="0085222A">
        <w:rPr>
          <w:rFonts w:ascii="Times New Roman" w:hAnsi="Times New Roman" w:cs="Times New Roman"/>
          <w:noProof w:val="0"/>
          <w:sz w:val="24"/>
          <w:szCs w:val="24"/>
        </w:rPr>
        <w:t>-based cohort</w:t>
      </w:r>
      <w:r w:rsidR="00A71F2B" w:rsidRPr="0085222A">
        <w:rPr>
          <w:rFonts w:ascii="Times New Roman" w:hAnsi="Times New Roman" w:cs="Times New Roman"/>
          <w:noProof w:val="0"/>
          <w:sz w:val="24"/>
          <w:szCs w:val="24"/>
        </w:rPr>
        <w:t xml:space="preserve"> data,</w:t>
      </w:r>
      <w:r w:rsidR="000B48C0" w:rsidRPr="0085222A">
        <w:rPr>
          <w:rFonts w:ascii="Times New Roman" w:hAnsi="Times New Roman" w:cs="Times New Roman"/>
          <w:noProof w:val="0"/>
          <w:sz w:val="24"/>
          <w:szCs w:val="24"/>
        </w:rPr>
        <w:t xml:space="preserve"> 7.8% of individuals </w:t>
      </w:r>
      <w:r w:rsidR="00A71F2B" w:rsidRPr="0085222A">
        <w:rPr>
          <w:rFonts w:ascii="Times New Roman" w:hAnsi="Times New Roman" w:cs="Times New Roman"/>
          <w:noProof w:val="0"/>
          <w:sz w:val="24"/>
          <w:szCs w:val="24"/>
        </w:rPr>
        <w:t>&lt;</w:t>
      </w:r>
      <w:r w:rsidR="000B48C0" w:rsidRPr="0085222A">
        <w:rPr>
          <w:rFonts w:ascii="Times New Roman" w:hAnsi="Times New Roman" w:cs="Times New Roman"/>
          <w:noProof w:val="0"/>
          <w:sz w:val="24"/>
          <w:szCs w:val="24"/>
        </w:rPr>
        <w:t xml:space="preserve">26 years and about 2.3% of individuals </w:t>
      </w:r>
      <w:r w:rsidR="00A71F2B" w:rsidRPr="0085222A">
        <w:rPr>
          <w:rFonts w:ascii="Times New Roman" w:hAnsi="Times New Roman" w:cs="Times New Roman"/>
          <w:noProof w:val="0"/>
          <w:sz w:val="24"/>
          <w:szCs w:val="24"/>
        </w:rPr>
        <w:t>&gt;</w:t>
      </w:r>
      <w:r w:rsidR="00274A2D" w:rsidRPr="0085222A">
        <w:rPr>
          <w:rFonts w:ascii="Times New Roman" w:hAnsi="Times New Roman" w:cs="Times New Roman"/>
          <w:noProof w:val="0"/>
          <w:sz w:val="24"/>
          <w:szCs w:val="24"/>
        </w:rPr>
        <w:t>=</w:t>
      </w:r>
      <w:r w:rsidR="000B48C0" w:rsidRPr="0085222A">
        <w:rPr>
          <w:rFonts w:ascii="Times New Roman" w:hAnsi="Times New Roman" w:cs="Times New Roman"/>
          <w:noProof w:val="0"/>
          <w:sz w:val="24"/>
          <w:szCs w:val="24"/>
        </w:rPr>
        <w:t xml:space="preserve">26 years of age </w:t>
      </w:r>
      <w:r w:rsidR="00274A2D" w:rsidRPr="0085222A">
        <w:rPr>
          <w:rFonts w:ascii="Times New Roman" w:hAnsi="Times New Roman" w:cs="Times New Roman"/>
          <w:noProof w:val="0"/>
          <w:sz w:val="24"/>
          <w:szCs w:val="24"/>
        </w:rPr>
        <w:t xml:space="preserve">were designated as </w:t>
      </w:r>
      <w:r w:rsidR="000B48C0" w:rsidRPr="0085222A">
        <w:rPr>
          <w:rFonts w:ascii="Times New Roman" w:hAnsi="Times New Roman" w:cs="Times New Roman"/>
          <w:noProof w:val="0"/>
          <w:sz w:val="24"/>
          <w:szCs w:val="24"/>
        </w:rPr>
        <w:t>never testing</w:t>
      </w:r>
      <w:r w:rsidR="007C0984" w:rsidRPr="0085222A">
        <w:rPr>
          <w:rFonts w:ascii="Times New Roman" w:hAnsi="Times New Roman" w:cs="Times New Roman"/>
          <w:noProof w:val="0"/>
          <w:sz w:val="24"/>
          <w:szCs w:val="24"/>
        </w:rPr>
        <w:t xml:space="preserve"> </w:t>
      </w:r>
      <w:r w:rsidR="000B48C0" w:rsidRPr="0573D6D8">
        <w:fldChar w:fldCharType="begin" w:fldLock="1"/>
      </w:r>
      <w:r w:rsidR="002569A7">
        <w:rPr>
          <w:rFonts w:ascii="Times New Roman" w:hAnsi="Times New Roman" w:cs="Times New Roman"/>
          <w:noProof w:val="0"/>
          <w:sz w:val="24"/>
          <w:szCs w:val="24"/>
        </w:rPr>
        <w:instrText>ADDIN CSL_CITATION {"citationItems":[{"id":"ITEM-1","itemData":{"DOI":"10.1001/jamainternmed.2015.6536","ISSN":"2168-6114","PMID":"26571368","author":[{"dropping-particle":"","family":"Khanna","given":"Aditya S","non-dropping-particle":"","parse-names":false,"suffix":""},{"dropping-particle":"","family":"Michaels","given":"Stuart","non-dropping-particle":"","parse-names":false,"suffix":""},{"dropping-particle":"","family":"Skaathun","given":"Britt","non-dropping-particle":"","parse-names":false,"suffix":""},{"dropping-particle":"","family":"Morgan","given":"Ethan","non-dropping-particle":"","parse-names":false,"suffix":""},{"dropping-particle":"","family":"Green","given":"Keith","non-dropping-particle":"","parse-names":false,"suffix":""},{"dropping-particle":"","family":"Young","given":"Lindsay","non-dropping-particle":"","parse-names":false,"suffix":""},{"dropping-particle":"","family":"Schneider","given":"John A","non-dropping-particle":"","parse-names":false,"suffix":""},{"dropping-particle":"","family":"uConnect Study Team","given":"","non-dropping-particle":"","parse-names":false,"suffix":""}],"container-title":"JAMA internal medicine","id":"ITEM-1","issue":"1","issued":{"date-parts":[["2016","1","1"]]},"page":"136-8","title":"Preexposure Prophylaxis Awareness and Use in a Population-Based Sample of Young Black Men Who Have Sex With Men.","type":"article-journal","volume":"176"},"uris":["http://www.mendeley.com/documents/?uuid=119736f1-96a4-46df-ba2a-4326bbd8f1a6"]}],"mendeley":{"formattedCitation":"[15]","plainTextFormattedCitation":"[15]","previouslyFormattedCitation":"[15]"},"properties":{"noteIndex":0},"schema":"https://github.com/citation-style-language/schema/raw/master/csl-citation.json"}</w:instrText>
      </w:r>
      <w:r w:rsidR="000B48C0" w:rsidRPr="0573D6D8">
        <w:rPr>
          <w:rFonts w:ascii="Times New Roman" w:hAnsi="Times New Roman" w:cs="Times New Roman"/>
          <w:noProof w:val="0"/>
          <w:sz w:val="24"/>
          <w:szCs w:val="24"/>
        </w:rPr>
        <w:fldChar w:fldCharType="separate"/>
      </w:r>
      <w:r w:rsidR="009B5FF9" w:rsidRPr="009B5FF9">
        <w:rPr>
          <w:rFonts w:ascii="Times New Roman" w:hAnsi="Times New Roman" w:cs="Times New Roman"/>
          <w:sz w:val="24"/>
          <w:szCs w:val="24"/>
        </w:rPr>
        <w:t>[15]</w:t>
      </w:r>
      <w:r w:rsidR="000B48C0" w:rsidRPr="0573D6D8">
        <w:fldChar w:fldCharType="end"/>
      </w:r>
      <w:r w:rsidR="000B48C0" w:rsidRPr="0085222A">
        <w:rPr>
          <w:rFonts w:ascii="Times New Roman" w:hAnsi="Times New Roman" w:cs="Times New Roman"/>
          <w:noProof w:val="0"/>
          <w:sz w:val="24"/>
          <w:szCs w:val="24"/>
        </w:rPr>
        <w:t xml:space="preserve">. </w:t>
      </w:r>
      <w:r w:rsidR="00277230" w:rsidRPr="0085222A">
        <w:rPr>
          <w:rFonts w:ascii="Times New Roman" w:hAnsi="Times New Roman" w:cs="Times New Roman"/>
          <w:noProof w:val="0"/>
          <w:sz w:val="24"/>
          <w:szCs w:val="24"/>
        </w:rPr>
        <w:t xml:space="preserve">The remaining individuals were classified into categories defined by the frequency of testing. </w:t>
      </w:r>
      <w:r w:rsidR="000B48C0" w:rsidRPr="0085222A">
        <w:rPr>
          <w:rFonts w:ascii="Times New Roman" w:hAnsi="Times New Roman" w:cs="Times New Roman"/>
          <w:noProof w:val="0"/>
          <w:sz w:val="24"/>
          <w:szCs w:val="24"/>
        </w:rPr>
        <w:t>An individual was diagnosed if</w:t>
      </w:r>
      <w:r w:rsidR="00972F8A">
        <w:rPr>
          <w:rFonts w:ascii="Times New Roman" w:hAnsi="Times New Roman" w:cs="Times New Roman"/>
          <w:noProof w:val="0"/>
          <w:sz w:val="24"/>
          <w:szCs w:val="24"/>
        </w:rPr>
        <w:t>, at the time of testing,</w:t>
      </w:r>
      <w:r w:rsidR="000B48C0" w:rsidRPr="0085222A">
        <w:rPr>
          <w:rFonts w:ascii="Times New Roman" w:hAnsi="Times New Roman" w:cs="Times New Roman"/>
          <w:noProof w:val="0"/>
          <w:sz w:val="24"/>
          <w:szCs w:val="24"/>
        </w:rPr>
        <w:t xml:space="preserve"> </w:t>
      </w:r>
      <w:r w:rsidR="00972F8A">
        <w:rPr>
          <w:rFonts w:ascii="Times New Roman" w:hAnsi="Times New Roman" w:cs="Times New Roman"/>
          <w:noProof w:val="0"/>
          <w:sz w:val="24"/>
          <w:szCs w:val="24"/>
        </w:rPr>
        <w:t xml:space="preserve">they had been </w:t>
      </w:r>
      <w:r w:rsidR="000B48C0" w:rsidRPr="0085222A">
        <w:rPr>
          <w:rFonts w:ascii="Times New Roman" w:hAnsi="Times New Roman" w:cs="Times New Roman"/>
          <w:noProof w:val="0"/>
          <w:sz w:val="24"/>
          <w:szCs w:val="24"/>
        </w:rPr>
        <w:t xml:space="preserve">infected </w:t>
      </w:r>
      <w:r w:rsidR="00945983">
        <w:rPr>
          <w:rFonts w:ascii="Times New Roman" w:hAnsi="Times New Roman" w:cs="Times New Roman"/>
          <w:noProof w:val="0"/>
          <w:sz w:val="24"/>
          <w:szCs w:val="24"/>
        </w:rPr>
        <w:t xml:space="preserve">for </w:t>
      </w:r>
      <w:r w:rsidR="000B48C0" w:rsidRPr="0085222A">
        <w:rPr>
          <w:rFonts w:ascii="Times New Roman" w:hAnsi="Times New Roman" w:cs="Times New Roman"/>
          <w:noProof w:val="0"/>
          <w:sz w:val="24"/>
          <w:szCs w:val="24"/>
        </w:rPr>
        <w:t>longer than the detection window of the test (i.e. 22 days</w:t>
      </w:r>
      <w:r w:rsidR="006A55AB">
        <w:rPr>
          <w:rFonts w:ascii="Times New Roman" w:hAnsi="Times New Roman" w:cs="Times New Roman"/>
          <w:noProof w:val="0"/>
          <w:sz w:val="24"/>
          <w:szCs w:val="24"/>
        </w:rPr>
        <w:t xml:space="preserve"> </w:t>
      </w:r>
      <w:r w:rsidR="003941F8" w:rsidRPr="003941F8">
        <w:rPr>
          <w:rFonts w:ascii="Times New Roman" w:hAnsi="Times New Roman" w:cs="Times New Roman"/>
          <w:noProof w:val="0"/>
          <w:sz w:val="24"/>
          <w:szCs w:val="24"/>
        </w:rPr>
        <w:fldChar w:fldCharType="begin" w:fldLock="1"/>
      </w:r>
      <w:r w:rsidR="002569A7">
        <w:rPr>
          <w:rFonts w:ascii="Times New Roman" w:hAnsi="Times New Roman" w:cs="Times New Roman"/>
          <w:noProof w:val="0"/>
          <w:sz w:val="24"/>
          <w:szCs w:val="24"/>
        </w:rPr>
        <w:instrText>ADDIN CSL_CITATION {"citationItems":[{"id":"ITEM-1","itemData":{"author":[{"dropping-particle":"","family":"Branson","given":"B M","non-dropping-particle":"","parse-names":false,"suffix":""},{"dropping-particle":"","family":"Stekler","given":"J D","non-dropping-particle":"","parse-names":false,"suffix":""}],"container-title":"Journal of Infectioius Diseases","id":"ITEM-1","issue":"4","issued":{"date-parts":[["2012","2"]]},"page":"521-524","title":"Detection of acute HIV infection: We can't close the window","type":"article-journal","volume":"205"},"uris":["http://www.mendeley.com/documents/?uuid=2e125642-2b69-4e9e-9390-6f7393c0dfdc"]}],"mendeley":{"formattedCitation":"[24]","plainTextFormattedCitation":"[24]","previouslyFormattedCitation":"[24]"},"properties":{"noteIndex":0},"schema":"https://github.com/citation-style-language/schema/raw/master/csl-citation.json"}</w:instrText>
      </w:r>
      <w:r w:rsidR="003941F8" w:rsidRPr="003941F8">
        <w:rPr>
          <w:rFonts w:ascii="Times New Roman" w:hAnsi="Times New Roman" w:cs="Times New Roman"/>
          <w:noProof w:val="0"/>
          <w:sz w:val="24"/>
          <w:szCs w:val="24"/>
        </w:rPr>
        <w:fldChar w:fldCharType="separate"/>
      </w:r>
      <w:r w:rsidR="009B5FF9" w:rsidRPr="009B5FF9">
        <w:rPr>
          <w:rFonts w:ascii="Times New Roman" w:hAnsi="Times New Roman" w:cs="Times New Roman"/>
          <w:sz w:val="24"/>
          <w:szCs w:val="24"/>
        </w:rPr>
        <w:t>[24]</w:t>
      </w:r>
      <w:r w:rsidR="003941F8" w:rsidRPr="003941F8">
        <w:rPr>
          <w:rFonts w:ascii="Times New Roman" w:hAnsi="Times New Roman" w:cs="Times New Roman"/>
          <w:noProof w:val="0"/>
          <w:sz w:val="24"/>
          <w:szCs w:val="24"/>
        </w:rPr>
        <w:fldChar w:fldCharType="end"/>
      </w:r>
      <w:r w:rsidR="000B48C0" w:rsidRPr="0085222A">
        <w:rPr>
          <w:rFonts w:ascii="Times New Roman" w:hAnsi="Times New Roman" w:cs="Times New Roman"/>
          <w:noProof w:val="0"/>
          <w:sz w:val="24"/>
          <w:szCs w:val="24"/>
        </w:rPr>
        <w:t xml:space="preserve">). The distribution of </w:t>
      </w:r>
      <w:r w:rsidR="00A26F5C">
        <w:rPr>
          <w:rFonts w:ascii="Times New Roman" w:hAnsi="Times New Roman" w:cs="Times New Roman"/>
          <w:noProof w:val="0"/>
          <w:sz w:val="24"/>
          <w:szCs w:val="24"/>
        </w:rPr>
        <w:t xml:space="preserve">the </w:t>
      </w:r>
      <w:r w:rsidR="000B48C0" w:rsidRPr="0085222A">
        <w:rPr>
          <w:rFonts w:ascii="Times New Roman" w:hAnsi="Times New Roman" w:cs="Times New Roman"/>
          <w:noProof w:val="0"/>
          <w:sz w:val="24"/>
          <w:szCs w:val="24"/>
        </w:rPr>
        <w:t xml:space="preserve">number of </w:t>
      </w:r>
      <w:r w:rsidR="00A26F5C">
        <w:rPr>
          <w:rFonts w:ascii="Times New Roman" w:hAnsi="Times New Roman" w:cs="Times New Roman"/>
          <w:noProof w:val="0"/>
          <w:sz w:val="24"/>
          <w:szCs w:val="24"/>
        </w:rPr>
        <w:t xml:space="preserve">HIV </w:t>
      </w:r>
      <w:r w:rsidR="000B48C0" w:rsidRPr="0085222A">
        <w:rPr>
          <w:rFonts w:ascii="Times New Roman" w:hAnsi="Times New Roman" w:cs="Times New Roman"/>
          <w:noProof w:val="0"/>
          <w:sz w:val="24"/>
          <w:szCs w:val="24"/>
        </w:rPr>
        <w:t>tests in the last two years</w:t>
      </w:r>
      <w:r w:rsidR="000B306D">
        <w:rPr>
          <w:rFonts w:ascii="Times New Roman" w:hAnsi="Times New Roman" w:cs="Times New Roman"/>
          <w:noProof w:val="0"/>
          <w:sz w:val="24"/>
          <w:szCs w:val="24"/>
        </w:rPr>
        <w:t xml:space="preserve"> </w:t>
      </w:r>
      <w:r w:rsidR="000B48C0" w:rsidRPr="0085222A">
        <w:rPr>
          <w:rFonts w:ascii="Times New Roman" w:hAnsi="Times New Roman" w:cs="Times New Roman"/>
          <w:noProof w:val="0"/>
          <w:sz w:val="24"/>
          <w:szCs w:val="24"/>
        </w:rPr>
        <w:t xml:space="preserve">is given in Table </w:t>
      </w:r>
      <w:r w:rsidR="001C30AD">
        <w:rPr>
          <w:rFonts w:ascii="Times New Roman" w:hAnsi="Times New Roman" w:cs="Times New Roman"/>
          <w:noProof w:val="0"/>
          <w:sz w:val="24"/>
          <w:szCs w:val="24"/>
        </w:rPr>
        <w:t>A.</w:t>
      </w:r>
      <w:r w:rsidR="00F304DA">
        <w:rPr>
          <w:rFonts w:ascii="Times New Roman" w:hAnsi="Times New Roman" w:cs="Times New Roman"/>
          <w:noProof w:val="0"/>
          <w:sz w:val="24"/>
          <w:szCs w:val="24"/>
        </w:rPr>
        <w:t>2</w:t>
      </w:r>
      <w:r w:rsidR="00F304DA" w:rsidRPr="0085222A">
        <w:rPr>
          <w:rFonts w:ascii="Times New Roman" w:hAnsi="Times New Roman" w:cs="Times New Roman"/>
          <w:noProof w:val="0"/>
          <w:sz w:val="24"/>
          <w:szCs w:val="24"/>
        </w:rPr>
        <w:t xml:space="preserve"> </w:t>
      </w:r>
      <w:r w:rsidR="000B48C0" w:rsidRPr="0085222A">
        <w:rPr>
          <w:rFonts w:ascii="Times New Roman" w:hAnsi="Times New Roman" w:cs="Times New Roman"/>
          <w:noProof w:val="0"/>
          <w:sz w:val="24"/>
          <w:szCs w:val="24"/>
        </w:rPr>
        <w:t xml:space="preserve">below. Each individual was assigned to one of these categories, and a daily probability of testing for them was computed based on a number of tests parameter that was sampled from the discrete number of tests belonging to that interval. </w:t>
      </w:r>
    </w:p>
    <w:tbl>
      <w:tblPr>
        <w:tblStyle w:val="TableGrid"/>
        <w:tblW w:w="0" w:type="auto"/>
        <w:jc w:val="center"/>
        <w:tblLook w:val="04A0" w:firstRow="1" w:lastRow="0" w:firstColumn="1" w:lastColumn="0" w:noHBand="0" w:noVBand="1"/>
      </w:tblPr>
      <w:tblGrid>
        <w:gridCol w:w="3877"/>
        <w:gridCol w:w="3877"/>
      </w:tblGrid>
      <w:tr w:rsidR="000B48C0" w:rsidRPr="00330C80" w14:paraId="1EC03FC6" w14:textId="77777777" w:rsidTr="00C76E8F">
        <w:trPr>
          <w:jc w:val="center"/>
        </w:trPr>
        <w:tc>
          <w:tcPr>
            <w:tcW w:w="7754" w:type="dxa"/>
            <w:gridSpan w:val="2"/>
          </w:tcPr>
          <w:p w14:paraId="57F64BA1" w14:textId="15FA4DE0" w:rsidR="000B48C0" w:rsidRPr="00B700F9" w:rsidRDefault="000B481E" w:rsidP="000B306D">
            <w:pPr>
              <w:pStyle w:val="ListParagraph"/>
              <w:widowControl/>
              <w:autoSpaceDE/>
              <w:autoSpaceDN/>
              <w:adjustRightInd/>
              <w:ind w:left="0"/>
              <w:rPr>
                <w:rFonts w:ascii="Times New Roman" w:hAnsi="Times New Roman" w:cs="Times New Roman"/>
                <w:noProof w:val="0"/>
                <w:sz w:val="22"/>
                <w:szCs w:val="22"/>
              </w:rPr>
            </w:pPr>
            <w:r>
              <w:rPr>
                <w:rFonts w:ascii="Times New Roman" w:hAnsi="Times New Roman" w:cs="Times New Roman"/>
                <w:b/>
                <w:bCs/>
                <w:noProof w:val="0"/>
                <w:sz w:val="22"/>
                <w:szCs w:val="22"/>
              </w:rPr>
              <w:lastRenderedPageBreak/>
              <w:t>Table A.</w:t>
            </w:r>
            <w:r w:rsidR="00F84771">
              <w:rPr>
                <w:rFonts w:ascii="Times New Roman" w:hAnsi="Times New Roman" w:cs="Times New Roman"/>
                <w:b/>
                <w:bCs/>
                <w:noProof w:val="0"/>
                <w:sz w:val="22"/>
                <w:szCs w:val="22"/>
              </w:rPr>
              <w:t>2</w:t>
            </w:r>
            <w:r>
              <w:rPr>
                <w:rFonts w:ascii="Times New Roman" w:hAnsi="Times New Roman" w:cs="Times New Roman"/>
                <w:b/>
                <w:bCs/>
                <w:noProof w:val="0"/>
                <w:sz w:val="22"/>
                <w:szCs w:val="22"/>
              </w:rPr>
              <w:t xml:space="preserve">: </w:t>
            </w:r>
            <w:r w:rsidR="0573D6D8" w:rsidRPr="0573D6D8">
              <w:rPr>
                <w:rFonts w:ascii="Times New Roman" w:hAnsi="Times New Roman" w:cs="Times New Roman"/>
                <w:b/>
                <w:bCs/>
                <w:noProof w:val="0"/>
                <w:sz w:val="22"/>
                <w:szCs w:val="22"/>
              </w:rPr>
              <w:t>Distribution of number of tests (among testers) in the last 2 years</w:t>
            </w:r>
            <w:r w:rsidR="00570121" w:rsidRPr="00605416">
              <w:rPr>
                <w:rFonts w:ascii="Times New Roman" w:hAnsi="Times New Roman" w:cs="Times New Roman"/>
                <w:b/>
                <w:bCs/>
                <w:noProof w:val="0"/>
                <w:sz w:val="22"/>
                <w:szCs w:val="22"/>
                <w:vertAlign w:val="superscript"/>
              </w:rPr>
              <w:t>+</w:t>
            </w:r>
          </w:p>
        </w:tc>
      </w:tr>
      <w:tr w:rsidR="000B48C0" w:rsidRPr="00330C80" w14:paraId="6896EBAD" w14:textId="77777777" w:rsidTr="00C76E8F">
        <w:trPr>
          <w:jc w:val="center"/>
        </w:trPr>
        <w:tc>
          <w:tcPr>
            <w:tcW w:w="3877" w:type="dxa"/>
          </w:tcPr>
          <w:p w14:paraId="505B5211" w14:textId="77777777" w:rsidR="000B48C0" w:rsidRPr="00B700F9" w:rsidRDefault="0573D6D8" w:rsidP="0573D6D8">
            <w:pPr>
              <w:pStyle w:val="ListParagraph"/>
              <w:widowControl/>
              <w:autoSpaceDE/>
              <w:autoSpaceDN/>
              <w:adjustRightInd/>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Number of tests in the last 2 years</w:t>
            </w:r>
          </w:p>
        </w:tc>
        <w:tc>
          <w:tcPr>
            <w:tcW w:w="3877" w:type="dxa"/>
          </w:tcPr>
          <w:p w14:paraId="5A68266C" w14:textId="77777777" w:rsidR="000B48C0" w:rsidRPr="00B700F9" w:rsidRDefault="0573D6D8" w:rsidP="0573D6D8">
            <w:pPr>
              <w:pStyle w:val="ListParagraph"/>
              <w:widowControl/>
              <w:autoSpaceDE/>
              <w:autoSpaceDN/>
              <w:adjustRightInd/>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 of testers</w:t>
            </w:r>
          </w:p>
        </w:tc>
      </w:tr>
      <w:tr w:rsidR="000B48C0" w:rsidRPr="00330C80" w14:paraId="6CC96EBB" w14:textId="77777777" w:rsidTr="00C76E8F">
        <w:trPr>
          <w:jc w:val="center"/>
        </w:trPr>
        <w:tc>
          <w:tcPr>
            <w:tcW w:w="3877" w:type="dxa"/>
          </w:tcPr>
          <w:p w14:paraId="00DC4204" w14:textId="77777777" w:rsidR="000B48C0" w:rsidRPr="00B700F9" w:rsidRDefault="0573D6D8" w:rsidP="0573D6D8">
            <w:pPr>
              <w:pStyle w:val="ListParagraph"/>
              <w:widowControl/>
              <w:autoSpaceDE/>
              <w:autoSpaceDN/>
              <w:adjustRightInd/>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1-2</w:t>
            </w:r>
          </w:p>
        </w:tc>
        <w:tc>
          <w:tcPr>
            <w:tcW w:w="3877" w:type="dxa"/>
          </w:tcPr>
          <w:p w14:paraId="1CDD31BA" w14:textId="338CF9DE" w:rsidR="000B48C0" w:rsidRPr="00B700F9" w:rsidRDefault="0573D6D8" w:rsidP="0573D6D8">
            <w:pPr>
              <w:pStyle w:val="ListParagraph"/>
              <w:widowControl/>
              <w:autoSpaceDE/>
              <w:autoSpaceDN/>
              <w:adjustRightInd/>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45.7%</w:t>
            </w:r>
          </w:p>
        </w:tc>
      </w:tr>
      <w:tr w:rsidR="000B48C0" w:rsidRPr="00330C80" w14:paraId="28B0D1BB" w14:textId="77777777" w:rsidTr="00C76E8F">
        <w:trPr>
          <w:jc w:val="center"/>
        </w:trPr>
        <w:tc>
          <w:tcPr>
            <w:tcW w:w="3877" w:type="dxa"/>
          </w:tcPr>
          <w:p w14:paraId="06A9F030" w14:textId="77777777" w:rsidR="000B48C0" w:rsidRPr="00B700F9" w:rsidRDefault="0573D6D8" w:rsidP="0573D6D8">
            <w:pPr>
              <w:pStyle w:val="ListParagraph"/>
              <w:widowControl/>
              <w:autoSpaceDE/>
              <w:autoSpaceDN/>
              <w:adjustRightInd/>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3-4</w:t>
            </w:r>
          </w:p>
        </w:tc>
        <w:tc>
          <w:tcPr>
            <w:tcW w:w="3877" w:type="dxa"/>
          </w:tcPr>
          <w:p w14:paraId="4070210D" w14:textId="77777777" w:rsidR="000B48C0" w:rsidRPr="00B700F9" w:rsidRDefault="0573D6D8" w:rsidP="0573D6D8">
            <w:pPr>
              <w:pStyle w:val="ListParagraph"/>
              <w:widowControl/>
              <w:autoSpaceDE/>
              <w:autoSpaceDN/>
              <w:adjustRightInd/>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29.9%</w:t>
            </w:r>
          </w:p>
        </w:tc>
      </w:tr>
      <w:tr w:rsidR="000B48C0" w:rsidRPr="00330C80" w14:paraId="0847D185" w14:textId="77777777" w:rsidTr="00C76E8F">
        <w:trPr>
          <w:jc w:val="center"/>
        </w:trPr>
        <w:tc>
          <w:tcPr>
            <w:tcW w:w="3877" w:type="dxa"/>
          </w:tcPr>
          <w:p w14:paraId="226ABCE4" w14:textId="77777777" w:rsidR="000B48C0" w:rsidRPr="00B700F9" w:rsidRDefault="0573D6D8" w:rsidP="0573D6D8">
            <w:pPr>
              <w:pStyle w:val="ListParagraph"/>
              <w:widowControl/>
              <w:autoSpaceDE/>
              <w:autoSpaceDN/>
              <w:adjustRightInd/>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5-6</w:t>
            </w:r>
          </w:p>
        </w:tc>
        <w:tc>
          <w:tcPr>
            <w:tcW w:w="3877" w:type="dxa"/>
          </w:tcPr>
          <w:p w14:paraId="73DD3504" w14:textId="77777777" w:rsidR="000B48C0" w:rsidRPr="00B700F9" w:rsidRDefault="0573D6D8" w:rsidP="0573D6D8">
            <w:pPr>
              <w:pStyle w:val="ListParagraph"/>
              <w:widowControl/>
              <w:autoSpaceDE/>
              <w:autoSpaceDN/>
              <w:adjustRightInd/>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10.9%</w:t>
            </w:r>
          </w:p>
        </w:tc>
      </w:tr>
      <w:tr w:rsidR="000B48C0" w:rsidRPr="00330C80" w14:paraId="16C7F20A" w14:textId="77777777" w:rsidTr="00C76E8F">
        <w:trPr>
          <w:jc w:val="center"/>
        </w:trPr>
        <w:tc>
          <w:tcPr>
            <w:tcW w:w="3877" w:type="dxa"/>
          </w:tcPr>
          <w:p w14:paraId="463D808E" w14:textId="77777777" w:rsidR="000B48C0" w:rsidRPr="00B700F9" w:rsidRDefault="0573D6D8" w:rsidP="0573D6D8">
            <w:pPr>
              <w:pStyle w:val="ListParagraph"/>
              <w:widowControl/>
              <w:autoSpaceDE/>
              <w:autoSpaceDN/>
              <w:adjustRightInd/>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7-8</w:t>
            </w:r>
          </w:p>
        </w:tc>
        <w:tc>
          <w:tcPr>
            <w:tcW w:w="3877" w:type="dxa"/>
          </w:tcPr>
          <w:p w14:paraId="4079ABFD" w14:textId="77777777" w:rsidR="000B48C0" w:rsidRPr="00B700F9" w:rsidRDefault="0573D6D8" w:rsidP="0573D6D8">
            <w:pPr>
              <w:pStyle w:val="ListParagraph"/>
              <w:widowControl/>
              <w:autoSpaceDE/>
              <w:autoSpaceDN/>
              <w:adjustRightInd/>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5.5%</w:t>
            </w:r>
          </w:p>
        </w:tc>
      </w:tr>
      <w:tr w:rsidR="000B48C0" w:rsidRPr="00330C80" w14:paraId="764A92B6" w14:textId="77777777" w:rsidTr="00C76E8F">
        <w:trPr>
          <w:jc w:val="center"/>
        </w:trPr>
        <w:tc>
          <w:tcPr>
            <w:tcW w:w="3877" w:type="dxa"/>
          </w:tcPr>
          <w:p w14:paraId="0F9D170B" w14:textId="77777777" w:rsidR="000B48C0" w:rsidRPr="00B700F9" w:rsidRDefault="0573D6D8" w:rsidP="0573D6D8">
            <w:pPr>
              <w:pStyle w:val="ListParagraph"/>
              <w:widowControl/>
              <w:autoSpaceDE/>
              <w:autoSpaceDN/>
              <w:adjustRightInd/>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9-10</w:t>
            </w:r>
          </w:p>
        </w:tc>
        <w:tc>
          <w:tcPr>
            <w:tcW w:w="3877" w:type="dxa"/>
          </w:tcPr>
          <w:p w14:paraId="1889B752" w14:textId="77777777" w:rsidR="000B48C0" w:rsidRPr="00B700F9" w:rsidRDefault="0573D6D8" w:rsidP="0573D6D8">
            <w:pPr>
              <w:pStyle w:val="ListParagraph"/>
              <w:widowControl/>
              <w:autoSpaceDE/>
              <w:autoSpaceDN/>
              <w:adjustRightInd/>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3.9%</w:t>
            </w:r>
          </w:p>
        </w:tc>
      </w:tr>
      <w:tr w:rsidR="000B48C0" w:rsidRPr="00330C80" w14:paraId="2FE02C60" w14:textId="77777777" w:rsidTr="00C76E8F">
        <w:trPr>
          <w:jc w:val="center"/>
        </w:trPr>
        <w:tc>
          <w:tcPr>
            <w:tcW w:w="3877" w:type="dxa"/>
          </w:tcPr>
          <w:p w14:paraId="25EB4CBA" w14:textId="77777777" w:rsidR="000B48C0" w:rsidRPr="00B700F9" w:rsidRDefault="0573D6D8" w:rsidP="0573D6D8">
            <w:pPr>
              <w:pStyle w:val="ListParagraph"/>
              <w:widowControl/>
              <w:autoSpaceDE/>
              <w:autoSpaceDN/>
              <w:adjustRightInd/>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11-12</w:t>
            </w:r>
          </w:p>
        </w:tc>
        <w:tc>
          <w:tcPr>
            <w:tcW w:w="3877" w:type="dxa"/>
          </w:tcPr>
          <w:p w14:paraId="4EEB31BE" w14:textId="77777777" w:rsidR="000B48C0" w:rsidRPr="00B700F9" w:rsidRDefault="0573D6D8" w:rsidP="0573D6D8">
            <w:pPr>
              <w:pStyle w:val="ListParagraph"/>
              <w:widowControl/>
              <w:autoSpaceDE/>
              <w:autoSpaceDN/>
              <w:adjustRightInd/>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1.2%</w:t>
            </w:r>
          </w:p>
        </w:tc>
      </w:tr>
      <w:tr w:rsidR="000B48C0" w:rsidRPr="00330C80" w14:paraId="2461D4C8" w14:textId="77777777" w:rsidTr="00C76E8F">
        <w:trPr>
          <w:jc w:val="center"/>
        </w:trPr>
        <w:tc>
          <w:tcPr>
            <w:tcW w:w="3877" w:type="dxa"/>
          </w:tcPr>
          <w:p w14:paraId="46133D5C" w14:textId="77777777" w:rsidR="000B48C0" w:rsidRPr="00B700F9" w:rsidRDefault="0573D6D8" w:rsidP="0573D6D8">
            <w:pPr>
              <w:pStyle w:val="ListParagraph"/>
              <w:widowControl/>
              <w:autoSpaceDE/>
              <w:autoSpaceDN/>
              <w:adjustRightInd/>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13-16</w:t>
            </w:r>
          </w:p>
        </w:tc>
        <w:tc>
          <w:tcPr>
            <w:tcW w:w="3877" w:type="dxa"/>
          </w:tcPr>
          <w:p w14:paraId="6B25CE22" w14:textId="77777777" w:rsidR="000B48C0" w:rsidRPr="00B700F9" w:rsidRDefault="0573D6D8" w:rsidP="0573D6D8">
            <w:pPr>
              <w:pStyle w:val="ListParagraph"/>
              <w:widowControl/>
              <w:autoSpaceDE/>
              <w:autoSpaceDN/>
              <w:adjustRightInd/>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0.008%</w:t>
            </w:r>
          </w:p>
        </w:tc>
      </w:tr>
      <w:tr w:rsidR="000B48C0" w:rsidRPr="00330C80" w14:paraId="553A7883" w14:textId="77777777" w:rsidTr="00C76E8F">
        <w:trPr>
          <w:jc w:val="center"/>
        </w:trPr>
        <w:tc>
          <w:tcPr>
            <w:tcW w:w="3877" w:type="dxa"/>
          </w:tcPr>
          <w:p w14:paraId="582CBBD2" w14:textId="77777777" w:rsidR="000B48C0" w:rsidRPr="00B700F9" w:rsidRDefault="0573D6D8" w:rsidP="0573D6D8">
            <w:pPr>
              <w:pStyle w:val="ListParagraph"/>
              <w:widowControl/>
              <w:autoSpaceDE/>
              <w:autoSpaceDN/>
              <w:adjustRightInd/>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17-20</w:t>
            </w:r>
          </w:p>
        </w:tc>
        <w:tc>
          <w:tcPr>
            <w:tcW w:w="3877" w:type="dxa"/>
          </w:tcPr>
          <w:p w14:paraId="472E45D9" w14:textId="77777777" w:rsidR="000B48C0" w:rsidRPr="00B700F9" w:rsidRDefault="0573D6D8" w:rsidP="0573D6D8">
            <w:pPr>
              <w:pStyle w:val="ListParagraph"/>
              <w:widowControl/>
              <w:autoSpaceDE/>
              <w:autoSpaceDN/>
              <w:adjustRightInd/>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0.011%</w:t>
            </w:r>
          </w:p>
        </w:tc>
      </w:tr>
      <w:tr w:rsidR="000B48C0" w:rsidRPr="00330C80" w14:paraId="4780C1E3" w14:textId="77777777" w:rsidTr="00C76E8F">
        <w:trPr>
          <w:jc w:val="center"/>
        </w:trPr>
        <w:tc>
          <w:tcPr>
            <w:tcW w:w="3877" w:type="dxa"/>
          </w:tcPr>
          <w:p w14:paraId="3F2E1BE5" w14:textId="77777777" w:rsidR="000B48C0" w:rsidRPr="00B700F9" w:rsidRDefault="0573D6D8" w:rsidP="0573D6D8">
            <w:pPr>
              <w:pStyle w:val="ListParagraph"/>
              <w:widowControl/>
              <w:autoSpaceDE/>
              <w:autoSpaceDN/>
              <w:adjustRightInd/>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21-30</w:t>
            </w:r>
          </w:p>
        </w:tc>
        <w:tc>
          <w:tcPr>
            <w:tcW w:w="3877" w:type="dxa"/>
          </w:tcPr>
          <w:p w14:paraId="66F10604" w14:textId="77777777" w:rsidR="000B48C0" w:rsidRPr="00B700F9" w:rsidRDefault="0573D6D8" w:rsidP="0573D6D8">
            <w:pPr>
              <w:pStyle w:val="ListParagraph"/>
              <w:widowControl/>
              <w:autoSpaceDE/>
              <w:autoSpaceDN/>
              <w:adjustRightInd/>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0.007%</w:t>
            </w:r>
          </w:p>
        </w:tc>
      </w:tr>
      <w:tr w:rsidR="00A30E8A" w:rsidRPr="00330C80" w14:paraId="64383E7E" w14:textId="77777777" w:rsidTr="00C76E8F">
        <w:trPr>
          <w:jc w:val="center"/>
        </w:trPr>
        <w:tc>
          <w:tcPr>
            <w:tcW w:w="7754" w:type="dxa"/>
            <w:gridSpan w:val="2"/>
          </w:tcPr>
          <w:p w14:paraId="31535031" w14:textId="6AA2C6D5" w:rsidR="00A30E8A" w:rsidRPr="0573D6D8" w:rsidRDefault="00B95861" w:rsidP="00210681">
            <w:pPr>
              <w:pStyle w:val="ListParagraph"/>
              <w:widowControl/>
              <w:autoSpaceDE/>
              <w:autoSpaceDN/>
              <w:adjustRightInd/>
              <w:ind w:left="0"/>
              <w:rPr>
                <w:rFonts w:ascii="Times New Roman" w:hAnsi="Times New Roman" w:cs="Times New Roman"/>
                <w:noProof w:val="0"/>
                <w:sz w:val="22"/>
                <w:szCs w:val="22"/>
              </w:rPr>
            </w:pPr>
            <w:r w:rsidRPr="00605416">
              <w:rPr>
                <w:rFonts w:ascii="Times New Roman" w:hAnsi="Times New Roman" w:cs="Times New Roman"/>
                <w:noProof w:val="0"/>
                <w:sz w:val="22"/>
                <w:szCs w:val="22"/>
                <w:vertAlign w:val="superscript"/>
              </w:rPr>
              <w:t>+</w:t>
            </w:r>
            <w:r w:rsidR="00A30E8A">
              <w:rPr>
                <w:rFonts w:ascii="Times New Roman" w:hAnsi="Times New Roman" w:cs="Times New Roman"/>
                <w:noProof w:val="0"/>
                <w:sz w:val="22"/>
                <w:szCs w:val="22"/>
              </w:rPr>
              <w:t xml:space="preserve"> Chicago, 2013-2014.</w:t>
            </w:r>
          </w:p>
        </w:tc>
      </w:tr>
    </w:tbl>
    <w:p w14:paraId="4DFBBF5C" w14:textId="77777777" w:rsidR="003F7A80" w:rsidRDefault="003F7A80" w:rsidP="003F7A80">
      <w:pPr>
        <w:spacing w:line="480" w:lineRule="auto"/>
        <w:rPr>
          <w:rFonts w:ascii="Times New Roman" w:hAnsi="Times New Roman" w:cs="Times New Roman"/>
          <w:noProof w:val="0"/>
          <w:sz w:val="24"/>
          <w:szCs w:val="24"/>
        </w:rPr>
      </w:pPr>
    </w:p>
    <w:p w14:paraId="295425ED" w14:textId="3193E5A9" w:rsidR="00A220D0" w:rsidRPr="00DD46F5" w:rsidRDefault="00DD46F5" w:rsidP="00A220D0">
      <w:pPr>
        <w:spacing w:line="480" w:lineRule="auto"/>
        <w:rPr>
          <w:rFonts w:ascii="Times New Roman" w:hAnsi="Times New Roman" w:cs="Times New Roman"/>
          <w:noProof w:val="0"/>
          <w:sz w:val="24"/>
          <w:szCs w:val="24"/>
        </w:rPr>
      </w:pPr>
      <w:bookmarkStart w:id="10" w:name="_Toc3377338"/>
      <w:r w:rsidRPr="000B44D1">
        <w:rPr>
          <w:rStyle w:val="Heading2Char"/>
        </w:rPr>
        <w:t xml:space="preserve">A.4.7 </w:t>
      </w:r>
      <w:r w:rsidR="00B13738" w:rsidRPr="000B44D1">
        <w:rPr>
          <w:rStyle w:val="Heading2Char"/>
        </w:rPr>
        <w:t xml:space="preserve">Dynamics of </w:t>
      </w:r>
      <w:r w:rsidR="003A13BB" w:rsidRPr="000B44D1">
        <w:rPr>
          <w:rStyle w:val="Heading2Char"/>
        </w:rPr>
        <w:t>ART</w:t>
      </w:r>
      <w:r w:rsidR="005F711A" w:rsidRPr="000B44D1">
        <w:rPr>
          <w:rStyle w:val="Heading2Char"/>
        </w:rPr>
        <w:t xml:space="preserve"> </w:t>
      </w:r>
      <w:r w:rsidR="00B13738" w:rsidRPr="000B44D1">
        <w:rPr>
          <w:rStyle w:val="Heading2Char"/>
        </w:rPr>
        <w:t>use</w:t>
      </w:r>
      <w:bookmarkEnd w:id="10"/>
      <w:r w:rsidR="0573D6D8" w:rsidRPr="00DD46F5">
        <w:rPr>
          <w:rFonts w:ascii="Times New Roman" w:hAnsi="Times New Roman" w:cs="Times New Roman"/>
          <w:noProof w:val="0"/>
          <w:sz w:val="24"/>
          <w:szCs w:val="24"/>
        </w:rPr>
        <w:t xml:space="preserve">: </w:t>
      </w:r>
      <w:r w:rsidR="004E36AE" w:rsidRPr="00DD46F5">
        <w:rPr>
          <w:rFonts w:ascii="Times New Roman" w:hAnsi="Times New Roman" w:cs="Times New Roman"/>
          <w:noProof w:val="0"/>
          <w:sz w:val="24"/>
          <w:szCs w:val="24"/>
        </w:rPr>
        <w:t xml:space="preserve">At the time of infection, each individual who was eligible for treatment was assigned to one of four states of </w:t>
      </w:r>
      <w:r w:rsidR="003A13BB">
        <w:rPr>
          <w:rFonts w:ascii="Times New Roman" w:hAnsi="Times New Roman" w:cs="Times New Roman"/>
          <w:noProof w:val="0"/>
          <w:sz w:val="24"/>
          <w:szCs w:val="24"/>
        </w:rPr>
        <w:t>ART</w:t>
      </w:r>
      <w:r w:rsidR="00111989">
        <w:rPr>
          <w:rFonts w:ascii="Times New Roman" w:hAnsi="Times New Roman" w:cs="Times New Roman"/>
          <w:noProof w:val="0"/>
          <w:sz w:val="24"/>
          <w:szCs w:val="24"/>
        </w:rPr>
        <w:t xml:space="preserve"> </w:t>
      </w:r>
      <w:r w:rsidR="004E36AE" w:rsidRPr="00DD46F5">
        <w:rPr>
          <w:rFonts w:ascii="Times New Roman" w:hAnsi="Times New Roman" w:cs="Times New Roman"/>
          <w:noProof w:val="0"/>
          <w:sz w:val="24"/>
          <w:szCs w:val="24"/>
        </w:rPr>
        <w:t xml:space="preserve">adherence: adherence levels at the two extremes, almost always adherent (A), almost never adherent (N), and two categories of partial </w:t>
      </w:r>
      <w:r w:rsidR="00DC2CC3">
        <w:rPr>
          <w:rFonts w:ascii="Times New Roman" w:hAnsi="Times New Roman" w:cs="Times New Roman"/>
          <w:noProof w:val="0"/>
          <w:sz w:val="24"/>
          <w:szCs w:val="24"/>
        </w:rPr>
        <w:t xml:space="preserve">(P) </w:t>
      </w:r>
      <w:r w:rsidR="004E36AE" w:rsidRPr="00DD46F5">
        <w:rPr>
          <w:rFonts w:ascii="Times New Roman" w:hAnsi="Times New Roman" w:cs="Times New Roman"/>
          <w:noProof w:val="0"/>
          <w:sz w:val="24"/>
          <w:szCs w:val="24"/>
        </w:rPr>
        <w:t>adherence</w:t>
      </w:r>
      <w:r w:rsidR="00F20799">
        <w:rPr>
          <w:rFonts w:ascii="Times New Roman" w:hAnsi="Times New Roman" w:cs="Times New Roman"/>
          <w:noProof w:val="0"/>
          <w:sz w:val="24"/>
          <w:szCs w:val="24"/>
        </w:rPr>
        <w:t>:</w:t>
      </w:r>
      <w:r w:rsidR="004E36AE" w:rsidRPr="00DD46F5">
        <w:rPr>
          <w:rFonts w:ascii="Times New Roman" w:hAnsi="Times New Roman" w:cs="Times New Roman"/>
          <w:noProof w:val="0"/>
          <w:sz w:val="24"/>
          <w:szCs w:val="24"/>
        </w:rPr>
        <w:t xml:space="preserve"> </w:t>
      </w:r>
      <w:r w:rsidR="00A220D0">
        <w:rPr>
          <w:rFonts w:ascii="Times New Roman" w:hAnsi="Times New Roman" w:cs="Times New Roman"/>
          <w:noProof w:val="0"/>
          <w:sz w:val="24"/>
          <w:szCs w:val="24"/>
        </w:rPr>
        <w:t>usually</w:t>
      </w:r>
      <w:r w:rsidR="004E36AE" w:rsidRPr="00DD46F5">
        <w:rPr>
          <w:rFonts w:ascii="Times New Roman" w:hAnsi="Times New Roman" w:cs="Times New Roman"/>
          <w:noProof w:val="0"/>
          <w:sz w:val="24"/>
          <w:szCs w:val="24"/>
        </w:rPr>
        <w:t xml:space="preserve"> </w:t>
      </w:r>
      <w:r w:rsidR="00A220D0">
        <w:rPr>
          <w:rFonts w:ascii="Times New Roman" w:hAnsi="Times New Roman" w:cs="Times New Roman"/>
          <w:noProof w:val="0"/>
          <w:sz w:val="24"/>
          <w:szCs w:val="24"/>
        </w:rPr>
        <w:t>(</w:t>
      </w:r>
      <w:r w:rsidR="00DC2CC3">
        <w:rPr>
          <w:rFonts w:ascii="Times New Roman" w:hAnsi="Times New Roman" w:cs="Times New Roman"/>
          <w:noProof w:val="0"/>
          <w:sz w:val="24"/>
          <w:szCs w:val="24"/>
        </w:rPr>
        <w:t>P</w:t>
      </w:r>
      <w:r w:rsidR="00A220D0">
        <w:rPr>
          <w:rFonts w:ascii="Times New Roman" w:hAnsi="Times New Roman" w:cs="Times New Roman"/>
          <w:noProof w:val="0"/>
          <w:sz w:val="24"/>
          <w:szCs w:val="24"/>
        </w:rPr>
        <w:t xml:space="preserve">+) </w:t>
      </w:r>
      <w:r w:rsidR="004E36AE" w:rsidRPr="00DD46F5">
        <w:rPr>
          <w:rFonts w:ascii="Times New Roman" w:hAnsi="Times New Roman" w:cs="Times New Roman"/>
          <w:noProof w:val="0"/>
          <w:sz w:val="24"/>
          <w:szCs w:val="24"/>
        </w:rPr>
        <w:t xml:space="preserve">and </w:t>
      </w:r>
      <w:r w:rsidR="00A220D0">
        <w:rPr>
          <w:rFonts w:ascii="Times New Roman" w:hAnsi="Times New Roman" w:cs="Times New Roman"/>
          <w:noProof w:val="0"/>
          <w:sz w:val="24"/>
          <w:szCs w:val="24"/>
        </w:rPr>
        <w:t>som</w:t>
      </w:r>
      <w:r w:rsidR="00DC2CC3">
        <w:rPr>
          <w:rFonts w:ascii="Times New Roman" w:hAnsi="Times New Roman" w:cs="Times New Roman"/>
          <w:noProof w:val="0"/>
          <w:sz w:val="24"/>
          <w:szCs w:val="24"/>
        </w:rPr>
        <w:t>e</w:t>
      </w:r>
      <w:r w:rsidR="00A220D0">
        <w:rPr>
          <w:rFonts w:ascii="Times New Roman" w:hAnsi="Times New Roman" w:cs="Times New Roman"/>
          <w:noProof w:val="0"/>
          <w:sz w:val="24"/>
          <w:szCs w:val="24"/>
        </w:rPr>
        <w:t>times</w:t>
      </w:r>
      <w:r w:rsidR="004E36AE" w:rsidRPr="00DD46F5">
        <w:rPr>
          <w:rFonts w:ascii="Times New Roman" w:hAnsi="Times New Roman" w:cs="Times New Roman"/>
          <w:noProof w:val="0"/>
          <w:sz w:val="24"/>
          <w:szCs w:val="24"/>
        </w:rPr>
        <w:t xml:space="preserve"> (</w:t>
      </w:r>
      <w:r w:rsidR="00DC2CC3">
        <w:rPr>
          <w:rFonts w:ascii="Times New Roman" w:hAnsi="Times New Roman" w:cs="Times New Roman"/>
          <w:noProof w:val="0"/>
          <w:sz w:val="24"/>
          <w:szCs w:val="24"/>
        </w:rPr>
        <w:t>P</w:t>
      </w:r>
      <w:r w:rsidR="004E36AE" w:rsidRPr="00DD46F5">
        <w:rPr>
          <w:rFonts w:ascii="Times New Roman" w:hAnsi="Times New Roman" w:cs="Times New Roman"/>
          <w:noProof w:val="0"/>
          <w:sz w:val="24"/>
          <w:szCs w:val="24"/>
        </w:rPr>
        <w:t xml:space="preserve">-). </w:t>
      </w:r>
      <w:r w:rsidR="00A220D0">
        <w:rPr>
          <w:rFonts w:ascii="Times New Roman" w:hAnsi="Times New Roman" w:cs="Times New Roman"/>
          <w:noProof w:val="0"/>
          <w:sz w:val="24"/>
          <w:szCs w:val="24"/>
        </w:rPr>
        <w:t xml:space="preserve">The distribution of ART adherence was estimated from longitudinal cohort data in the uConnect study </w:t>
      </w:r>
      <w:r w:rsidR="00A220D0" w:rsidRPr="00536B89">
        <w:rPr>
          <w:rFonts w:ascii="Times New Roman" w:hAnsi="Times New Roman" w:cs="Times New Roman"/>
          <w:noProof w:val="0"/>
          <w:sz w:val="24"/>
          <w:szCs w:val="24"/>
        </w:rPr>
        <w:fldChar w:fldCharType="begin" w:fldLock="1"/>
      </w:r>
      <w:r w:rsidR="002569A7">
        <w:rPr>
          <w:rFonts w:ascii="Times New Roman" w:hAnsi="Times New Roman" w:cs="Times New Roman"/>
          <w:noProof w:val="0"/>
          <w:sz w:val="24"/>
          <w:szCs w:val="24"/>
        </w:rPr>
        <w:instrText>ADDIN CSL_CITATION {"citationItems":[{"id":"ITEM-1","itemData":{"DOI":"10.1001/jamainternmed.2015.6536","ISSN":"2168-6114","PMID":"26571368","author":[{"dropping-particle":"","family":"Khanna","given":"Aditya S","non-dropping-particle":"","parse-names":false,"suffix":""},{"dropping-particle":"","family":"Michaels","given":"Stuart","non-dropping-particle":"","parse-names":false,"suffix":""},{"dropping-particle":"","family":"Skaathun","given":"Britt","non-dropping-particle":"","parse-names":false,"suffix":""},{"dropping-particle":"","family":"Morgan","given":"Ethan","non-dropping-particle":"","parse-names":false,"suffix":""},{"dropping-particle":"","family":"Green","given":"Keith","non-dropping-particle":"","parse-names":false,"suffix":""},{"dropping-particle":"","family":"Young","given":"Lindsay","non-dropping-particle":"","parse-names":false,"suffix":""},{"dropping-particle":"","family":"Schneider","given":"John A","non-dropping-particle":"","parse-names":false,"suffix":""},{"dropping-particle":"","family":"uConnect Study Team","given":"","non-dropping-particle":"","parse-names":false,"suffix":""}],"container-title":"JAMA internal medicine","id":"ITEM-1","issue":"1","issued":{"date-parts":[["2016","1","1"]]},"page":"136-8","title":"Preexposure Prophylaxis Awareness and Use in a Population-Based Sample of Young Black Men Who Have Sex With Men.","type":"article-journal","volume":"176"},"uris":["http://www.mendeley.com/documents/?uuid=bef9a2cc-c473-47ef-a5fd-8efebf8bacd9"]},{"id":"ITEM-2","itemData":{"DOI":"10.1017/nws.2016.27","ISSN":"2050-1242","abstract":"Critical to the development of improved HIV elimination efforts is a greater understanding of how social networks and their dynamics are related to HIV risk and prevention. In this paper, we examine network stability of confidant and sexual networks among young black men who have sex with men (YBMSM). We use data from uConnect (2013–2016), a population-based, longitudinal cohort study. We use an innovative approach to measure both sexual and confidant network stability at three time points, and examine the relationship between each type of stability and HIV risk and prevention behaviors. This approach is consistent with a co-evolutionary perspective in which behavior is not only affected by static properties of an individual's network, but may also be associated with changes in the topology of his or her egocentric network. Our results indicate that although confidant and sexual network stability are moderately correlated, their dynamics are distinct with different predictors and differing associations with behavior. Both types of stability are associated with lower rates of risk behaviors, and both are reduced among those who have spent time in jail. Public health awareness and engagement with both types of networks may provide new opportunities for HIV prevention interventions.","author":[{"dropping-particle":"","family":"Schneider","given":"J.","non-dropping-particle":"","parse-names":false,"suffix":""},{"dropping-particle":"","family":"Cornwell","given":"B.","non-dropping-particle":"","parse-names":false,"suffix":""},{"dropping-particle":"","family":"Jonas","given":"A.","non-dropping-particle":"","parse-names":false,"suffix":""},{"dropping-particle":"","family":"Lancki","given":"N.","non-dropping-particle":"","parse-names":false,"suffix":""},{"dropping-particle":"","family":"Behler","given":"R.","non-dropping-particle":"","parse-names":false,"suffix":""},{"dropping-particle":"","family":"Skaathun","given":"B.","non-dropping-particle":"","parse-names":false,"suffix":""},{"dropping-particle":"","family":"Young","given":"L. E.","non-dropping-particle":"","parse-names":false,"suffix":""},{"dropping-particle":"","family":"Morgan","given":"E.","non-dropping-particle":"","parse-names":false,"suffix":""},{"dropping-particle":"","family":"Michaels","given":"S.","non-dropping-particle":"","parse-names":false,"suffix":""},{"dropping-particle":"","family":"Duvosin","given":"R.","non-dropping-particle":"","parse-names":false,"suffix":""},{"dropping-particle":"","family":"Khanna","given":"A. S.","non-dropping-particle":"","parse-names":false,"suffix":""},{"dropping-particle":"","family":"Friedman","given":"S.","non-dropping-particle":"","parse-names":false,"suffix":""},{"dropping-particle":"","family":"Schumm","given":"P.","non-dropping-particle":"","parse-names":false,"suffix":""},{"dropping-particle":"","family":"Laumann","given":"E.","non-dropping-particle":"","parse-names":false,"suffix":""}],"container-title":"Network Science","id":"ITEM-2","issued":{"date-parts":[["2017","2","1"]]},"page":"1-29","title":"Network dynamics of HIV risk and prevention in a population-based cohort of young Black men who have sex with men","type":"article-journal"},"uris":["http://www.mendeley.com/documents/?uuid=8555ec92-af42-4c8d-82ce-7037a468896b"]}],"mendeley":{"formattedCitation":"[15,16]","plainTextFormattedCitation":"[15,16]","previouslyFormattedCitation":"[15,16]"},"properties":{"noteIndex":0},"schema":"https://github.com/citation-style-language/schema/raw/master/csl-citation.json"}</w:instrText>
      </w:r>
      <w:r w:rsidR="00A220D0" w:rsidRPr="00536B89">
        <w:rPr>
          <w:rFonts w:ascii="Times New Roman" w:hAnsi="Times New Roman" w:cs="Times New Roman"/>
          <w:noProof w:val="0"/>
          <w:sz w:val="24"/>
          <w:szCs w:val="24"/>
        </w:rPr>
        <w:fldChar w:fldCharType="separate"/>
      </w:r>
      <w:r w:rsidR="009B5FF9" w:rsidRPr="009B5FF9">
        <w:rPr>
          <w:rFonts w:ascii="Times New Roman" w:hAnsi="Times New Roman" w:cs="Times New Roman"/>
          <w:sz w:val="24"/>
          <w:szCs w:val="24"/>
        </w:rPr>
        <w:t>[15,16]</w:t>
      </w:r>
      <w:r w:rsidR="00A220D0" w:rsidRPr="00536B89">
        <w:rPr>
          <w:rFonts w:ascii="Times New Roman" w:hAnsi="Times New Roman" w:cs="Times New Roman"/>
          <w:noProof w:val="0"/>
          <w:sz w:val="24"/>
          <w:szCs w:val="24"/>
        </w:rPr>
        <w:fldChar w:fldCharType="end"/>
      </w:r>
      <w:r w:rsidR="00A220D0">
        <w:rPr>
          <w:rFonts w:ascii="Times New Roman" w:hAnsi="Times New Roman" w:cs="Times New Roman"/>
          <w:noProof w:val="0"/>
          <w:sz w:val="24"/>
          <w:szCs w:val="24"/>
        </w:rPr>
        <w:t>. Of the HIV-positive individuals completing all three visits</w:t>
      </w:r>
      <w:r w:rsidR="0049129E">
        <w:rPr>
          <w:rFonts w:ascii="Times New Roman" w:hAnsi="Times New Roman" w:cs="Times New Roman"/>
          <w:noProof w:val="0"/>
          <w:sz w:val="24"/>
          <w:szCs w:val="24"/>
        </w:rPr>
        <w:t xml:space="preserve"> (n=93)</w:t>
      </w:r>
      <w:r w:rsidR="00A220D0">
        <w:rPr>
          <w:rFonts w:ascii="Times New Roman" w:hAnsi="Times New Roman" w:cs="Times New Roman"/>
          <w:noProof w:val="0"/>
          <w:sz w:val="24"/>
          <w:szCs w:val="24"/>
        </w:rPr>
        <w:t xml:space="preserve">, 32% were virally suppressed (&lt;200 copies </w:t>
      </w:r>
      <w:r w:rsidR="00A220D0" w:rsidRPr="008B43A9">
        <w:rPr>
          <w:rFonts w:ascii="Times New Roman" w:hAnsi="Times New Roman" w:cs="Times New Roman"/>
          <w:noProof w:val="0"/>
          <w:sz w:val="24"/>
          <w:szCs w:val="24"/>
        </w:rPr>
        <w:t>log viral load RNA</w:t>
      </w:r>
      <w:r w:rsidR="00A220D0">
        <w:rPr>
          <w:rFonts w:ascii="Times New Roman" w:hAnsi="Times New Roman" w:cs="Times New Roman"/>
          <w:noProof w:val="0"/>
          <w:sz w:val="24"/>
          <w:szCs w:val="24"/>
        </w:rPr>
        <w:t>) at all three visits</w:t>
      </w:r>
      <w:r w:rsidR="00007440">
        <w:rPr>
          <w:rFonts w:ascii="Times New Roman" w:hAnsi="Times New Roman" w:cs="Times New Roman"/>
          <w:noProof w:val="0"/>
          <w:sz w:val="24"/>
          <w:szCs w:val="24"/>
        </w:rPr>
        <w:t xml:space="preserve"> (classified as category A defined above)</w:t>
      </w:r>
      <w:r w:rsidR="00A220D0">
        <w:rPr>
          <w:rFonts w:ascii="Times New Roman" w:hAnsi="Times New Roman" w:cs="Times New Roman"/>
          <w:noProof w:val="0"/>
          <w:sz w:val="24"/>
          <w:szCs w:val="24"/>
        </w:rPr>
        <w:t>, 28% were suppressed at two visits</w:t>
      </w:r>
      <w:r w:rsidR="00007440">
        <w:rPr>
          <w:rFonts w:ascii="Times New Roman" w:hAnsi="Times New Roman" w:cs="Times New Roman"/>
          <w:noProof w:val="0"/>
          <w:sz w:val="24"/>
          <w:szCs w:val="24"/>
        </w:rPr>
        <w:t xml:space="preserve"> (classified as category P+ above),</w:t>
      </w:r>
      <w:r w:rsidR="00A220D0">
        <w:rPr>
          <w:rFonts w:ascii="Times New Roman" w:hAnsi="Times New Roman" w:cs="Times New Roman"/>
          <w:noProof w:val="0"/>
          <w:sz w:val="24"/>
          <w:szCs w:val="24"/>
        </w:rPr>
        <w:t xml:space="preserve"> 30% were suppressed at one visit</w:t>
      </w:r>
      <w:r w:rsidR="00645FEB">
        <w:rPr>
          <w:rFonts w:ascii="Times New Roman" w:hAnsi="Times New Roman" w:cs="Times New Roman"/>
          <w:noProof w:val="0"/>
          <w:sz w:val="24"/>
          <w:szCs w:val="24"/>
        </w:rPr>
        <w:t xml:space="preserve"> (classified as category P- defined above)</w:t>
      </w:r>
      <w:r w:rsidR="00A220D0">
        <w:rPr>
          <w:rFonts w:ascii="Times New Roman" w:hAnsi="Times New Roman" w:cs="Times New Roman"/>
          <w:noProof w:val="0"/>
          <w:sz w:val="24"/>
          <w:szCs w:val="24"/>
        </w:rPr>
        <w:t>, and 10% were never suppressed</w:t>
      </w:r>
      <w:r w:rsidR="00A6498C">
        <w:rPr>
          <w:rFonts w:ascii="Times New Roman" w:hAnsi="Times New Roman" w:cs="Times New Roman"/>
          <w:noProof w:val="0"/>
          <w:sz w:val="24"/>
          <w:szCs w:val="24"/>
        </w:rPr>
        <w:t xml:space="preserve"> (classified as category N, defined above)</w:t>
      </w:r>
      <w:r w:rsidR="00A220D0">
        <w:rPr>
          <w:rFonts w:ascii="Times New Roman" w:hAnsi="Times New Roman" w:cs="Times New Roman"/>
          <w:noProof w:val="0"/>
          <w:sz w:val="24"/>
          <w:szCs w:val="24"/>
        </w:rPr>
        <w:t xml:space="preserve">. </w:t>
      </w:r>
    </w:p>
    <w:p w14:paraId="527A9A20" w14:textId="7DE09DA0" w:rsidR="00976E69" w:rsidRPr="00DD46F5" w:rsidRDefault="004E36AE" w:rsidP="00E40F0F">
      <w:pPr>
        <w:spacing w:line="480" w:lineRule="auto"/>
        <w:ind w:firstLine="720"/>
        <w:rPr>
          <w:rFonts w:ascii="Times New Roman" w:hAnsi="Times New Roman" w:cs="Times New Roman"/>
          <w:noProof w:val="0"/>
          <w:sz w:val="24"/>
          <w:szCs w:val="24"/>
        </w:rPr>
      </w:pPr>
      <w:r w:rsidRPr="00DD46F5">
        <w:rPr>
          <w:rFonts w:ascii="Times New Roman" w:hAnsi="Times New Roman" w:cs="Times New Roman"/>
          <w:noProof w:val="0"/>
          <w:sz w:val="24"/>
          <w:szCs w:val="24"/>
        </w:rPr>
        <w:t>After 30 days, each person’s adherence for the next 30-day window was assessed, consistent with the</w:t>
      </w:r>
      <w:r w:rsidR="00013E71">
        <w:rPr>
          <w:rFonts w:ascii="Times New Roman" w:hAnsi="Times New Roman" w:cs="Times New Roman"/>
          <w:noProof w:val="0"/>
          <w:sz w:val="24"/>
          <w:szCs w:val="24"/>
        </w:rPr>
        <w:t>se</w:t>
      </w:r>
      <w:r w:rsidRPr="00DD46F5">
        <w:rPr>
          <w:rFonts w:ascii="Times New Roman" w:hAnsi="Times New Roman" w:cs="Times New Roman"/>
          <w:noProof w:val="0"/>
          <w:sz w:val="24"/>
          <w:szCs w:val="24"/>
        </w:rPr>
        <w:t xml:space="preserve"> four possible adherence </w:t>
      </w:r>
      <w:r w:rsidRPr="003B1871">
        <w:rPr>
          <w:rFonts w:ascii="Times New Roman" w:hAnsi="Times New Roman" w:cs="Times New Roman"/>
          <w:sz w:val="24"/>
          <w:szCs w:val="24"/>
        </w:rPr>
        <w:t>states:</w:t>
      </w:r>
      <w:r w:rsidRPr="00DD46F5">
        <w:rPr>
          <w:rFonts w:ascii="Times New Roman" w:hAnsi="Times New Roman" w:cs="Times New Roman"/>
          <w:noProof w:val="0"/>
          <w:sz w:val="24"/>
          <w:szCs w:val="24"/>
        </w:rPr>
        <w:t xml:space="preserve"> 0.95 for A, 0.67 for P+, 0.33 for P-, and 0.05 for N.  This cycle was repeated every 30 days given typical </w:t>
      </w:r>
      <w:r w:rsidR="008E23BF">
        <w:rPr>
          <w:rFonts w:ascii="Times New Roman" w:hAnsi="Times New Roman" w:cs="Times New Roman"/>
          <w:noProof w:val="0"/>
          <w:sz w:val="24"/>
          <w:szCs w:val="24"/>
        </w:rPr>
        <w:t xml:space="preserve">medication </w:t>
      </w:r>
      <w:r w:rsidRPr="00DD46F5">
        <w:rPr>
          <w:rFonts w:ascii="Times New Roman" w:hAnsi="Times New Roman" w:cs="Times New Roman"/>
          <w:noProof w:val="0"/>
          <w:sz w:val="24"/>
          <w:szCs w:val="24"/>
        </w:rPr>
        <w:t>prescri</w:t>
      </w:r>
      <w:r w:rsidR="002F5883">
        <w:rPr>
          <w:rFonts w:ascii="Times New Roman" w:hAnsi="Times New Roman" w:cs="Times New Roman"/>
          <w:noProof w:val="0"/>
          <w:sz w:val="24"/>
          <w:szCs w:val="24"/>
        </w:rPr>
        <w:t>ption</w:t>
      </w:r>
      <w:r w:rsidRPr="00DD46F5">
        <w:rPr>
          <w:rFonts w:ascii="Times New Roman" w:hAnsi="Times New Roman" w:cs="Times New Roman"/>
          <w:noProof w:val="0"/>
          <w:sz w:val="24"/>
          <w:szCs w:val="24"/>
        </w:rPr>
        <w:t xml:space="preserve"> patterns. </w:t>
      </w:r>
      <w:r w:rsidR="00C76E8F">
        <w:rPr>
          <w:rFonts w:ascii="Times New Roman" w:hAnsi="Times New Roman" w:cs="Times New Roman"/>
          <w:noProof w:val="0"/>
          <w:sz w:val="24"/>
          <w:szCs w:val="24"/>
        </w:rPr>
        <w:t>(</w:t>
      </w:r>
      <w:r w:rsidR="00C76E8F" w:rsidRPr="00C76E8F">
        <w:rPr>
          <w:rFonts w:ascii="Times New Roman" w:hAnsi="Times New Roman" w:cs="Times New Roman"/>
          <w:bCs/>
          <w:noProof w:val="0"/>
          <w:sz w:val="24"/>
          <w:szCs w:val="24"/>
        </w:rPr>
        <w:t xml:space="preserve">Typical medication prescription patterns for ART include a 30-day supply and 2-3 refills depending upon the client’s needs.  This </w:t>
      </w:r>
      <w:r w:rsidR="00C76E8F">
        <w:rPr>
          <w:rFonts w:ascii="Times New Roman" w:hAnsi="Times New Roman" w:cs="Times New Roman"/>
          <w:bCs/>
          <w:noProof w:val="0"/>
          <w:sz w:val="24"/>
          <w:szCs w:val="24"/>
        </w:rPr>
        <w:t xml:space="preserve">assumption </w:t>
      </w:r>
      <w:r w:rsidR="00C76E8F" w:rsidRPr="00C76E8F">
        <w:rPr>
          <w:rFonts w:ascii="Times New Roman" w:hAnsi="Times New Roman" w:cs="Times New Roman"/>
          <w:bCs/>
          <w:noProof w:val="0"/>
          <w:sz w:val="24"/>
          <w:szCs w:val="24"/>
        </w:rPr>
        <w:t xml:space="preserve">was </w:t>
      </w:r>
      <w:r w:rsidR="00C76E8F">
        <w:rPr>
          <w:rFonts w:ascii="Times New Roman" w:hAnsi="Times New Roman" w:cs="Times New Roman"/>
          <w:bCs/>
          <w:noProof w:val="0"/>
          <w:sz w:val="24"/>
          <w:szCs w:val="24"/>
        </w:rPr>
        <w:t xml:space="preserve">made in conjunction with </w:t>
      </w:r>
      <w:r w:rsidR="00C76E8F" w:rsidRPr="00C76E8F">
        <w:rPr>
          <w:rFonts w:ascii="Times New Roman" w:hAnsi="Times New Roman" w:cs="Times New Roman"/>
          <w:bCs/>
          <w:noProof w:val="0"/>
          <w:sz w:val="24"/>
          <w:szCs w:val="24"/>
        </w:rPr>
        <w:t>our panel of HIV providers who care for YBMSM as well as the DHHS guidelines for ART treatment.</w:t>
      </w:r>
      <w:r w:rsidR="00CD75DD">
        <w:rPr>
          <w:rFonts w:ascii="Times New Roman" w:hAnsi="Times New Roman" w:cs="Times New Roman"/>
          <w:bCs/>
          <w:noProof w:val="0"/>
          <w:sz w:val="24"/>
          <w:szCs w:val="24"/>
        </w:rPr>
        <w:t>)</w:t>
      </w:r>
      <w:r w:rsidR="00C76E8F" w:rsidRPr="00C76E8F">
        <w:rPr>
          <w:rFonts w:ascii="Times New Roman" w:hAnsi="Times New Roman" w:cs="Times New Roman"/>
          <w:bCs/>
          <w:noProof w:val="0"/>
          <w:sz w:val="24"/>
          <w:szCs w:val="24"/>
        </w:rPr>
        <w:t xml:space="preserve"> </w:t>
      </w:r>
      <w:r w:rsidRPr="00DD46F5">
        <w:rPr>
          <w:rFonts w:ascii="Times New Roman" w:hAnsi="Times New Roman" w:cs="Times New Roman"/>
          <w:noProof w:val="0"/>
          <w:sz w:val="24"/>
          <w:szCs w:val="24"/>
        </w:rPr>
        <w:t xml:space="preserve">The distribution of times between diagnosis and </w:t>
      </w:r>
      <w:r w:rsidR="003A13BB">
        <w:rPr>
          <w:rFonts w:ascii="Times New Roman" w:hAnsi="Times New Roman" w:cs="Times New Roman"/>
          <w:noProof w:val="0"/>
          <w:sz w:val="24"/>
          <w:szCs w:val="24"/>
        </w:rPr>
        <w:t>ART</w:t>
      </w:r>
      <w:r w:rsidR="008C7CE7">
        <w:rPr>
          <w:rFonts w:ascii="Times New Roman" w:hAnsi="Times New Roman" w:cs="Times New Roman"/>
          <w:noProof w:val="0"/>
          <w:sz w:val="24"/>
          <w:szCs w:val="24"/>
        </w:rPr>
        <w:t xml:space="preserve"> </w:t>
      </w:r>
      <w:r w:rsidRPr="00DD46F5">
        <w:rPr>
          <w:rFonts w:ascii="Times New Roman" w:hAnsi="Times New Roman" w:cs="Times New Roman"/>
          <w:noProof w:val="0"/>
          <w:sz w:val="24"/>
          <w:szCs w:val="24"/>
        </w:rPr>
        <w:t xml:space="preserve">initiation were empirically </w:t>
      </w:r>
      <w:r w:rsidRPr="00DD46F5">
        <w:rPr>
          <w:rFonts w:ascii="Times New Roman" w:hAnsi="Times New Roman" w:cs="Times New Roman"/>
          <w:noProof w:val="0"/>
          <w:sz w:val="24"/>
          <w:szCs w:val="24"/>
        </w:rPr>
        <w:lastRenderedPageBreak/>
        <w:t xml:space="preserve">estimated </w:t>
      </w:r>
      <w:r w:rsidR="00EB348D">
        <w:rPr>
          <w:rFonts w:ascii="Times New Roman" w:hAnsi="Times New Roman" w:cs="Times New Roman"/>
          <w:noProof w:val="0"/>
          <w:sz w:val="24"/>
          <w:szCs w:val="24"/>
        </w:rPr>
        <w:t xml:space="preserve">from cohort data </w:t>
      </w:r>
      <w:r w:rsidR="000C6414" w:rsidRPr="0055744D">
        <w:rPr>
          <w:rFonts w:ascii="Times New Roman" w:hAnsi="Times New Roman" w:cs="Times New Roman"/>
          <w:noProof w:val="0"/>
          <w:sz w:val="24"/>
          <w:szCs w:val="24"/>
        </w:rPr>
        <w:fldChar w:fldCharType="begin" w:fldLock="1"/>
      </w:r>
      <w:r w:rsidR="002569A7">
        <w:rPr>
          <w:rFonts w:ascii="Times New Roman" w:hAnsi="Times New Roman" w:cs="Times New Roman"/>
          <w:noProof w:val="0"/>
          <w:sz w:val="24"/>
          <w:szCs w:val="24"/>
        </w:rPr>
        <w:instrText>ADDIN CSL_CITATION {"citationItems":[{"id":"ITEM-1","itemData":{"DOI":"10.1001/jamainternmed.2015.6536","ISSN":"2168-6114","PMID":"26571368","author":[{"dropping-particle":"","family":"Khanna","given":"Aditya S","non-dropping-particle":"","parse-names":false,"suffix":""},{"dropping-particle":"","family":"Michaels","given":"Stuart","non-dropping-particle":"","parse-names":false,"suffix":""},{"dropping-particle":"","family":"Skaathun","given":"Britt","non-dropping-particle":"","parse-names":false,"suffix":""},{"dropping-particle":"","family":"Morgan","given":"Ethan","non-dropping-particle":"","parse-names":false,"suffix":""},{"dropping-particle":"","family":"Green","given":"Keith","non-dropping-particle":"","parse-names":false,"suffix":""},{"dropping-particle":"","family":"Young","given":"Lindsay","non-dropping-particle":"","parse-names":false,"suffix":""},{"dropping-particle":"","family":"Schneider","given":"John A","non-dropping-particle":"","parse-names":false,"suffix":""},{"dropping-particle":"","family":"uConnect Study Team","given":"","non-dropping-particle":"","parse-names":false,"suffix":""}],"container-title":"JAMA internal medicine","id":"ITEM-1","issue":"1","issued":{"date-parts":[["2016","1","1"]]},"page":"136-8","title":"Preexposure Prophylaxis Awareness and Use in a Population-Based Sample of Young Black Men Who Have Sex With Men.","type":"article-journal","volume":"176"},"uris":["http://www.mendeley.com/documents/?uuid=bef9a2cc-c473-47ef-a5fd-8efebf8bacd9"]},{"id":"ITEM-2","itemData":{"DOI":"10.1017/nws.2016.27","ISSN":"2050-1242","abstract":"Critical to the development of improved HIV elimination efforts is a greater understanding of how social networks and their dynamics are related to HIV risk and prevention. In this paper, we examine network stability of confidant and sexual networks among young black men who have sex with men (YBMSM). We use data from uConnect (2013–2016), a population-based, longitudinal cohort study. We use an innovative approach to measure both sexual and confidant network stability at three time points, and examine the relationship between each type of stability and HIV risk and prevention behaviors. This approach is consistent with a co-evolutionary perspective in which behavior is not only affected by static properties of an individual's network, but may also be associated with changes in the topology of his or her egocentric network. Our results indicate that although confidant and sexual network stability are moderately correlated, their dynamics are distinct with different predictors and differing associations with behavior. Both types of stability are associated with lower rates of risk behaviors, and both are reduced among those who have spent time in jail. Public health awareness and engagement with both types of networks may provide new opportunities for HIV prevention interventions.","author":[{"dropping-particle":"","family":"Schneider","given":"J.","non-dropping-particle":"","parse-names":false,"suffix":""},{"dropping-particle":"","family":"Cornwell","given":"B.","non-dropping-particle":"","parse-names":false,"suffix":""},{"dropping-particle":"","family":"Jonas","given":"A.","non-dropping-particle":"","parse-names":false,"suffix":""},{"dropping-particle":"","family":"Lancki","given":"N.","non-dropping-particle":"","parse-names":false,"suffix":""},{"dropping-particle":"","family":"Behler","given":"R.","non-dropping-particle":"","parse-names":false,"suffix":""},{"dropping-particle":"","family":"Skaathun","given":"B.","non-dropping-particle":"","parse-names":false,"suffix":""},{"dropping-particle":"","family":"Young","given":"L. E.","non-dropping-particle":"","parse-names":false,"suffix":""},{"dropping-particle":"","family":"Morgan","given":"E.","non-dropping-particle":"","parse-names":false,"suffix":""},{"dropping-particle":"","family":"Michaels","given":"S.","non-dropping-particle":"","parse-names":false,"suffix":""},{"dropping-particle":"","family":"Duvosin","given":"R.","non-dropping-particle":"","parse-names":false,"suffix":""},{"dropping-particle":"","family":"Khanna","given":"A. S.","non-dropping-particle":"","parse-names":false,"suffix":""},{"dropping-particle":"","family":"Friedman","given":"S.","non-dropping-particle":"","parse-names":false,"suffix":""},{"dropping-particle":"","family":"Schumm","given":"P.","non-dropping-particle":"","parse-names":false,"suffix":""},{"dropping-particle":"","family":"Laumann","given":"E.","non-dropping-particle":"","parse-names":false,"suffix":""}],"container-title":"Network Science","id":"ITEM-2","issued":{"date-parts":[["2017","2","1"]]},"page":"1-29","title":"Network dynamics of HIV risk and prevention in a population-based cohort of young Black men who have sex with men","type":"article-journal"},"uris":["http://www.mendeley.com/documents/?uuid=8555ec92-af42-4c8d-82ce-7037a468896b"]}],"mendeley":{"formattedCitation":"[15,16]","plainTextFormattedCitation":"[15,16]","previouslyFormattedCitation":"[15,16]"},"properties":{"noteIndex":0},"schema":"https://github.com/citation-style-language/schema/raw/master/csl-citation.json"}</w:instrText>
      </w:r>
      <w:r w:rsidR="000C6414" w:rsidRPr="0055744D">
        <w:rPr>
          <w:rFonts w:ascii="Times New Roman" w:hAnsi="Times New Roman" w:cs="Times New Roman"/>
          <w:noProof w:val="0"/>
          <w:sz w:val="24"/>
          <w:szCs w:val="24"/>
        </w:rPr>
        <w:fldChar w:fldCharType="separate"/>
      </w:r>
      <w:r w:rsidR="009B5FF9" w:rsidRPr="009B5FF9">
        <w:rPr>
          <w:rFonts w:ascii="Times New Roman" w:hAnsi="Times New Roman" w:cs="Times New Roman"/>
          <w:sz w:val="24"/>
          <w:szCs w:val="24"/>
        </w:rPr>
        <w:t>[15,16]</w:t>
      </w:r>
      <w:r w:rsidR="000C6414" w:rsidRPr="0055744D">
        <w:rPr>
          <w:rFonts w:ascii="Times New Roman" w:hAnsi="Times New Roman" w:cs="Times New Roman"/>
          <w:noProof w:val="0"/>
          <w:sz w:val="24"/>
          <w:szCs w:val="24"/>
        </w:rPr>
        <w:fldChar w:fldCharType="end"/>
      </w:r>
      <w:r w:rsidR="000C6414">
        <w:rPr>
          <w:rFonts w:ascii="Times New Roman" w:hAnsi="Times New Roman" w:cs="Times New Roman"/>
          <w:noProof w:val="0"/>
          <w:sz w:val="24"/>
          <w:szCs w:val="24"/>
        </w:rPr>
        <w:t xml:space="preserve"> </w:t>
      </w:r>
      <w:r w:rsidRPr="00DD46F5">
        <w:rPr>
          <w:rFonts w:ascii="Times New Roman" w:hAnsi="Times New Roman" w:cs="Times New Roman"/>
          <w:noProof w:val="0"/>
          <w:sz w:val="24"/>
          <w:szCs w:val="24"/>
        </w:rPr>
        <w:t>and are given in Table 1</w:t>
      </w:r>
      <w:r w:rsidR="0023116C">
        <w:rPr>
          <w:rFonts w:ascii="Times New Roman" w:hAnsi="Times New Roman" w:cs="Times New Roman"/>
          <w:noProof w:val="0"/>
          <w:sz w:val="24"/>
          <w:szCs w:val="24"/>
        </w:rPr>
        <w:t xml:space="preserve"> in the main body of the manuscript</w:t>
      </w:r>
      <w:r w:rsidRPr="00DD46F5">
        <w:rPr>
          <w:rFonts w:ascii="Times New Roman" w:hAnsi="Times New Roman" w:cs="Times New Roman"/>
          <w:noProof w:val="0"/>
          <w:sz w:val="24"/>
          <w:szCs w:val="24"/>
        </w:rPr>
        <w:t xml:space="preserve">. </w:t>
      </w:r>
      <w:r w:rsidR="00A220D0">
        <w:rPr>
          <w:rFonts w:ascii="Times New Roman" w:hAnsi="Times New Roman" w:cs="Times New Roman"/>
          <w:noProof w:val="0"/>
          <w:sz w:val="24"/>
          <w:szCs w:val="24"/>
        </w:rPr>
        <w:t xml:space="preserve"> </w:t>
      </w:r>
    </w:p>
    <w:p w14:paraId="69495831" w14:textId="196FD3F6" w:rsidR="000B1DA2" w:rsidRPr="000B1DA2" w:rsidRDefault="00DB11A9" w:rsidP="000B1DA2">
      <w:pPr>
        <w:spacing w:line="480" w:lineRule="auto"/>
        <w:rPr>
          <w:rFonts w:ascii="Times New Roman" w:hAnsi="Times New Roman" w:cs="Times New Roman"/>
          <w:noProof w:val="0"/>
          <w:sz w:val="24"/>
          <w:szCs w:val="24"/>
        </w:rPr>
      </w:pPr>
      <w:bookmarkStart w:id="11" w:name="_Toc3377339"/>
      <w:r w:rsidRPr="000B44D1">
        <w:rPr>
          <w:rStyle w:val="Heading2Char"/>
        </w:rPr>
        <w:t xml:space="preserve">A.4.8 </w:t>
      </w:r>
      <w:r w:rsidR="00894706" w:rsidRPr="000B44D1">
        <w:rPr>
          <w:rStyle w:val="Heading2Char"/>
        </w:rPr>
        <w:t xml:space="preserve">Dynamics of </w:t>
      </w:r>
      <w:r w:rsidR="0573D6D8" w:rsidRPr="000B44D1">
        <w:rPr>
          <w:rStyle w:val="Heading2Char"/>
        </w:rPr>
        <w:t>PrEP use</w:t>
      </w:r>
      <w:bookmarkEnd w:id="11"/>
      <w:r w:rsidR="0573D6D8" w:rsidRPr="00DB11A9">
        <w:rPr>
          <w:rFonts w:ascii="Times New Roman" w:hAnsi="Times New Roman" w:cs="Times New Roman"/>
          <w:noProof w:val="0"/>
          <w:sz w:val="24"/>
          <w:szCs w:val="24"/>
        </w:rPr>
        <w:t xml:space="preserve">: </w:t>
      </w:r>
      <w:r w:rsidR="00E76D3C" w:rsidRPr="00DB11A9">
        <w:rPr>
          <w:rFonts w:ascii="Times New Roman" w:hAnsi="Times New Roman" w:cs="Times New Roman"/>
          <w:noProof w:val="0"/>
          <w:sz w:val="24"/>
          <w:szCs w:val="24"/>
        </w:rPr>
        <w:t>To model PrEP use, individuals were classified into four categories of adherence as per published data</w:t>
      </w:r>
      <w:r w:rsidR="00050D60">
        <w:rPr>
          <w:rFonts w:ascii="Times New Roman" w:hAnsi="Times New Roman" w:cs="Times New Roman"/>
          <w:noProof w:val="0"/>
          <w:sz w:val="24"/>
          <w:szCs w:val="24"/>
        </w:rPr>
        <w:t>:</w:t>
      </w:r>
      <w:r w:rsidR="009665BF">
        <w:rPr>
          <w:rFonts w:ascii="Times New Roman" w:hAnsi="Times New Roman" w:cs="Times New Roman"/>
          <w:noProof w:val="0"/>
          <w:sz w:val="24"/>
          <w:szCs w:val="24"/>
        </w:rPr>
        <w:t xml:space="preserve"> </w:t>
      </w:r>
      <w:r w:rsidR="00E76D3C" w:rsidRPr="00DB11A9">
        <w:rPr>
          <w:rFonts w:ascii="Times New Roman" w:hAnsi="Times New Roman" w:cs="Times New Roman"/>
          <w:noProof w:val="0"/>
          <w:sz w:val="24"/>
          <w:szCs w:val="24"/>
        </w:rPr>
        <w:t>21.1% of men took 0 pills/week (non-adherent), 7.0% took &lt;2 pills/week (low adherence), 10.0% took 2–3 pills/week (moderate adherence), and 61.9% took 4+ pills/week (higher adherence)</w:t>
      </w:r>
      <w:r w:rsidR="00050D60">
        <w:rPr>
          <w:rFonts w:ascii="Times New Roman" w:hAnsi="Times New Roman" w:cs="Times New Roman"/>
          <w:noProof w:val="0"/>
          <w:sz w:val="24"/>
          <w:szCs w:val="24"/>
        </w:rPr>
        <w:t xml:space="preserve"> </w:t>
      </w:r>
      <w:r w:rsidR="00050D60" w:rsidRPr="00EF67D4">
        <w:rPr>
          <w:rFonts w:ascii="Times New Roman" w:hAnsi="Times New Roman" w:cs="Times New Roman"/>
          <w:noProof w:val="0"/>
          <w:sz w:val="24"/>
          <w:szCs w:val="24"/>
        </w:rPr>
        <w:fldChar w:fldCharType="begin" w:fldLock="1"/>
      </w:r>
      <w:r w:rsidR="002569A7">
        <w:rPr>
          <w:rFonts w:ascii="Times New Roman" w:hAnsi="Times New Roman" w:cs="Times New Roman"/>
          <w:noProof w:val="0"/>
          <w:sz w:val="24"/>
          <w:szCs w:val="24"/>
        </w:rPr>
        <w:instrText>ADDIN CSL_CITATION {"citationItems":[{"id":"ITEM-1","itemData":{"DOI":"10.1001/jamainternmed.2015.4683","ISSN":"2168-6114","PMID":"26571482","abstract":"IMPORTANCE Several randomized clinical trials have demonstrated the efficacy of preexposure prophylaxis (PrEP) in preventing human immunodeficiency virus (HIV) acquisition. Little is known about adherence to the regimen, sexual practices, and overall effectiveness when PrEP is implemented in clinics that treat sexually transmitted infections (STIs) and community-based clinics serving men who have sex with men (MSM). OBJECTIVE To assess PrEP adherence, sexual behaviors, and the incidence of STIs and HIV infection in a cohort of MSM and transgender women initiating PrEP in the United States. DESIGN, SETTING, AND PARTICIPANTS Demonstration project conducted from October 1, 2012, through February 10, 2015 (last date of follow-up), among 557 MSM and transgender women in 2 STI clinics in San Francisco, California, and Miami, Florida, and a community health center in Washington, DC. Data were analyzed from December 18, 2014, through August 8, 2015. INTERVENTIONS A combination of daily, oral tenofovir disoproxil fumarate and emtricitabine was provided free of charge for 48 weeks. All participants received HIV testing, brief client-centered counseling, and clinical monitoring. MAIN OUTCOMES AND MEASURES Concentrations of tenofovir diphosphate in dried blood spot samples, self-reported numbers of anal sex partners and episodes of condomless receptive anal sex, and incidence of STI and HIV acquisition. RESULTS Overall, 557 participants initiated PrEP, and 437 of these (78.5%) were retained through 48 weeks. Based on the findings from the 294 participants who underwent measurement of tenofovir diphosphate levels, 80.0% to 85.6% had protective levels (consistent with ≥4 doses/wk) at follow-up visits. African American participants (56.8% of visits; P = .003) and those from the Miami site (65.1% of visits; P &lt; .001) were less likely to have protective levels, whereas those with stable housing (86.8%; P = .02) and those reporting at least 2 condomless anal sex partners in the past 3 months (88.6%; P = .01) were more likely to have protective levels. The mean number of anal sex partners declined during follow-up from 10.9 to 9.3, whereas the proportion engaging in condomless receptive anal sex remained stable at 65.5% to 65.6%. Overall STI incidence was high (90 per 100 person-years) but did not increase over time. Two individuals became HIV infected during follow-up (HIV incidence, 0.43 [95% CI, 0.05-1.54] infections per 100 person-years); both had tenofovir diphosphat…","author":[{"dropping-particle":"","family":"Liu","given":"Albert Y","non-dropping-particle":"","parse-names":false,"suffix":""},{"dropping-particle":"","family":"Cohen","given":"Stephanie E","non-dropping-particle":"","parse-names":false,"suffix":""},{"dropping-particle":"","family":"Vittinghoff","given":"Eric","non-dropping-particle":"","parse-names":false,"suffix":""},{"dropping-particle":"","family":"Anderson","given":"Peter L","non-dropping-particle":"","parse-names":false,"suffix":""},{"dropping-particle":"","family":"Doblecki-Lewis","given":"Susanne","non-dropping-particle":"","parse-names":false,"suffix":""},{"dropping-particle":"","family":"Bacon","given":"Oliver","non-dropping-particle":"","parse-names":false,"suffix":""},{"dropping-particle":"","family":"Chege","given":"Wairimu","non-dropping-particle":"","parse-names":false,"suffix":""},{"dropping-particle":"","family":"Postle","given":"Brian S","non-dropping-particle":"","parse-names":false,"suffix":""},{"dropping-particle":"","family":"Matheson","given":"Tim","non-dropping-particle":"","parse-names":false,"suffix":""},{"dropping-particle":"","family":"Amico","given":"K Rivet","non-dropping-particle":"","parse-names":false,"suffix":""},{"dropping-particle":"","family":"Liegler","given":"Teri","non-dropping-particle":"","parse-names":false,"suffix":""},{"dropping-particle":"","family":"Rawlings","given":"M Keith","non-dropping-particle":"","parse-names":false,"suffix":""},{"dropping-particle":"","family":"Trainor","given":"Nikole","non-dropping-particle":"","parse-names":false,"suffix":""},{"dropping-particle":"","family":"Blue","given":"Robert Wilder","non-dropping-particle":"","parse-names":false,"suffix":""},{"dropping-particle":"","family":"Estrada","given":"Yannine","non-dropping-particle":"","parse-names":false,"suffix":""},{"dropping-particle":"","family":"Coleman","given":"Megan E","non-dropping-particle":"","parse-names":false,"suffix":""},{"dropping-particle":"","family":"Cardenas","given":"Gabriel","non-dropping-particle":"","parse-names":false,"suffix":""},{"dropping-particle":"","family":"Feaster","given":"Daniel J","non-dropping-particle":"","parse-names":false,"suffix":""},{"dropping-particle":"","family":"Grant","given":"Robert","non-dropping-particle":"","parse-names":false,"suffix":""},{"dropping-particle":"","family":"Philip","given":"Susan S","non-dropping-particle":"","parse-names":false,"suffix":""},{"dropping-particle":"","family":"Elion","given":"Richard","non-dropping-particle":"","parse-names":false,"suffix":""},{"dropping-particle":"","family":"Buchbinder","given":"Susan","non-dropping-particle":"","parse-names":false,"suffix":""},{"dropping-particle":"","family":"Kolber","given":"Michael A","non-dropping-particle":"","parse-names":false,"suffix":""}],"container-title":"JAMA internal medicine","id":"ITEM-1","issue":"1","issued":{"date-parts":[["2016","1"]]},"page":"75-84","title":"Preexposure Prophylaxis for HIV Infection Integrated With Municipal- and Community-Based Sexual Health Services.","type":"article-journal","volume":"176"},"uris":["http://www.mendeley.com/documents/?uuid=ed0aa3b2-659e-4be2-b02e-2189211b1daf"]}],"mendeley":{"formattedCitation":"[25]","plainTextFormattedCitation":"[25]","previouslyFormattedCitation":"[25]"},"properties":{"noteIndex":0},"schema":"https://github.com/citation-style-language/schema/raw/master/csl-citation.json"}</w:instrText>
      </w:r>
      <w:r w:rsidR="00050D60" w:rsidRPr="00EF67D4">
        <w:rPr>
          <w:rFonts w:ascii="Times New Roman" w:hAnsi="Times New Roman" w:cs="Times New Roman"/>
          <w:noProof w:val="0"/>
          <w:sz w:val="24"/>
          <w:szCs w:val="24"/>
        </w:rPr>
        <w:fldChar w:fldCharType="separate"/>
      </w:r>
      <w:r w:rsidR="009B5FF9" w:rsidRPr="009B5FF9">
        <w:rPr>
          <w:rFonts w:ascii="Times New Roman" w:hAnsi="Times New Roman" w:cs="Times New Roman"/>
          <w:sz w:val="24"/>
          <w:szCs w:val="24"/>
        </w:rPr>
        <w:t>[25]</w:t>
      </w:r>
      <w:r w:rsidR="00050D60" w:rsidRPr="00EF67D4">
        <w:rPr>
          <w:rFonts w:ascii="Times New Roman" w:hAnsi="Times New Roman" w:cs="Times New Roman"/>
          <w:noProof w:val="0"/>
          <w:sz w:val="24"/>
          <w:szCs w:val="24"/>
        </w:rPr>
        <w:fldChar w:fldCharType="end"/>
      </w:r>
      <w:r w:rsidR="00E76D3C" w:rsidRPr="00DB11A9">
        <w:rPr>
          <w:rFonts w:ascii="Times New Roman" w:hAnsi="Times New Roman" w:cs="Times New Roman"/>
          <w:noProof w:val="0"/>
          <w:sz w:val="24"/>
          <w:szCs w:val="24"/>
        </w:rPr>
        <w:t xml:space="preserve">. PrEP use is assumed to reduce HIV infection probability in these adherence groups by 0%, 31%, 81%, and 95%, for </w:t>
      </w:r>
      <w:r w:rsidR="00E76D3C" w:rsidRPr="00CF4B59">
        <w:rPr>
          <w:rFonts w:ascii="Times New Roman" w:hAnsi="Times New Roman" w:cs="Times New Roman"/>
          <w:sz w:val="24"/>
          <w:szCs w:val="24"/>
        </w:rPr>
        <w:t>non</w:t>
      </w:r>
      <w:r w:rsidR="00E76D3C" w:rsidRPr="00DB11A9">
        <w:rPr>
          <w:rFonts w:ascii="Times New Roman" w:hAnsi="Times New Roman" w:cs="Times New Roman"/>
          <w:noProof w:val="0"/>
          <w:sz w:val="24"/>
          <w:szCs w:val="24"/>
        </w:rPr>
        <w:t>, low, moderate, and high adherence, respectively</w:t>
      </w:r>
      <w:r w:rsidR="00EF67D4">
        <w:rPr>
          <w:rFonts w:ascii="Times New Roman" w:hAnsi="Times New Roman" w:cs="Times New Roman"/>
          <w:noProof w:val="0"/>
          <w:sz w:val="24"/>
          <w:szCs w:val="24"/>
        </w:rPr>
        <w:t xml:space="preserve">, </w:t>
      </w:r>
      <w:r w:rsidR="00EF67D4" w:rsidRPr="00EF67D4">
        <w:rPr>
          <w:rFonts w:ascii="Times New Roman" w:hAnsi="Times New Roman" w:cs="Times New Roman"/>
          <w:noProof w:val="0"/>
          <w:sz w:val="24"/>
          <w:szCs w:val="24"/>
        </w:rPr>
        <w:t>in accord</w:t>
      </w:r>
      <w:r w:rsidR="00EF67D4">
        <w:rPr>
          <w:rFonts w:ascii="Times New Roman" w:hAnsi="Times New Roman" w:cs="Times New Roman"/>
          <w:noProof w:val="0"/>
          <w:sz w:val="24"/>
          <w:szCs w:val="24"/>
        </w:rPr>
        <w:t xml:space="preserve">ance with previous modeling work </w:t>
      </w:r>
      <w:r w:rsidR="00EF67D4" w:rsidRPr="00EF67D4">
        <w:rPr>
          <w:rFonts w:ascii="Times New Roman" w:hAnsi="Times New Roman" w:cs="Times New Roman"/>
          <w:noProof w:val="0"/>
          <w:sz w:val="24"/>
          <w:szCs w:val="24"/>
        </w:rPr>
        <w:fldChar w:fldCharType="begin" w:fldLock="1"/>
      </w:r>
      <w:r w:rsidR="002569A7">
        <w:rPr>
          <w:rFonts w:ascii="Times New Roman" w:hAnsi="Times New Roman" w:cs="Times New Roman"/>
          <w:noProof w:val="0"/>
          <w:sz w:val="24"/>
          <w:szCs w:val="24"/>
        </w:rPr>
        <w:instrText>ADDIN CSL_CITATION {"citationItems":[{"id":"ITEM-1","itemData":{"DOI":"10.1093/infdis/jiw223","ISSN":"1537-6613","PMID":"27418048","abstract":"BACKGROUND  Preexposure prophylaxis (PrEP) is effective for preventing human immunodeficiency virus (HIV) infection among men who have sex with men (MSM) within trial settings. Population impact will depend on clinical indications for PrEP initiation, coverage levels, and drug adherence. No modeling studies have estimated the impact of clinical practice guidelines for PrEP issued by the Centers for Disease Control and Prevention (CDC). METHODS  Mathematical models of HIV transmission among MSM were used to estimate the percentage of infections averted (PIA) and the number needed to treat (NNT) under behavioral indications of the CDC's PrEP guidelines. We modeled the contribution of these indications while varying treatment coverage and adherence. RESULTS  At 40% coverage of indicated MSM over the next decade, application of CDC guidelines would avert 1162 infections per 100 000 person-years, 33.0% of expected infections. The predicted NNT for the guidelines would be 25. Increasing coverage and adherence jointly raise the PIA, but reductions to the NNT were associated with better adherence only. CONCLUSIONS  Implementation of CDC PrEP guidelines would result in strong and sustained reductions in HIV incidence among MSM in the United States. The guidelines strike a good balance between epidemiological impact (PIA) and efficiency (NNT) at plausible scale-up levels. Adherence counseling could maximize public health investment in PrEP by decreasing the NNT.","author":[{"dropping-particle":"","family":"Jenness","given":"Samuel M","non-dropping-particle":"","parse-names":false,"suffix":""},{"dropping-particle":"","family":"Goodreau","given":"Steven M","non-dropping-particle":"","parse-names":false,"suffix":""},{"dropping-particle":"","family":"Rosenberg","given":"Eli","non-dropping-particle":"","parse-names":false,"suffix":""},{"dropping-particle":"","family":"Beylerian","given":"Emily N","non-dropping-particle":"","parse-names":false,"suffix":""},{"dropping-particle":"","family":"Hoover","given":"Karen W","non-dropping-particle":"","parse-names":false,"suffix":""},{"dropping-particle":"","family":"Smith","given":"Dawn K","non-dropping-particle":"","parse-names":false,"suffix":""},{"dropping-particle":"","family":"Sullivan","given":"Patrick","non-dropping-particle":"","parse-names":false,"suffix":""}],"container-title":"The Journal of infectious diseases","id":"ITEM-1","issue":"12","issued":{"date-parts":[["2016","12","15"]]},"page":"1800-1807","title":"Impact of the Centers for Disease Control's HIV Preexposure Prophylaxis Guidelines for Men Who Have Sex With Men in the United States.","type":"article-journal","volume":"214"},"uris":["http://www.mendeley.com/documents/?uuid=5ce82e87-57ea-4897-97b9-9a315b7b6bad"]}],"mendeley":{"formattedCitation":"[26]","plainTextFormattedCitation":"[26]","previouslyFormattedCitation":"[26]"},"properties":{"noteIndex":0},"schema":"https://github.com/citation-style-language/schema/raw/master/csl-citation.json"}</w:instrText>
      </w:r>
      <w:r w:rsidR="00EF67D4" w:rsidRPr="00EF67D4">
        <w:rPr>
          <w:rFonts w:ascii="Times New Roman" w:hAnsi="Times New Roman" w:cs="Times New Roman"/>
          <w:noProof w:val="0"/>
          <w:sz w:val="24"/>
          <w:szCs w:val="24"/>
        </w:rPr>
        <w:fldChar w:fldCharType="separate"/>
      </w:r>
      <w:r w:rsidR="009B5FF9" w:rsidRPr="009B5FF9">
        <w:rPr>
          <w:rFonts w:ascii="Times New Roman" w:hAnsi="Times New Roman" w:cs="Times New Roman"/>
          <w:sz w:val="24"/>
          <w:szCs w:val="24"/>
        </w:rPr>
        <w:t>[26]</w:t>
      </w:r>
      <w:r w:rsidR="00EF67D4" w:rsidRPr="00EF67D4">
        <w:rPr>
          <w:rFonts w:ascii="Times New Roman" w:hAnsi="Times New Roman" w:cs="Times New Roman"/>
          <w:noProof w:val="0"/>
          <w:sz w:val="24"/>
          <w:szCs w:val="24"/>
        </w:rPr>
        <w:fldChar w:fldCharType="end"/>
      </w:r>
      <w:r w:rsidR="00E76D3C" w:rsidRPr="00DB11A9">
        <w:rPr>
          <w:rFonts w:ascii="Times New Roman" w:hAnsi="Times New Roman" w:cs="Times New Roman"/>
          <w:noProof w:val="0"/>
          <w:sz w:val="24"/>
          <w:szCs w:val="24"/>
        </w:rPr>
        <w:t xml:space="preserve">. On average, </w:t>
      </w:r>
      <w:r w:rsidR="004A087E">
        <w:rPr>
          <w:rFonts w:ascii="Times New Roman" w:hAnsi="Times New Roman" w:cs="Times New Roman"/>
          <w:noProof w:val="0"/>
          <w:sz w:val="24"/>
          <w:szCs w:val="24"/>
        </w:rPr>
        <w:t xml:space="preserve">PrEP uptake (i.e., </w:t>
      </w:r>
      <w:r w:rsidR="00FC2F79">
        <w:rPr>
          <w:rFonts w:ascii="Times New Roman" w:hAnsi="Times New Roman" w:cs="Times New Roman"/>
          <w:noProof w:val="0"/>
          <w:sz w:val="24"/>
          <w:szCs w:val="24"/>
        </w:rPr>
        <w:t xml:space="preserve">the proportion of </w:t>
      </w:r>
      <w:r w:rsidR="004A087E" w:rsidRPr="00DB11A9">
        <w:rPr>
          <w:rFonts w:ascii="Times New Roman" w:hAnsi="Times New Roman" w:cs="Times New Roman"/>
          <w:noProof w:val="0"/>
          <w:sz w:val="24"/>
          <w:szCs w:val="24"/>
        </w:rPr>
        <w:t xml:space="preserve">HIV-negative individuals </w:t>
      </w:r>
      <w:r w:rsidR="00833E57">
        <w:rPr>
          <w:rFonts w:ascii="Times New Roman" w:hAnsi="Times New Roman" w:cs="Times New Roman"/>
          <w:noProof w:val="0"/>
          <w:sz w:val="24"/>
          <w:szCs w:val="24"/>
        </w:rPr>
        <w:t xml:space="preserve">using </w:t>
      </w:r>
      <w:r w:rsidR="004A087E" w:rsidRPr="00DB11A9">
        <w:rPr>
          <w:rFonts w:ascii="Times New Roman" w:hAnsi="Times New Roman" w:cs="Times New Roman"/>
          <w:noProof w:val="0"/>
          <w:sz w:val="24"/>
          <w:szCs w:val="24"/>
        </w:rPr>
        <w:t>PrEP at any given time</w:t>
      </w:r>
      <w:r w:rsidR="004A087E">
        <w:rPr>
          <w:rFonts w:ascii="Times New Roman" w:hAnsi="Times New Roman" w:cs="Times New Roman"/>
          <w:noProof w:val="0"/>
          <w:sz w:val="24"/>
          <w:szCs w:val="24"/>
        </w:rPr>
        <w:t xml:space="preserve">) was </w:t>
      </w:r>
      <w:r w:rsidR="00E76D3C" w:rsidRPr="00DB11A9">
        <w:rPr>
          <w:rFonts w:ascii="Times New Roman" w:hAnsi="Times New Roman" w:cs="Times New Roman"/>
          <w:noProof w:val="0"/>
          <w:sz w:val="24"/>
          <w:szCs w:val="24"/>
        </w:rPr>
        <w:t xml:space="preserve">about </w:t>
      </w:r>
      <w:r w:rsidR="0045719E">
        <w:rPr>
          <w:rFonts w:ascii="Times New Roman" w:hAnsi="Times New Roman" w:cs="Times New Roman"/>
          <w:noProof w:val="0"/>
          <w:sz w:val="24"/>
          <w:szCs w:val="24"/>
        </w:rPr>
        <w:t xml:space="preserve">13.7% </w:t>
      </w:r>
      <w:r w:rsidR="00017E99" w:rsidRPr="00017E99">
        <w:rPr>
          <w:rFonts w:ascii="Times New Roman" w:hAnsi="Times New Roman" w:cs="Times New Roman"/>
          <w:noProof w:val="0"/>
          <w:sz w:val="24"/>
          <w:szCs w:val="24"/>
        </w:rPr>
        <w:fldChar w:fldCharType="begin" w:fldLock="1"/>
      </w:r>
      <w:r w:rsidR="002569A7">
        <w:rPr>
          <w:rFonts w:ascii="Times New Roman" w:hAnsi="Times New Roman" w:cs="Times New Roman"/>
          <w:noProof w:val="0"/>
          <w:sz w:val="24"/>
          <w:szCs w:val="24"/>
        </w:rPr>
        <w:instrText>ADDIN CSL_CITATION {"citationItems":[{"id":"ITEM-1","itemData":{"DOI":"10.1001/jamainternmed.2015.6536","ISSN":"2168-6114","PMID":"26571368","author":[{"dropping-particle":"","family":"Khanna","given":"Aditya S","non-dropping-particle":"","parse-names":false,"suffix":""},{"dropping-particle":"","family":"Michaels","given":"Stuart","non-dropping-particle":"","parse-names":false,"suffix":""},{"dropping-particle":"","family":"Skaathun","given":"Britt","non-dropping-particle":"","parse-names":false,"suffix":""},{"dropping-particle":"","family":"Morgan","given":"Ethan","non-dropping-particle":"","parse-names":false,"suffix":""},{"dropping-particle":"","family":"Green","given":"Keith","non-dropping-particle":"","parse-names":false,"suffix":""},{"dropping-particle":"","family":"Young","given":"Lindsay","non-dropping-particle":"","parse-names":false,"suffix":""},{"dropping-particle":"","family":"Schneider","given":"John A","non-dropping-particle":"","parse-names":false,"suffix":""},{"dropping-particle":"","family":"uConnect Study Team","given":"","non-dropping-particle":"","parse-names":false,"suffix":""}],"container-title":"JAMA internal medicine","id":"ITEM-1","issue":"1","issued":{"date-parts":[["2016","1","1"]]},"page":"136-8","title":"Preexposure Prophylaxis Awareness and Use in a Population-Based Sample of Young Black Men Who Have Sex With Men.","type":"article-journal","volume":"176"},"uris":["http://www.mendeley.com/documents/?uuid=bef9a2cc-c473-47ef-a5fd-8efebf8bacd9"]},{"id":"ITEM-2","itemData":{"DOI":"10.1017/nws.2016.27","ISSN":"2050-1242","abstract":"Critical to the development of improved HIV elimination efforts is a greater understanding of how social networks and their dynamics are related to HIV risk and prevention. In this paper, we examine network stability of confidant and sexual networks among young black men who have sex with men (YBMSM). We use data from uConnect (2013–2016), a population-based, longitudinal cohort study. We use an innovative approach to measure both sexual and confidant network stability at three time points, and examine the relationship between each type of stability and HIV risk and prevention behaviors. This approach is consistent with a co-evolutionary perspective in which behavior is not only affected by static properties of an individual's network, but may also be associated with changes in the topology of his or her egocentric network. Our results indicate that although confidant and sexual network stability are moderately correlated, their dynamics are distinct with different predictors and differing associations with behavior. Both types of stability are associated with lower rates of risk behaviors, and both are reduced among those who have spent time in jail. Public health awareness and engagement with both types of networks may provide new opportunities for HIV prevention interventions.","author":[{"dropping-particle":"","family":"Schneider","given":"J.","non-dropping-particle":"","parse-names":false,"suffix":""},{"dropping-particle":"","family":"Cornwell","given":"B.","non-dropping-particle":"","parse-names":false,"suffix":""},{"dropping-particle":"","family":"Jonas","given":"A.","non-dropping-particle":"","parse-names":false,"suffix":""},{"dropping-particle":"","family":"Lancki","given":"N.","non-dropping-particle":"","parse-names":false,"suffix":""},{"dropping-particle":"","family":"Behler","given":"R.","non-dropping-particle":"","parse-names":false,"suffix":""},{"dropping-particle":"","family":"Skaathun","given":"B.","non-dropping-particle":"","parse-names":false,"suffix":""},{"dropping-particle":"","family":"Young","given":"L. E.","non-dropping-particle":"","parse-names":false,"suffix":""},{"dropping-particle":"","family":"Morgan","given":"E.","non-dropping-particle":"","parse-names":false,"suffix":""},{"dropping-particle":"","family":"Michaels","given":"S.","non-dropping-particle":"","parse-names":false,"suffix":""},{"dropping-particle":"","family":"Duvosin","given":"R.","non-dropping-particle":"","parse-names":false,"suffix":""},{"dropping-particle":"","family":"Khanna","given":"A. S.","non-dropping-particle":"","parse-names":false,"suffix":""},{"dropping-particle":"","family":"Friedman","given":"S.","non-dropping-particle":"","parse-names":false,"suffix":""},{"dropping-particle":"","family":"Schumm","given":"P.","non-dropping-particle":"","parse-names":false,"suffix":""},{"dropping-particle":"","family":"Laumann","given":"E.","non-dropping-particle":"","parse-names":false,"suffix":""}],"container-title":"Network Science","id":"ITEM-2","issued":{"date-parts":[["2017","2","1"]]},"page":"1-29","title":"Network dynamics of HIV risk and prevention in a population-based cohort of young Black men who have sex with men","type":"article-journal"},"uris":["http://www.mendeley.com/documents/?uuid=8555ec92-af42-4c8d-82ce-7037a468896b"]}],"mendeley":{"formattedCitation":"[15,16]","plainTextFormattedCitation":"[15,16]","previouslyFormattedCitation":"[15,16]"},"properties":{"noteIndex":0},"schema":"https://github.com/citation-style-language/schema/raw/master/csl-citation.json"}</w:instrText>
      </w:r>
      <w:r w:rsidR="00017E99" w:rsidRPr="00017E99">
        <w:rPr>
          <w:rFonts w:ascii="Times New Roman" w:hAnsi="Times New Roman" w:cs="Times New Roman"/>
          <w:noProof w:val="0"/>
          <w:sz w:val="24"/>
          <w:szCs w:val="24"/>
        </w:rPr>
        <w:fldChar w:fldCharType="separate"/>
      </w:r>
      <w:r w:rsidR="009B5FF9" w:rsidRPr="009B5FF9">
        <w:rPr>
          <w:rFonts w:ascii="Times New Roman" w:hAnsi="Times New Roman" w:cs="Times New Roman"/>
          <w:sz w:val="24"/>
          <w:szCs w:val="24"/>
        </w:rPr>
        <w:t>[15,16]</w:t>
      </w:r>
      <w:r w:rsidR="00017E99" w:rsidRPr="00017E99">
        <w:rPr>
          <w:rFonts w:ascii="Times New Roman" w:hAnsi="Times New Roman" w:cs="Times New Roman"/>
          <w:noProof w:val="0"/>
          <w:sz w:val="24"/>
          <w:szCs w:val="24"/>
        </w:rPr>
        <w:fldChar w:fldCharType="end"/>
      </w:r>
      <w:r w:rsidR="00EE1829">
        <w:rPr>
          <w:rFonts w:ascii="Times New Roman" w:hAnsi="Times New Roman" w:cs="Times New Roman"/>
          <w:noProof w:val="0"/>
          <w:sz w:val="24"/>
          <w:szCs w:val="24"/>
        </w:rPr>
        <w:t xml:space="preserve">. </w:t>
      </w:r>
      <w:r w:rsidR="000B1DA2">
        <w:rPr>
          <w:rFonts w:ascii="Times New Roman" w:hAnsi="Times New Roman" w:cs="Times New Roman"/>
          <w:noProof w:val="0"/>
          <w:sz w:val="24"/>
          <w:szCs w:val="24"/>
        </w:rPr>
        <w:t xml:space="preserve">To model this, consider probability </w:t>
      </w:r>
      <m:oMath>
        <m:r>
          <w:rPr>
            <w:rFonts w:ascii="Cambria Math" w:hAnsi="Cambria Math" w:cs="Times New Roman"/>
            <w:noProof w:val="0"/>
            <w:sz w:val="24"/>
            <w:szCs w:val="24"/>
          </w:rPr>
          <m:t>p</m:t>
        </m:r>
      </m:oMath>
      <w:r w:rsidR="000B1DA2" w:rsidRPr="000B1DA2">
        <w:rPr>
          <w:rFonts w:ascii="Times New Roman" w:hAnsi="Times New Roman" w:cs="Times New Roman"/>
          <w:noProof w:val="0"/>
          <w:sz w:val="24"/>
          <w:szCs w:val="24"/>
        </w:rPr>
        <w:t xml:space="preserve"> of stopping PrEP on any given day. If </w:t>
      </w:r>
      <m:oMath>
        <m:r>
          <w:rPr>
            <w:rFonts w:ascii="Cambria Math" w:hAnsi="Cambria Math" w:cs="Times New Roman"/>
            <w:noProof w:val="0"/>
            <w:sz w:val="24"/>
            <w:szCs w:val="24"/>
          </w:rPr>
          <m:t>n</m:t>
        </m:r>
      </m:oMath>
      <w:r w:rsidR="000B1DA2" w:rsidRPr="000B1DA2">
        <w:rPr>
          <w:rFonts w:ascii="Times New Roman" w:hAnsi="Times New Roman" w:cs="Times New Roman"/>
          <w:noProof w:val="0"/>
          <w:sz w:val="24"/>
          <w:szCs w:val="24"/>
        </w:rPr>
        <w:t xml:space="preserve"> is the number of HIV-negatives and </w:t>
      </w:r>
      <m:oMath>
        <m:r>
          <w:rPr>
            <w:rFonts w:ascii="Cambria Math" w:hAnsi="Cambria Math" w:cs="Times New Roman"/>
            <w:noProof w:val="0"/>
            <w:sz w:val="24"/>
            <w:szCs w:val="24"/>
          </w:rPr>
          <m:t>k</m:t>
        </m:r>
      </m:oMath>
      <w:r w:rsidR="000B1DA2" w:rsidRPr="000B1DA2">
        <w:rPr>
          <w:rFonts w:ascii="Times New Roman" w:hAnsi="Times New Roman" w:cs="Times New Roman"/>
          <w:noProof w:val="0"/>
          <w:sz w:val="24"/>
          <w:szCs w:val="24"/>
        </w:rPr>
        <w:t xml:space="preserve"> is the </w:t>
      </w:r>
      <w:r w:rsidR="00D24D01">
        <w:rPr>
          <w:rFonts w:ascii="Times New Roman" w:hAnsi="Times New Roman" w:cs="Times New Roman"/>
          <w:noProof w:val="0"/>
          <w:sz w:val="24"/>
          <w:szCs w:val="24"/>
        </w:rPr>
        <w:t xml:space="preserve">proportion of HIV-negative individuals using </w:t>
      </w:r>
      <w:r w:rsidR="000B1DA2" w:rsidRPr="000B1DA2">
        <w:rPr>
          <w:rFonts w:ascii="Times New Roman" w:hAnsi="Times New Roman" w:cs="Times New Roman"/>
          <w:noProof w:val="0"/>
          <w:sz w:val="24"/>
          <w:szCs w:val="24"/>
        </w:rPr>
        <w:t xml:space="preserve">PrEP, then on any given day </w:t>
      </w:r>
      <m:oMath>
        <m:r>
          <w:rPr>
            <w:rFonts w:ascii="Cambria Math" w:hAnsi="Cambria Math" w:cs="Times New Roman"/>
            <w:noProof w:val="0"/>
            <w:sz w:val="24"/>
            <w:szCs w:val="24"/>
          </w:rPr>
          <m:t>nkp</m:t>
        </m:r>
      </m:oMath>
      <w:r w:rsidR="000B1DA2" w:rsidRPr="000B1DA2">
        <w:rPr>
          <w:rFonts w:ascii="Times New Roman" w:hAnsi="Times New Roman" w:cs="Times New Roman"/>
          <w:noProof w:val="0"/>
          <w:sz w:val="24"/>
          <w:szCs w:val="24"/>
        </w:rPr>
        <w:t xml:space="preserve"> is the number of users who stop PrEP. From the above definitions, it also follows that the number </w:t>
      </w:r>
      <w:r w:rsidR="00CF3057">
        <w:rPr>
          <w:rFonts w:ascii="Times New Roman" w:hAnsi="Times New Roman" w:cs="Times New Roman"/>
          <w:noProof w:val="0"/>
          <w:sz w:val="24"/>
          <w:szCs w:val="24"/>
        </w:rPr>
        <w:t xml:space="preserve">of HIV-negatives who are not using PrEP is </w:t>
      </w:r>
      <m:oMath>
        <m:r>
          <w:rPr>
            <w:rFonts w:ascii="Cambria Math" w:hAnsi="Cambria Math" w:cs="Times New Roman"/>
            <w:noProof w:val="0"/>
            <w:sz w:val="24"/>
            <w:szCs w:val="24"/>
          </w:rPr>
          <m:t>n(1-k)</m:t>
        </m:r>
      </m:oMath>
      <w:r w:rsidR="000B1DA2" w:rsidRPr="000B1DA2">
        <w:rPr>
          <w:rFonts w:ascii="Times New Roman" w:hAnsi="Times New Roman" w:cs="Times New Roman"/>
          <w:noProof w:val="0"/>
          <w:sz w:val="24"/>
          <w:szCs w:val="24"/>
        </w:rPr>
        <w:t xml:space="preserve">. If we define </w:t>
      </w:r>
      <m:oMath>
        <m:r>
          <w:rPr>
            <w:rFonts w:ascii="Cambria Math" w:hAnsi="Cambria Math" w:cs="Times New Roman"/>
            <w:noProof w:val="0"/>
            <w:sz w:val="24"/>
            <w:szCs w:val="24"/>
          </w:rPr>
          <m:t xml:space="preserve">q </m:t>
        </m:r>
      </m:oMath>
      <w:r w:rsidR="000B1DA2" w:rsidRPr="000B1DA2">
        <w:rPr>
          <w:rFonts w:ascii="Times New Roman" w:hAnsi="Times New Roman" w:cs="Times New Roman"/>
          <w:noProof w:val="0"/>
          <w:sz w:val="24"/>
          <w:szCs w:val="24"/>
        </w:rPr>
        <w:t>as the probability that any non-user initiates PrEP on a given day,</w:t>
      </w:r>
    </w:p>
    <w:p w14:paraId="3DC94789" w14:textId="778B2CCC" w:rsidR="000B1DA2" w:rsidRPr="000B1DA2" w:rsidRDefault="00D24D01" w:rsidP="000B1DA2">
      <w:pPr>
        <w:spacing w:line="480" w:lineRule="auto"/>
        <w:rPr>
          <w:rFonts w:ascii="Times New Roman" w:hAnsi="Times New Roman" w:cs="Times New Roman"/>
          <w:noProof w:val="0"/>
          <w:sz w:val="24"/>
          <w:szCs w:val="24"/>
        </w:rPr>
      </w:pPr>
      <m:oMathPara>
        <m:oMath>
          <m:r>
            <w:rPr>
              <w:rFonts w:ascii="Cambria Math" w:hAnsi="Cambria Math" w:cs="Times New Roman"/>
              <w:noProof w:val="0"/>
              <w:sz w:val="24"/>
              <w:szCs w:val="24"/>
            </w:rPr>
            <m:t>n(1-k)q = nkp</m:t>
          </m:r>
        </m:oMath>
      </m:oMathPara>
    </w:p>
    <w:p w14:paraId="5ABE25EC" w14:textId="3857ADD3" w:rsidR="00EE1829" w:rsidRDefault="000B1DA2" w:rsidP="000B1DA2">
      <w:pPr>
        <w:spacing w:line="480" w:lineRule="auto"/>
        <w:rPr>
          <w:rFonts w:ascii="Times New Roman" w:hAnsi="Times New Roman" w:cs="Times New Roman"/>
          <w:noProof w:val="0"/>
          <w:sz w:val="24"/>
          <w:szCs w:val="24"/>
        </w:rPr>
      </w:pPr>
      <w:r w:rsidRPr="000B1DA2">
        <w:rPr>
          <w:rFonts w:ascii="Times New Roman" w:hAnsi="Times New Roman" w:cs="Times New Roman"/>
          <w:noProof w:val="0"/>
          <w:sz w:val="24"/>
          <w:szCs w:val="24"/>
        </w:rPr>
        <w:t xml:space="preserve">to maintain the same number of users at any given step, implying that </w:t>
      </w:r>
      <m:oMath>
        <m:r>
          <w:rPr>
            <w:rFonts w:ascii="Cambria Math" w:hAnsi="Cambria Math" w:cs="Times New Roman"/>
            <w:noProof w:val="0"/>
            <w:sz w:val="24"/>
            <w:szCs w:val="24"/>
          </w:rPr>
          <m:t>q =</m:t>
        </m:r>
        <m:f>
          <m:fPr>
            <m:ctrlPr>
              <w:rPr>
                <w:rFonts w:ascii="Cambria Math" w:hAnsi="Cambria Math" w:cs="Times New Roman"/>
                <w:i/>
                <w:noProof w:val="0"/>
                <w:sz w:val="24"/>
                <w:szCs w:val="24"/>
              </w:rPr>
            </m:ctrlPr>
          </m:fPr>
          <m:num>
            <m:r>
              <w:rPr>
                <w:rFonts w:ascii="Cambria Math" w:hAnsi="Cambria Math" w:cs="Times New Roman"/>
                <w:noProof w:val="0"/>
                <w:sz w:val="24"/>
                <w:szCs w:val="24"/>
              </w:rPr>
              <m:t>pk</m:t>
            </m:r>
          </m:num>
          <m:den>
            <m:r>
              <w:rPr>
                <w:rFonts w:ascii="Cambria Math" w:hAnsi="Cambria Math" w:cs="Times New Roman"/>
                <w:noProof w:val="0"/>
                <w:sz w:val="24"/>
                <w:szCs w:val="24"/>
              </w:rPr>
              <m:t>1-k</m:t>
            </m:r>
          </m:den>
        </m:f>
        <m:r>
          <w:rPr>
            <w:rFonts w:ascii="Cambria Math" w:hAnsi="Cambria Math" w:cs="Times New Roman"/>
            <w:noProof w:val="0"/>
            <w:sz w:val="24"/>
            <w:szCs w:val="24"/>
          </w:rPr>
          <m:t>.</m:t>
        </m:r>
      </m:oMath>
      <w:r w:rsidR="00185142">
        <w:rPr>
          <w:rFonts w:ascii="Times New Roman" w:hAnsi="Times New Roman" w:cs="Times New Roman"/>
          <w:noProof w:val="0"/>
          <w:sz w:val="24"/>
          <w:szCs w:val="24"/>
        </w:rPr>
        <w:t xml:space="preserve"> </w:t>
      </w:r>
      <w:r w:rsidR="00162A62">
        <w:rPr>
          <w:rFonts w:ascii="Times New Roman" w:hAnsi="Times New Roman" w:cs="Times New Roman"/>
          <w:noProof w:val="0"/>
          <w:sz w:val="24"/>
          <w:szCs w:val="24"/>
        </w:rPr>
        <w:t>A selection</w:t>
      </w:r>
      <w:r w:rsidR="00D24D01">
        <w:rPr>
          <w:rFonts w:ascii="Times New Roman" w:hAnsi="Times New Roman" w:cs="Times New Roman"/>
          <w:noProof w:val="0"/>
          <w:sz w:val="24"/>
          <w:szCs w:val="24"/>
        </w:rPr>
        <w:t xml:space="preserve"> probability of </w:t>
      </w:r>
      <m:oMath>
        <m:r>
          <w:rPr>
            <w:rFonts w:ascii="Cambria Math" w:hAnsi="Cambria Math" w:cs="Times New Roman"/>
            <w:noProof w:val="0"/>
            <w:sz w:val="24"/>
            <w:szCs w:val="24"/>
          </w:rPr>
          <m:t>q</m:t>
        </m:r>
      </m:oMath>
      <w:r w:rsidR="000306AB">
        <w:rPr>
          <w:rFonts w:ascii="Times New Roman" w:hAnsi="Times New Roman" w:cs="Times New Roman"/>
          <w:noProof w:val="0"/>
          <w:sz w:val="24"/>
          <w:szCs w:val="24"/>
        </w:rPr>
        <w:t xml:space="preserve"> as defined above was set for HIV-negative individuals</w:t>
      </w:r>
      <w:r w:rsidR="00162A62">
        <w:rPr>
          <w:rFonts w:ascii="Times New Roman" w:hAnsi="Times New Roman" w:cs="Times New Roman"/>
          <w:noProof w:val="0"/>
          <w:sz w:val="24"/>
          <w:szCs w:val="24"/>
        </w:rPr>
        <w:t xml:space="preserve"> to initiate PrEP</w:t>
      </w:r>
      <w:r w:rsidR="000306AB">
        <w:rPr>
          <w:rFonts w:ascii="Times New Roman" w:hAnsi="Times New Roman" w:cs="Times New Roman"/>
          <w:noProof w:val="0"/>
          <w:sz w:val="24"/>
          <w:szCs w:val="24"/>
        </w:rPr>
        <w:t xml:space="preserve">, enabling the model to maintain a </w:t>
      </w:r>
      <w:r w:rsidR="00A55B5F">
        <w:rPr>
          <w:rFonts w:ascii="Times New Roman" w:hAnsi="Times New Roman" w:cs="Times New Roman"/>
          <w:noProof w:val="0"/>
          <w:sz w:val="24"/>
          <w:szCs w:val="24"/>
        </w:rPr>
        <w:t xml:space="preserve">specified proportion of HIV-negative individuals on PrEP. </w:t>
      </w:r>
    </w:p>
    <w:p w14:paraId="16B43D30" w14:textId="403A9614" w:rsidR="00305409" w:rsidRDefault="00305409" w:rsidP="000B1DA2">
      <w:pPr>
        <w:spacing w:line="480" w:lineRule="auto"/>
        <w:rPr>
          <w:rFonts w:ascii="Times New Roman" w:hAnsi="Times New Roman" w:cs="Times New Roman"/>
          <w:noProof w:val="0"/>
          <w:sz w:val="24"/>
          <w:szCs w:val="24"/>
        </w:rPr>
      </w:pPr>
      <w:r>
        <w:rPr>
          <w:rFonts w:ascii="Times New Roman" w:hAnsi="Times New Roman" w:cs="Times New Roman"/>
          <w:noProof w:val="0"/>
          <w:sz w:val="24"/>
          <w:szCs w:val="24"/>
        </w:rPr>
        <w:tab/>
        <w:t xml:space="preserve">For the </w:t>
      </w:r>
      <w:r w:rsidR="0009035A">
        <w:rPr>
          <w:rFonts w:ascii="Times New Roman" w:hAnsi="Times New Roman" w:cs="Times New Roman"/>
          <w:noProof w:val="0"/>
          <w:sz w:val="24"/>
          <w:szCs w:val="24"/>
        </w:rPr>
        <w:t xml:space="preserve">interventions that prioritized </w:t>
      </w:r>
      <w:r>
        <w:rPr>
          <w:rFonts w:ascii="Times New Roman" w:hAnsi="Times New Roman" w:cs="Times New Roman"/>
          <w:noProof w:val="0"/>
          <w:sz w:val="24"/>
          <w:szCs w:val="24"/>
        </w:rPr>
        <w:t xml:space="preserve">serodiscordant couples and network </w:t>
      </w:r>
      <w:r w:rsidR="0009035A">
        <w:rPr>
          <w:rFonts w:ascii="Times New Roman" w:hAnsi="Times New Roman" w:cs="Times New Roman"/>
          <w:noProof w:val="0"/>
          <w:sz w:val="24"/>
          <w:szCs w:val="24"/>
        </w:rPr>
        <w:t>position</w:t>
      </w:r>
      <w:r>
        <w:rPr>
          <w:rFonts w:ascii="Times New Roman" w:hAnsi="Times New Roman" w:cs="Times New Roman"/>
          <w:noProof w:val="0"/>
          <w:sz w:val="24"/>
          <w:szCs w:val="24"/>
        </w:rPr>
        <w:t>,</w:t>
      </w:r>
      <w:r w:rsidR="00285EAB">
        <w:rPr>
          <w:rFonts w:ascii="Times New Roman" w:hAnsi="Times New Roman" w:cs="Times New Roman"/>
          <w:noProof w:val="0"/>
          <w:sz w:val="24"/>
          <w:szCs w:val="24"/>
        </w:rPr>
        <w:t xml:space="preserve"> the selection procedure for new PrEP initiators was implemented in two steps. In the first step, </w:t>
      </w:r>
      <w:r w:rsidR="004C4F5B">
        <w:rPr>
          <w:rFonts w:ascii="Times New Roman" w:hAnsi="Times New Roman" w:cs="Times New Roman"/>
          <w:noProof w:val="0"/>
          <w:sz w:val="24"/>
          <w:szCs w:val="24"/>
        </w:rPr>
        <w:t xml:space="preserve">the process to maintain baseline PrEP rates was operationalized by assigning a selection probability </w:t>
      </w:r>
      <m:oMath>
        <m:r>
          <w:rPr>
            <w:rFonts w:ascii="Cambria Math" w:hAnsi="Cambria Math" w:cs="Times New Roman"/>
            <w:noProof w:val="0"/>
            <w:sz w:val="24"/>
            <w:szCs w:val="24"/>
          </w:rPr>
          <m:t>q</m:t>
        </m:r>
      </m:oMath>
      <w:r w:rsidR="004C4F5B">
        <w:rPr>
          <w:rFonts w:ascii="Times New Roman" w:hAnsi="Times New Roman" w:cs="Times New Roman"/>
          <w:noProof w:val="0"/>
          <w:sz w:val="24"/>
          <w:szCs w:val="24"/>
        </w:rPr>
        <w:t xml:space="preserve"> for new PrEP init</w:t>
      </w:r>
      <w:r w:rsidR="00567B8C">
        <w:rPr>
          <w:rFonts w:ascii="Times New Roman" w:hAnsi="Times New Roman" w:cs="Times New Roman"/>
          <w:noProof w:val="0"/>
          <w:sz w:val="24"/>
          <w:szCs w:val="24"/>
        </w:rPr>
        <w:t>i</w:t>
      </w:r>
      <w:r w:rsidR="004C4F5B">
        <w:rPr>
          <w:rFonts w:ascii="Times New Roman" w:hAnsi="Times New Roman" w:cs="Times New Roman"/>
          <w:noProof w:val="0"/>
          <w:sz w:val="24"/>
          <w:szCs w:val="24"/>
        </w:rPr>
        <w:t>ators</w:t>
      </w:r>
      <w:r w:rsidR="00567B8C">
        <w:rPr>
          <w:rFonts w:ascii="Times New Roman" w:hAnsi="Times New Roman" w:cs="Times New Roman"/>
          <w:noProof w:val="0"/>
          <w:sz w:val="24"/>
          <w:szCs w:val="24"/>
        </w:rPr>
        <w:t xml:space="preserve">, as described above. In the second step, </w:t>
      </w:r>
      <w:r w:rsidR="00A73AF9">
        <w:rPr>
          <w:rFonts w:ascii="Times New Roman" w:hAnsi="Times New Roman" w:cs="Times New Roman"/>
          <w:bCs/>
          <w:noProof w:val="0"/>
          <w:sz w:val="24"/>
          <w:szCs w:val="24"/>
        </w:rPr>
        <w:t>additional</w:t>
      </w:r>
      <w:r w:rsidR="00A73AF9" w:rsidRPr="00A73AF9">
        <w:rPr>
          <w:rFonts w:ascii="Times New Roman" w:hAnsi="Times New Roman" w:cs="Times New Roman"/>
          <w:bCs/>
          <w:noProof w:val="0"/>
          <w:sz w:val="24"/>
          <w:szCs w:val="24"/>
        </w:rPr>
        <w:t xml:space="preserve"> individuals </w:t>
      </w:r>
      <w:r w:rsidR="00A73AF9">
        <w:rPr>
          <w:rFonts w:ascii="Times New Roman" w:hAnsi="Times New Roman" w:cs="Times New Roman"/>
          <w:bCs/>
          <w:noProof w:val="0"/>
          <w:sz w:val="24"/>
          <w:szCs w:val="24"/>
        </w:rPr>
        <w:t xml:space="preserve">were sampled from the pool of the target intervention group (serodiscordant couples or </w:t>
      </w:r>
      <w:r w:rsidR="006129BC">
        <w:rPr>
          <w:rFonts w:ascii="Times New Roman" w:hAnsi="Times New Roman" w:cs="Times New Roman"/>
          <w:bCs/>
          <w:noProof w:val="0"/>
          <w:sz w:val="24"/>
          <w:szCs w:val="24"/>
        </w:rPr>
        <w:t xml:space="preserve">individuals in the highest scoring </w:t>
      </w:r>
      <w:r w:rsidR="00A73AF9">
        <w:rPr>
          <w:rFonts w:ascii="Times New Roman" w:hAnsi="Times New Roman" w:cs="Times New Roman"/>
          <w:bCs/>
          <w:noProof w:val="0"/>
          <w:sz w:val="24"/>
          <w:szCs w:val="24"/>
        </w:rPr>
        <w:t>network position</w:t>
      </w:r>
      <w:r w:rsidR="006129BC">
        <w:rPr>
          <w:rFonts w:ascii="Times New Roman" w:hAnsi="Times New Roman" w:cs="Times New Roman"/>
          <w:bCs/>
          <w:noProof w:val="0"/>
          <w:sz w:val="24"/>
          <w:szCs w:val="24"/>
        </w:rPr>
        <w:t>s</w:t>
      </w:r>
      <w:r w:rsidR="00A73AF9">
        <w:rPr>
          <w:rFonts w:ascii="Times New Roman" w:hAnsi="Times New Roman" w:cs="Times New Roman"/>
          <w:bCs/>
          <w:noProof w:val="0"/>
          <w:sz w:val="24"/>
          <w:szCs w:val="24"/>
        </w:rPr>
        <w:t xml:space="preserve">) </w:t>
      </w:r>
      <w:r w:rsidR="00A73AF9" w:rsidRPr="00A73AF9">
        <w:rPr>
          <w:rFonts w:ascii="Times New Roman" w:hAnsi="Times New Roman" w:cs="Times New Roman"/>
          <w:bCs/>
          <w:noProof w:val="0"/>
          <w:sz w:val="24"/>
          <w:szCs w:val="24"/>
        </w:rPr>
        <w:t xml:space="preserve">to make up the difference in the baseline and target levels </w:t>
      </w:r>
      <w:r w:rsidR="00A73AF9" w:rsidRPr="00A73AF9">
        <w:rPr>
          <w:rFonts w:ascii="Times New Roman" w:hAnsi="Times New Roman" w:cs="Times New Roman"/>
          <w:bCs/>
          <w:noProof w:val="0"/>
          <w:sz w:val="24"/>
          <w:szCs w:val="24"/>
        </w:rPr>
        <w:lastRenderedPageBreak/>
        <w:t>of PrEP uptake</w:t>
      </w:r>
      <w:r w:rsidR="00735BC6">
        <w:rPr>
          <w:rFonts w:ascii="Times New Roman" w:hAnsi="Times New Roman" w:cs="Times New Roman"/>
          <w:bCs/>
          <w:noProof w:val="0"/>
          <w:sz w:val="24"/>
          <w:szCs w:val="24"/>
        </w:rPr>
        <w:t xml:space="preserve">. </w:t>
      </w:r>
      <w:r w:rsidR="00CA487D">
        <w:rPr>
          <w:rFonts w:ascii="Times New Roman" w:hAnsi="Times New Roman" w:cs="Times New Roman"/>
          <w:bCs/>
          <w:noProof w:val="0"/>
          <w:sz w:val="24"/>
          <w:szCs w:val="24"/>
        </w:rPr>
        <w:t>Selection from the target intervention group was also implemented proba</w:t>
      </w:r>
      <w:r w:rsidR="0096684B">
        <w:rPr>
          <w:rFonts w:ascii="Times New Roman" w:hAnsi="Times New Roman" w:cs="Times New Roman"/>
          <w:bCs/>
          <w:noProof w:val="0"/>
          <w:sz w:val="24"/>
          <w:szCs w:val="24"/>
        </w:rPr>
        <w:t>bi</w:t>
      </w:r>
      <w:r w:rsidR="00CA487D">
        <w:rPr>
          <w:rFonts w:ascii="Times New Roman" w:hAnsi="Times New Roman" w:cs="Times New Roman"/>
          <w:bCs/>
          <w:noProof w:val="0"/>
          <w:sz w:val="24"/>
          <w:szCs w:val="24"/>
        </w:rPr>
        <w:t>listically</w:t>
      </w:r>
      <w:r w:rsidR="00EC24E5">
        <w:rPr>
          <w:rFonts w:ascii="Times New Roman" w:hAnsi="Times New Roman" w:cs="Times New Roman"/>
          <w:bCs/>
          <w:noProof w:val="0"/>
          <w:sz w:val="24"/>
          <w:szCs w:val="24"/>
        </w:rPr>
        <w:t xml:space="preserve">; </w:t>
      </w:r>
      <w:r w:rsidR="00CA487D">
        <w:rPr>
          <w:rFonts w:ascii="Times New Roman" w:hAnsi="Times New Roman" w:cs="Times New Roman"/>
          <w:bCs/>
          <w:noProof w:val="0"/>
          <w:sz w:val="24"/>
          <w:szCs w:val="24"/>
        </w:rPr>
        <w:t xml:space="preserve">the </w:t>
      </w:r>
      <w:r w:rsidR="00CA487D" w:rsidRPr="00723CA3">
        <w:rPr>
          <w:rFonts w:ascii="Times New Roman" w:hAnsi="Times New Roman" w:cs="Times New Roman"/>
          <w:bCs/>
          <w:sz w:val="24"/>
          <w:szCs w:val="24"/>
        </w:rPr>
        <w:t xml:space="preserve">numerator of this probability was computed by considering the number of individuals required to make up the difference in the </w:t>
      </w:r>
      <w:r w:rsidR="00CA487D">
        <w:rPr>
          <w:rFonts w:ascii="Times New Roman" w:hAnsi="Times New Roman" w:cs="Times New Roman"/>
          <w:bCs/>
          <w:sz w:val="24"/>
          <w:szCs w:val="24"/>
        </w:rPr>
        <w:t xml:space="preserve">baseline </w:t>
      </w:r>
      <w:r w:rsidR="00CA487D" w:rsidRPr="00723CA3">
        <w:rPr>
          <w:rFonts w:ascii="Times New Roman" w:hAnsi="Times New Roman" w:cs="Times New Roman"/>
          <w:bCs/>
          <w:sz w:val="24"/>
          <w:szCs w:val="24"/>
        </w:rPr>
        <w:t xml:space="preserve">and </w:t>
      </w:r>
      <w:r w:rsidR="00CA487D">
        <w:rPr>
          <w:rFonts w:ascii="Times New Roman" w:hAnsi="Times New Roman" w:cs="Times New Roman"/>
          <w:bCs/>
          <w:sz w:val="24"/>
          <w:szCs w:val="24"/>
        </w:rPr>
        <w:t xml:space="preserve">target </w:t>
      </w:r>
      <w:r w:rsidR="00CA487D" w:rsidRPr="00723CA3">
        <w:rPr>
          <w:rFonts w:ascii="Times New Roman" w:hAnsi="Times New Roman" w:cs="Times New Roman"/>
          <w:bCs/>
          <w:sz w:val="24"/>
          <w:szCs w:val="24"/>
        </w:rPr>
        <w:t xml:space="preserve">levels of PrEP uptake, and the denominator was the total number of HIV-negative individuals. </w:t>
      </w:r>
    </w:p>
    <w:p w14:paraId="560C0130" w14:textId="6F4B1C5A" w:rsidR="003F7A80" w:rsidRPr="00DB11A9" w:rsidRDefault="00595BEA" w:rsidP="00742188">
      <w:pPr>
        <w:spacing w:line="480" w:lineRule="auto"/>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Additionally, </w:t>
      </w:r>
      <w:r w:rsidR="00916878">
        <w:rPr>
          <w:rFonts w:ascii="Times New Roman" w:hAnsi="Times New Roman" w:cs="Times New Roman"/>
          <w:noProof w:val="0"/>
          <w:sz w:val="24"/>
          <w:szCs w:val="24"/>
        </w:rPr>
        <w:t>a</w:t>
      </w:r>
      <w:r w:rsidR="00916878" w:rsidRPr="00DB11A9">
        <w:rPr>
          <w:rFonts w:ascii="Times New Roman" w:hAnsi="Times New Roman" w:cs="Times New Roman"/>
          <w:noProof w:val="0"/>
          <w:sz w:val="24"/>
          <w:szCs w:val="24"/>
        </w:rPr>
        <w:t xml:space="preserve">s per the base assumption in the model, PrEP initiators are retained on PrEP for </w:t>
      </w:r>
      <w:r w:rsidR="006B77BD">
        <w:rPr>
          <w:rFonts w:ascii="Times New Roman" w:hAnsi="Times New Roman" w:cs="Times New Roman"/>
          <w:noProof w:val="0"/>
          <w:sz w:val="24"/>
          <w:szCs w:val="24"/>
        </w:rPr>
        <w:t>12 months,</w:t>
      </w:r>
      <w:r w:rsidR="00916878" w:rsidRPr="00DB11A9">
        <w:rPr>
          <w:rFonts w:ascii="Times New Roman" w:hAnsi="Times New Roman" w:cs="Times New Roman"/>
          <w:noProof w:val="0"/>
          <w:sz w:val="24"/>
          <w:szCs w:val="24"/>
        </w:rPr>
        <w:t xml:space="preserve"> and retention times </w:t>
      </w:r>
      <w:r w:rsidR="00916878">
        <w:rPr>
          <w:rFonts w:ascii="Times New Roman" w:hAnsi="Times New Roman" w:cs="Times New Roman"/>
          <w:noProof w:val="0"/>
          <w:sz w:val="24"/>
          <w:szCs w:val="24"/>
        </w:rPr>
        <w:t>we</w:t>
      </w:r>
      <w:r w:rsidR="00916878" w:rsidRPr="00DB11A9">
        <w:rPr>
          <w:rFonts w:ascii="Times New Roman" w:hAnsi="Times New Roman" w:cs="Times New Roman"/>
          <w:noProof w:val="0"/>
          <w:sz w:val="24"/>
          <w:szCs w:val="24"/>
        </w:rPr>
        <w:t xml:space="preserve">re </w:t>
      </w:r>
      <w:r w:rsidR="00916878">
        <w:rPr>
          <w:rFonts w:ascii="Times New Roman" w:hAnsi="Times New Roman" w:cs="Times New Roman"/>
          <w:noProof w:val="0"/>
          <w:sz w:val="24"/>
          <w:szCs w:val="24"/>
        </w:rPr>
        <w:t xml:space="preserve">assumed to be </w:t>
      </w:r>
      <w:r w:rsidR="00916878" w:rsidRPr="00DB11A9">
        <w:rPr>
          <w:rFonts w:ascii="Times New Roman" w:hAnsi="Times New Roman" w:cs="Times New Roman"/>
          <w:noProof w:val="0"/>
          <w:sz w:val="24"/>
          <w:szCs w:val="24"/>
        </w:rPr>
        <w:t>geometrically distributed</w:t>
      </w:r>
      <w:r w:rsidR="00185142">
        <w:rPr>
          <w:rFonts w:ascii="Times New Roman" w:hAnsi="Times New Roman" w:cs="Times New Roman"/>
          <w:noProof w:val="0"/>
          <w:sz w:val="24"/>
          <w:szCs w:val="24"/>
        </w:rPr>
        <w:t>.</w:t>
      </w:r>
      <w:r w:rsidR="0041502A">
        <w:rPr>
          <w:rFonts w:ascii="Times New Roman" w:hAnsi="Times New Roman" w:cs="Times New Roman"/>
          <w:noProof w:val="0"/>
          <w:sz w:val="24"/>
          <w:szCs w:val="24"/>
        </w:rPr>
        <w:t xml:space="preserve"> At the time of initiating PrEP use in the model, each user was assigned a duration of use, that was randomly sampled from a geometric distribution</w:t>
      </w:r>
      <w:r w:rsidR="004B2B42">
        <w:rPr>
          <w:rFonts w:ascii="Times New Roman" w:hAnsi="Times New Roman" w:cs="Times New Roman"/>
          <w:noProof w:val="0"/>
          <w:sz w:val="24"/>
          <w:szCs w:val="24"/>
        </w:rPr>
        <w:t xml:space="preserve"> with a mean of 12 months</w:t>
      </w:r>
      <w:r w:rsidR="0041502A">
        <w:rPr>
          <w:rFonts w:ascii="Times New Roman" w:hAnsi="Times New Roman" w:cs="Times New Roman"/>
          <w:noProof w:val="0"/>
          <w:sz w:val="24"/>
          <w:szCs w:val="24"/>
        </w:rPr>
        <w:t xml:space="preserve">. This formulation allowed PrEP users to </w:t>
      </w:r>
      <w:r w:rsidR="0041502A" w:rsidRPr="00DB11A9">
        <w:rPr>
          <w:rFonts w:ascii="Times New Roman" w:hAnsi="Times New Roman" w:cs="Times New Roman"/>
          <w:noProof w:val="0"/>
          <w:sz w:val="24"/>
          <w:szCs w:val="24"/>
        </w:rPr>
        <w:t xml:space="preserve">cycle </w:t>
      </w:r>
      <w:r w:rsidR="0041502A">
        <w:rPr>
          <w:rFonts w:ascii="Times New Roman" w:hAnsi="Times New Roman" w:cs="Times New Roman"/>
          <w:noProof w:val="0"/>
          <w:sz w:val="24"/>
          <w:szCs w:val="24"/>
        </w:rPr>
        <w:t>on and off</w:t>
      </w:r>
      <w:r w:rsidR="0041502A" w:rsidRPr="00DB11A9">
        <w:rPr>
          <w:rFonts w:ascii="Times New Roman" w:hAnsi="Times New Roman" w:cs="Times New Roman"/>
          <w:noProof w:val="0"/>
          <w:sz w:val="24"/>
          <w:szCs w:val="24"/>
        </w:rPr>
        <w:t xml:space="preserve"> PrEP</w:t>
      </w:r>
      <w:r w:rsidR="0041502A">
        <w:rPr>
          <w:rFonts w:ascii="Times New Roman" w:hAnsi="Times New Roman" w:cs="Times New Roman"/>
          <w:noProof w:val="0"/>
          <w:sz w:val="24"/>
          <w:szCs w:val="24"/>
        </w:rPr>
        <w:t>, with the</w:t>
      </w:r>
      <w:r w:rsidR="00543303">
        <w:rPr>
          <w:rFonts w:ascii="Times New Roman" w:hAnsi="Times New Roman" w:cs="Times New Roman"/>
          <w:noProof w:val="0"/>
          <w:sz w:val="24"/>
          <w:szCs w:val="24"/>
        </w:rPr>
        <w:t xml:space="preserve"> specified mean</w:t>
      </w:r>
      <w:r w:rsidR="0041502A">
        <w:rPr>
          <w:rFonts w:ascii="Times New Roman" w:hAnsi="Times New Roman" w:cs="Times New Roman"/>
          <w:noProof w:val="0"/>
          <w:sz w:val="24"/>
          <w:szCs w:val="24"/>
        </w:rPr>
        <w:t xml:space="preserve"> duration of use</w:t>
      </w:r>
      <w:r w:rsidR="00543303">
        <w:rPr>
          <w:rFonts w:ascii="Times New Roman" w:hAnsi="Times New Roman" w:cs="Times New Roman"/>
          <w:noProof w:val="0"/>
          <w:sz w:val="24"/>
          <w:szCs w:val="24"/>
        </w:rPr>
        <w:t>.</w:t>
      </w:r>
      <w:r w:rsidR="0041502A">
        <w:rPr>
          <w:rFonts w:ascii="Times New Roman" w:hAnsi="Times New Roman" w:cs="Times New Roman"/>
          <w:noProof w:val="0"/>
          <w:sz w:val="24"/>
          <w:szCs w:val="24"/>
        </w:rPr>
        <w:t xml:space="preserve"> </w:t>
      </w:r>
      <w:r w:rsidR="00E71A19">
        <w:rPr>
          <w:rFonts w:ascii="Times New Roman" w:hAnsi="Times New Roman" w:cs="Times New Roman"/>
          <w:noProof w:val="0"/>
          <w:sz w:val="24"/>
          <w:szCs w:val="24"/>
        </w:rPr>
        <w:t xml:space="preserve">Consequently, </w:t>
      </w:r>
      <w:r w:rsidR="00611224" w:rsidRPr="00DB11A9">
        <w:rPr>
          <w:rFonts w:ascii="Times New Roman" w:hAnsi="Times New Roman" w:cs="Times New Roman"/>
          <w:noProof w:val="0"/>
          <w:sz w:val="24"/>
          <w:szCs w:val="24"/>
        </w:rPr>
        <w:t xml:space="preserve">about 37% of PrEP initiators </w:t>
      </w:r>
      <w:r w:rsidR="000F03DF">
        <w:rPr>
          <w:rFonts w:ascii="Times New Roman" w:hAnsi="Times New Roman" w:cs="Times New Roman"/>
          <w:noProof w:val="0"/>
          <w:sz w:val="24"/>
          <w:szCs w:val="24"/>
        </w:rPr>
        <w:t xml:space="preserve">in the model were </w:t>
      </w:r>
      <w:r w:rsidR="00611224" w:rsidRPr="00DB11A9">
        <w:rPr>
          <w:rFonts w:ascii="Times New Roman" w:hAnsi="Times New Roman" w:cs="Times New Roman"/>
          <w:noProof w:val="0"/>
          <w:sz w:val="24"/>
          <w:szCs w:val="24"/>
        </w:rPr>
        <w:t xml:space="preserve">retained on PrEP one year after they started using it. A recent analysis of data from </w:t>
      </w:r>
      <w:r w:rsidR="00611224">
        <w:rPr>
          <w:rFonts w:ascii="Times New Roman" w:hAnsi="Times New Roman" w:cs="Times New Roman"/>
          <w:noProof w:val="0"/>
          <w:sz w:val="24"/>
          <w:szCs w:val="24"/>
        </w:rPr>
        <w:t>the largest provider of PrEP</w:t>
      </w:r>
      <w:r w:rsidR="00611224" w:rsidRPr="00DB11A9">
        <w:rPr>
          <w:rFonts w:ascii="Times New Roman" w:hAnsi="Times New Roman" w:cs="Times New Roman"/>
          <w:noProof w:val="0"/>
          <w:sz w:val="24"/>
          <w:szCs w:val="24"/>
        </w:rPr>
        <w:t xml:space="preserve"> in </w:t>
      </w:r>
      <w:r w:rsidR="00611224">
        <w:rPr>
          <w:rFonts w:ascii="Times New Roman" w:hAnsi="Times New Roman" w:cs="Times New Roman"/>
          <w:noProof w:val="0"/>
          <w:sz w:val="24"/>
          <w:szCs w:val="24"/>
        </w:rPr>
        <w:t>Illinois</w:t>
      </w:r>
      <w:r w:rsidR="00611224" w:rsidRPr="00DB11A9">
        <w:rPr>
          <w:rFonts w:ascii="Times New Roman" w:hAnsi="Times New Roman" w:cs="Times New Roman"/>
          <w:noProof w:val="0"/>
          <w:sz w:val="24"/>
          <w:szCs w:val="24"/>
        </w:rPr>
        <w:t xml:space="preserve"> found a comparable </w:t>
      </w:r>
      <w:r w:rsidR="00611224">
        <w:rPr>
          <w:rFonts w:ascii="Times New Roman" w:hAnsi="Times New Roman" w:cs="Times New Roman"/>
          <w:noProof w:val="0"/>
          <w:sz w:val="24"/>
          <w:szCs w:val="24"/>
        </w:rPr>
        <w:t>proportion (</w:t>
      </w:r>
      <w:r w:rsidR="00611224" w:rsidRPr="00DB11A9">
        <w:rPr>
          <w:rFonts w:ascii="Times New Roman" w:hAnsi="Times New Roman" w:cs="Times New Roman"/>
          <w:noProof w:val="0"/>
          <w:sz w:val="24"/>
          <w:szCs w:val="24"/>
        </w:rPr>
        <w:t>43%</w:t>
      </w:r>
      <w:r w:rsidR="00611224">
        <w:rPr>
          <w:rFonts w:ascii="Times New Roman" w:hAnsi="Times New Roman" w:cs="Times New Roman"/>
          <w:noProof w:val="0"/>
          <w:sz w:val="24"/>
          <w:szCs w:val="24"/>
        </w:rPr>
        <w:t xml:space="preserve"> of PrEP initiators in the general population) </w:t>
      </w:r>
      <w:r w:rsidR="00611224" w:rsidRPr="00DB11A9">
        <w:rPr>
          <w:rFonts w:ascii="Times New Roman" w:hAnsi="Times New Roman" w:cs="Times New Roman"/>
          <w:noProof w:val="0"/>
          <w:sz w:val="24"/>
          <w:szCs w:val="24"/>
        </w:rPr>
        <w:t xml:space="preserve">retained </w:t>
      </w:r>
      <w:r w:rsidR="00611224">
        <w:rPr>
          <w:rFonts w:ascii="Times New Roman" w:hAnsi="Times New Roman" w:cs="Times New Roman"/>
          <w:noProof w:val="0"/>
          <w:sz w:val="24"/>
          <w:szCs w:val="24"/>
        </w:rPr>
        <w:t xml:space="preserve">on PrEP </w:t>
      </w:r>
      <w:r w:rsidR="00611224" w:rsidRPr="00DB11A9">
        <w:rPr>
          <w:rFonts w:ascii="Times New Roman" w:hAnsi="Times New Roman" w:cs="Times New Roman"/>
          <w:noProof w:val="0"/>
          <w:sz w:val="24"/>
          <w:szCs w:val="24"/>
        </w:rPr>
        <w:t xml:space="preserve">after about one year </w:t>
      </w:r>
      <w:r w:rsidR="00611224" w:rsidRPr="00DB11A9">
        <w:rPr>
          <w:rFonts w:ascii="Times New Roman" w:hAnsi="Times New Roman" w:cs="Times New Roman"/>
          <w:noProof w:val="0"/>
          <w:sz w:val="24"/>
          <w:szCs w:val="24"/>
        </w:rPr>
        <w:fldChar w:fldCharType="begin" w:fldLock="1"/>
      </w:r>
      <w:r w:rsidR="002569A7">
        <w:rPr>
          <w:rFonts w:ascii="Times New Roman" w:hAnsi="Times New Roman" w:cs="Times New Roman"/>
          <w:noProof w:val="0"/>
          <w:sz w:val="24"/>
          <w:szCs w:val="24"/>
        </w:rPr>
        <w:instrText>ADDIN CSL_CITATION {"citationItems":[{"id":"ITEM-1","itemData":{"DOI":"10.1093/cid/ciy160","ISSN":"1537-6591","PMID":"29506057","abstract":"Retention in preexposure prophylaxis (PrEP) care is critical to elimination of human immunodeficiency virus. We reviewed all Howard Brown Health patients receiving PrEP (n = 5583) from 2012 to 2017. Among those with 12 months of follow-up, 43% remained in care, yet only 15% had all 4 quarters with a PrEP visit. Insurance status and comorbid conditions were drivers of retention in care.","author":[{"dropping-particle":"","family":"Rusie","given":"Laura K","non-dropping-particle":"","parse-names":false,"suffix":""},{"dropping-particle":"","family":"Orengo","given":"Carlos","non-dropping-particle":"","parse-names":false,"suffix":""},{"dropping-particle":"","family":"Burrell","given":"Diane","non-dropping-particle":"","parse-names":false,"suffix":""},{"dropping-particle":"","family":"Ramachandran","given":"Arthi","non-dropping-particle":"","parse-names":false,"suffix":""},{"dropping-particle":"","family":"Houlberg","given":"Magda","non-dropping-particle":"","parse-names":false,"suffix":""},{"dropping-particle":"","family":"Keglovitz","given":"Kristin","non-dropping-particle":"","parse-names":false,"suffix":""},{"dropping-particle":"","family":"Munar","given":"David","non-dropping-particle":"","parse-names":false,"suffix":""},{"dropping-particle":"","family":"Schneider","given":"John A","non-dropping-particle":"","parse-names":false,"suffix":""}],"container-title":"Clinical infectious diseases","id":"ITEM-1","issue":"2","issued":{"date-parts":[["2018","7","2"]]},"page":"283-287","title":"Preexposure Prophylaxis Initiation and Retention in Care Over 5 Years, 2012-2017: Are Quarterly Visits Too Much?","type":"article-journal","volume":"67"},"uris":["http://www.mendeley.com/documents/?uuid=91618452-7248-43f6-985a-8a07e573a784"]}],"mendeley":{"formattedCitation":"[27]","plainTextFormattedCitation":"[27]","previouslyFormattedCitation":"[27]"},"properties":{"noteIndex":0},"schema":"https://github.com/citation-style-language/schema/raw/master/csl-citation.json"}</w:instrText>
      </w:r>
      <w:r w:rsidR="00611224" w:rsidRPr="00DB11A9">
        <w:rPr>
          <w:rFonts w:ascii="Times New Roman" w:hAnsi="Times New Roman" w:cs="Times New Roman"/>
          <w:noProof w:val="0"/>
          <w:sz w:val="24"/>
          <w:szCs w:val="24"/>
        </w:rPr>
        <w:fldChar w:fldCharType="separate"/>
      </w:r>
      <w:r w:rsidR="009B5FF9" w:rsidRPr="009B5FF9">
        <w:rPr>
          <w:rFonts w:ascii="Times New Roman" w:hAnsi="Times New Roman" w:cs="Times New Roman"/>
          <w:sz w:val="24"/>
          <w:szCs w:val="24"/>
        </w:rPr>
        <w:t>[27]</w:t>
      </w:r>
      <w:r w:rsidR="00611224" w:rsidRPr="00DB11A9">
        <w:rPr>
          <w:rFonts w:ascii="Times New Roman" w:hAnsi="Times New Roman" w:cs="Times New Roman"/>
          <w:noProof w:val="0"/>
          <w:sz w:val="24"/>
          <w:szCs w:val="24"/>
        </w:rPr>
        <w:fldChar w:fldCharType="end"/>
      </w:r>
      <w:r w:rsidR="00611224" w:rsidRPr="00DB11A9">
        <w:rPr>
          <w:rFonts w:ascii="Times New Roman" w:hAnsi="Times New Roman" w:cs="Times New Roman"/>
          <w:noProof w:val="0"/>
          <w:sz w:val="24"/>
          <w:szCs w:val="24"/>
        </w:rPr>
        <w:t>.</w:t>
      </w:r>
    </w:p>
    <w:p w14:paraId="5B444FCE" w14:textId="5AA920AB" w:rsidR="00E87CD6" w:rsidRDefault="002D1174" w:rsidP="002D1174">
      <w:pPr>
        <w:spacing w:line="480" w:lineRule="auto"/>
        <w:rPr>
          <w:rFonts w:ascii="Times New Roman" w:hAnsi="Times New Roman" w:cs="Times New Roman"/>
          <w:noProof w:val="0"/>
          <w:sz w:val="24"/>
          <w:szCs w:val="24"/>
        </w:rPr>
      </w:pPr>
      <w:bookmarkStart w:id="12" w:name="_Toc3377340"/>
      <w:r w:rsidRPr="000B44D1">
        <w:rPr>
          <w:rStyle w:val="Heading2Char"/>
        </w:rPr>
        <w:t>A.4.9</w:t>
      </w:r>
      <w:r w:rsidR="003B2E9E" w:rsidRPr="000B44D1">
        <w:rPr>
          <w:rStyle w:val="Heading2Char"/>
        </w:rPr>
        <w:t>.</w:t>
      </w:r>
      <w:r w:rsidRPr="000B44D1">
        <w:rPr>
          <w:rStyle w:val="Heading2Char"/>
        </w:rPr>
        <w:t xml:space="preserve"> </w:t>
      </w:r>
      <w:r w:rsidR="00635D40" w:rsidRPr="000B44D1">
        <w:rPr>
          <w:rStyle w:val="Heading2Char"/>
        </w:rPr>
        <w:t>Incidence of e</w:t>
      </w:r>
      <w:r w:rsidR="00F92F4D" w:rsidRPr="000B44D1">
        <w:rPr>
          <w:rStyle w:val="Heading2Char"/>
        </w:rPr>
        <w:t>xternal HIV Infections</w:t>
      </w:r>
      <w:bookmarkEnd w:id="12"/>
      <w:r w:rsidR="00F92F4D" w:rsidRPr="002D1174">
        <w:rPr>
          <w:rFonts w:ascii="Times New Roman" w:hAnsi="Times New Roman" w:cs="Times New Roman"/>
          <w:bCs/>
          <w:noProof w:val="0"/>
          <w:sz w:val="24"/>
          <w:szCs w:val="24"/>
        </w:rPr>
        <w:t xml:space="preserve">: </w:t>
      </w:r>
      <w:r w:rsidR="000B48C0" w:rsidRPr="002D1174">
        <w:rPr>
          <w:rFonts w:ascii="Times New Roman" w:hAnsi="Times New Roman" w:cs="Times New Roman"/>
          <w:noProof w:val="0"/>
          <w:sz w:val="24"/>
          <w:szCs w:val="24"/>
        </w:rPr>
        <w:t xml:space="preserve">To model HIV infections from individuals not in </w:t>
      </w:r>
      <w:r w:rsidR="00974A0F">
        <w:rPr>
          <w:rFonts w:ascii="Times New Roman" w:hAnsi="Times New Roman" w:cs="Times New Roman"/>
          <w:noProof w:val="0"/>
          <w:sz w:val="24"/>
          <w:szCs w:val="24"/>
        </w:rPr>
        <w:t>the</w:t>
      </w:r>
      <w:r w:rsidR="000B48C0" w:rsidRPr="002D1174">
        <w:rPr>
          <w:rFonts w:ascii="Times New Roman" w:hAnsi="Times New Roman" w:cs="Times New Roman"/>
          <w:noProof w:val="0"/>
          <w:sz w:val="24"/>
          <w:szCs w:val="24"/>
        </w:rPr>
        <w:t xml:space="preserve"> </w:t>
      </w:r>
      <w:r w:rsidR="000B48C0" w:rsidRPr="002D1174">
        <w:rPr>
          <w:rFonts w:ascii="Times New Roman" w:hAnsi="Times New Roman" w:cs="Times New Roman"/>
          <w:noProof w:val="0"/>
          <w:sz w:val="24"/>
          <w:szCs w:val="24"/>
        </w:rPr>
        <w:t>defined population</w:t>
      </w:r>
      <w:r w:rsidR="00D622D9">
        <w:rPr>
          <w:rFonts w:ascii="Times New Roman" w:hAnsi="Times New Roman" w:cs="Times New Roman"/>
          <w:noProof w:val="0"/>
          <w:sz w:val="24"/>
          <w:szCs w:val="24"/>
        </w:rPr>
        <w:t xml:space="preserve"> (i.e. “external” infections)</w:t>
      </w:r>
      <w:r w:rsidR="000B48C0" w:rsidRPr="002D1174">
        <w:rPr>
          <w:rFonts w:ascii="Times New Roman" w:hAnsi="Times New Roman" w:cs="Times New Roman"/>
          <w:noProof w:val="0"/>
          <w:sz w:val="24"/>
          <w:szCs w:val="24"/>
        </w:rPr>
        <w:t xml:space="preserve">, </w:t>
      </w:r>
      <w:r w:rsidR="007C35CE" w:rsidRPr="002D1174">
        <w:rPr>
          <w:rFonts w:ascii="Times New Roman" w:hAnsi="Times New Roman" w:cs="Times New Roman"/>
          <w:noProof w:val="0"/>
          <w:sz w:val="24"/>
          <w:szCs w:val="24"/>
        </w:rPr>
        <w:t xml:space="preserve">the following parameters were </w:t>
      </w:r>
      <w:r w:rsidR="000B306D">
        <w:rPr>
          <w:rFonts w:ascii="Times New Roman" w:hAnsi="Times New Roman" w:cs="Times New Roman"/>
          <w:noProof w:val="0"/>
          <w:sz w:val="24"/>
          <w:szCs w:val="24"/>
        </w:rPr>
        <w:t>considered</w:t>
      </w:r>
      <w:r w:rsidR="000B48C0" w:rsidRPr="002D1174">
        <w:rPr>
          <w:rFonts w:ascii="Times New Roman" w:hAnsi="Times New Roman" w:cs="Times New Roman"/>
          <w:noProof w:val="0"/>
          <w:sz w:val="24"/>
          <w:szCs w:val="24"/>
        </w:rPr>
        <w:t xml:space="preserve">: </w:t>
      </w:r>
      <w:r w:rsidR="00534BBE" w:rsidRPr="002D1174">
        <w:rPr>
          <w:rFonts w:ascii="Times New Roman" w:hAnsi="Times New Roman" w:cs="Times New Roman"/>
          <w:noProof w:val="0"/>
          <w:sz w:val="24"/>
          <w:szCs w:val="24"/>
        </w:rPr>
        <w:t>(</w:t>
      </w:r>
      <w:r w:rsidR="000B48C0" w:rsidRPr="002D1174">
        <w:rPr>
          <w:rFonts w:ascii="Times New Roman" w:hAnsi="Times New Roman" w:cs="Times New Roman"/>
          <w:noProof w:val="0"/>
          <w:sz w:val="24"/>
          <w:szCs w:val="24"/>
        </w:rPr>
        <w:t xml:space="preserve">1) </w:t>
      </w:r>
      <w:r w:rsidR="00AF7476" w:rsidRPr="002D1174">
        <w:rPr>
          <w:rFonts w:ascii="Times New Roman" w:hAnsi="Times New Roman" w:cs="Times New Roman"/>
          <w:noProof w:val="0"/>
          <w:sz w:val="24"/>
          <w:szCs w:val="24"/>
        </w:rPr>
        <w:t>the overall incidence rate among YBMSM</w:t>
      </w:r>
      <w:r w:rsidR="00AF7476">
        <w:rPr>
          <w:rFonts w:ascii="Times New Roman" w:hAnsi="Times New Roman" w:cs="Times New Roman"/>
          <w:noProof w:val="0"/>
          <w:sz w:val="24"/>
          <w:szCs w:val="24"/>
        </w:rPr>
        <w:t xml:space="preserve">, </w:t>
      </w:r>
      <w:r w:rsidR="008F6973">
        <w:rPr>
          <w:rFonts w:ascii="Times New Roman" w:hAnsi="Times New Roman" w:cs="Times New Roman"/>
          <w:noProof w:val="0"/>
          <w:sz w:val="24"/>
          <w:szCs w:val="24"/>
        </w:rPr>
        <w:t xml:space="preserve">estimated at </w:t>
      </w:r>
      <w:r w:rsidR="008F6973" w:rsidRPr="002D1174">
        <w:rPr>
          <w:rFonts w:ascii="Times New Roman" w:hAnsi="Times New Roman" w:cs="Times New Roman"/>
          <w:noProof w:val="0"/>
          <w:sz w:val="24"/>
          <w:szCs w:val="24"/>
        </w:rPr>
        <w:t>5-7 per 100 person</w:t>
      </w:r>
      <w:r w:rsidR="00D94720">
        <w:rPr>
          <w:rFonts w:ascii="Times New Roman" w:hAnsi="Times New Roman" w:cs="Times New Roman"/>
          <w:noProof w:val="0"/>
          <w:sz w:val="24"/>
          <w:szCs w:val="24"/>
        </w:rPr>
        <w:t xml:space="preserve"> </w:t>
      </w:r>
      <w:r w:rsidR="008F6973" w:rsidRPr="002D1174">
        <w:rPr>
          <w:rFonts w:ascii="Times New Roman" w:hAnsi="Times New Roman" w:cs="Times New Roman"/>
          <w:noProof w:val="0"/>
          <w:sz w:val="24"/>
          <w:szCs w:val="24"/>
        </w:rPr>
        <w:t>years (</w:t>
      </w:r>
      <w:proofErr w:type="spellStart"/>
      <w:r w:rsidR="008F6973" w:rsidRPr="002D1174">
        <w:rPr>
          <w:rFonts w:ascii="Times New Roman" w:hAnsi="Times New Roman" w:cs="Times New Roman"/>
          <w:noProof w:val="0"/>
          <w:sz w:val="24"/>
          <w:szCs w:val="24"/>
        </w:rPr>
        <w:t>py</w:t>
      </w:r>
      <w:proofErr w:type="spellEnd"/>
      <w:r w:rsidR="008F6973" w:rsidRPr="002D1174">
        <w:rPr>
          <w:rFonts w:ascii="Times New Roman" w:hAnsi="Times New Roman" w:cs="Times New Roman"/>
          <w:noProof w:val="0"/>
          <w:sz w:val="24"/>
          <w:szCs w:val="24"/>
        </w:rPr>
        <w:t>)</w:t>
      </w:r>
      <w:r w:rsidR="006234C1">
        <w:rPr>
          <w:rFonts w:ascii="Times New Roman" w:hAnsi="Times New Roman" w:cs="Times New Roman"/>
          <w:noProof w:val="0"/>
          <w:sz w:val="24"/>
          <w:szCs w:val="24"/>
        </w:rPr>
        <w:t xml:space="preserve"> from two </w:t>
      </w:r>
      <w:r w:rsidR="006234C1">
        <w:rPr>
          <w:rFonts w:ascii="Times New Roman" w:hAnsi="Times New Roman" w:cs="Times New Roman"/>
          <w:noProof w:val="0"/>
          <w:sz w:val="24"/>
          <w:szCs w:val="24"/>
        </w:rPr>
        <w:t xml:space="preserve">different </w:t>
      </w:r>
      <w:r w:rsidR="00B16A84">
        <w:rPr>
          <w:rFonts w:ascii="Times New Roman" w:hAnsi="Times New Roman" w:cs="Times New Roman"/>
          <w:noProof w:val="0"/>
          <w:sz w:val="24"/>
          <w:szCs w:val="24"/>
        </w:rPr>
        <w:t>population</w:t>
      </w:r>
      <w:r w:rsidR="006234C1">
        <w:rPr>
          <w:rFonts w:ascii="Times New Roman" w:hAnsi="Times New Roman" w:cs="Times New Roman"/>
          <w:noProof w:val="0"/>
          <w:sz w:val="24"/>
          <w:szCs w:val="24"/>
        </w:rPr>
        <w:t xml:space="preserve">-based </w:t>
      </w:r>
      <w:r w:rsidR="00B16A84">
        <w:rPr>
          <w:rFonts w:ascii="Times New Roman" w:hAnsi="Times New Roman" w:cs="Times New Roman"/>
          <w:noProof w:val="0"/>
          <w:sz w:val="24"/>
          <w:szCs w:val="24"/>
        </w:rPr>
        <w:t xml:space="preserve">Chicago </w:t>
      </w:r>
      <w:r w:rsidR="006234C1">
        <w:rPr>
          <w:rFonts w:ascii="Times New Roman" w:hAnsi="Times New Roman" w:cs="Times New Roman"/>
          <w:noProof w:val="0"/>
          <w:sz w:val="24"/>
          <w:szCs w:val="24"/>
        </w:rPr>
        <w:t>cohorts</w:t>
      </w:r>
      <w:r w:rsidR="00A5095B">
        <w:rPr>
          <w:rFonts w:ascii="Times New Roman" w:hAnsi="Times New Roman" w:cs="Times New Roman"/>
          <w:noProof w:val="0"/>
          <w:sz w:val="24"/>
          <w:szCs w:val="24"/>
        </w:rPr>
        <w:t xml:space="preserve"> </w:t>
      </w:r>
      <w:r w:rsidR="00B16A84">
        <w:rPr>
          <w:rFonts w:ascii="Times New Roman" w:hAnsi="Times New Roman" w:cs="Times New Roman"/>
          <w:noProof w:val="0"/>
          <w:sz w:val="24"/>
          <w:szCs w:val="24"/>
        </w:rPr>
        <w:t>of YBMSM</w:t>
      </w:r>
      <w:r w:rsidR="00E10A43">
        <w:rPr>
          <w:rFonts w:ascii="Times New Roman" w:hAnsi="Times New Roman" w:cs="Times New Roman"/>
          <w:noProof w:val="0"/>
          <w:sz w:val="24"/>
          <w:szCs w:val="24"/>
        </w:rPr>
        <w:t xml:space="preserve"> </w:t>
      </w:r>
      <w:r w:rsidR="00E10A43" w:rsidRPr="007122A3">
        <w:rPr>
          <w:rFonts w:ascii="Times New Roman" w:hAnsi="Times New Roman" w:cs="Times New Roman"/>
          <w:noProof w:val="0"/>
          <w:sz w:val="24"/>
          <w:szCs w:val="24"/>
        </w:rPr>
        <w:fldChar w:fldCharType="begin" w:fldLock="1"/>
      </w:r>
      <w:r w:rsidR="00590DAA">
        <w:rPr>
          <w:rFonts w:ascii="Times New Roman" w:hAnsi="Times New Roman" w:cs="Times New Roman"/>
          <w:noProof w:val="0"/>
          <w:sz w:val="24"/>
          <w:szCs w:val="24"/>
        </w:rPr>
        <w:instrText>ADDIN CSL_CITATION {"citationItems":[{"id":"ITEM-1","itemData":{"DOI":"10.1097/QAD.0000000000001710","ISSN":"1473-5571","PMID":"29194116","abstract":"BACKGROUND Identification of clients at greatest risk of acquiring HIV is critical for preexposure prophylaxi (PrEP) implementation. Young black MSM (YBMSM) have high incidence of HIV. We examined published guidelines in identifying eligible PrEP candidates, including seroconverters, in a representative cohort of YBMSM. METHODS The uConnect cohort included YBMSM aged 16-29 years during PrEP roll-out in Chicago from 2013 and 2016. YBMSM with indications for PrEP were determined using Center for Disease Control and Prevention (CDC) guidelines, the HIV incidence risk index for MSM (HIRI-MSM) scoring tool, and Gilead recommendations with calculation of sensitivities, specificities, and area under the curve (AUC) for HIV seroconversion over 18 months. Incidence rate ratios (IRRs) using Poisson regression were modeled to compare individual and network factors associated with seroconversion. RESULTS In the study cohort, 300 HIV uninfected YBMSM contributed 390.4 person-years of follow-up [mean age (SD), 22.3 years (3.07)]. HIV incidence was 8.5 cases per 100 person-years (95% confidence interval, 6.0-11.9). One network factor was associated with seroconversion: having partners more than 10 years older (IRR = 4.4, 95% confidence interval, 1.6-11.8). Overall, 49% of the cohort had an indication for PrEP using CDC guidelines; 72% using HIRI-MSM, and 86% using Gilead recommendations. HIV seroconverters (n = 33) were identified as PrEP eligible prior to seroconversion with sensitivities/AUCs for CDC (52%/0.51), HIRI-MSM (85%/0.57), and Gilead guidelines (94%/0.54). CONCLUSION Low sensitivity of CDC guidelines and limited AUC of HIRI-MSM and Gilead screening tools are of concern for PrEP implementation among most at risk populations such as YBMSM. Consideration of demographics, local epidemiology, and network factors may better guide identification of clients who could benefit most from PrEP.","author":[{"dropping-particle":"","family":"Lancki","given":"Nicola","non-dropping-particle":"","parse-names":false,"suffix":""},{"dropping-particle":"","family":"Almirol","given":"Ellen","non-dropping-particle":"","parse-names":false,"suffix":""},{"dropping-particle":"","family":"Alon","given":"Leigh","non-dropping-particle":"","parse-names":false,"suffix":""},{"dropping-particle":"","family":"McNulty","given":"Moira","non-dropping-particle":"","parse-names":false,"suffix":""},{"dropping-particle":"","family":"Schneider","given":"John A.","non-dropping-particle":"","parse-names":false,"suffix":""}],"container-title":"AIDS (London, England)","id":"ITEM-1","issue":"3","issued":{"date-parts":[["2018","1","28"]]},"page":"383-392","title":"Preexposure prophylaxis guidelines have low sensitivity for identifying seroconverters in a sample of young Black MSM in Chicago.","type":"article-journal","volume":"32"},"uris":["http://www.mendeley.com/documents/?uuid=b830df07-10a8-4703-b6e1-94f92b764cc4"]},{"id":"ITEM-2","itemData":{"DOI":"10.1017/nws.2016.27","ISSN":"2050-1242","abstract":"Critical to the development of improved HIV elimination efforts is a greater understanding of how social networks and their dynamics are related to HIV risk and prevention. In this paper, we examine network stability of confidant and sexual networks among young black men who have sex with men (YBMSM). We use data from uConnect (2013–2016), a population-based, longitudinal cohort study. We use an innovative approach to measure both sexual and confidant network stability at three time points, and examine the relationship between each type of stability and HIV risk and prevention behaviors. This approach is consistent with a co-evolutionary perspective in which behavior is not only affected by static properties of an individual's network, but may also be associated with changes in the topology of his or her egocentric network. Our results indicate that although confidant and sexual network stability are moderately correlated, their dynamics are distinct with different predictors and differing associations with behavior. Both types of stability are associated with lower rates of risk behaviors, and both are reduced among those who have spent time in jail. Public health awareness and engagement with both types of networks may provide new opportunities for HIV prevention interventions.","author":[{"dropping-particle":"","family":"Schneider","given":"J.","non-dropping-particle":"","parse-names":false,"suffix":""},{"dropping-particle":"","family":"Cornwell","given":"B.","non-dropping-particle":"","parse-names":false,"suffix":""},{"dropping-particle":"","family":"Jonas","given":"A.","non-dropping-particle":"","parse-names":false,"suffix":""},{"dropping-particle":"","family":"Lancki","given":"N.","non-dropping-particle":"","parse-names":false,"suffix":""},{"dropping-particle":"","family":"Behler","given":"R.","non-dropping-particle":"","parse-names":false,"suffix":""},{"dropping-particle":"","family":"Skaathun","given":"B.","non-dropping-particle":"","parse-names":false,"suffix":""},{"dropping-particle":"","family":"Young","given":"L. E.","non-dropping-particle":"","parse-names":false,"suffix":""},{"dropping-particle":"","family":"Morgan","given":"E.","non-dropping-particle":"","parse-names":false,"suffix":""},{"dropping-particle":"","family":"Michaels","given":"S.","non-dropping-particle":"","parse-names":false,"suffix":""},{"dropping-particle":"","family":"Duvosin","given":"R.","non-dropping-particle":"","parse-names":false,"suffix":""},{"dropping-particle":"","family":"Khanna","given":"A. S.","non-dropping-particle":"","parse-names":false,"suffix":""},{"dropping-particle":"","family":"Friedman","given":"S.","non-dropping-particle":"","parse-names":false,"suffix":""},{"dropping-particle":"","family":"Schumm","given":"P.","non-dropping-particle":"","parse-names":false,"suffix":""},{"dropping-particle":"","family":"Laumann","given":"E.","non-dropping-particle":"","parse-names":false,"suffix":""}],"container-title":"Network Science","id":"ITEM-2","issued":{"date-parts":[["2017","2","1"]]},"page":"1-29","title":"Network dynamics of HIV risk and prevention in a population-based cohort of young Black men who have sex with men","type":"article-journal"},"uris":["http://www.mendeley.com/documents/?uuid=8555ec92-af42-4c8d-82ce-7037a468896b"]},{"id":"ITEM-3","itemData":{"DOI":"10.1007/s10461-017-1739-0","ISSN":"1090-7165","author":[{"dropping-particle":"","family":"Kuhns","given":"Lisa M.","non-dropping-particle":"","parse-names":false,"suffix":""},{"dropping-particle":"","family":"Hotton","given":"Anna L.","non-dropping-particle":"","parse-names":false,"suffix":""},{"dropping-particle":"","family":"Schneider","given":"John","non-dropping-particle":"","parse-names":false,"suffix":""},{"dropping-particle":"","family":"Garofalo","given":"Robert","non-dropping-particle":"","parse-names":false,"suffix":""},{"dropping-particle":"","family":"Fujimoto","given":"Kayo","non-dropping-particle":"","parse-names":false,"suffix":""}],"container-title":"AIDS and Behavior","id":"ITEM-3","issue":"5","issued":{"date-parts":[["2017","5","25"]]},"page":"1376-1382","title":"Use of Pre-exposure Prophylaxis (PrEP) in Young Men Who Have Sex with Men is Associated with Race, Sexual Risk Behavior and Peer Network Size","type":"article-journal","volume":"21"},"uris":["http://www.mendeley.com/documents/?uuid=5d6c2ee1-3a6f-4699-9689-06c81bc155da"]}],"mendeley":{"formattedCitation":"[16,28,29]","plainTextFormattedCitation":"[16,28,29]","previouslyFormattedCitation":"[16,28,29]"},"properties":{"noteIndex":0},"schema":"https://github.com/citation-style-language/schema/raw/master/csl-citation.json"}</w:instrText>
      </w:r>
      <w:r w:rsidR="00E10A43" w:rsidRPr="007122A3">
        <w:rPr>
          <w:rFonts w:ascii="Times New Roman" w:hAnsi="Times New Roman" w:cs="Times New Roman"/>
          <w:noProof w:val="0"/>
          <w:sz w:val="24"/>
          <w:szCs w:val="24"/>
        </w:rPr>
        <w:fldChar w:fldCharType="separate"/>
      </w:r>
      <w:r w:rsidR="007A01DC" w:rsidRPr="007A01DC">
        <w:rPr>
          <w:rFonts w:ascii="Times New Roman" w:hAnsi="Times New Roman" w:cs="Times New Roman"/>
          <w:sz w:val="24"/>
          <w:szCs w:val="24"/>
        </w:rPr>
        <w:t>[16,28,29]</w:t>
      </w:r>
      <w:r w:rsidR="00E10A43" w:rsidRPr="007122A3">
        <w:rPr>
          <w:rFonts w:ascii="Times New Roman" w:hAnsi="Times New Roman" w:cs="Times New Roman"/>
          <w:noProof w:val="0"/>
          <w:sz w:val="24"/>
          <w:szCs w:val="24"/>
        </w:rPr>
        <w:fldChar w:fldCharType="end"/>
      </w:r>
      <w:r w:rsidR="002154C9">
        <w:rPr>
          <w:rFonts w:ascii="Times New Roman" w:hAnsi="Times New Roman" w:cs="Times New Roman"/>
          <w:noProof w:val="0"/>
          <w:sz w:val="24"/>
          <w:szCs w:val="24"/>
        </w:rPr>
        <w:t>;</w:t>
      </w:r>
      <w:r w:rsidR="008F6973">
        <w:rPr>
          <w:rFonts w:ascii="Times New Roman" w:hAnsi="Times New Roman" w:cs="Times New Roman"/>
          <w:noProof w:val="0"/>
          <w:sz w:val="24"/>
          <w:szCs w:val="24"/>
        </w:rPr>
        <w:t xml:space="preserve"> </w:t>
      </w:r>
      <w:r w:rsidR="00090D69">
        <w:rPr>
          <w:rFonts w:ascii="Times New Roman" w:hAnsi="Times New Roman" w:cs="Times New Roman"/>
          <w:noProof w:val="0"/>
          <w:sz w:val="24"/>
          <w:szCs w:val="24"/>
        </w:rPr>
        <w:t xml:space="preserve">(2) </w:t>
      </w:r>
      <w:r w:rsidR="00C73CC9" w:rsidRPr="002D1174">
        <w:rPr>
          <w:rFonts w:ascii="Times New Roman" w:hAnsi="Times New Roman" w:cs="Times New Roman"/>
          <w:noProof w:val="0"/>
          <w:sz w:val="24"/>
          <w:szCs w:val="24"/>
        </w:rPr>
        <w:t>the</w:t>
      </w:r>
      <w:r w:rsidR="00CE3362" w:rsidRPr="00CE3362">
        <w:rPr>
          <w:rFonts w:ascii="Times New Roman" w:hAnsi="Times New Roman" w:cs="Times New Roman"/>
          <w:bCs/>
          <w:noProof w:val="0"/>
          <w:sz w:val="24"/>
          <w:szCs w:val="24"/>
        </w:rPr>
        <w:t xml:space="preserve"> proportion of this overall HIV incidence that consists of new HIV infections transmitted from older BMSM to YBMSM and vice versa</w:t>
      </w:r>
      <w:r w:rsidR="00C73CC9" w:rsidRPr="002D1174">
        <w:rPr>
          <w:rFonts w:ascii="Times New Roman" w:hAnsi="Times New Roman" w:cs="Times New Roman"/>
          <w:noProof w:val="0"/>
          <w:sz w:val="24"/>
          <w:szCs w:val="24"/>
        </w:rPr>
        <w:t>,</w:t>
      </w:r>
      <w:r w:rsidR="00C73CC9">
        <w:rPr>
          <w:rFonts w:ascii="Times New Roman" w:hAnsi="Times New Roman" w:cs="Times New Roman"/>
          <w:noProof w:val="0"/>
          <w:sz w:val="24"/>
          <w:szCs w:val="24"/>
        </w:rPr>
        <w:t xml:space="preserve"> </w:t>
      </w:r>
      <w:r w:rsidR="00E21565">
        <w:rPr>
          <w:rFonts w:ascii="Times New Roman" w:hAnsi="Times New Roman" w:cs="Times New Roman"/>
          <w:noProof w:val="0"/>
          <w:sz w:val="24"/>
          <w:szCs w:val="24"/>
        </w:rPr>
        <w:t xml:space="preserve">estimated </w:t>
      </w:r>
      <w:r w:rsidR="00D567CB">
        <w:rPr>
          <w:rFonts w:ascii="Times New Roman" w:hAnsi="Times New Roman" w:cs="Times New Roman"/>
          <w:noProof w:val="0"/>
          <w:sz w:val="24"/>
          <w:szCs w:val="24"/>
        </w:rPr>
        <w:t>at</w:t>
      </w:r>
      <w:r w:rsidR="00135640" w:rsidRPr="002D1174">
        <w:rPr>
          <w:rFonts w:ascii="Times New Roman" w:hAnsi="Times New Roman" w:cs="Times New Roman"/>
          <w:noProof w:val="0"/>
          <w:sz w:val="24"/>
          <w:szCs w:val="24"/>
        </w:rPr>
        <w:t xml:space="preserve"> 28% </w:t>
      </w:r>
      <w:r w:rsidR="00135640" w:rsidRPr="0573D6D8">
        <w:fldChar w:fldCharType="begin" w:fldLock="1"/>
      </w:r>
      <w:r w:rsidR="00590DAA">
        <w:rPr>
          <w:rFonts w:ascii="Times New Roman" w:hAnsi="Times New Roman" w:cs="Times New Roman"/>
          <w:noProof w:val="0"/>
          <w:sz w:val="24"/>
          <w:szCs w:val="24"/>
        </w:rPr>
        <w:instrText>ADDIN CSL_CITATION {"citationItems":[{"id":"ITEM-1","itemData":{"author":[{"dropping-particle":"","family":"Panneer","given":"Nivedha","non-dropping-particle":"","parse-names":false,"suffix":""},{"dropping-particle":"","family":"Whiteside","given":"Y Omar","non-dropping-particle":"","parse-names":false,"suffix":""},{"dropping-particle":"","family":"France","given":"Anne Marie","non-dropping-particle":"","parse-names":false,"suffix":""},{"dropping-particle":"","family":"Zhang","given":"Tianchi","non-dropping-particle":"","parse-names":false,"suffix":""},{"dropping-particle":"","family":"Wertheim","given":"Joel O","non-dropping-particle":"","parse-names":false,"suffix":""},{"dropping-particle":"","family":"Oster","given":"Alexandra M","non-dropping-particle":"","parse-names":false,"suffix":""}],"container-title":"Conference on Retroviruses and Opportunistic Infections (CROI). Session P-B1","id":"ITEM-1","issued":{"date-parts":[["2017"]]},"publisher-place":"Seattle, WA","title":"Temporal Changes in HIV Transmission Patterns among Young Men Who Have Sex With Men, United States","type":"article"},"uris":["http://www.mendeley.com/documents/?uuid=156aeca6-dd35-3906-9112-e61076045523"]}],"mendeley":{"formattedCitation":"[30]","plainTextFormattedCitation":"[30]","previouslyFormattedCitation":"[30]"},"properties":{"noteIndex":0},"schema":"https://github.com/citation-style-language/schema/raw/master/csl-citation.json"}</w:instrText>
      </w:r>
      <w:r w:rsidR="00135640" w:rsidRPr="0573D6D8">
        <w:rPr>
          <w:rFonts w:ascii="Times New Roman" w:hAnsi="Times New Roman" w:cs="Times New Roman"/>
          <w:noProof w:val="0"/>
          <w:sz w:val="24"/>
          <w:szCs w:val="24"/>
        </w:rPr>
        <w:fldChar w:fldCharType="separate"/>
      </w:r>
      <w:r w:rsidR="007A01DC" w:rsidRPr="007A01DC">
        <w:rPr>
          <w:rFonts w:ascii="Times New Roman" w:hAnsi="Times New Roman" w:cs="Times New Roman"/>
          <w:sz w:val="24"/>
          <w:szCs w:val="24"/>
        </w:rPr>
        <w:t>[30]</w:t>
      </w:r>
      <w:r w:rsidR="00135640" w:rsidRPr="0573D6D8">
        <w:fldChar w:fldCharType="end"/>
      </w:r>
      <w:r w:rsidR="000B48C0" w:rsidRPr="002D1174">
        <w:rPr>
          <w:rFonts w:ascii="Times New Roman" w:hAnsi="Times New Roman" w:cs="Times New Roman"/>
          <w:noProof w:val="0"/>
          <w:sz w:val="24"/>
          <w:szCs w:val="24"/>
        </w:rPr>
        <w:t xml:space="preserve">; </w:t>
      </w:r>
      <w:r w:rsidR="00101C10">
        <w:rPr>
          <w:rFonts w:ascii="Times New Roman" w:hAnsi="Times New Roman" w:cs="Times New Roman"/>
          <w:noProof w:val="0"/>
          <w:sz w:val="24"/>
          <w:szCs w:val="24"/>
        </w:rPr>
        <w:t xml:space="preserve">the proportion of </w:t>
      </w:r>
      <w:r w:rsidR="002C5C01">
        <w:rPr>
          <w:rFonts w:ascii="Times New Roman" w:hAnsi="Times New Roman" w:cs="Times New Roman"/>
          <w:noProof w:val="0"/>
          <w:sz w:val="24"/>
          <w:szCs w:val="24"/>
        </w:rPr>
        <w:t xml:space="preserve">infections that </w:t>
      </w:r>
      <w:r w:rsidR="00101C10">
        <w:rPr>
          <w:rFonts w:ascii="Times New Roman" w:hAnsi="Times New Roman" w:cs="Times New Roman"/>
          <w:noProof w:val="0"/>
          <w:sz w:val="24"/>
          <w:szCs w:val="24"/>
        </w:rPr>
        <w:t xml:space="preserve">are </w:t>
      </w:r>
      <w:r w:rsidR="002C5C01">
        <w:rPr>
          <w:rFonts w:ascii="Times New Roman" w:hAnsi="Times New Roman" w:cs="Times New Roman"/>
          <w:noProof w:val="0"/>
          <w:sz w:val="24"/>
          <w:szCs w:val="24"/>
        </w:rPr>
        <w:t xml:space="preserve">transmitted to </w:t>
      </w:r>
      <w:r w:rsidR="00101C10">
        <w:rPr>
          <w:rFonts w:ascii="Times New Roman" w:hAnsi="Times New Roman" w:cs="Times New Roman"/>
          <w:noProof w:val="0"/>
          <w:sz w:val="24"/>
          <w:szCs w:val="24"/>
        </w:rPr>
        <w:t>YBMSM</w:t>
      </w:r>
      <w:r w:rsidR="002C5C01">
        <w:rPr>
          <w:rFonts w:ascii="Times New Roman" w:hAnsi="Times New Roman" w:cs="Times New Roman"/>
          <w:noProof w:val="0"/>
          <w:sz w:val="24"/>
          <w:szCs w:val="24"/>
        </w:rPr>
        <w:t xml:space="preserve"> from older BMSM</w:t>
      </w:r>
      <w:r w:rsidR="00101C10">
        <w:rPr>
          <w:rFonts w:ascii="Times New Roman" w:hAnsi="Times New Roman" w:cs="Times New Roman"/>
          <w:noProof w:val="0"/>
          <w:sz w:val="24"/>
          <w:szCs w:val="24"/>
        </w:rPr>
        <w:t xml:space="preserve">, </w:t>
      </w:r>
      <w:r w:rsidR="00C77D45">
        <w:rPr>
          <w:rFonts w:ascii="Times New Roman" w:hAnsi="Times New Roman" w:cs="Times New Roman"/>
          <w:noProof w:val="0"/>
          <w:sz w:val="24"/>
          <w:szCs w:val="24"/>
        </w:rPr>
        <w:t xml:space="preserve">assumed </w:t>
      </w:r>
      <w:r w:rsidR="003C53E9">
        <w:rPr>
          <w:rFonts w:ascii="Times New Roman" w:hAnsi="Times New Roman" w:cs="Times New Roman"/>
          <w:noProof w:val="0"/>
          <w:sz w:val="24"/>
          <w:szCs w:val="24"/>
        </w:rPr>
        <w:t xml:space="preserve">to be </w:t>
      </w:r>
      <w:r w:rsidR="00FA4E83" w:rsidRPr="002D1174">
        <w:rPr>
          <w:rFonts w:ascii="Times New Roman" w:hAnsi="Times New Roman" w:cs="Times New Roman"/>
          <w:noProof w:val="0"/>
          <w:sz w:val="24"/>
          <w:szCs w:val="24"/>
        </w:rPr>
        <w:t>between 50% and 8</w:t>
      </w:r>
      <w:r w:rsidR="000B48C0" w:rsidRPr="002D1174">
        <w:rPr>
          <w:rFonts w:ascii="Times New Roman" w:hAnsi="Times New Roman" w:cs="Times New Roman"/>
          <w:noProof w:val="0"/>
          <w:sz w:val="24"/>
          <w:szCs w:val="24"/>
        </w:rPr>
        <w:t>0%</w:t>
      </w:r>
      <w:r w:rsidR="00BB2281">
        <w:rPr>
          <w:rFonts w:ascii="Times New Roman" w:hAnsi="Times New Roman" w:cs="Times New Roman"/>
          <w:noProof w:val="0"/>
          <w:sz w:val="24"/>
          <w:szCs w:val="24"/>
        </w:rPr>
        <w:t xml:space="preserve">. </w:t>
      </w:r>
      <w:r w:rsidR="000B48C0" w:rsidRPr="002D1174">
        <w:rPr>
          <w:rFonts w:ascii="Times New Roman" w:hAnsi="Times New Roman" w:cs="Times New Roman"/>
          <w:noProof w:val="0"/>
          <w:sz w:val="24"/>
          <w:szCs w:val="24"/>
        </w:rPr>
        <w:t xml:space="preserve">Thus, the lower bound for </w:t>
      </w:r>
      <w:r w:rsidR="00CF4B59">
        <w:rPr>
          <w:rFonts w:ascii="Times New Roman" w:hAnsi="Times New Roman" w:cs="Times New Roman"/>
          <w:noProof w:val="0"/>
          <w:sz w:val="24"/>
          <w:szCs w:val="24"/>
        </w:rPr>
        <w:t xml:space="preserve">a </w:t>
      </w:r>
      <w:r w:rsidR="000B48C0" w:rsidRPr="00CF4B59">
        <w:rPr>
          <w:rFonts w:ascii="Times New Roman" w:hAnsi="Times New Roman" w:cs="Times New Roman"/>
          <w:sz w:val="24"/>
          <w:szCs w:val="24"/>
        </w:rPr>
        <w:t>total</w:t>
      </w:r>
      <w:r w:rsidR="000B48C0" w:rsidRPr="002D1174">
        <w:rPr>
          <w:rFonts w:ascii="Times New Roman" w:hAnsi="Times New Roman" w:cs="Times New Roman"/>
          <w:noProof w:val="0"/>
          <w:sz w:val="24"/>
          <w:szCs w:val="24"/>
        </w:rPr>
        <w:t xml:space="preserve"> number of infections incident externally among YBMSM in the model was 28%×50%×5 per 100 </w:t>
      </w:r>
      <w:proofErr w:type="spellStart"/>
      <w:r w:rsidR="000B48C0" w:rsidRPr="002D1174">
        <w:rPr>
          <w:rFonts w:ascii="Times New Roman" w:hAnsi="Times New Roman" w:cs="Times New Roman"/>
          <w:noProof w:val="0"/>
          <w:sz w:val="24"/>
          <w:szCs w:val="24"/>
        </w:rPr>
        <w:t>py</w:t>
      </w:r>
      <w:proofErr w:type="spellEnd"/>
      <w:r w:rsidR="000B48C0" w:rsidRPr="002D1174">
        <w:rPr>
          <w:rFonts w:ascii="Times New Roman" w:hAnsi="Times New Roman" w:cs="Times New Roman"/>
          <w:noProof w:val="0"/>
          <w:sz w:val="24"/>
          <w:szCs w:val="24"/>
        </w:rPr>
        <w:t xml:space="preserve"> = 0.</w:t>
      </w:r>
      <w:r w:rsidR="00402849">
        <w:rPr>
          <w:rFonts w:ascii="Times New Roman" w:hAnsi="Times New Roman" w:cs="Times New Roman"/>
          <w:noProof w:val="0"/>
          <w:sz w:val="24"/>
          <w:szCs w:val="24"/>
        </w:rPr>
        <w:t xml:space="preserve">70 </w:t>
      </w:r>
      <w:r w:rsidR="000B48C0" w:rsidRPr="002D1174">
        <w:rPr>
          <w:rFonts w:ascii="Times New Roman" w:hAnsi="Times New Roman" w:cs="Times New Roman"/>
          <w:noProof w:val="0"/>
          <w:sz w:val="24"/>
          <w:szCs w:val="24"/>
        </w:rPr>
        <w:t xml:space="preserve">per 100 </w:t>
      </w:r>
      <w:proofErr w:type="spellStart"/>
      <w:r w:rsidR="000B48C0" w:rsidRPr="002D1174">
        <w:rPr>
          <w:rFonts w:ascii="Times New Roman" w:hAnsi="Times New Roman" w:cs="Times New Roman"/>
          <w:noProof w:val="0"/>
          <w:sz w:val="24"/>
          <w:szCs w:val="24"/>
        </w:rPr>
        <w:t>p</w:t>
      </w:r>
      <w:r w:rsidR="00C06216" w:rsidRPr="002D1174">
        <w:rPr>
          <w:rFonts w:ascii="Times New Roman" w:hAnsi="Times New Roman" w:cs="Times New Roman"/>
          <w:noProof w:val="0"/>
          <w:sz w:val="24"/>
          <w:szCs w:val="24"/>
        </w:rPr>
        <w:t>y</w:t>
      </w:r>
      <w:proofErr w:type="spellEnd"/>
      <w:r w:rsidR="00C06216" w:rsidRPr="002D1174">
        <w:rPr>
          <w:rFonts w:ascii="Times New Roman" w:hAnsi="Times New Roman" w:cs="Times New Roman"/>
          <w:noProof w:val="0"/>
          <w:sz w:val="24"/>
          <w:szCs w:val="24"/>
        </w:rPr>
        <w:t>, and the upper bound was 28%×8</w:t>
      </w:r>
      <w:r w:rsidR="000B48C0" w:rsidRPr="002D1174">
        <w:rPr>
          <w:rFonts w:ascii="Times New Roman" w:hAnsi="Times New Roman" w:cs="Times New Roman"/>
          <w:noProof w:val="0"/>
          <w:sz w:val="24"/>
          <w:szCs w:val="24"/>
        </w:rPr>
        <w:t>0%×7 = 1.</w:t>
      </w:r>
      <w:r w:rsidR="00EB7FC7" w:rsidRPr="002D1174">
        <w:rPr>
          <w:rFonts w:ascii="Times New Roman" w:hAnsi="Times New Roman" w:cs="Times New Roman"/>
          <w:noProof w:val="0"/>
          <w:sz w:val="24"/>
          <w:szCs w:val="24"/>
        </w:rPr>
        <w:t>60</w:t>
      </w:r>
      <w:r w:rsidR="000B48C0" w:rsidRPr="002D1174">
        <w:rPr>
          <w:rFonts w:ascii="Times New Roman" w:hAnsi="Times New Roman" w:cs="Times New Roman"/>
          <w:noProof w:val="0"/>
          <w:sz w:val="24"/>
          <w:szCs w:val="24"/>
        </w:rPr>
        <w:t xml:space="preserve"> per 100 </w:t>
      </w:r>
      <w:proofErr w:type="spellStart"/>
      <w:r w:rsidR="000B48C0" w:rsidRPr="002D1174">
        <w:rPr>
          <w:rFonts w:ascii="Times New Roman" w:hAnsi="Times New Roman" w:cs="Times New Roman"/>
          <w:noProof w:val="0"/>
          <w:sz w:val="24"/>
          <w:szCs w:val="24"/>
        </w:rPr>
        <w:t>py</w:t>
      </w:r>
      <w:proofErr w:type="spellEnd"/>
      <w:r w:rsidR="000B48C0" w:rsidRPr="002D1174">
        <w:rPr>
          <w:rFonts w:ascii="Times New Roman" w:hAnsi="Times New Roman" w:cs="Times New Roman"/>
          <w:noProof w:val="0"/>
          <w:sz w:val="24"/>
          <w:szCs w:val="24"/>
        </w:rPr>
        <w:t xml:space="preserve">. </w:t>
      </w:r>
      <w:r w:rsidR="00B47DF1">
        <w:rPr>
          <w:rFonts w:ascii="Times New Roman" w:hAnsi="Times New Roman" w:cs="Times New Roman"/>
          <w:noProof w:val="0"/>
          <w:sz w:val="24"/>
          <w:szCs w:val="24"/>
        </w:rPr>
        <w:t xml:space="preserve">The daily probability for each HIV-negative person to get externally infected thus ranged </w:t>
      </w:r>
      <w:r w:rsidR="00B47DF1">
        <w:rPr>
          <w:rFonts w:ascii="Times New Roman" w:hAnsi="Times New Roman" w:cs="Times New Roman"/>
          <w:noProof w:val="0"/>
          <w:sz w:val="24"/>
          <w:szCs w:val="24"/>
        </w:rPr>
        <w:lastRenderedPageBreak/>
        <w:t xml:space="preserve">between </w:t>
      </w:r>
      <m:oMath>
        <m:r>
          <w:rPr>
            <w:rFonts w:ascii="Cambria Math" w:hAnsi="Cambria Math" w:cs="Times New Roman"/>
            <w:noProof w:val="0"/>
            <w:sz w:val="24"/>
            <w:szCs w:val="24"/>
          </w:rPr>
          <m:t>0.7/(365 ×100)</m:t>
        </m:r>
      </m:oMath>
      <w:r w:rsidR="00B47DF1">
        <w:rPr>
          <w:rFonts w:ascii="Times New Roman" w:hAnsi="Times New Roman" w:cs="Times New Roman"/>
          <w:noProof w:val="0"/>
          <w:sz w:val="24"/>
          <w:szCs w:val="24"/>
        </w:rPr>
        <w:t xml:space="preserve"> and </w:t>
      </w:r>
      <m:oMath>
        <m:r>
          <w:rPr>
            <w:rFonts w:ascii="Cambria Math" w:hAnsi="Cambria Math" w:cs="Times New Roman"/>
            <w:noProof w:val="0"/>
            <w:sz w:val="24"/>
            <w:szCs w:val="24"/>
          </w:rPr>
          <m:t>1.6/(365 ×100).</m:t>
        </m:r>
      </m:oMath>
      <w:r w:rsidR="00B47DF1">
        <w:rPr>
          <w:rFonts w:ascii="Times New Roman" w:hAnsi="Times New Roman" w:cs="Times New Roman"/>
          <w:noProof w:val="0"/>
          <w:sz w:val="24"/>
          <w:szCs w:val="24"/>
        </w:rPr>
        <w:t xml:space="preserve"> Thus, this probability was used to conduct a Bernoulli trial for simulating an externally incident infection for each HIV-negative person at each time step. </w:t>
      </w:r>
      <w:r w:rsidR="009E3DBA">
        <w:rPr>
          <w:rFonts w:ascii="Times New Roman" w:hAnsi="Times New Roman" w:cs="Times New Roman"/>
          <w:noProof w:val="0"/>
          <w:sz w:val="24"/>
          <w:szCs w:val="24"/>
        </w:rPr>
        <w:t xml:space="preserve">It was also </w:t>
      </w:r>
      <w:r w:rsidR="009E3DBA" w:rsidRPr="002D1174">
        <w:rPr>
          <w:rFonts w:ascii="Times New Roman" w:hAnsi="Times New Roman" w:cs="Times New Roman"/>
          <w:noProof w:val="0"/>
          <w:sz w:val="24"/>
          <w:szCs w:val="24"/>
        </w:rPr>
        <w:t xml:space="preserve">assumed that the risk of getting externally infected was uniformly distributed with respect to age because </w:t>
      </w:r>
      <w:r w:rsidR="009E3DBA">
        <w:rPr>
          <w:rFonts w:ascii="Times New Roman" w:hAnsi="Times New Roman" w:cs="Times New Roman"/>
          <w:noProof w:val="0"/>
          <w:sz w:val="24"/>
          <w:szCs w:val="24"/>
        </w:rPr>
        <w:t xml:space="preserve">this assumption </w:t>
      </w:r>
      <w:r w:rsidR="009E3DBA" w:rsidRPr="002D1174">
        <w:rPr>
          <w:rFonts w:ascii="Times New Roman" w:hAnsi="Times New Roman" w:cs="Times New Roman"/>
          <w:noProof w:val="0"/>
          <w:sz w:val="24"/>
          <w:szCs w:val="24"/>
        </w:rPr>
        <w:t xml:space="preserve">produced </w:t>
      </w:r>
      <w:r w:rsidR="009E3DBA">
        <w:rPr>
          <w:rFonts w:ascii="Times New Roman" w:hAnsi="Times New Roman" w:cs="Times New Roman"/>
          <w:noProof w:val="0"/>
          <w:sz w:val="24"/>
          <w:szCs w:val="24"/>
        </w:rPr>
        <w:t xml:space="preserve">simulated outcomes that were most </w:t>
      </w:r>
      <w:r w:rsidR="009E3DBA" w:rsidRPr="002D1174">
        <w:rPr>
          <w:rFonts w:ascii="Times New Roman" w:hAnsi="Times New Roman" w:cs="Times New Roman"/>
          <w:noProof w:val="0"/>
          <w:sz w:val="24"/>
          <w:szCs w:val="24"/>
        </w:rPr>
        <w:t xml:space="preserve">consistent </w:t>
      </w:r>
      <w:r w:rsidR="009E3DBA">
        <w:rPr>
          <w:rFonts w:ascii="Times New Roman" w:hAnsi="Times New Roman" w:cs="Times New Roman"/>
          <w:noProof w:val="0"/>
          <w:sz w:val="24"/>
          <w:szCs w:val="24"/>
        </w:rPr>
        <w:t xml:space="preserve">with </w:t>
      </w:r>
      <w:r w:rsidR="009E3DBA" w:rsidRPr="002D1174">
        <w:rPr>
          <w:rFonts w:ascii="Times New Roman" w:hAnsi="Times New Roman" w:cs="Times New Roman"/>
          <w:noProof w:val="0"/>
          <w:sz w:val="24"/>
          <w:szCs w:val="24"/>
        </w:rPr>
        <w:t>empirical data.</w:t>
      </w:r>
      <w:r w:rsidR="009E3DBA">
        <w:rPr>
          <w:rFonts w:ascii="Times New Roman" w:hAnsi="Times New Roman" w:cs="Times New Roman"/>
          <w:noProof w:val="0"/>
          <w:sz w:val="24"/>
          <w:szCs w:val="24"/>
        </w:rPr>
        <w:t xml:space="preserve">  </w:t>
      </w:r>
    </w:p>
    <w:p w14:paraId="12C9753B" w14:textId="630894E0" w:rsidR="00A76D05" w:rsidRPr="002D1174" w:rsidRDefault="00C57872" w:rsidP="0059086D">
      <w:pPr>
        <w:spacing w:line="480" w:lineRule="auto"/>
        <w:ind w:firstLine="720"/>
        <w:rPr>
          <w:rFonts w:ascii="Times New Roman" w:hAnsi="Times New Roman" w:cs="Times New Roman"/>
          <w:noProof w:val="0"/>
          <w:sz w:val="24"/>
          <w:szCs w:val="24"/>
        </w:rPr>
      </w:pPr>
      <w:r w:rsidRPr="002D1174">
        <w:rPr>
          <w:rFonts w:ascii="Times New Roman" w:hAnsi="Times New Roman" w:cs="Times New Roman"/>
          <w:noProof w:val="0"/>
          <w:sz w:val="24"/>
          <w:szCs w:val="24"/>
        </w:rPr>
        <w:t>Based on sensitivity analyses, w</w:t>
      </w:r>
      <w:r w:rsidR="007B776F" w:rsidRPr="002D1174">
        <w:rPr>
          <w:rFonts w:ascii="Times New Roman" w:hAnsi="Times New Roman" w:cs="Times New Roman"/>
          <w:noProof w:val="0"/>
          <w:sz w:val="24"/>
          <w:szCs w:val="24"/>
        </w:rPr>
        <w:t>e assumed that the risk of getting externally infected was uniformly distributed</w:t>
      </w:r>
      <w:r w:rsidR="001A487B" w:rsidRPr="002D1174">
        <w:rPr>
          <w:rFonts w:ascii="Times New Roman" w:hAnsi="Times New Roman" w:cs="Times New Roman"/>
          <w:noProof w:val="0"/>
          <w:sz w:val="24"/>
          <w:szCs w:val="24"/>
        </w:rPr>
        <w:t xml:space="preserve"> with respect to age</w:t>
      </w:r>
      <w:r w:rsidR="005F6863" w:rsidRPr="002D1174">
        <w:rPr>
          <w:rFonts w:ascii="Times New Roman" w:hAnsi="Times New Roman" w:cs="Times New Roman"/>
          <w:noProof w:val="0"/>
          <w:sz w:val="24"/>
          <w:szCs w:val="24"/>
        </w:rPr>
        <w:t xml:space="preserve"> because it produced the most consistent </w:t>
      </w:r>
      <w:r w:rsidR="00DD5299" w:rsidRPr="002D1174">
        <w:rPr>
          <w:rFonts w:ascii="Times New Roman" w:hAnsi="Times New Roman" w:cs="Times New Roman"/>
          <w:noProof w:val="0"/>
          <w:sz w:val="24"/>
          <w:szCs w:val="24"/>
        </w:rPr>
        <w:t xml:space="preserve">outcomes </w:t>
      </w:r>
      <w:r w:rsidR="005F6863" w:rsidRPr="002D1174">
        <w:rPr>
          <w:rFonts w:ascii="Times New Roman" w:hAnsi="Times New Roman" w:cs="Times New Roman"/>
          <w:noProof w:val="0"/>
          <w:sz w:val="24"/>
          <w:szCs w:val="24"/>
        </w:rPr>
        <w:t xml:space="preserve">with </w:t>
      </w:r>
      <w:r w:rsidR="00974A0F">
        <w:rPr>
          <w:rFonts w:ascii="Times New Roman" w:hAnsi="Times New Roman" w:cs="Times New Roman"/>
          <w:noProof w:val="0"/>
          <w:sz w:val="24"/>
          <w:szCs w:val="24"/>
        </w:rPr>
        <w:t>the</w:t>
      </w:r>
      <w:r w:rsidR="005F6863" w:rsidRPr="002D1174">
        <w:rPr>
          <w:rFonts w:ascii="Times New Roman" w:hAnsi="Times New Roman" w:cs="Times New Roman"/>
          <w:noProof w:val="0"/>
          <w:sz w:val="24"/>
          <w:szCs w:val="24"/>
        </w:rPr>
        <w:t xml:space="preserve"> </w:t>
      </w:r>
      <w:r w:rsidR="00DD5299" w:rsidRPr="002D1174">
        <w:rPr>
          <w:rFonts w:ascii="Times New Roman" w:hAnsi="Times New Roman" w:cs="Times New Roman"/>
          <w:noProof w:val="0"/>
          <w:sz w:val="24"/>
          <w:szCs w:val="24"/>
        </w:rPr>
        <w:t>empirical data</w:t>
      </w:r>
      <w:r w:rsidR="007B776F" w:rsidRPr="002D1174">
        <w:rPr>
          <w:rFonts w:ascii="Times New Roman" w:hAnsi="Times New Roman" w:cs="Times New Roman"/>
          <w:noProof w:val="0"/>
          <w:sz w:val="24"/>
          <w:szCs w:val="24"/>
        </w:rPr>
        <w:t xml:space="preserve">. </w:t>
      </w:r>
      <w:r w:rsidR="006C3482">
        <w:rPr>
          <w:rFonts w:ascii="Times New Roman" w:hAnsi="Times New Roman" w:cs="Times New Roman"/>
          <w:noProof w:val="0"/>
          <w:sz w:val="24"/>
          <w:szCs w:val="24"/>
        </w:rPr>
        <w:t>External i</w:t>
      </w:r>
      <w:r w:rsidR="001E6BEE" w:rsidRPr="002D1174">
        <w:rPr>
          <w:rFonts w:ascii="Times New Roman" w:hAnsi="Times New Roman" w:cs="Times New Roman"/>
          <w:noProof w:val="0"/>
          <w:sz w:val="24"/>
          <w:szCs w:val="24"/>
        </w:rPr>
        <w:t xml:space="preserve">nfections from women </w:t>
      </w:r>
      <w:r w:rsidR="001E6BEE" w:rsidRPr="002D1174">
        <w:rPr>
          <w:rFonts w:ascii="Times New Roman" w:hAnsi="Times New Roman" w:cs="Times New Roman"/>
          <w:noProof w:val="0"/>
          <w:sz w:val="24"/>
          <w:szCs w:val="24"/>
        </w:rPr>
        <w:fldChar w:fldCharType="begin" w:fldLock="1"/>
      </w:r>
      <w:r w:rsidR="00590DAA">
        <w:rPr>
          <w:rFonts w:ascii="Times New Roman" w:hAnsi="Times New Roman" w:cs="Times New Roman"/>
          <w:noProof w:val="0"/>
          <w:sz w:val="24"/>
          <w:szCs w:val="24"/>
        </w:rPr>
        <w:instrText>ADDIN CSL_CITATION {"citationItems":[{"id":"ITEM-1","itemData":{"abstract":"Background: Studying HIV transmission networks provides insight into the spread of HIV and opportunities for intervention. We identified transmission dynamics among risk groups and racial/ ethnic groups in the United States. Methods: For HIV-1 pol sequences reported to the US National HIV Surveillance System during 2001–2012, we calculated pairwise genetic distance, identified linked pairs of sequences (those with distance #1.5%), and examined transmission category and race/ ethnicity of these potential transmission partners. Results: Of 40,950 sequences, 12,910 (32%) were linked to $1 other sequence. Of men who have sex with men (MSM) who were linked to $1 sequence, 88% were linked to other MSM and only 4% were linked to heterosexual women. Of heterosexual women for whom we identified potential transmission partners, 29% were linked to MSM, 21% to heterosexual men, and 12% to persons who inject drugs. Older and black MSM were more likely to be linked to heterosexual women. Assortative mixing was present for all racial/ethnic groups; 81% of blacks/African Americans linked to other blacks. Conclusions: This analysis is the first use of US surveillance data to infer an HIV transmission network. Our data suggest that HIV infections among heterosexual women predominantly originate from MSM, followed by heterosexual men. Although few MSM were linked to women, suggesting that a minority of MSM are involved in transmission with heterosexual women, these transmissions repre-sent a substantial proportion of HIV acquisitions by heterosexual women. Interventions that reduce transmissions involving MSM are likely to also reduce HIV acquisition among other risk groups.","author":[{"dropping-particle":"","family":"Oster","given":"Alexandra M","non-dropping-particle":"","parse-names":false,"suffix":""},{"dropping-particle":"","family":"Wertheim","given":"Joel O","non-dropping-particle":"","parse-names":false,"suffix":""},{"dropping-particle":"","family":"Hernandez","given":"Angela L","non-dropping-particle":"","parse-names":false,"suffix":""},{"dropping-particle":"","family":"Cheryl","given":"Marie","non-dropping-particle":"","parse-names":false,"suffix":""},{"dropping-particle":"","family":"Ocfemia","given":"Bañez","non-dropping-particle":"","parse-names":false,"suffix":""},{"dropping-particle":"","family":"Saduvala","given":"Neeraja","non-dropping-particle":"","parse-names":false,"suffix":""},{"dropping-particle":"","family":"Hall","given":"H Irene","non-dropping-particle":"","parse-names":false,"suffix":""}],"container-title":"J Acquir Immune Defic Syndr","id":"ITEM-1","issued":{"date-parts":[["2015"]]},"page":"444-451","title":"Using Molecular HIV Surveillance Data to Understand Transmission Between Subpopulations in the United States","type":"article-journal","volume":"70"},"uris":["http://www.mendeley.com/documents/?uuid=0adfc702-3623-3c96-986a-5893a4418a3a"]}],"mendeley":{"formattedCitation":"[31]","plainTextFormattedCitation":"[31]","previouslyFormattedCitation":"[31]"},"properties":{"noteIndex":0},"schema":"https://github.com/citation-style-language/schema/raw/master/csl-citation.json"}</w:instrText>
      </w:r>
      <w:r w:rsidR="001E6BEE" w:rsidRPr="002D1174">
        <w:rPr>
          <w:rFonts w:ascii="Times New Roman" w:hAnsi="Times New Roman" w:cs="Times New Roman"/>
          <w:noProof w:val="0"/>
          <w:sz w:val="24"/>
          <w:szCs w:val="24"/>
        </w:rPr>
        <w:fldChar w:fldCharType="separate"/>
      </w:r>
      <w:r w:rsidR="007A01DC" w:rsidRPr="007A01DC">
        <w:rPr>
          <w:rFonts w:ascii="Times New Roman" w:hAnsi="Times New Roman" w:cs="Times New Roman"/>
          <w:sz w:val="24"/>
          <w:szCs w:val="24"/>
        </w:rPr>
        <w:t>[31]</w:t>
      </w:r>
      <w:r w:rsidR="001E6BEE" w:rsidRPr="002D1174">
        <w:rPr>
          <w:rFonts w:ascii="Times New Roman" w:hAnsi="Times New Roman" w:cs="Times New Roman"/>
          <w:noProof w:val="0"/>
          <w:sz w:val="24"/>
          <w:szCs w:val="24"/>
        </w:rPr>
        <w:fldChar w:fldCharType="end"/>
      </w:r>
      <w:r w:rsidR="001E6BEE" w:rsidRPr="002D1174">
        <w:rPr>
          <w:rFonts w:ascii="Times New Roman" w:hAnsi="Times New Roman" w:cs="Times New Roman"/>
          <w:noProof w:val="0"/>
          <w:sz w:val="24"/>
          <w:szCs w:val="24"/>
        </w:rPr>
        <w:t xml:space="preserve"> </w:t>
      </w:r>
      <w:r w:rsidR="00055276">
        <w:rPr>
          <w:rFonts w:ascii="Times New Roman" w:hAnsi="Times New Roman" w:cs="Times New Roman"/>
          <w:noProof w:val="0"/>
          <w:sz w:val="24"/>
          <w:szCs w:val="24"/>
        </w:rPr>
        <w:t xml:space="preserve">and </w:t>
      </w:r>
      <w:r w:rsidR="00055276" w:rsidRPr="002D1174">
        <w:rPr>
          <w:rFonts w:ascii="Times New Roman" w:hAnsi="Times New Roman" w:cs="Times New Roman"/>
          <w:noProof w:val="0"/>
          <w:sz w:val="24"/>
          <w:szCs w:val="24"/>
        </w:rPr>
        <w:t xml:space="preserve">non-Black MSM </w:t>
      </w:r>
      <w:r w:rsidR="00055276" w:rsidRPr="002D1174">
        <w:rPr>
          <w:rFonts w:ascii="Times New Roman" w:hAnsi="Times New Roman" w:cs="Times New Roman"/>
          <w:noProof w:val="0"/>
          <w:sz w:val="24"/>
          <w:szCs w:val="24"/>
        </w:rPr>
        <w:fldChar w:fldCharType="begin" w:fldLock="1"/>
      </w:r>
      <w:r w:rsidR="00590DAA">
        <w:rPr>
          <w:rFonts w:ascii="Times New Roman" w:hAnsi="Times New Roman" w:cs="Times New Roman"/>
          <w:noProof w:val="0"/>
          <w:sz w:val="24"/>
          <w:szCs w:val="24"/>
        </w:rPr>
        <w:instrText>ADDIN CSL_CITATION {"citationItems":[{"id":"ITEM-1","itemData":{"author":[{"dropping-particle":"","family":"Panneer","given":"Nivedha","non-dropping-particle":"","parse-names":false,"suffix":""},{"dropping-particle":"","family":"Whiteside","given":"Y Omar","non-dropping-particle":"","parse-names":false,"suffix":""},{"dropping-particle":"","family":"France","given":"Anne Marie","non-dropping-particle":"","parse-names":false,"suffix":""},{"dropping-particle":"","family":"Zhang","given":"Tianchi","non-dropping-particle":"","parse-names":false,"suffix":""},{"dropping-particle":"","family":"Wertheim","given":"Joel O","non-dropping-particle":"","parse-names":false,"suffix":""},{"dropping-particle":"","family":"Oster","given":"Alexandra M","non-dropping-particle":"","parse-names":false,"suffix":""}],"container-title":"Conference on Retroviruses and Opportunistic Infections (CROI). Session P-B1","id":"ITEM-1","issued":{"date-parts":[["2017"]]},"publisher-place":"Seattle, WA","title":"Temporal Changes in HIV Transmission Patterns among Young Men Who Have Sex With Men, United States","type":"article"},"uris":["http://www.mendeley.com/documents/?uuid=156aeca6-dd35-3906-9112-e61076045523"]}],"mendeley":{"formattedCitation":"[30]","plainTextFormattedCitation":"[30]","previouslyFormattedCitation":"[30]"},"properties":{"noteIndex":0},"schema":"https://github.com/citation-style-language/schema/raw/master/csl-citation.json"}</w:instrText>
      </w:r>
      <w:r w:rsidR="00055276" w:rsidRPr="002D1174">
        <w:rPr>
          <w:rFonts w:ascii="Times New Roman" w:hAnsi="Times New Roman" w:cs="Times New Roman"/>
          <w:noProof w:val="0"/>
          <w:sz w:val="24"/>
          <w:szCs w:val="24"/>
        </w:rPr>
        <w:fldChar w:fldCharType="separate"/>
      </w:r>
      <w:r w:rsidR="007A01DC" w:rsidRPr="007A01DC">
        <w:rPr>
          <w:rFonts w:ascii="Times New Roman" w:hAnsi="Times New Roman" w:cs="Times New Roman"/>
          <w:sz w:val="24"/>
          <w:szCs w:val="24"/>
        </w:rPr>
        <w:t>[30]</w:t>
      </w:r>
      <w:r w:rsidR="00055276" w:rsidRPr="002D1174">
        <w:rPr>
          <w:rFonts w:ascii="Times New Roman" w:hAnsi="Times New Roman" w:cs="Times New Roman"/>
          <w:noProof w:val="0"/>
          <w:sz w:val="24"/>
          <w:szCs w:val="24"/>
        </w:rPr>
        <w:fldChar w:fldCharType="end"/>
      </w:r>
      <w:r w:rsidR="00055276" w:rsidRPr="002D1174">
        <w:rPr>
          <w:rFonts w:ascii="Times New Roman" w:hAnsi="Times New Roman" w:cs="Times New Roman"/>
          <w:noProof w:val="0"/>
          <w:sz w:val="24"/>
          <w:szCs w:val="24"/>
        </w:rPr>
        <w:t xml:space="preserve"> </w:t>
      </w:r>
      <w:r w:rsidR="001E6BEE" w:rsidRPr="002D1174">
        <w:rPr>
          <w:rFonts w:ascii="Times New Roman" w:hAnsi="Times New Roman" w:cs="Times New Roman"/>
          <w:noProof w:val="0"/>
          <w:sz w:val="24"/>
          <w:szCs w:val="24"/>
        </w:rPr>
        <w:t>were not included due to evidence that very few infections among YBMSM are linked to either of these populations</w:t>
      </w:r>
      <w:r w:rsidR="00211277">
        <w:rPr>
          <w:rFonts w:ascii="Times New Roman" w:hAnsi="Times New Roman" w:cs="Times New Roman"/>
          <w:noProof w:val="0"/>
          <w:sz w:val="24"/>
          <w:szCs w:val="24"/>
        </w:rPr>
        <w:t xml:space="preserve"> </w:t>
      </w:r>
      <w:r w:rsidR="00211277" w:rsidRPr="0573D6D8">
        <w:fldChar w:fldCharType="begin" w:fldLock="1"/>
      </w:r>
      <w:r w:rsidR="00590DAA">
        <w:rPr>
          <w:rFonts w:ascii="Times New Roman" w:hAnsi="Times New Roman" w:cs="Times New Roman"/>
          <w:noProof w:val="0"/>
          <w:sz w:val="24"/>
          <w:szCs w:val="24"/>
        </w:rPr>
        <w:instrText>ADDIN CSL_CITATION {"citationItems":[{"id":"ITEM-1","itemData":{"abstract":"Background: Studying HIV transmission networks provides insight into the spread of HIV and opportunities for intervention. We identified transmission dynamics among risk groups and racial/ ethnic groups in the United States. Methods: For HIV-1 pol sequences reported to the US National HIV Surveillance System during 2001–2012, we calculated pairwise genetic distance, identified linked pairs of sequences (those with distance #1.5%), and examined transmission category and race/ ethnicity of these potential transmission partners. Results: Of 40,950 sequences, 12,910 (32%) were linked to $1 other sequence. Of men who have sex with men (MSM) who were linked to $1 sequence, 88% were linked to other MSM and only 4% were linked to heterosexual women. Of heterosexual women for whom we identified potential transmission partners, 29% were linked to MSM, 21% to heterosexual men, and 12% to persons who inject drugs. Older and black MSM were more likely to be linked to heterosexual women. Assortative mixing was present for all racial/ethnic groups; 81% of blacks/African Americans linked to other blacks. Conclusions: This analysis is the first use of US surveillance data to infer an HIV transmission network. Our data suggest that HIV infections among heterosexual women predominantly originate from MSM, followed by heterosexual men. Although few MSM were linked to women, suggesting that a minority of MSM are involved in transmission with heterosexual women, these transmissions repre-sent a substantial proportion of HIV acquisitions by heterosexual women. Interventions that reduce transmissions involving MSM are likely to also reduce HIV acquisition among other risk groups.","author":[{"dropping-particle":"","family":"Oster","given":"Alexandra M","non-dropping-particle":"","parse-names":false,"suffix":""},{"dropping-particle":"","family":"Wertheim","given":"Joel O","non-dropping-particle":"","parse-names":false,"suffix":""},{"dropping-particle":"","family":"Hernandez","given":"Angela L","non-dropping-particle":"","parse-names":false,"suffix":""},{"dropping-particle":"","family":"Cheryl","given":"Marie","non-dropping-particle":"","parse-names":false,"suffix":""},{"dropping-particle":"","family":"Ocfemia","given":"Bañez","non-dropping-particle":"","parse-names":false,"suffix":""},{"dropping-particle":"","family":"Saduvala","given":"Neeraja","non-dropping-particle":"","parse-names":false,"suffix":""},{"dropping-particle":"","family":"Hall","given":"H Irene","non-dropping-particle":"","parse-names":false,"suffix":""}],"container-title":"J Acquir Immune Defic Syndr","id":"ITEM-1","issued":{"date-parts":[["2015"]]},"page":"444-451","title":"Using Molecular HIV Surveillance Data to Understand Transmission Between Subpopulations in the United States","type":"article-journal","volume":"70"},"uris":["http://www.mendeley.com/documents/?uuid=0adfc702-3623-3c96-986a-5893a4418a3a"]}],"mendeley":{"formattedCitation":"[31]","plainTextFormattedCitation":"[31]","previouslyFormattedCitation":"[31]"},"properties":{"noteIndex":0},"schema":"https://github.com/citation-style-language/schema/raw/master/csl-citation.json"}</w:instrText>
      </w:r>
      <w:r w:rsidR="00211277" w:rsidRPr="0573D6D8">
        <w:rPr>
          <w:rFonts w:ascii="Times New Roman" w:hAnsi="Times New Roman" w:cs="Times New Roman"/>
          <w:noProof w:val="0"/>
          <w:sz w:val="24"/>
          <w:szCs w:val="24"/>
        </w:rPr>
        <w:fldChar w:fldCharType="separate"/>
      </w:r>
      <w:r w:rsidR="007A01DC" w:rsidRPr="007A01DC">
        <w:rPr>
          <w:rFonts w:ascii="Times New Roman" w:hAnsi="Times New Roman" w:cs="Times New Roman"/>
          <w:sz w:val="24"/>
          <w:szCs w:val="24"/>
        </w:rPr>
        <w:t>[31]</w:t>
      </w:r>
      <w:r w:rsidR="00211277" w:rsidRPr="0573D6D8">
        <w:fldChar w:fldCharType="end"/>
      </w:r>
      <w:r w:rsidR="001E6BEE" w:rsidRPr="002D1174">
        <w:rPr>
          <w:rFonts w:ascii="Times New Roman" w:hAnsi="Times New Roman" w:cs="Times New Roman"/>
          <w:noProof w:val="0"/>
          <w:sz w:val="24"/>
          <w:szCs w:val="24"/>
        </w:rPr>
        <w:t xml:space="preserve">. </w:t>
      </w:r>
    </w:p>
    <w:p w14:paraId="4517B676" w14:textId="437EBB6E" w:rsidR="006172F2" w:rsidRPr="003B2E9E" w:rsidRDefault="003B2E9E" w:rsidP="003B2E9E">
      <w:pPr>
        <w:spacing w:line="480" w:lineRule="auto"/>
        <w:rPr>
          <w:rFonts w:ascii="Times New Roman" w:hAnsi="Times New Roman" w:cs="Times New Roman"/>
          <w:noProof w:val="0"/>
          <w:sz w:val="24"/>
          <w:szCs w:val="24"/>
        </w:rPr>
      </w:pPr>
      <w:bookmarkStart w:id="13" w:name="_Toc3377341"/>
      <w:r w:rsidRPr="000B44D1">
        <w:rPr>
          <w:rStyle w:val="Heading2Char"/>
        </w:rPr>
        <w:t xml:space="preserve">A.4.10. </w:t>
      </w:r>
      <w:r w:rsidR="006172F2" w:rsidRPr="000B44D1">
        <w:rPr>
          <w:rStyle w:val="Heading2Char"/>
        </w:rPr>
        <w:t>Transmission of HIV infection</w:t>
      </w:r>
      <w:bookmarkEnd w:id="13"/>
      <w:r w:rsidR="006172F2" w:rsidRPr="003B2E9E">
        <w:rPr>
          <w:rFonts w:ascii="Times New Roman" w:hAnsi="Times New Roman" w:cs="Times New Roman"/>
          <w:noProof w:val="0"/>
          <w:sz w:val="24"/>
          <w:szCs w:val="24"/>
        </w:rPr>
        <w:t xml:space="preserve">: Transmission of HIV infections through anal intercourse between HIV-infected and HIV-uninfected individuals within main and casual partnerships was modeled at each time step of the simulation. The probability of transmission during each </w:t>
      </w:r>
      <w:r w:rsidR="000B306D">
        <w:rPr>
          <w:rFonts w:ascii="Times New Roman" w:hAnsi="Times New Roman" w:cs="Times New Roman"/>
          <w:noProof w:val="0"/>
          <w:sz w:val="24"/>
          <w:szCs w:val="24"/>
        </w:rPr>
        <w:t xml:space="preserve">sex </w:t>
      </w:r>
      <w:r w:rsidR="006172F2" w:rsidRPr="003B2E9E">
        <w:rPr>
          <w:rFonts w:ascii="Times New Roman" w:hAnsi="Times New Roman" w:cs="Times New Roman"/>
          <w:noProof w:val="0"/>
          <w:sz w:val="24"/>
          <w:szCs w:val="24"/>
        </w:rPr>
        <w:t xml:space="preserve">act was derived using a number of different attributes, including stage of infection (determined by time since seroconversion) and viral load (in turn determined by the </w:t>
      </w:r>
      <w:r w:rsidR="003A13BB">
        <w:rPr>
          <w:rFonts w:ascii="Times New Roman" w:hAnsi="Times New Roman" w:cs="Times New Roman"/>
          <w:noProof w:val="0"/>
          <w:sz w:val="24"/>
          <w:szCs w:val="24"/>
        </w:rPr>
        <w:t>ART</w:t>
      </w:r>
      <w:r w:rsidR="009811D5">
        <w:rPr>
          <w:rFonts w:ascii="Times New Roman" w:hAnsi="Times New Roman" w:cs="Times New Roman"/>
          <w:noProof w:val="0"/>
          <w:sz w:val="24"/>
          <w:szCs w:val="24"/>
        </w:rPr>
        <w:t xml:space="preserve"> </w:t>
      </w:r>
      <w:r w:rsidR="006172F2" w:rsidRPr="003B2E9E">
        <w:rPr>
          <w:rFonts w:ascii="Times New Roman" w:hAnsi="Times New Roman" w:cs="Times New Roman"/>
          <w:noProof w:val="0"/>
          <w:sz w:val="24"/>
          <w:szCs w:val="24"/>
        </w:rPr>
        <w:t>status of the infected partner) of the infected individuals, PrEP use by the uninfected partner, condom use at the time of intercourse</w:t>
      </w:r>
      <w:r w:rsidR="00AB0976">
        <w:rPr>
          <w:rFonts w:ascii="Times New Roman" w:hAnsi="Times New Roman" w:cs="Times New Roman"/>
          <w:noProof w:val="0"/>
          <w:sz w:val="24"/>
          <w:szCs w:val="24"/>
        </w:rPr>
        <w:t xml:space="preserve"> (which reduced probability of transmission by 80%)</w:t>
      </w:r>
      <w:r w:rsidR="006172F2" w:rsidRPr="003B2E9E">
        <w:rPr>
          <w:rFonts w:ascii="Times New Roman" w:hAnsi="Times New Roman" w:cs="Times New Roman"/>
          <w:noProof w:val="0"/>
          <w:sz w:val="24"/>
          <w:szCs w:val="24"/>
        </w:rPr>
        <w:t xml:space="preserve">, </w:t>
      </w:r>
      <w:r w:rsidR="006E667D">
        <w:rPr>
          <w:rFonts w:ascii="Times New Roman" w:hAnsi="Times New Roman" w:cs="Times New Roman"/>
          <w:noProof w:val="0"/>
          <w:sz w:val="24"/>
          <w:szCs w:val="24"/>
        </w:rPr>
        <w:t xml:space="preserve">and </w:t>
      </w:r>
      <w:r w:rsidR="006172F2" w:rsidRPr="003B2E9E">
        <w:rPr>
          <w:rFonts w:ascii="Times New Roman" w:hAnsi="Times New Roman" w:cs="Times New Roman"/>
          <w:noProof w:val="0"/>
          <w:sz w:val="24"/>
          <w:szCs w:val="24"/>
        </w:rPr>
        <w:t xml:space="preserve">circumcision status of the uninfected partner. </w:t>
      </w:r>
    </w:p>
    <w:p w14:paraId="1F392534" w14:textId="33C1D789" w:rsidR="006172F2" w:rsidRPr="008B43A9" w:rsidRDefault="00E814A1" w:rsidP="008B43A9">
      <w:pPr>
        <w:spacing w:line="480" w:lineRule="auto"/>
        <w:ind w:firstLine="720"/>
        <w:rPr>
          <w:rFonts w:ascii="Times New Roman" w:hAnsi="Times New Roman" w:cs="Times New Roman"/>
          <w:sz w:val="24"/>
          <w:szCs w:val="24"/>
        </w:rPr>
      </w:pPr>
      <w:r>
        <w:rPr>
          <w:rFonts w:ascii="Times New Roman" w:hAnsi="Times New Roman" w:cs="Times New Roman"/>
          <w:noProof w:val="0"/>
          <w:sz w:val="24"/>
          <w:szCs w:val="24"/>
        </w:rPr>
        <w:t>Three stages of HIV infection were considered</w:t>
      </w:r>
      <w:r w:rsidR="006172F2" w:rsidRPr="008B43A9">
        <w:rPr>
          <w:rFonts w:ascii="Times New Roman" w:hAnsi="Times New Roman" w:cs="Times New Roman"/>
          <w:noProof w:val="0"/>
          <w:sz w:val="24"/>
          <w:szCs w:val="24"/>
        </w:rPr>
        <w:t>: acute, defined as lasting for 90 days from the onset of infection</w:t>
      </w:r>
      <w:r w:rsidR="00962903">
        <w:rPr>
          <w:rFonts w:ascii="Times New Roman" w:hAnsi="Times New Roman" w:cs="Times New Roman"/>
          <w:noProof w:val="0"/>
          <w:sz w:val="24"/>
          <w:szCs w:val="24"/>
        </w:rPr>
        <w:t xml:space="preserve"> </w:t>
      </w:r>
      <w:r w:rsidR="006172F2" w:rsidRPr="0573D6D8">
        <w:fldChar w:fldCharType="begin" w:fldLock="1"/>
      </w:r>
      <w:r w:rsidR="002569A7">
        <w:rPr>
          <w:rFonts w:ascii="Times New Roman" w:hAnsi="Times New Roman" w:cs="Times New Roman"/>
          <w:sz w:val="24"/>
          <w:szCs w:val="24"/>
        </w:rPr>
        <w:instrText>ADDIN CSL_CITATION {"citationItems":[{"id":"ITEM-1","itemData":{"abstract":"Viral dynamics were intensively investigated in eight patients with acute {HIV} infection to define the earliest rates of change in plasma {HIV} RNA before and after the start of antiretroviral therapy. We report the first estimates of the basic reproductive number (R-0), the number of cells infected by the progeny of an infected cell. during its lifetime when target cells are not depleted. The mean initial viral doubling time was 10 h, and the peak of viremia occurred 21 d after reported {HIV} exposure. The spontaneous rate of decline (alpha) was highly variable among individuals. The phase 1 viral decay rate (delta(I) = 0.3/day) in subjects initiating potent antiretroviral therapy during acute {HIV} infection was similar to estimates from treated subjects with chronic {HIV} infection. The doubling time in two subjects who discontinued antiretroviral therapy was almost five times slower than during acute infection. The mean basic reproductive number (R-0) of 19.3 during the logarithmic growth phase of primary {HIV} infection suggested that a vaccine or postexposure prophylaxis of at least 95% efficacy would be needed to extinguish productive viral infection in the absence of drug resistance or viral latency. These measurements provide a basis for comparison of vaccine and other strategies and support the validity of the simian immunodeficiency virus macaque model of acute {HIV} infection.","author":[{"dropping-particle":"","family":"Little","given":"S J","non-dropping-particle":"","parse-names":false,"suffix":""},{"dropping-particle":"","family":"McLean","given":"A R","non-dropping-particle":"","parse-names":false,"suffix":""},{"dropping-particle":"","family":"Spina","given":"C A","non-dropping-particle":"","parse-names":false,"suffix":""},{"dropping-particle":"","family":"Richman","given":"D D","non-dropping-particle":"","parse-names":false,"suffix":""},{"dropping-particle":"V","family":"Havlir","given":"D","non-dropping-particle":"","parse-names":false,"suffix":""}],"container-title":"Journal Of Experimental Medicine","id":"ITEM-1","issue":"6","issued":{"date-parts":[["1999","9"]]},"page":"841-850","title":"Viral dynamics of acute HIV-1 infection","type":"article-journal","volume":"190"},"uris":["http://www.mendeley.com/documents/?uuid=81d75c03-00f3-43ee-b3b8-54d4a7eccb4e"]}],"mendeley":{"formattedCitation":"[21]","plainTextFormattedCitation":"[21]","previouslyFormattedCitation":"[21]"},"properties":{"noteIndex":0},"schema":"https://github.com/citation-style-language/schema/raw/master/csl-citation.json"}</w:instrText>
      </w:r>
      <w:r w:rsidR="006172F2" w:rsidRPr="0573D6D8">
        <w:rPr>
          <w:rFonts w:ascii="Times New Roman" w:hAnsi="Times New Roman" w:cs="Times New Roman"/>
          <w:sz w:val="24"/>
          <w:szCs w:val="24"/>
        </w:rPr>
        <w:fldChar w:fldCharType="separate"/>
      </w:r>
      <w:r w:rsidR="009B5FF9" w:rsidRPr="009B5FF9">
        <w:rPr>
          <w:rFonts w:ascii="Times New Roman" w:hAnsi="Times New Roman" w:cs="Times New Roman"/>
          <w:sz w:val="24"/>
          <w:szCs w:val="24"/>
        </w:rPr>
        <w:t>[21]</w:t>
      </w:r>
      <w:r w:rsidR="006172F2" w:rsidRPr="0573D6D8">
        <w:fldChar w:fldCharType="end"/>
      </w:r>
      <w:r w:rsidR="006172F2" w:rsidRPr="008B43A9">
        <w:rPr>
          <w:rFonts w:ascii="Times New Roman" w:hAnsi="Times New Roman" w:cs="Times New Roman"/>
          <w:noProof w:val="0"/>
          <w:sz w:val="24"/>
          <w:szCs w:val="24"/>
        </w:rPr>
        <w:t xml:space="preserve">; </w:t>
      </w:r>
      <w:r w:rsidR="006172F2" w:rsidRPr="00CF4B59">
        <w:rPr>
          <w:rFonts w:ascii="Times New Roman" w:hAnsi="Times New Roman" w:cs="Times New Roman"/>
          <w:sz w:val="24"/>
          <w:szCs w:val="24"/>
        </w:rPr>
        <w:t>chronic</w:t>
      </w:r>
      <w:r w:rsidR="006172F2" w:rsidRPr="008B43A9">
        <w:rPr>
          <w:rFonts w:ascii="Times New Roman" w:hAnsi="Times New Roman" w:cs="Times New Roman"/>
          <w:noProof w:val="0"/>
          <w:sz w:val="24"/>
          <w:szCs w:val="24"/>
        </w:rPr>
        <w:t xml:space="preserve"> infection that lasts for 3460 days </w:t>
      </w:r>
      <w:r w:rsidR="006172F2" w:rsidRPr="0573D6D8">
        <w:fldChar w:fldCharType="begin" w:fldLock="1"/>
      </w:r>
      <w:r w:rsidR="002569A7">
        <w:rPr>
          <w:rFonts w:ascii="Times New Roman" w:hAnsi="Times New Roman" w:cs="Times New Roman"/>
          <w:sz w:val="24"/>
          <w:szCs w:val="24"/>
        </w:rPr>
        <w:instrText>ADDIN CSL_CITATION {"citationItems":[{"id":"ITEM-1","itemData":{"ISSN":"0269-9370","PMID":"7986410","abstract":"OBJECTIVE To identify and describe a subgroup of men infected with HIV for 10-15 years without immunologic progression, and to evaluate the effect of sexually transmitted diseases (STD) and recreational drug use on delayed HIV disease progression. DESIGN Inception cohort study. SETTING Municipal STD clinic. PARTICIPANTS A total of 588 men with well documented dates of HIV seroconversion and 197 HIV-seronegative controls. MAIN OUTCOME MEASURES AIDS, CD4+ count, rate of CD4+ cell loss, CD8+ count, beta 2-microglobulin, complete blood count, p24 antigen and HIV-related symptoms. RESULTS Of 588 men, 69% had developed AIDS by 14 years after HIV seroconversion (95% confidence interval, 64-73%). Of 539 men with HIV seroconversion dates prior to 1983, 42 men (8%) were healthy long-term HIV-positives (HLP), HIV-infected &gt; or = 10 years without AIDS and with CD4+ counts &gt; 500 x 10(6)/l. When compared with progressors (men with HIV seroconversion prior to 1983 but with AIDS or CD4+ counts &lt; 200 x 10(6)/l), HLP had a significantly slower rate of CD4+ decline (6 versus 85 x 10(6)/l cells/year), and less abnormal immunologic, hematologic and clinical parameters. However, when compared with HIV-uninfected controls, HLP demonstrated lower CD4+ counts and mild hematologic abnormalities. There were no consistent differences between HLP and progressors in prior exposure to recreational drugs or STD. CONCLUSION There are individuals with long-term HIV infection who appear clinically and immunologically healthy 10-15 years after HIV seroconversion, with stable CD4+ counts. Lack of exposure to STD or recreational drugs does not appear to explain the delayed course of disease progression in HLP.","author":[{"dropping-particle":"","family":"Buchbinder","given":"S P","non-dropping-particle":"","parse-names":false,"suffix":""},{"dropping-particle":"","family":"Katz","given":"M H","non-dropping-particle":"","parse-names":false,"suffix":""},{"dropping-particle":"","family":"Hessol","given":"N A","non-dropping-particle":"","parse-names":false,"suffix":""},{"dropping-particle":"","family":"O'Malley","given":"P M","non-dropping-particle":"","parse-names":false,"suffix":""},{"dropping-particle":"","family":"Holmberg","given":"S D","non-dropping-particle":"","parse-names":false,"suffix":""}],"container-title":"AIDS (London, England)","id":"ITEM-1","issue":"8","issued":{"date-parts":[["1994","8"]]},"page":"1123-8","title":"Long-term HIV-1 infection without immunologic progression.","type":"article-journal","volume":"8"},"uris":["http://www.mendeley.com/documents/?uuid=386e3bff-cb78-3358-a567-29bfcb8636c6"]}],"mendeley":{"formattedCitation":"[22]","plainTextFormattedCitation":"[22]","previouslyFormattedCitation":"[22]"},"properties":{"noteIndex":0},"schema":"https://github.com/citation-style-language/schema/raw/master/csl-citation.json"}</w:instrText>
      </w:r>
      <w:r w:rsidR="006172F2" w:rsidRPr="0573D6D8">
        <w:rPr>
          <w:rFonts w:ascii="Times New Roman" w:hAnsi="Times New Roman" w:cs="Times New Roman"/>
          <w:sz w:val="24"/>
          <w:szCs w:val="24"/>
        </w:rPr>
        <w:fldChar w:fldCharType="separate"/>
      </w:r>
      <w:r w:rsidR="009B5FF9" w:rsidRPr="009B5FF9">
        <w:rPr>
          <w:rFonts w:ascii="Times New Roman" w:hAnsi="Times New Roman" w:cs="Times New Roman"/>
          <w:sz w:val="24"/>
          <w:szCs w:val="24"/>
        </w:rPr>
        <w:t>[22]</w:t>
      </w:r>
      <w:r w:rsidR="006172F2" w:rsidRPr="0573D6D8">
        <w:fldChar w:fldCharType="end"/>
      </w:r>
      <w:r w:rsidR="006172F2" w:rsidRPr="008B43A9">
        <w:rPr>
          <w:rFonts w:ascii="Times New Roman" w:hAnsi="Times New Roman" w:cs="Times New Roman"/>
          <w:noProof w:val="0"/>
          <w:sz w:val="24"/>
          <w:szCs w:val="24"/>
        </w:rPr>
        <w:t xml:space="preserve">; and late-stage infection for 728 days </w:t>
      </w:r>
      <w:r w:rsidR="006172F2" w:rsidRPr="0573D6D8">
        <w:fldChar w:fldCharType="begin" w:fldLock="1"/>
      </w:r>
      <w:r w:rsidR="002569A7">
        <w:rPr>
          <w:rFonts w:ascii="Times New Roman" w:hAnsi="Times New Roman" w:cs="Times New Roman"/>
          <w:sz w:val="24"/>
          <w:szCs w:val="24"/>
        </w:rPr>
        <w:instrText>ADDIN CSL_CITATION {"citationItems":[{"id":"ITEM-1","itemData":{"ISSN":"0269-9370","PMID":"7986410","abstract":"OBJECTIVE To identify and describe a subgroup of men infected with HIV for 10-15 years without immunologic progression, and to evaluate the effect of sexually transmitted diseases (STD) and recreational drug use on delayed HIV disease progression. DESIGN Inception cohort study. SETTING Municipal STD clinic. PARTICIPANTS A total of 588 men with well documented dates of HIV seroconversion and 197 HIV-seronegative controls. MAIN OUTCOME MEASURES AIDS, CD4+ count, rate of CD4+ cell loss, CD8+ count, beta 2-microglobulin, complete blood count, p24 antigen and HIV-related symptoms. RESULTS Of 588 men, 69% had developed AIDS by 14 years after HIV seroconversion (95% confidence interval, 64-73%). Of 539 men with HIV seroconversion dates prior to 1983, 42 men (8%) were healthy long-term HIV-positives (HLP), HIV-infected &gt; or = 10 years without AIDS and with CD4+ counts &gt; 500 x 10(6)/l. When compared with progressors (men with HIV seroconversion prior to 1983 but with AIDS or CD4+ counts &lt; 200 x 10(6)/l), HLP had a significantly slower rate of CD4+ decline (6 versus 85 x 10(6)/l cells/year), and less abnormal immunologic, hematologic and clinical parameters. However, when compared with HIV-uninfected controls, HLP demonstrated lower CD4+ counts and mild hematologic abnormalities. There were no consistent differences between HLP and progressors in prior exposure to recreational drugs or STD. CONCLUSION There are individuals with long-term HIV infection who appear clinically and immunologically healthy 10-15 years after HIV seroconversion, with stable CD4+ counts. Lack of exposure to STD or recreational drugs does not appear to explain the delayed course of disease progression in HLP.","author":[{"dropping-particle":"","family":"Buchbinder","given":"S P","non-dropping-particle":"","parse-names":false,"suffix":""},{"dropping-particle":"","family":"Katz","given":"M H","non-dropping-particle":"","parse-names":false,"suffix":""},{"dropping-particle":"","family":"Hessol","given":"N A","non-dropping-particle":"","parse-names":false,"suffix":""},{"dropping-particle":"","family":"O'Malley","given":"P M","non-dropping-particle":"","parse-names":false,"suffix":""},{"dropping-particle":"","family":"Holmberg","given":"S D","non-dropping-particle":"","parse-names":false,"suffix":""}],"container-title":"AIDS (London, England)","id":"ITEM-1","issue":"8","issued":{"date-parts":[["1994","8"]]},"page":"1123-8","title":"Long-term HIV-1 infection without immunologic progression.","type":"article-journal","volume":"8"},"uris":["http://www.mendeley.com/documents/?uuid=386e3bff-cb78-3358-a567-29bfcb8636c6"]}],"mendeley":{"formattedCitation":"[22]","plainTextFormattedCitation":"[22]","previouslyFormattedCitation":"[22]"},"properties":{"noteIndex":0},"schema":"https://github.com/citation-style-language/schema/raw/master/csl-citation.json"}</w:instrText>
      </w:r>
      <w:r w:rsidR="006172F2" w:rsidRPr="0573D6D8">
        <w:rPr>
          <w:rFonts w:ascii="Times New Roman" w:hAnsi="Times New Roman" w:cs="Times New Roman"/>
          <w:sz w:val="24"/>
          <w:szCs w:val="24"/>
        </w:rPr>
        <w:fldChar w:fldCharType="separate"/>
      </w:r>
      <w:r w:rsidR="009B5FF9" w:rsidRPr="009B5FF9">
        <w:rPr>
          <w:rFonts w:ascii="Times New Roman" w:hAnsi="Times New Roman" w:cs="Times New Roman"/>
          <w:sz w:val="24"/>
          <w:szCs w:val="24"/>
        </w:rPr>
        <w:t>[22]</w:t>
      </w:r>
      <w:r w:rsidR="006172F2" w:rsidRPr="0573D6D8">
        <w:fldChar w:fldCharType="end"/>
      </w:r>
      <w:r w:rsidR="006172F2" w:rsidRPr="008B43A9">
        <w:rPr>
          <w:rFonts w:ascii="Times New Roman" w:hAnsi="Times New Roman" w:cs="Times New Roman"/>
          <w:noProof w:val="0"/>
          <w:sz w:val="24"/>
          <w:szCs w:val="24"/>
        </w:rPr>
        <w:t xml:space="preserve">. Two widely varying estimates of the relationship between chronic stage infectivity and viral load were used in a sensitivity analysis (described </w:t>
      </w:r>
      <w:r w:rsidR="00392A24">
        <w:rPr>
          <w:rFonts w:ascii="Times New Roman" w:hAnsi="Times New Roman" w:cs="Times New Roman"/>
          <w:noProof w:val="0"/>
          <w:sz w:val="24"/>
          <w:szCs w:val="24"/>
        </w:rPr>
        <w:t xml:space="preserve">in Section A.5 </w:t>
      </w:r>
      <w:r w:rsidR="006172F2" w:rsidRPr="008B43A9">
        <w:rPr>
          <w:rFonts w:ascii="Times New Roman" w:hAnsi="Times New Roman" w:cs="Times New Roman"/>
          <w:noProof w:val="0"/>
          <w:sz w:val="24"/>
          <w:szCs w:val="24"/>
        </w:rPr>
        <w:t xml:space="preserve">below) to determine the precise relationship between viral load and infectivity (defined as the </w:t>
      </w:r>
      <w:r w:rsidR="006172F2" w:rsidRPr="008B43A9">
        <w:rPr>
          <w:rFonts w:ascii="Times New Roman" w:hAnsi="Times New Roman" w:cs="Times New Roman"/>
          <w:noProof w:val="0"/>
          <w:sz w:val="24"/>
          <w:szCs w:val="24"/>
        </w:rPr>
        <w:lastRenderedPageBreak/>
        <w:t>probability of transmission during per act of condomless anal intercourse). Th</w:t>
      </w:r>
      <w:r w:rsidR="00CC156C">
        <w:rPr>
          <w:rFonts w:ascii="Times New Roman" w:hAnsi="Times New Roman" w:cs="Times New Roman"/>
          <w:noProof w:val="0"/>
          <w:sz w:val="24"/>
          <w:szCs w:val="24"/>
        </w:rPr>
        <w:t xml:space="preserve">e base infectivity during chronic </w:t>
      </w:r>
      <w:r w:rsidR="00967F24">
        <w:rPr>
          <w:rFonts w:ascii="Times New Roman" w:hAnsi="Times New Roman" w:cs="Times New Roman"/>
          <w:noProof w:val="0"/>
          <w:sz w:val="24"/>
          <w:szCs w:val="24"/>
        </w:rPr>
        <w:t xml:space="preserve">HIV infection </w:t>
      </w:r>
      <w:r w:rsidR="000A0CB7" w:rsidRPr="008B43A9">
        <w:rPr>
          <w:rFonts w:ascii="Times New Roman" w:hAnsi="Times New Roman" w:cs="Times New Roman"/>
          <w:noProof w:val="0"/>
          <w:sz w:val="24"/>
          <w:szCs w:val="24"/>
        </w:rPr>
        <w:t xml:space="preserve">and </w:t>
      </w:r>
      <w:r w:rsidR="000A0CB7" w:rsidRPr="008B43A9">
        <w:rPr>
          <w:rFonts w:ascii="Times New Roman" w:hAnsi="Times New Roman" w:cs="Times New Roman"/>
          <w:sz w:val="24"/>
          <w:szCs w:val="24"/>
        </w:rPr>
        <w:t>additional multipliers for heightened infectivity during acute and late</w:t>
      </w:r>
      <w:r w:rsidR="00DD21A0">
        <w:rPr>
          <w:rFonts w:ascii="Times New Roman" w:hAnsi="Times New Roman" w:cs="Times New Roman"/>
          <w:sz w:val="24"/>
          <w:szCs w:val="24"/>
        </w:rPr>
        <w:t>-stage</w:t>
      </w:r>
      <w:r w:rsidR="000A0CB7" w:rsidRPr="008B43A9">
        <w:rPr>
          <w:rFonts w:ascii="Times New Roman" w:hAnsi="Times New Roman" w:cs="Times New Roman"/>
          <w:sz w:val="24"/>
          <w:szCs w:val="24"/>
        </w:rPr>
        <w:t xml:space="preserve"> infection </w:t>
      </w:r>
      <w:r w:rsidR="000A0CB7">
        <w:rPr>
          <w:rFonts w:ascii="Times New Roman" w:hAnsi="Times New Roman" w:cs="Times New Roman"/>
          <w:sz w:val="24"/>
          <w:szCs w:val="24"/>
        </w:rPr>
        <w:t>are derived</w:t>
      </w:r>
      <w:r w:rsidR="000A0CB7" w:rsidRPr="008B43A9">
        <w:rPr>
          <w:rFonts w:ascii="Times New Roman" w:hAnsi="Times New Roman" w:cs="Times New Roman"/>
          <w:sz w:val="24"/>
          <w:szCs w:val="24"/>
        </w:rPr>
        <w:t xml:space="preserve"> in Section </w:t>
      </w:r>
      <w:r w:rsidR="000A0CB7">
        <w:rPr>
          <w:rFonts w:ascii="Times New Roman" w:hAnsi="Times New Roman" w:cs="Times New Roman"/>
          <w:sz w:val="24"/>
          <w:szCs w:val="24"/>
        </w:rPr>
        <w:t>A.5</w:t>
      </w:r>
      <w:r w:rsidR="000A0CB7" w:rsidRPr="008B43A9">
        <w:rPr>
          <w:rFonts w:ascii="Times New Roman" w:hAnsi="Times New Roman" w:cs="Times New Roman"/>
          <w:sz w:val="24"/>
          <w:szCs w:val="24"/>
        </w:rPr>
        <w:t xml:space="preserve"> below</w:t>
      </w:r>
      <w:r w:rsidR="000A0CB7">
        <w:rPr>
          <w:rFonts w:ascii="Times New Roman" w:hAnsi="Times New Roman" w:cs="Times New Roman"/>
          <w:sz w:val="24"/>
          <w:szCs w:val="24"/>
        </w:rPr>
        <w:t xml:space="preserve">. The </w:t>
      </w:r>
      <w:r w:rsidR="006172F2" w:rsidRPr="008B43A9">
        <w:rPr>
          <w:rFonts w:ascii="Times New Roman" w:hAnsi="Times New Roman" w:cs="Times New Roman"/>
          <w:noProof w:val="0"/>
          <w:sz w:val="24"/>
          <w:szCs w:val="24"/>
        </w:rPr>
        <w:t>model included a 2.89-fold increase in infectivity corresponding to a unit increase in log viral load RNA</w:t>
      </w:r>
      <w:r w:rsidR="00076B0C">
        <w:rPr>
          <w:rFonts w:ascii="Times New Roman" w:hAnsi="Times New Roman" w:cs="Times New Roman"/>
          <w:noProof w:val="0"/>
          <w:sz w:val="24"/>
          <w:szCs w:val="24"/>
        </w:rPr>
        <w:t xml:space="preserve"> </w:t>
      </w:r>
      <w:r w:rsidR="00076B0C" w:rsidRPr="0573D6D8">
        <w:fldChar w:fldCharType="begin" w:fldLock="1"/>
      </w:r>
      <w:r w:rsidR="00590DAA">
        <w:rPr>
          <w:rFonts w:ascii="Times New Roman" w:hAnsi="Times New Roman" w:cs="Times New Roman"/>
          <w:sz w:val="24"/>
          <w:szCs w:val="24"/>
        </w:rPr>
        <w:instrText>ADDIN CSL_CITATION {"citationItems":[{"id":"ITEM-1","itemData":{"DOI":"10.1093/infdis/jir747","ISSN":"1537-6613","PMID":"22241800","abstract":"Knowledge of factors that affect per-act infectivity of human immunodeficiency virus type 1 (HIV-1) is important for designing HIV-1 prevention interventions and for the mathematical modeling of the spread of HIV-1.","author":[{"dropping-particle":"","family":"Hughes","given":"James P","non-dropping-particle":"","parse-names":false,"suffix":""},{"dropping-particle":"","family":"Baeten","given":"Jared M","non-dropping-particle":"","parse-names":false,"suffix":""},{"dropping-particle":"","family":"Lingappa","given":"Jairam R","non-dropping-particle":"","parse-names":false,"suffix":""},{"dropping-particle":"","family":"Magaret","given":"Amalia S","non-dropping-particle":"","parse-names":false,"suffix":""},{"dropping-particle":"","family":"Wald","given":"Anna","non-dropping-particle":"","parse-names":false,"suffix":""},{"dropping-particle":"","family":"Bruyn","given":"Guy","non-dropping-particle":"de","parse-names":false,"suffix":""},{"dropping-particle":"","family":"Kiarie","given":"James","non-dropping-particle":"","parse-names":false,"suffix":""},{"dropping-particle":"","family":"Inambao","given":"Mubiana","non-dropping-particle":"","parse-names":false,"suffix":""},{"dropping-particle":"","family":"Kilembe","given":"William","non-dropping-particle":"","parse-names":false,"suffix":""},{"dropping-particle":"","family":"Farquhar","given":"Carey","non-dropping-particle":"","parse-names":false,"suffix":""},{"dropping-particle":"","family":"Celum","given":"Connie","non-dropping-particle":"","parse-names":false,"suffix":""},{"dropping-particle":"","family":"Coetzee","given":"D","non-dropping-particle":"","parse-names":false,"suffix":""},{"dropping-particle":"","family":"Fife","given":"K","non-dropping-particle":"","parse-names":false,"suffix":""},{"dropping-particle":"","family":"Were","given":"E","non-dropping-particle":"","parse-names":false,"suffix":""},{"dropping-particle":"","family":"Essex","given":"M","non-dropping-particle":"","parse-names":false,"suffix":""},{"dropping-particle":"","family":"Makhema","given":"J","non-dropping-particle":"","parse-names":false,"suffix":""},{"dropping-particle":"","family":"Katabira","given":"E","non-dropping-particle":"","parse-names":false,"suffix":""},{"dropping-particle":"","family":"Ronald","given":"A","non-dropping-particle":"","parse-names":false,"suffix":""},{"dropping-particle":"","family":"Allen","given":"S","non-dropping-particle":"","parse-names":false,"suffix":""},{"dropping-particle":"","family":"Kayitenkore","given":"K","non-dropping-particle":"","parse-names":false,"suffix":""},{"dropping-particle":"","family":"Karita","given":"E","non-dropping-particle":"","parse-names":false,"suffix":""},{"dropping-particle":"","family":"Bukusi","given":"E","non-dropping-particle":"","parse-names":false,"suffix":""},{"dropping-particle":"","family":"Cohen","given":"C","non-dropping-particle":"","parse-names":false,"suffix":""},{"dropping-particle":"","family":"Kanweka","given":"W","non-dropping-particle":"","parse-names":false,"suffix":""},{"dropping-particle":"","family":"Vwalika","given":"B","non-dropping-particle":"","parse-names":false,"suffix":""},{"dropping-particle":"","family":"Kapiga","given":"S","non-dropping-particle":"","parse-names":false,"suffix":""},{"dropping-particle":"","family":"Manongi","given":"R","non-dropping-particle":"","parse-names":false,"suffix":""},{"dropping-particle":"","family":"John-Stewart","given":"G","non-dropping-particle":"","parse-names":false,"suffix":""},{"dropping-particle":"","family":"Delany-Moretlwe","given":"S","non-dropping-particle":"","parse-names":false,"suffix":""},{"dropping-particle":"","family":"Rees","given":"H","non-dropping-particle":"","parse-names":false,"suffix":""},{"dropping-particle":"","family":"Gray","given":"G","non-dropping-particle":"","parse-names":false,"suffix":""},{"dropping-particle":"","family":"McIntyre","given":"J","non-dropping-particle":"","parse-names":false,"suffix":""}],"container-title":"J. Infect. Dis.","id":"ITEM-1","issue":"3","issued":{"date-parts":[["2012","2"]]},"page":"358-365","title":"Determinants of per-coital-act HIV-1 infectivity among African HIV-1-serodiscordant couples","type":"article-journal","volume":"205"},"uris":["http://www.mendeley.com/documents/?uuid=64c3f09d-7a8a-4ff2-953f-c852901ac9c3"]}],"mendeley":{"formattedCitation":"[32]","plainTextFormattedCitation":"[32]","previouslyFormattedCitation":"[32]"},"properties":{"noteIndex":0},"schema":"https://github.com/citation-style-language/schema/raw/master/csl-citation.json"}</w:instrText>
      </w:r>
      <w:r w:rsidR="00076B0C" w:rsidRPr="0573D6D8">
        <w:rPr>
          <w:rFonts w:ascii="Times New Roman" w:hAnsi="Times New Roman" w:cs="Times New Roman"/>
          <w:sz w:val="24"/>
          <w:szCs w:val="24"/>
        </w:rPr>
        <w:fldChar w:fldCharType="separate"/>
      </w:r>
      <w:r w:rsidR="007A01DC" w:rsidRPr="007A01DC">
        <w:rPr>
          <w:rFonts w:ascii="Times New Roman" w:hAnsi="Times New Roman" w:cs="Times New Roman"/>
          <w:sz w:val="24"/>
          <w:szCs w:val="24"/>
        </w:rPr>
        <w:t>[32]</w:t>
      </w:r>
      <w:r w:rsidR="00076B0C" w:rsidRPr="0573D6D8">
        <w:fldChar w:fldCharType="end"/>
      </w:r>
      <w:r w:rsidR="006172F2" w:rsidRPr="008B43A9">
        <w:rPr>
          <w:rFonts w:ascii="Times New Roman" w:hAnsi="Times New Roman" w:cs="Times New Roman"/>
          <w:sz w:val="24"/>
          <w:szCs w:val="24"/>
        </w:rPr>
        <w:t xml:space="preserve">. </w:t>
      </w:r>
    </w:p>
    <w:p w14:paraId="28173C29" w14:textId="27E8CA0F" w:rsidR="00086782" w:rsidRDefault="008B43A9" w:rsidP="000B44D1">
      <w:pPr>
        <w:pStyle w:val="Heading1"/>
      </w:pPr>
      <w:bookmarkStart w:id="14" w:name="_Toc3377342"/>
      <w:r>
        <w:t>A.</w:t>
      </w:r>
      <w:r w:rsidR="000C76EF">
        <w:t xml:space="preserve">5 </w:t>
      </w:r>
      <w:r w:rsidR="0573D6D8" w:rsidRPr="000C76EF">
        <w:t>Sensitivity Analysis of Key Model Parameters</w:t>
      </w:r>
      <w:bookmarkEnd w:id="14"/>
    </w:p>
    <w:p w14:paraId="39D1D486" w14:textId="77777777" w:rsidR="000B44D1" w:rsidRPr="000B44D1" w:rsidRDefault="000B44D1" w:rsidP="000B44D1"/>
    <w:p w14:paraId="5A9F7EF6" w14:textId="3FA58010" w:rsidR="00412327" w:rsidRPr="003001A8" w:rsidRDefault="0573D6D8" w:rsidP="00BE57D5">
      <w:pPr>
        <w:spacing w:line="480" w:lineRule="auto"/>
        <w:ind w:firstLine="720"/>
        <w:rPr>
          <w:rFonts w:ascii="Times New Roman" w:hAnsi="Times New Roman" w:cs="Times New Roman"/>
          <w:noProof w:val="0"/>
          <w:sz w:val="24"/>
          <w:szCs w:val="24"/>
        </w:rPr>
      </w:pPr>
      <w:r w:rsidRPr="003001A8">
        <w:rPr>
          <w:rFonts w:ascii="Times New Roman" w:hAnsi="Times New Roman" w:cs="Times New Roman"/>
          <w:noProof w:val="0"/>
          <w:sz w:val="24"/>
          <w:szCs w:val="24"/>
        </w:rPr>
        <w:t>There were a few parameters</w:t>
      </w:r>
      <w:r w:rsidR="00D301CB">
        <w:rPr>
          <w:rFonts w:ascii="Times New Roman" w:hAnsi="Times New Roman" w:cs="Times New Roman"/>
          <w:noProof w:val="0"/>
          <w:sz w:val="24"/>
          <w:szCs w:val="24"/>
        </w:rPr>
        <w:t xml:space="preserve"> </w:t>
      </w:r>
      <w:r w:rsidRPr="003001A8">
        <w:rPr>
          <w:rFonts w:ascii="Times New Roman" w:hAnsi="Times New Roman" w:cs="Times New Roman"/>
          <w:noProof w:val="0"/>
          <w:sz w:val="24"/>
          <w:szCs w:val="24"/>
        </w:rPr>
        <w:t xml:space="preserve">for which there </w:t>
      </w:r>
      <w:r w:rsidR="00EE4034" w:rsidRPr="003001A8">
        <w:rPr>
          <w:rFonts w:ascii="Times New Roman" w:hAnsi="Times New Roman" w:cs="Times New Roman"/>
          <w:noProof w:val="0"/>
          <w:sz w:val="24"/>
          <w:szCs w:val="24"/>
        </w:rPr>
        <w:t>are</w:t>
      </w:r>
      <w:r w:rsidRPr="003001A8">
        <w:rPr>
          <w:rFonts w:ascii="Times New Roman" w:hAnsi="Times New Roman" w:cs="Times New Roman"/>
          <w:noProof w:val="0"/>
          <w:sz w:val="24"/>
          <w:szCs w:val="24"/>
        </w:rPr>
        <w:t xml:space="preserve"> wide variation</w:t>
      </w:r>
      <w:r w:rsidR="00EE4034" w:rsidRPr="003001A8">
        <w:rPr>
          <w:rFonts w:ascii="Times New Roman" w:hAnsi="Times New Roman" w:cs="Times New Roman"/>
          <w:noProof w:val="0"/>
          <w:sz w:val="24"/>
          <w:szCs w:val="24"/>
        </w:rPr>
        <w:t>s</w:t>
      </w:r>
      <w:r w:rsidRPr="003001A8">
        <w:rPr>
          <w:rFonts w:ascii="Times New Roman" w:hAnsi="Times New Roman" w:cs="Times New Roman"/>
          <w:noProof w:val="0"/>
          <w:sz w:val="24"/>
          <w:szCs w:val="24"/>
        </w:rPr>
        <w:t xml:space="preserve"> in published estimates, and a few others that w</w:t>
      </w:r>
      <w:r w:rsidR="002210C6">
        <w:rPr>
          <w:rFonts w:ascii="Times New Roman" w:hAnsi="Times New Roman" w:cs="Times New Roman"/>
          <w:noProof w:val="0"/>
          <w:sz w:val="24"/>
          <w:szCs w:val="24"/>
        </w:rPr>
        <w:t>ere</w:t>
      </w:r>
      <w:r w:rsidRPr="003001A8">
        <w:rPr>
          <w:rFonts w:ascii="Times New Roman" w:hAnsi="Times New Roman" w:cs="Times New Roman"/>
          <w:noProof w:val="0"/>
          <w:sz w:val="24"/>
          <w:szCs w:val="24"/>
        </w:rPr>
        <w:t xml:space="preserve"> estimated using secondary data analysis but the estimates might have been biased. For </w:t>
      </w:r>
      <w:r w:rsidR="004A6315">
        <w:rPr>
          <w:rFonts w:ascii="Times New Roman" w:hAnsi="Times New Roman" w:cs="Times New Roman"/>
          <w:noProof w:val="0"/>
          <w:sz w:val="24"/>
          <w:szCs w:val="24"/>
        </w:rPr>
        <w:t>these</w:t>
      </w:r>
      <w:r w:rsidR="004A6315" w:rsidRPr="003001A8">
        <w:rPr>
          <w:rFonts w:ascii="Times New Roman" w:hAnsi="Times New Roman" w:cs="Times New Roman"/>
          <w:noProof w:val="0"/>
          <w:sz w:val="24"/>
          <w:szCs w:val="24"/>
        </w:rPr>
        <w:t xml:space="preserve"> </w:t>
      </w:r>
      <w:r w:rsidRPr="003001A8">
        <w:rPr>
          <w:rFonts w:ascii="Times New Roman" w:hAnsi="Times New Roman" w:cs="Times New Roman"/>
          <w:noProof w:val="0"/>
          <w:sz w:val="24"/>
          <w:szCs w:val="24"/>
        </w:rPr>
        <w:t>parameters</w:t>
      </w:r>
      <w:r w:rsidR="00BE57D5">
        <w:rPr>
          <w:rFonts w:ascii="Times New Roman" w:hAnsi="Times New Roman" w:cs="Times New Roman"/>
          <w:noProof w:val="0"/>
          <w:sz w:val="24"/>
          <w:szCs w:val="24"/>
        </w:rPr>
        <w:t xml:space="preserve"> – listed in Table A.3 – </w:t>
      </w:r>
      <w:r w:rsidRPr="003001A8">
        <w:rPr>
          <w:rFonts w:ascii="Times New Roman" w:hAnsi="Times New Roman" w:cs="Times New Roman"/>
          <w:noProof w:val="0"/>
          <w:sz w:val="24"/>
          <w:szCs w:val="24"/>
        </w:rPr>
        <w:t>set</w:t>
      </w:r>
      <w:r w:rsidR="00F8412F" w:rsidRPr="003001A8">
        <w:rPr>
          <w:rFonts w:ascii="Times New Roman" w:hAnsi="Times New Roman" w:cs="Times New Roman"/>
          <w:noProof w:val="0"/>
          <w:sz w:val="24"/>
          <w:szCs w:val="24"/>
        </w:rPr>
        <w:t>s</w:t>
      </w:r>
      <w:r w:rsidRPr="003001A8">
        <w:rPr>
          <w:rFonts w:ascii="Times New Roman" w:hAnsi="Times New Roman" w:cs="Times New Roman"/>
          <w:noProof w:val="0"/>
          <w:sz w:val="24"/>
          <w:szCs w:val="24"/>
        </w:rPr>
        <w:t xml:space="preserve"> of discrete values that spanned the uncertain range</w:t>
      </w:r>
      <w:r w:rsidR="00B65DFB" w:rsidRPr="003001A8">
        <w:rPr>
          <w:rFonts w:ascii="Times New Roman" w:hAnsi="Times New Roman" w:cs="Times New Roman"/>
          <w:noProof w:val="0"/>
          <w:sz w:val="24"/>
          <w:szCs w:val="24"/>
        </w:rPr>
        <w:t>s</w:t>
      </w:r>
      <w:r w:rsidR="005A3E08">
        <w:rPr>
          <w:rFonts w:ascii="Times New Roman" w:hAnsi="Times New Roman" w:cs="Times New Roman"/>
          <w:noProof w:val="0"/>
          <w:sz w:val="24"/>
          <w:szCs w:val="24"/>
        </w:rPr>
        <w:t xml:space="preserve"> </w:t>
      </w:r>
      <w:r w:rsidR="00F8412F" w:rsidRPr="003001A8">
        <w:rPr>
          <w:rFonts w:ascii="Times New Roman" w:hAnsi="Times New Roman" w:cs="Times New Roman"/>
          <w:noProof w:val="0"/>
          <w:sz w:val="24"/>
          <w:szCs w:val="24"/>
        </w:rPr>
        <w:t xml:space="preserve">were </w:t>
      </w:r>
      <w:r w:rsidRPr="003001A8">
        <w:rPr>
          <w:rFonts w:ascii="Times New Roman" w:hAnsi="Times New Roman" w:cs="Times New Roman"/>
          <w:noProof w:val="0"/>
          <w:sz w:val="24"/>
          <w:szCs w:val="24"/>
        </w:rPr>
        <w:t xml:space="preserve">considered. </w:t>
      </w:r>
      <w:r w:rsidR="000C0F4F">
        <w:rPr>
          <w:rFonts w:ascii="Times New Roman" w:hAnsi="Times New Roman" w:cs="Times New Roman"/>
          <w:noProof w:val="0"/>
          <w:sz w:val="24"/>
          <w:szCs w:val="24"/>
        </w:rPr>
        <w:t>The model was</w:t>
      </w:r>
      <w:r w:rsidRPr="003001A8">
        <w:rPr>
          <w:rFonts w:ascii="Times New Roman" w:hAnsi="Times New Roman" w:cs="Times New Roman"/>
          <w:noProof w:val="0"/>
          <w:sz w:val="24"/>
          <w:szCs w:val="24"/>
        </w:rPr>
        <w:t xml:space="preserve"> simulate</w:t>
      </w:r>
      <w:r w:rsidRPr="003001A8">
        <w:rPr>
          <w:rFonts w:ascii="Times New Roman" w:hAnsi="Times New Roman" w:cs="Times New Roman"/>
          <w:noProof w:val="0"/>
          <w:sz w:val="24"/>
          <w:szCs w:val="24"/>
        </w:rPr>
        <w:t xml:space="preserve">d over </w:t>
      </w:r>
      <w:r w:rsidR="00A55F5C">
        <w:rPr>
          <w:rFonts w:ascii="Times New Roman" w:hAnsi="Times New Roman" w:cs="Times New Roman"/>
          <w:noProof w:val="0"/>
          <w:sz w:val="24"/>
          <w:szCs w:val="24"/>
        </w:rPr>
        <w:t xml:space="preserve">the </w:t>
      </w:r>
      <w:r w:rsidRPr="00CF4B59">
        <w:rPr>
          <w:rFonts w:ascii="Times New Roman" w:hAnsi="Times New Roman" w:cs="Times New Roman"/>
          <w:sz w:val="24"/>
          <w:szCs w:val="24"/>
        </w:rPr>
        <w:t>100 year</w:t>
      </w:r>
      <w:r w:rsidR="00A55F5C">
        <w:rPr>
          <w:rFonts w:ascii="Times New Roman" w:hAnsi="Times New Roman" w:cs="Times New Roman"/>
          <w:noProof w:val="0"/>
          <w:sz w:val="24"/>
          <w:szCs w:val="24"/>
        </w:rPr>
        <w:t xml:space="preserve"> burn-in length </w:t>
      </w:r>
      <w:r w:rsidRPr="003001A8">
        <w:rPr>
          <w:rFonts w:ascii="Times New Roman" w:hAnsi="Times New Roman" w:cs="Times New Roman"/>
          <w:noProof w:val="0"/>
          <w:sz w:val="24"/>
          <w:szCs w:val="24"/>
        </w:rPr>
        <w:t xml:space="preserve">with </w:t>
      </w:r>
      <w:r w:rsidR="00E02933">
        <w:rPr>
          <w:rFonts w:ascii="Times New Roman" w:hAnsi="Times New Roman" w:cs="Times New Roman"/>
          <w:noProof w:val="0"/>
          <w:sz w:val="24"/>
          <w:szCs w:val="24"/>
        </w:rPr>
        <w:t>3</w:t>
      </w:r>
      <w:r w:rsidRPr="003001A8">
        <w:rPr>
          <w:rFonts w:ascii="Times New Roman" w:hAnsi="Times New Roman" w:cs="Times New Roman"/>
          <w:noProof w:val="0"/>
          <w:sz w:val="24"/>
          <w:szCs w:val="24"/>
        </w:rPr>
        <w:t xml:space="preserve">0 repetitions of each parameter combination, and key model outputs, including model prevalence and annualized incidence </w:t>
      </w:r>
      <w:r w:rsidRPr="00CF4B59">
        <w:rPr>
          <w:rFonts w:ascii="Times New Roman" w:hAnsi="Times New Roman" w:cs="Times New Roman"/>
          <w:sz w:val="24"/>
          <w:szCs w:val="24"/>
        </w:rPr>
        <w:t>rates</w:t>
      </w:r>
      <w:r w:rsidR="00CF4B59">
        <w:rPr>
          <w:rFonts w:ascii="Times New Roman" w:hAnsi="Times New Roman" w:cs="Times New Roman"/>
          <w:sz w:val="24"/>
          <w:szCs w:val="24"/>
        </w:rPr>
        <w:t>,</w:t>
      </w:r>
      <w:r w:rsidRPr="003001A8">
        <w:rPr>
          <w:rFonts w:ascii="Times New Roman" w:hAnsi="Times New Roman" w:cs="Times New Roman"/>
          <w:noProof w:val="0"/>
          <w:sz w:val="24"/>
          <w:szCs w:val="24"/>
        </w:rPr>
        <w:t xml:space="preserve"> were analyzed. </w:t>
      </w:r>
    </w:p>
    <w:tbl>
      <w:tblPr>
        <w:tblStyle w:val="TableGrid"/>
        <w:tblW w:w="0" w:type="auto"/>
        <w:tblInd w:w="720" w:type="dxa"/>
        <w:tblLook w:val="04A0" w:firstRow="1" w:lastRow="0" w:firstColumn="1" w:lastColumn="0" w:noHBand="0" w:noVBand="1"/>
      </w:tblPr>
      <w:tblGrid>
        <w:gridCol w:w="2881"/>
        <w:gridCol w:w="2845"/>
        <w:gridCol w:w="2904"/>
      </w:tblGrid>
      <w:tr w:rsidR="00CC46F1" w14:paraId="11DF3EFA" w14:textId="77777777" w:rsidTr="00AC52EC">
        <w:tc>
          <w:tcPr>
            <w:tcW w:w="8856" w:type="dxa"/>
            <w:gridSpan w:val="3"/>
            <w:vAlign w:val="bottom"/>
          </w:tcPr>
          <w:p w14:paraId="0A664E87" w14:textId="0AF1988B" w:rsidR="00CC46F1" w:rsidRPr="0573D6D8" w:rsidRDefault="00CC46F1" w:rsidP="0573D6D8">
            <w:pPr>
              <w:pStyle w:val="ListParagraph"/>
              <w:ind w:left="0"/>
              <w:rPr>
                <w:rFonts w:ascii="Times New Roman" w:hAnsi="Times New Roman" w:cs="Times New Roman"/>
                <w:b/>
                <w:bCs/>
                <w:noProof w:val="0"/>
                <w:sz w:val="22"/>
                <w:szCs w:val="22"/>
              </w:rPr>
            </w:pPr>
            <w:r>
              <w:rPr>
                <w:rFonts w:ascii="Times New Roman" w:hAnsi="Times New Roman" w:cs="Times New Roman"/>
                <w:b/>
                <w:bCs/>
                <w:noProof w:val="0"/>
                <w:sz w:val="22"/>
                <w:szCs w:val="22"/>
              </w:rPr>
              <w:t>Table A.</w:t>
            </w:r>
            <w:r w:rsidR="00390929">
              <w:rPr>
                <w:rFonts w:ascii="Times New Roman" w:hAnsi="Times New Roman" w:cs="Times New Roman"/>
                <w:b/>
                <w:bCs/>
                <w:noProof w:val="0"/>
                <w:sz w:val="22"/>
                <w:szCs w:val="22"/>
              </w:rPr>
              <w:t>3</w:t>
            </w:r>
            <w:r>
              <w:rPr>
                <w:rFonts w:ascii="Times New Roman" w:hAnsi="Times New Roman" w:cs="Times New Roman"/>
                <w:b/>
                <w:bCs/>
                <w:noProof w:val="0"/>
                <w:sz w:val="22"/>
                <w:szCs w:val="22"/>
              </w:rPr>
              <w:t>: Parameters with uncertain estimates used for sensitivity analysis to obtain reasonable values.</w:t>
            </w:r>
          </w:p>
        </w:tc>
      </w:tr>
      <w:tr w:rsidR="00593F49" w14:paraId="764E3E5F" w14:textId="77777777" w:rsidTr="0573D6D8">
        <w:tc>
          <w:tcPr>
            <w:tcW w:w="2958" w:type="dxa"/>
            <w:vAlign w:val="bottom"/>
          </w:tcPr>
          <w:p w14:paraId="2819EB29" w14:textId="249C03F0" w:rsidR="00412327" w:rsidRPr="00B700F9" w:rsidRDefault="0573D6D8" w:rsidP="0573D6D8">
            <w:pPr>
              <w:pStyle w:val="ListParagraph"/>
              <w:ind w:left="0"/>
              <w:rPr>
                <w:rFonts w:ascii="Times New Roman" w:hAnsi="Times New Roman" w:cs="Times New Roman"/>
                <w:b/>
                <w:bCs/>
                <w:noProof w:val="0"/>
                <w:sz w:val="22"/>
                <w:szCs w:val="22"/>
              </w:rPr>
            </w:pPr>
            <w:r w:rsidRPr="0573D6D8">
              <w:rPr>
                <w:rFonts w:ascii="Times New Roman" w:hAnsi="Times New Roman" w:cs="Times New Roman"/>
                <w:b/>
                <w:bCs/>
                <w:noProof w:val="0"/>
                <w:sz w:val="22"/>
                <w:szCs w:val="22"/>
              </w:rPr>
              <w:t>Parameter</w:t>
            </w:r>
          </w:p>
        </w:tc>
        <w:tc>
          <w:tcPr>
            <w:tcW w:w="2927" w:type="dxa"/>
            <w:vAlign w:val="bottom"/>
          </w:tcPr>
          <w:p w14:paraId="055F41B7" w14:textId="102D991F" w:rsidR="00412327" w:rsidRPr="00B700F9" w:rsidRDefault="0573D6D8" w:rsidP="0573D6D8">
            <w:pPr>
              <w:pStyle w:val="ListParagraph"/>
              <w:ind w:left="0"/>
              <w:rPr>
                <w:rFonts w:ascii="Times New Roman" w:hAnsi="Times New Roman" w:cs="Times New Roman"/>
                <w:b/>
                <w:bCs/>
                <w:noProof w:val="0"/>
                <w:sz w:val="22"/>
                <w:szCs w:val="22"/>
              </w:rPr>
            </w:pPr>
            <w:r w:rsidRPr="00CF4B59">
              <w:rPr>
                <w:rFonts w:ascii="Times New Roman" w:hAnsi="Times New Roman" w:cs="Times New Roman"/>
                <w:b/>
                <w:bCs/>
                <w:sz w:val="22"/>
                <w:szCs w:val="22"/>
              </w:rPr>
              <w:t>Range</w:t>
            </w:r>
            <w:r w:rsidRPr="0573D6D8">
              <w:rPr>
                <w:rFonts w:ascii="Times New Roman" w:hAnsi="Times New Roman" w:cs="Times New Roman"/>
                <w:b/>
                <w:bCs/>
                <w:noProof w:val="0"/>
                <w:sz w:val="22"/>
                <w:szCs w:val="22"/>
              </w:rPr>
              <w:t xml:space="preserve"> of possible estimates or reason for uncertainty</w:t>
            </w:r>
          </w:p>
        </w:tc>
        <w:tc>
          <w:tcPr>
            <w:tcW w:w="2971" w:type="dxa"/>
            <w:vAlign w:val="bottom"/>
          </w:tcPr>
          <w:p w14:paraId="3268B756" w14:textId="02668E07" w:rsidR="00412327" w:rsidRPr="00B700F9" w:rsidRDefault="0573D6D8" w:rsidP="0573D6D8">
            <w:pPr>
              <w:pStyle w:val="ListParagraph"/>
              <w:ind w:left="0"/>
              <w:rPr>
                <w:rFonts w:ascii="Times New Roman" w:hAnsi="Times New Roman" w:cs="Times New Roman"/>
                <w:b/>
                <w:bCs/>
                <w:noProof w:val="0"/>
                <w:sz w:val="22"/>
                <w:szCs w:val="22"/>
              </w:rPr>
            </w:pPr>
            <w:r w:rsidRPr="0573D6D8">
              <w:rPr>
                <w:rFonts w:ascii="Times New Roman" w:hAnsi="Times New Roman" w:cs="Times New Roman"/>
                <w:b/>
                <w:bCs/>
                <w:noProof w:val="0"/>
                <w:sz w:val="22"/>
                <w:szCs w:val="22"/>
              </w:rPr>
              <w:t xml:space="preserve">Discrete values </w:t>
            </w:r>
            <w:r w:rsidRPr="00CF4B59">
              <w:rPr>
                <w:rFonts w:ascii="Times New Roman" w:hAnsi="Times New Roman" w:cs="Times New Roman"/>
                <w:b/>
                <w:bCs/>
                <w:sz w:val="22"/>
                <w:szCs w:val="22"/>
              </w:rPr>
              <w:t>taken</w:t>
            </w:r>
            <w:r w:rsidRPr="0573D6D8">
              <w:rPr>
                <w:rFonts w:ascii="Times New Roman" w:hAnsi="Times New Roman" w:cs="Times New Roman"/>
                <w:b/>
                <w:bCs/>
                <w:noProof w:val="0"/>
                <w:sz w:val="22"/>
                <w:szCs w:val="22"/>
              </w:rPr>
              <w:t xml:space="preserve"> for experimentation</w:t>
            </w:r>
          </w:p>
        </w:tc>
      </w:tr>
      <w:tr w:rsidR="00593F49" w14:paraId="3D34099F" w14:textId="77777777" w:rsidTr="0573D6D8">
        <w:tc>
          <w:tcPr>
            <w:tcW w:w="2958" w:type="dxa"/>
            <w:vAlign w:val="bottom"/>
          </w:tcPr>
          <w:p w14:paraId="32BBC470" w14:textId="4A2BB7E6" w:rsidR="00412327" w:rsidRPr="00B700F9" w:rsidRDefault="00AA7C7C" w:rsidP="0573D6D8">
            <w:pPr>
              <w:pStyle w:val="ListParagraph"/>
              <w:ind w:left="0"/>
              <w:rPr>
                <w:rFonts w:ascii="Times New Roman" w:hAnsi="Times New Roman" w:cs="Times New Roman"/>
                <w:noProof w:val="0"/>
                <w:sz w:val="22"/>
                <w:szCs w:val="22"/>
              </w:rPr>
            </w:pPr>
            <w:r>
              <w:rPr>
                <w:rFonts w:ascii="Times New Roman" w:hAnsi="Times New Roman" w:cs="Times New Roman"/>
                <w:noProof w:val="0"/>
                <w:sz w:val="22"/>
                <w:szCs w:val="22"/>
              </w:rPr>
              <w:t>Infectivity m</w:t>
            </w:r>
            <w:r w:rsidR="0573D6D8" w:rsidRPr="0573D6D8">
              <w:rPr>
                <w:rFonts w:ascii="Times New Roman" w:hAnsi="Times New Roman" w:cs="Times New Roman"/>
                <w:noProof w:val="0"/>
                <w:sz w:val="22"/>
                <w:szCs w:val="22"/>
              </w:rPr>
              <w:t>ultiplier for acute infection</w:t>
            </w:r>
          </w:p>
        </w:tc>
        <w:tc>
          <w:tcPr>
            <w:tcW w:w="2927" w:type="dxa"/>
            <w:vAlign w:val="bottom"/>
          </w:tcPr>
          <w:p w14:paraId="686BD553" w14:textId="176031BE" w:rsidR="00412327" w:rsidRPr="00B700F9" w:rsidRDefault="00051904" w:rsidP="00F95A72">
            <w:pPr>
              <w:pStyle w:val="ListParagraph"/>
              <w:ind w:left="0"/>
              <w:rPr>
                <w:rFonts w:ascii="Times New Roman" w:hAnsi="Times New Roman" w:cs="Times New Roman"/>
                <w:noProof w:val="0"/>
                <w:sz w:val="22"/>
                <w:szCs w:val="22"/>
              </w:rPr>
            </w:pPr>
            <w:r w:rsidRPr="00B700F9">
              <w:rPr>
                <w:rFonts w:ascii="Times New Roman" w:hAnsi="Times New Roman" w:cs="Times New Roman"/>
                <w:noProof w:val="0"/>
                <w:sz w:val="22"/>
                <w:szCs w:val="22"/>
              </w:rPr>
              <w:t xml:space="preserve">A wide range of estimates has been published, </w:t>
            </w:r>
            <w:r w:rsidR="00A9056A" w:rsidRPr="00B700F9">
              <w:rPr>
                <w:rFonts w:ascii="Times New Roman" w:hAnsi="Times New Roman" w:cs="Times New Roman"/>
                <w:noProof w:val="0"/>
                <w:sz w:val="22"/>
                <w:szCs w:val="22"/>
              </w:rPr>
              <w:t xml:space="preserve">ranging </w:t>
            </w:r>
            <w:r w:rsidRPr="00B700F9">
              <w:rPr>
                <w:rFonts w:ascii="Times New Roman" w:hAnsi="Times New Roman" w:cs="Times New Roman"/>
                <w:noProof w:val="0"/>
                <w:sz w:val="22"/>
                <w:szCs w:val="22"/>
              </w:rPr>
              <w:t xml:space="preserve">from 4.98 </w:t>
            </w:r>
            <w:r w:rsidR="008B173F" w:rsidRPr="0573D6D8">
              <w:fldChar w:fldCharType="begin" w:fldLock="1"/>
            </w:r>
            <w:r w:rsidR="00590DAA">
              <w:rPr>
                <w:rFonts w:ascii="Times New Roman" w:hAnsi="Times New Roman" w:cs="Times New Roman"/>
                <w:noProof w:val="0"/>
                <w:sz w:val="22"/>
                <w:szCs w:val="22"/>
              </w:rPr>
              <w:instrText>ADDIN CSL_CITATION {"citationItems":[{"id":"ITEM-1","itemData":{"DOI":"10.1086/429411","ISSN":"0022-1899","PMID":"15809897","abstract":"We estimated rates of human immunodeficiency virus (HIV)-1 transmission per coital act in HIV-discordant couples by stage of infection in the index partner.","author":[{"dropping-particle":"","family":"Wawer","given":"Maria J","non-dropping-particle":"","parse-names":false,"suffix":""},{"dropping-particle":"","family":"Gray","given":"Ronald H","non-dropping-particle":"","parse-names":false,"suffix":""},{"dropping-particle":"","family":"Sewankambo","given":"Nelson K","non-dropping-particle":"","parse-names":false,"suffix":""},{"dropping-particle":"","family":"Serwadda","given":"David","non-dropping-particle":"","parse-names":false,"suffix":""},{"dropping-particle":"","family":"Li","given":"Xianbin B","non-dropping-particle":"","parse-names":false,"suffix":""},{"dropping-particle":"","family":"Laeyendecker","given":"Oliver","non-dropping-particle":"","parse-names":false,"suffix":""},{"dropping-particle":"","family":"Kiwanuka","given":"Noah","non-dropping-particle":"","parse-names":false,"suffix":""},{"dropping-particle":"","family":"Kigozi","given":"Godfrey","non-dropping-particle":"","parse-names":false,"suffix":""},{"dropping-particle":"","family":"Kiddugavu","given":"Mohammed","non-dropping-particle":"","parse-names":false,"suffix":""},{"dropping-particle":"","family":"Lutalo","given":"Thomas","non-dropping-particle":"","parse-names":false,"suffix":""},{"dropping-particle":"","family":"Nalugoda","given":"Fred","non-dropping-particle":"","parse-names":false,"suffix":""},{"dropping-particle":"","family":"Wabwire-Mangen","given":"Fred","non-dropping-particle":"","parse-names":false,"suffix":""},{"dropping-particle":"","family":"Meehan","given":"Mary P","non-dropping-particle":"","parse-names":false,"suffix":""},{"dropping-particle":"","family":"Quinn","given":"Thomas C","non-dropping-particle":"","parse-names":false,"suffix":""}],"container-title":"Journal Of Infectious Diseases","id":"ITEM-1","issue":"9","issued":{"date-parts":[["2005","5"]]},"page":"1403-1409","title":"Rates of HIV-1 transmission per coital act, by stage of HIV-1 infection, in Rakai, Uganda","type":"article-journal","volume":"191"},"uris":["http://www.mendeley.com/documents/?uuid=273e839e-0157-4d86-924a-409f60f932c0"]}],"mendeley":{"formattedCitation":"[33]","plainTextFormattedCitation":"[33]","previouslyFormattedCitation":"[33]"},"properties":{"noteIndex":0},"schema":"https://github.com/citation-style-language/schema/raw/master/csl-citation.json"}</w:instrText>
            </w:r>
            <w:r w:rsidR="008B173F" w:rsidRPr="0573D6D8">
              <w:rPr>
                <w:rFonts w:ascii="Times New Roman" w:hAnsi="Times New Roman" w:cs="Times New Roman"/>
                <w:noProof w:val="0"/>
                <w:sz w:val="22"/>
                <w:szCs w:val="22"/>
              </w:rPr>
              <w:fldChar w:fldCharType="separate"/>
            </w:r>
            <w:r w:rsidR="007A01DC" w:rsidRPr="007A01DC">
              <w:rPr>
                <w:rFonts w:ascii="Times New Roman" w:hAnsi="Times New Roman" w:cs="Times New Roman"/>
                <w:sz w:val="22"/>
                <w:szCs w:val="22"/>
              </w:rPr>
              <w:t>[33]</w:t>
            </w:r>
            <w:r w:rsidR="008B173F" w:rsidRPr="0573D6D8">
              <w:fldChar w:fldCharType="end"/>
            </w:r>
            <w:r w:rsidR="00D762DB" w:rsidRPr="00B700F9">
              <w:rPr>
                <w:rFonts w:ascii="Times New Roman" w:hAnsi="Times New Roman" w:cs="Times New Roman"/>
                <w:noProof w:val="0"/>
                <w:sz w:val="22"/>
                <w:szCs w:val="22"/>
              </w:rPr>
              <w:t xml:space="preserve"> to </w:t>
            </w:r>
            <w:r w:rsidR="00C762B8" w:rsidRPr="00B700F9">
              <w:rPr>
                <w:rFonts w:ascii="Times New Roman" w:hAnsi="Times New Roman" w:cs="Times New Roman"/>
                <w:noProof w:val="0"/>
                <w:sz w:val="22"/>
                <w:szCs w:val="22"/>
              </w:rPr>
              <w:t xml:space="preserve">26 </w:t>
            </w:r>
            <w:r w:rsidR="00AA66C3" w:rsidRPr="0573D6D8">
              <w:fldChar w:fldCharType="begin" w:fldLock="1"/>
            </w:r>
            <w:r w:rsidR="00590DAA">
              <w:rPr>
                <w:rFonts w:ascii="Times New Roman" w:hAnsi="Times New Roman" w:cs="Times New Roman"/>
                <w:noProof w:val="0"/>
                <w:sz w:val="22"/>
                <w:szCs w:val="22"/>
              </w:rPr>
              <w:instrText>ADDIN CSL_CITATION {"citationItems":[{"id":"ITEM-1","itemData":{"DOI":"10.1086/590501","ISSN":"0022-1899","author":[{"dropping-particle":"","family":"Hollingsworth","given":"T. Déirdre","non-dropping-particle":"","parse-names":false,"suffix":""},{"dropping-particle":"","family":"Anderson","given":"Roy M.","non-dropping-particle":"","parse-names":false,"suffix":""},{"dropping-particle":"","family":"Fraser","given":"Christophe","non-dropping-particle":"","parse-names":false,"suffix":""}],"container-title":"The Journal of Infectious Diseases","id":"ITEM-1","issue":"5","issued":{"date-parts":[["2008","9"]]},"page":"687-693","title":"HIV-1 Transmission, by Stage of Infection","type":"article-journal","volume":"198"},"uris":["http://www.mendeley.com/documents/?uuid=615d8e8c-3370-4872-a8dc-6a60805d1ae8"]}],"mendeley":{"formattedCitation":"[34]","plainTextFormattedCitation":"[34]","previouslyFormattedCitation":"[34]"},"properties":{"noteIndex":0},"schema":"https://github.com/citation-style-language/schema/raw/master/csl-citation.json"}</w:instrText>
            </w:r>
            <w:r w:rsidR="00AA66C3" w:rsidRPr="0573D6D8">
              <w:rPr>
                <w:rFonts w:ascii="Times New Roman" w:hAnsi="Times New Roman" w:cs="Times New Roman"/>
                <w:noProof w:val="0"/>
                <w:sz w:val="22"/>
                <w:szCs w:val="22"/>
              </w:rPr>
              <w:fldChar w:fldCharType="separate"/>
            </w:r>
            <w:r w:rsidR="007A01DC" w:rsidRPr="007A01DC">
              <w:rPr>
                <w:rFonts w:ascii="Times New Roman" w:hAnsi="Times New Roman" w:cs="Times New Roman"/>
                <w:sz w:val="22"/>
                <w:szCs w:val="22"/>
              </w:rPr>
              <w:t>[34]</w:t>
            </w:r>
            <w:r w:rsidR="00AA66C3" w:rsidRPr="0573D6D8">
              <w:fldChar w:fldCharType="end"/>
            </w:r>
            <w:r w:rsidR="00AA66C3" w:rsidRPr="00B700F9">
              <w:rPr>
                <w:rFonts w:ascii="Times New Roman" w:hAnsi="Times New Roman" w:cs="Times New Roman"/>
                <w:noProof w:val="0"/>
                <w:sz w:val="22"/>
                <w:szCs w:val="22"/>
              </w:rPr>
              <w:t>.</w:t>
            </w:r>
          </w:p>
        </w:tc>
        <w:tc>
          <w:tcPr>
            <w:tcW w:w="2971" w:type="dxa"/>
            <w:vAlign w:val="bottom"/>
          </w:tcPr>
          <w:p w14:paraId="0BE3CCCA" w14:textId="33BD053B" w:rsidR="00412327" w:rsidRPr="00B700F9" w:rsidRDefault="0573D6D8" w:rsidP="0573D6D8">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5,</w:t>
            </w:r>
            <w:r w:rsidR="002659D8">
              <w:rPr>
                <w:rFonts w:ascii="Times New Roman" w:hAnsi="Times New Roman" w:cs="Times New Roman"/>
                <w:noProof w:val="0"/>
                <w:sz w:val="22"/>
                <w:szCs w:val="22"/>
              </w:rPr>
              <w:t xml:space="preserve"> </w:t>
            </w:r>
            <w:r w:rsidRPr="0573D6D8">
              <w:rPr>
                <w:rFonts w:ascii="Times New Roman" w:hAnsi="Times New Roman" w:cs="Times New Roman"/>
                <w:noProof w:val="0"/>
                <w:sz w:val="22"/>
                <w:szCs w:val="22"/>
              </w:rPr>
              <w:t>10</w:t>
            </w:r>
          </w:p>
        </w:tc>
      </w:tr>
      <w:tr w:rsidR="00593F49" w14:paraId="537FA8F5" w14:textId="77777777" w:rsidTr="0573D6D8">
        <w:tc>
          <w:tcPr>
            <w:tcW w:w="2958" w:type="dxa"/>
            <w:vAlign w:val="bottom"/>
          </w:tcPr>
          <w:p w14:paraId="1061E0FF" w14:textId="1F3EDAAA" w:rsidR="00412327" w:rsidRPr="00B700F9" w:rsidRDefault="008B3789" w:rsidP="0573D6D8">
            <w:pPr>
              <w:pStyle w:val="ListParagraph"/>
              <w:ind w:left="0"/>
              <w:rPr>
                <w:rFonts w:ascii="Times New Roman" w:hAnsi="Times New Roman" w:cs="Times New Roman"/>
                <w:noProof w:val="0"/>
                <w:sz w:val="22"/>
                <w:szCs w:val="22"/>
              </w:rPr>
            </w:pPr>
            <w:r>
              <w:rPr>
                <w:rFonts w:ascii="Times New Roman" w:hAnsi="Times New Roman" w:cs="Times New Roman"/>
                <w:noProof w:val="0"/>
                <w:sz w:val="22"/>
                <w:szCs w:val="22"/>
              </w:rPr>
              <w:t>Infectivity m</w:t>
            </w:r>
            <w:r w:rsidR="0573D6D8" w:rsidRPr="0573D6D8">
              <w:rPr>
                <w:rFonts w:ascii="Times New Roman" w:hAnsi="Times New Roman" w:cs="Times New Roman"/>
                <w:noProof w:val="0"/>
                <w:sz w:val="22"/>
                <w:szCs w:val="22"/>
              </w:rPr>
              <w:t>ultiplier for late-stage infection</w:t>
            </w:r>
          </w:p>
        </w:tc>
        <w:tc>
          <w:tcPr>
            <w:tcW w:w="2927" w:type="dxa"/>
            <w:vAlign w:val="bottom"/>
          </w:tcPr>
          <w:p w14:paraId="16014E03" w14:textId="03B8047A" w:rsidR="00412327" w:rsidRPr="00B700F9" w:rsidRDefault="005847E9" w:rsidP="00F95A72">
            <w:pPr>
              <w:pStyle w:val="ListParagraph"/>
              <w:ind w:left="0"/>
              <w:rPr>
                <w:rFonts w:ascii="Times New Roman" w:hAnsi="Times New Roman" w:cs="Times New Roman"/>
                <w:noProof w:val="0"/>
                <w:sz w:val="22"/>
                <w:szCs w:val="22"/>
              </w:rPr>
            </w:pPr>
            <w:r w:rsidRPr="00B700F9">
              <w:rPr>
                <w:rFonts w:ascii="Times New Roman" w:hAnsi="Times New Roman" w:cs="Times New Roman"/>
                <w:noProof w:val="0"/>
                <w:sz w:val="22"/>
                <w:szCs w:val="22"/>
              </w:rPr>
              <w:t xml:space="preserve">A wide range of estimates has been published, ranging from </w:t>
            </w:r>
            <w:r w:rsidR="00676987" w:rsidRPr="00B700F9">
              <w:rPr>
                <w:rFonts w:ascii="Times New Roman" w:hAnsi="Times New Roman" w:cs="Times New Roman"/>
                <w:noProof w:val="0"/>
                <w:sz w:val="22"/>
                <w:szCs w:val="22"/>
              </w:rPr>
              <w:t xml:space="preserve">3.49 </w:t>
            </w:r>
            <w:r w:rsidRPr="0573D6D8">
              <w:fldChar w:fldCharType="begin" w:fldLock="1"/>
            </w:r>
            <w:r w:rsidR="00590DAA">
              <w:rPr>
                <w:rFonts w:ascii="Times New Roman" w:hAnsi="Times New Roman" w:cs="Times New Roman"/>
                <w:noProof w:val="0"/>
                <w:sz w:val="22"/>
                <w:szCs w:val="22"/>
              </w:rPr>
              <w:instrText>ADDIN CSL_CITATION {"citationItems":[{"id":"ITEM-1","itemData":{"DOI":"10.1086/429411","ISSN":"0022-1899","PMID":"15809897","abstract":"We estimated rates of human immunodeficiency virus (HIV)-1 transmission per coital act in HIV-discordant couples by stage of infection in the index partner.","author":[{"dropping-particle":"","family":"Wawer","given":"Maria J","non-dropping-particle":"","parse-names":false,"suffix":""},{"dropping-particle":"","family":"Gray","given":"Ronald H","non-dropping-particle":"","parse-names":false,"suffix":""},{"dropping-particle":"","family":"Sewankambo","given":"Nelson K","non-dropping-particle":"","parse-names":false,"suffix":""},{"dropping-particle":"","family":"Serwadda","given":"David","non-dropping-particle":"","parse-names":false,"suffix":""},{"dropping-particle":"","family":"Li","given":"Xianbin B","non-dropping-particle":"","parse-names":false,"suffix":""},{"dropping-particle":"","family":"Laeyendecker","given":"Oliver","non-dropping-particle":"","parse-names":false,"suffix":""},{"dropping-particle":"","family":"Kiwanuka","given":"Noah","non-dropping-particle":"","parse-names":false,"suffix":""},{"dropping-particle":"","family":"Kigozi","given":"Godfrey","non-dropping-particle":"","parse-names":false,"suffix":""},{"dropping-particle":"","family":"Kiddugavu","given":"Mohammed","non-dropping-particle":"","parse-names":false,"suffix":""},{"dropping-particle":"","family":"Lutalo","given":"Thomas","non-dropping-particle":"","parse-names":false,"suffix":""},{"dropping-particle":"","family":"Nalugoda","given":"Fred","non-dropping-particle":"","parse-names":false,"suffix":""},{"dropping-particle":"","family":"Wabwire-Mangen","given":"Fred","non-dropping-particle":"","parse-names":false,"suffix":""},{"dropping-particle":"","family":"Meehan","given":"Mary P","non-dropping-particle":"","parse-names":false,"suffix":""},{"dropping-particle":"","family":"Quinn","given":"Thomas C","non-dropping-particle":"","parse-names":false,"suffix":""}],"container-title":"Journal Of Infectious Diseases","id":"ITEM-1","issue":"9","issued":{"date-parts":[["2005","5"]]},"page":"1403-1409","title":"Rates of HIV-1 transmission per coital act, by stage of HIV-1 infection, in Rakai, Uganda","type":"article-journal","volume":"191"},"uris":["http://www.mendeley.com/documents/?uuid=273e839e-0157-4d86-924a-409f60f932c0"]}],"mendeley":{"formattedCitation":"[33]","plainTextFormattedCitation":"[33]","previouslyFormattedCitation":"[33]"},"properties":{"noteIndex":0},"schema":"https://github.com/citation-style-language/schema/raw/master/csl-citation.json"}</w:instrText>
            </w:r>
            <w:r w:rsidRPr="0573D6D8">
              <w:rPr>
                <w:rFonts w:ascii="Times New Roman" w:hAnsi="Times New Roman" w:cs="Times New Roman"/>
                <w:noProof w:val="0"/>
                <w:sz w:val="22"/>
                <w:szCs w:val="22"/>
              </w:rPr>
              <w:fldChar w:fldCharType="separate"/>
            </w:r>
            <w:r w:rsidR="007A01DC" w:rsidRPr="007A01DC">
              <w:rPr>
                <w:rFonts w:ascii="Times New Roman" w:hAnsi="Times New Roman" w:cs="Times New Roman"/>
                <w:sz w:val="22"/>
                <w:szCs w:val="22"/>
              </w:rPr>
              <w:t>[33]</w:t>
            </w:r>
            <w:r w:rsidRPr="0573D6D8">
              <w:fldChar w:fldCharType="end"/>
            </w:r>
            <w:r w:rsidR="00D762DB" w:rsidRPr="00B700F9">
              <w:rPr>
                <w:rFonts w:ascii="Times New Roman" w:hAnsi="Times New Roman" w:cs="Times New Roman"/>
                <w:noProof w:val="0"/>
                <w:sz w:val="22"/>
                <w:szCs w:val="22"/>
              </w:rPr>
              <w:t xml:space="preserve"> to </w:t>
            </w:r>
            <w:r w:rsidR="00AA66C3" w:rsidRPr="00B700F9">
              <w:rPr>
                <w:rFonts w:ascii="Times New Roman" w:hAnsi="Times New Roman" w:cs="Times New Roman"/>
                <w:noProof w:val="0"/>
                <w:sz w:val="22"/>
                <w:szCs w:val="22"/>
              </w:rPr>
              <w:t xml:space="preserve">7 </w:t>
            </w:r>
            <w:r w:rsidR="00AA66C3" w:rsidRPr="0573D6D8">
              <w:fldChar w:fldCharType="begin" w:fldLock="1"/>
            </w:r>
            <w:r w:rsidR="00590DAA">
              <w:rPr>
                <w:rFonts w:ascii="Times New Roman" w:hAnsi="Times New Roman" w:cs="Times New Roman"/>
                <w:noProof w:val="0"/>
                <w:sz w:val="22"/>
                <w:szCs w:val="22"/>
              </w:rPr>
              <w:instrText>ADDIN CSL_CITATION {"citationItems":[{"id":"ITEM-1","itemData":{"DOI":"10.1086/590501","ISSN":"0022-1899","author":[{"dropping-particle":"","family":"Hollingsworth","given":"T. Déirdre","non-dropping-particle":"","parse-names":false,"suffix":""},{"dropping-particle":"","family":"Anderson","given":"Roy M.","non-dropping-particle":"","parse-names":false,"suffix":""},{"dropping-particle":"","family":"Fraser","given":"Christophe","non-dropping-particle":"","parse-names":false,"suffix":""}],"container-title":"The Journal of Infectious Diseases","id":"ITEM-1","issue":"5","issued":{"date-parts":[["2008","9"]]},"page":"687-693","title":"HIV-1 Transmission, by Stage of Infection","type":"article-journal","volume":"198"},"uris":["http://www.mendeley.com/documents/?uuid=615d8e8c-3370-4872-a8dc-6a60805d1ae8"]}],"mendeley":{"formattedCitation":"[34]","plainTextFormattedCitation":"[34]","previouslyFormattedCitation":"[34]"},"properties":{"noteIndex":0},"schema":"https://github.com/citation-style-language/schema/raw/master/csl-citation.json"}</w:instrText>
            </w:r>
            <w:r w:rsidR="00AA66C3" w:rsidRPr="0573D6D8">
              <w:rPr>
                <w:rFonts w:ascii="Times New Roman" w:hAnsi="Times New Roman" w:cs="Times New Roman"/>
                <w:noProof w:val="0"/>
                <w:sz w:val="22"/>
                <w:szCs w:val="22"/>
              </w:rPr>
              <w:fldChar w:fldCharType="separate"/>
            </w:r>
            <w:r w:rsidR="007A01DC" w:rsidRPr="007A01DC">
              <w:rPr>
                <w:rFonts w:ascii="Times New Roman" w:hAnsi="Times New Roman" w:cs="Times New Roman"/>
                <w:sz w:val="22"/>
                <w:szCs w:val="22"/>
              </w:rPr>
              <w:t>[34]</w:t>
            </w:r>
            <w:r w:rsidR="00AA66C3" w:rsidRPr="0573D6D8">
              <w:fldChar w:fldCharType="end"/>
            </w:r>
            <w:r w:rsidR="00AA66C3" w:rsidRPr="00B700F9">
              <w:rPr>
                <w:rFonts w:ascii="Times New Roman" w:hAnsi="Times New Roman" w:cs="Times New Roman"/>
                <w:noProof w:val="0"/>
                <w:sz w:val="22"/>
                <w:szCs w:val="22"/>
              </w:rPr>
              <w:t>.</w:t>
            </w:r>
          </w:p>
        </w:tc>
        <w:tc>
          <w:tcPr>
            <w:tcW w:w="2971" w:type="dxa"/>
            <w:vAlign w:val="bottom"/>
          </w:tcPr>
          <w:p w14:paraId="4B1A857B" w14:textId="4F6CF29A" w:rsidR="00412327" w:rsidRPr="00B700F9" w:rsidRDefault="0573D6D8" w:rsidP="0573D6D8">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1, 3</w:t>
            </w:r>
          </w:p>
        </w:tc>
      </w:tr>
      <w:tr w:rsidR="00593F49" w14:paraId="7B72DD42" w14:textId="77777777" w:rsidTr="0573D6D8">
        <w:tc>
          <w:tcPr>
            <w:tcW w:w="2958" w:type="dxa"/>
            <w:vAlign w:val="bottom"/>
          </w:tcPr>
          <w:p w14:paraId="6381A0B5" w14:textId="18FE7368" w:rsidR="00412327" w:rsidRPr="00B700F9" w:rsidRDefault="0573D6D8" w:rsidP="0573D6D8">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 xml:space="preserve">Infectivity during </w:t>
            </w:r>
            <w:r w:rsidRPr="00CF4B59">
              <w:rPr>
                <w:rFonts w:ascii="Times New Roman" w:hAnsi="Times New Roman" w:cs="Times New Roman"/>
                <w:sz w:val="22"/>
                <w:szCs w:val="22"/>
              </w:rPr>
              <w:t>chronic</w:t>
            </w:r>
            <w:r w:rsidRPr="0573D6D8">
              <w:rPr>
                <w:rFonts w:ascii="Times New Roman" w:hAnsi="Times New Roman" w:cs="Times New Roman"/>
                <w:noProof w:val="0"/>
                <w:sz w:val="22"/>
                <w:szCs w:val="22"/>
              </w:rPr>
              <w:t xml:space="preserve"> stage of infection</w:t>
            </w:r>
            <w:r w:rsidR="00031F52">
              <w:rPr>
                <w:rFonts w:ascii="Times New Roman" w:hAnsi="Times New Roman" w:cs="Times New Roman"/>
                <w:noProof w:val="0"/>
                <w:sz w:val="22"/>
                <w:szCs w:val="22"/>
              </w:rPr>
              <w:t xml:space="preserve"> (per condomless anal sex act)</w:t>
            </w:r>
          </w:p>
        </w:tc>
        <w:tc>
          <w:tcPr>
            <w:tcW w:w="2927" w:type="dxa"/>
            <w:vAlign w:val="bottom"/>
          </w:tcPr>
          <w:p w14:paraId="7EFF3A8F" w14:textId="68E57D00" w:rsidR="00412327" w:rsidRPr="00B700F9" w:rsidRDefault="00294006" w:rsidP="00F95A72">
            <w:pPr>
              <w:pStyle w:val="ListParagraph"/>
              <w:ind w:left="0"/>
              <w:rPr>
                <w:rFonts w:ascii="Times New Roman" w:hAnsi="Times New Roman" w:cs="Times New Roman"/>
                <w:noProof w:val="0"/>
                <w:sz w:val="22"/>
                <w:szCs w:val="22"/>
              </w:rPr>
            </w:pPr>
            <w:r w:rsidRPr="00B700F9">
              <w:rPr>
                <w:rFonts w:ascii="Times New Roman" w:hAnsi="Times New Roman" w:cs="Times New Roman"/>
                <w:noProof w:val="0"/>
                <w:sz w:val="22"/>
                <w:szCs w:val="22"/>
              </w:rPr>
              <w:t xml:space="preserve">0.00017 </w:t>
            </w:r>
            <w:r w:rsidR="00C23760" w:rsidRPr="0573D6D8">
              <w:fldChar w:fldCharType="begin" w:fldLock="1"/>
            </w:r>
            <w:r w:rsidR="00590DAA">
              <w:rPr>
                <w:rFonts w:ascii="Times New Roman" w:hAnsi="Times New Roman" w:cs="Times New Roman"/>
                <w:sz w:val="22"/>
                <w:szCs w:val="22"/>
              </w:rPr>
              <w:instrText>ADDIN CSL_CITATION {"citationItems":[{"id":"ITEM-1","itemData":{"DOI":"10.1093/infdis/jir747","ISSN":"1537-6613","PMID":"22241800","abstract":"Knowledge of factors that affect per-act infectivity of human immunodeficiency virus type 1 (HIV-1) is important for designing HIV-1 prevention interventions and for the mathematical modeling of the spread of HIV-1.","author":[{"dropping-particle":"","family":"Hughes","given":"James P","non-dropping-particle":"","parse-names":false,"suffix":""},{"dropping-particle":"","family":"Baeten","given":"Jared M","non-dropping-particle":"","parse-names":false,"suffix":""},{"dropping-particle":"","family":"Lingappa","given":"Jairam R","non-dropping-particle":"","parse-names":false,"suffix":""},{"dropping-particle":"","family":"Magaret","given":"Amalia S","non-dropping-particle":"","parse-names":false,"suffix":""},{"dropping-particle":"","family":"Wald","given":"Anna","non-dropping-particle":"","parse-names":false,"suffix":""},{"dropping-particle":"","family":"Bruyn","given":"Guy","non-dropping-particle":"de","parse-names":false,"suffix":""},{"dropping-particle":"","family":"Kiarie","given":"James","non-dropping-particle":"","parse-names":false,"suffix":""},{"dropping-particle":"","family":"Inambao","given":"Mubiana","non-dropping-particle":"","parse-names":false,"suffix":""},{"dropping-particle":"","family":"Kilembe","given":"William","non-dropping-particle":"","parse-names":false,"suffix":""},{"dropping-particle":"","family":"Farquhar","given":"Carey","non-dropping-particle":"","parse-names":false,"suffix":""},{"dropping-particle":"","family":"Celum","given":"Connie","non-dropping-particle":"","parse-names":false,"suffix":""},{"dropping-particle":"","family":"Coetzee","given":"D","non-dropping-particle":"","parse-names":false,"suffix":""},{"dropping-particle":"","family":"Fife","given":"K","non-dropping-particle":"","parse-names":false,"suffix":""},{"dropping-particle":"","family":"Were","given":"E","non-dropping-particle":"","parse-names":false,"suffix":""},{"dropping-particle":"","family":"Essex","given":"M","non-dropping-particle":"","parse-names":false,"suffix":""},{"dropping-particle":"","family":"Makhema","given":"J","non-dropping-particle":"","parse-names":false,"suffix":""},{"dropping-particle":"","family":"Katabira","given":"E","non-dropping-particle":"","parse-names":false,"suffix":""},{"dropping-particle":"","family":"Ronald","given":"A","non-dropping-particle":"","parse-names":false,"suffix":""},{"dropping-particle":"","family":"Allen","given":"S","non-dropping-particle":"","parse-names":false,"suffix":""},{"dropping-particle":"","family":"Kayitenkore","given":"K","non-dropping-particle":"","parse-names":false,"suffix":""},{"dropping-particle":"","family":"Karita","given":"E","non-dropping-particle":"","parse-names":false,"suffix":""},{"dropping-particle":"","family":"Bukusi","given":"E","non-dropping-particle":"","parse-names":false,"suffix":""},{"dropping-particle":"","family":"Cohen","given":"C","non-dropping-particle":"","parse-names":false,"suffix":""},{"dropping-particle":"","family":"Kanweka","given":"W","non-dropping-particle":"","parse-names":false,"suffix":""},{"dropping-particle":"","family":"Vwalika","given":"B","non-dropping-particle":"","parse-names":false,"suffix":""},{"dropping-particle":"","family":"Kapiga","given":"S","non-dropping-particle":"","parse-names":false,"suffix":""},{"dropping-particle":"","family":"Manongi","given":"R","non-dropping-particle":"","parse-names":false,"suffix":""},{"dropping-particle":"","family":"John-Stewart","given":"G","non-dropping-particle":"","parse-names":false,"suffix":""},{"dropping-particle":"","family":"Delany-Moretlwe","given":"S","non-dropping-particle":"","parse-names":false,"suffix":""},{"dropping-particle":"","family":"Rees","given":"H","non-dropping-particle":"","parse-names":false,"suffix":""},{"dropping-particle":"","family":"Gray","given":"G","non-dropping-particle":"","parse-names":false,"suffix":""},{"dropping-particle":"","family":"McIntyre","given":"J","non-dropping-particle":"","parse-names":false,"suffix":""}],"container-title":"J. Infect. Dis.","id":"ITEM-1","issue":"3","issued":{"date-parts":[["2012","2"]]},"page":"358-365","title":"Determinants of per-coital-act HIV-1 infectivity among African HIV-1-serodiscordant couples","type":"article-journal","volume":"205"},"uris":["http://www.mendeley.com/documents/?uuid=64c3f09d-7a8a-4ff2-953f-c852901ac9c3"]}],"mendeley":{"formattedCitation":"[32]","plainTextFormattedCitation":"[32]","previouslyFormattedCitation":"[32]"},"properties":{"noteIndex":0},"schema":"https://github.com/citation-style-language/schema/raw/master/csl-citation.json"}</w:instrText>
            </w:r>
            <w:r w:rsidR="00C23760" w:rsidRPr="0573D6D8">
              <w:rPr>
                <w:rFonts w:ascii="Times New Roman" w:hAnsi="Times New Roman" w:cs="Times New Roman"/>
                <w:sz w:val="22"/>
                <w:szCs w:val="22"/>
              </w:rPr>
              <w:fldChar w:fldCharType="separate"/>
            </w:r>
            <w:r w:rsidR="007A01DC" w:rsidRPr="007A01DC">
              <w:rPr>
                <w:rFonts w:ascii="Times New Roman" w:hAnsi="Times New Roman" w:cs="Times New Roman"/>
                <w:sz w:val="22"/>
                <w:szCs w:val="22"/>
              </w:rPr>
              <w:t>[32]</w:t>
            </w:r>
            <w:r w:rsidR="00C23760" w:rsidRPr="0573D6D8">
              <w:fldChar w:fldCharType="end"/>
            </w:r>
            <w:r w:rsidR="00C23760" w:rsidRPr="00B700F9">
              <w:rPr>
                <w:rFonts w:ascii="Times New Roman" w:hAnsi="Times New Roman" w:cs="Times New Roman"/>
                <w:sz w:val="22"/>
                <w:szCs w:val="22"/>
              </w:rPr>
              <w:t xml:space="preserve"> and </w:t>
            </w:r>
            <w:r w:rsidR="00D04F09" w:rsidRPr="00B700F9">
              <w:rPr>
                <w:rFonts w:ascii="Times New Roman" w:hAnsi="Times New Roman" w:cs="Times New Roman"/>
                <w:sz w:val="22"/>
                <w:szCs w:val="22"/>
              </w:rPr>
              <w:t>0.0061795</w:t>
            </w:r>
            <w:r w:rsidR="003C26EB" w:rsidRPr="00B700F9">
              <w:rPr>
                <w:rFonts w:ascii="Times New Roman" w:hAnsi="Times New Roman" w:cs="Times New Roman"/>
                <w:sz w:val="22"/>
                <w:szCs w:val="22"/>
              </w:rPr>
              <w:t xml:space="preserve"> </w:t>
            </w:r>
            <w:r w:rsidR="00E963D8" w:rsidRPr="0573D6D8">
              <w:fldChar w:fldCharType="begin" w:fldLock="1"/>
            </w:r>
            <w:r w:rsidR="00590DAA">
              <w:rPr>
                <w:rFonts w:ascii="Times New Roman" w:hAnsi="Times New Roman" w:cs="Times New Roman"/>
                <w:sz w:val="22"/>
                <w:szCs w:val="22"/>
              </w:rPr>
              <w:instrText>ADDIN CSL_CITATION {"citationItems":[{"id":"ITEM-1","itemData":{"abstract":"The risk of human immunodeficiency virus ({HIV}) transmission from\nvarious types of homosexual contact, including oral sex, is of biologic,\nepidemiologic, and public health importance. The per-contact risk\nof acquiring {HIV} infection from specific acts was estimated in\na prospective cohort study of 2,189 high-risk homosexual and bisexual\nmen, conducted in San Francisco, California; Denver, Colorado; and\nChicago, Illinois, in 1992-1994. During 2,633 person-years of follow-up,\n60 seroconversions were observed. The estimated per-contact risk\nof acquiring {HIV} from unprotected receptive anal intercourse (URA)\nwas 0.82 percent (95% confidence interval: 0.24, 2.76 percent) when\nthe partner was known to be {HIV}+ and 0.27 percent (95% confidence\ninterval: 0.06, 0.49 percent) when partners of unknown serostatus\nwere included. There was heterogeneity in per-contact risk, with\nnine seroconversions occurring after only one or two episodes of\nURA. The per-contact risk associated with unprotected insertive anal\nand receptive oral sex with {HIV}-positive or unknown serostatus\npartners was 0.06 and 0.04 percent, respectively. URA accounted for\nonly 15 percent of all reported sexual activity by seroconverters.\nAs lower-risk practices become more common, they may play a larger\nrole in propagating the epidemic and should also be addressed by\ninterventions targeting high-risk homosexual and bisexual men.","author":[{"dropping-particle":"","family":"Vittinghoff","given":"E","non-dropping-particle":"","parse-names":false,"suffix":""},{"dropping-particle":"","family":"Douglas","given":"J","non-dropping-particle":"","parse-names":false,"suffix":""},{"dropping-particle":"","family":"Judson","given":"F","non-dropping-particle":"","parse-names":false,"suffix":""},{"dropping-particle":"","family":"McKirnan","given":"D","non-dropping-particle":"","parse-names":false,"suffix":""},{"dropping-particle":"","family":"MacQueen","given":"K","non-dropping-particle":"","parse-names":false,"suffix":""},{"dropping-particle":"","family":"Buchbinder","given":"S P","non-dropping-particle":"","parse-names":false,"suffix":""}],"container-title":"American Journal Of Epidemiology","id":"ITEM-1","issue":"3","issued":{"date-parts":[["1999","8"]]},"page":"306-311","title":"Per-contact risk of human immunodeficiency virus transmission between male sexual partners","type":"article-journal","volume":"150"},"uris":["http://www.mendeley.com/documents/?uuid=554ea9b5-1a8b-418f-b31d-61b153f00bd1"]}],"mendeley":{"formattedCitation":"[35]","plainTextFormattedCitation":"[35]","previouslyFormattedCitation":"[35]"},"properties":{"noteIndex":0},"schema":"https://github.com/citation-style-language/schema/raw/master/csl-citation.json"}</w:instrText>
            </w:r>
            <w:r w:rsidR="00E963D8" w:rsidRPr="0573D6D8">
              <w:rPr>
                <w:rFonts w:ascii="Times New Roman" w:hAnsi="Times New Roman" w:cs="Times New Roman"/>
                <w:sz w:val="22"/>
                <w:szCs w:val="22"/>
              </w:rPr>
              <w:fldChar w:fldCharType="separate"/>
            </w:r>
            <w:r w:rsidR="007A01DC" w:rsidRPr="007A01DC">
              <w:rPr>
                <w:rFonts w:ascii="Times New Roman" w:hAnsi="Times New Roman" w:cs="Times New Roman"/>
                <w:sz w:val="22"/>
                <w:szCs w:val="22"/>
              </w:rPr>
              <w:t>[35]</w:t>
            </w:r>
            <w:r w:rsidR="00E963D8" w:rsidRPr="0573D6D8">
              <w:fldChar w:fldCharType="end"/>
            </w:r>
            <w:r w:rsidR="00E963D8" w:rsidRPr="00B700F9">
              <w:rPr>
                <w:rFonts w:ascii="Times New Roman" w:hAnsi="Times New Roman" w:cs="Times New Roman"/>
                <w:sz w:val="22"/>
                <w:szCs w:val="22"/>
              </w:rPr>
              <w:t xml:space="preserve"> </w:t>
            </w:r>
            <w:r w:rsidR="003C26EB" w:rsidRPr="00B700F9">
              <w:rPr>
                <w:rFonts w:ascii="Times New Roman" w:hAnsi="Times New Roman" w:cs="Times New Roman"/>
                <w:sz w:val="22"/>
                <w:szCs w:val="22"/>
              </w:rPr>
              <w:t>(averaged over insertive and receptive transmission probabilities)</w:t>
            </w:r>
            <w:r w:rsidR="00AA66C3" w:rsidRPr="00B700F9">
              <w:rPr>
                <w:rFonts w:ascii="Times New Roman" w:hAnsi="Times New Roman" w:cs="Times New Roman"/>
                <w:sz w:val="22"/>
                <w:szCs w:val="22"/>
              </w:rPr>
              <w:t>.</w:t>
            </w:r>
          </w:p>
        </w:tc>
        <w:tc>
          <w:tcPr>
            <w:tcW w:w="2971" w:type="dxa"/>
            <w:vAlign w:val="bottom"/>
          </w:tcPr>
          <w:p w14:paraId="207674FD" w14:textId="700ADCDF" w:rsidR="00412327" w:rsidRPr="00B700F9" w:rsidRDefault="00500631" w:rsidP="00F95A72">
            <w:pPr>
              <w:pStyle w:val="ListParagraph"/>
              <w:ind w:left="0"/>
              <w:rPr>
                <w:rFonts w:ascii="Times New Roman" w:hAnsi="Times New Roman" w:cs="Times New Roman"/>
                <w:noProof w:val="0"/>
                <w:sz w:val="22"/>
                <w:szCs w:val="22"/>
              </w:rPr>
            </w:pPr>
            <w:r w:rsidRPr="00B700F9">
              <w:rPr>
                <w:rFonts w:ascii="Times New Roman" w:hAnsi="Times New Roman" w:cs="Times New Roman"/>
                <w:noProof w:val="0"/>
                <w:sz w:val="22"/>
                <w:szCs w:val="22"/>
              </w:rPr>
              <w:t xml:space="preserve">Ten points at equal intervals between </w:t>
            </w:r>
            <w:r w:rsidR="00AE6230" w:rsidRPr="00B700F9">
              <w:rPr>
                <w:rFonts w:ascii="Times New Roman" w:hAnsi="Times New Roman" w:cs="Times New Roman"/>
                <w:noProof w:val="0"/>
                <w:sz w:val="22"/>
                <w:szCs w:val="22"/>
              </w:rPr>
              <w:t xml:space="preserve">the estimates provided </w:t>
            </w:r>
            <w:r w:rsidR="003E64AF">
              <w:rPr>
                <w:rFonts w:ascii="Times New Roman" w:hAnsi="Times New Roman" w:cs="Times New Roman"/>
                <w:noProof w:val="0"/>
                <w:sz w:val="22"/>
                <w:szCs w:val="22"/>
              </w:rPr>
              <w:t>in</w:t>
            </w:r>
            <w:r w:rsidR="00AE6230" w:rsidRPr="00B700F9">
              <w:rPr>
                <w:rFonts w:ascii="Times New Roman" w:hAnsi="Times New Roman" w:cs="Times New Roman"/>
                <w:noProof w:val="0"/>
                <w:sz w:val="22"/>
                <w:szCs w:val="22"/>
              </w:rPr>
              <w:t xml:space="preserve"> </w:t>
            </w:r>
            <w:r w:rsidR="00AE6230" w:rsidRPr="0573D6D8">
              <w:fldChar w:fldCharType="begin" w:fldLock="1"/>
            </w:r>
            <w:r w:rsidR="00590DAA">
              <w:rPr>
                <w:rFonts w:ascii="Times New Roman" w:hAnsi="Times New Roman" w:cs="Times New Roman"/>
                <w:sz w:val="22"/>
                <w:szCs w:val="22"/>
              </w:rPr>
              <w:instrText>ADDIN CSL_CITATION {"citationItems":[{"id":"ITEM-1","itemData":{"DOI":"10.1093/infdis/jir747","ISSN":"1537-6613","PMID":"22241800","abstract":"Knowledge of factors that affect per-act infectivity of human immunodeficiency virus type 1 (HIV-1) is important for designing HIV-1 prevention interventions and for the mathematical modeling of the spread of HIV-1.","author":[{"dropping-particle":"","family":"Hughes","given":"James P","non-dropping-particle":"","parse-names":false,"suffix":""},{"dropping-particle":"","family":"Baeten","given":"Jared M","non-dropping-particle":"","parse-names":false,"suffix":""},{"dropping-particle":"","family":"Lingappa","given":"Jairam R","non-dropping-particle":"","parse-names":false,"suffix":""},{"dropping-particle":"","family":"Magaret","given":"Amalia S","non-dropping-particle":"","parse-names":false,"suffix":""},{"dropping-particle":"","family":"Wald","given":"Anna","non-dropping-particle":"","parse-names":false,"suffix":""},{"dropping-particle":"","family":"Bruyn","given":"Guy","non-dropping-particle":"de","parse-names":false,"suffix":""},{"dropping-particle":"","family":"Kiarie","given":"James","non-dropping-particle":"","parse-names":false,"suffix":""},{"dropping-particle":"","family":"Inambao","given":"Mubiana","non-dropping-particle":"","parse-names":false,"suffix":""},{"dropping-particle":"","family":"Kilembe","given":"William","non-dropping-particle":"","parse-names":false,"suffix":""},{"dropping-particle":"","family":"Farquhar","given":"Carey","non-dropping-particle":"","parse-names":false,"suffix":""},{"dropping-particle":"","family":"Celum","given":"Connie","non-dropping-particle":"","parse-names":false,"suffix":""},{"dropping-particle":"","family":"Coetzee","given":"D","non-dropping-particle":"","parse-names":false,"suffix":""},{"dropping-particle":"","family":"Fife","given":"K","non-dropping-particle":"","parse-names":false,"suffix":""},{"dropping-particle":"","family":"Were","given":"E","non-dropping-particle":"","parse-names":false,"suffix":""},{"dropping-particle":"","family":"Essex","given":"M","non-dropping-particle":"","parse-names":false,"suffix":""},{"dropping-particle":"","family":"Makhema","given":"J","non-dropping-particle":"","parse-names":false,"suffix":""},{"dropping-particle":"","family":"Katabira","given":"E","non-dropping-particle":"","parse-names":false,"suffix":""},{"dropping-particle":"","family":"Ronald","given":"A","non-dropping-particle":"","parse-names":false,"suffix":""},{"dropping-particle":"","family":"Allen","given":"S","non-dropping-particle":"","parse-names":false,"suffix":""},{"dropping-particle":"","family":"Kayitenkore","given":"K","non-dropping-particle":"","parse-names":false,"suffix":""},{"dropping-particle":"","family":"Karita","given":"E","non-dropping-particle":"","parse-names":false,"suffix":""},{"dropping-particle":"","family":"Bukusi","given":"E","non-dropping-particle":"","parse-names":false,"suffix":""},{"dropping-particle":"","family":"Cohen","given":"C","non-dropping-particle":"","parse-names":false,"suffix":""},{"dropping-particle":"","family":"Kanweka","given":"W","non-dropping-particle":"","parse-names":false,"suffix":""},{"dropping-particle":"","family":"Vwalika","given":"B","non-dropping-particle":"","parse-names":false,"suffix":""},{"dropping-particle":"","family":"Kapiga","given":"S","non-dropping-particle":"","parse-names":false,"suffix":""},{"dropping-particle":"","family":"Manongi","given":"R","non-dropping-particle":"","parse-names":false,"suffix":""},{"dropping-particle":"","family":"John-Stewart","given":"G","non-dropping-particle":"","parse-names":false,"suffix":""},{"dropping-particle":"","family":"Delany-Moretlwe","given":"S","non-dropping-particle":"","parse-names":false,"suffix":""},{"dropping-particle":"","family":"Rees","given":"H","non-dropping-particle":"","parse-names":false,"suffix":""},{"dropping-particle":"","family":"Gray","given":"G","non-dropping-particle":"","parse-names":false,"suffix":""},{"dropping-particle":"","family":"McIntyre","given":"J","non-dropping-particle":"","parse-names":false,"suffix":""}],"container-title":"J. Infect. Dis.","id":"ITEM-1","issue":"3","issued":{"date-parts":[["2012","2"]]},"page":"358-365","title":"Determinants of per-coital-act HIV-1 infectivity among African HIV-1-serodiscordant couples","type":"article-journal","volume":"205"},"uris":["http://www.mendeley.com/documents/?uuid=64c3f09d-7a8a-4ff2-953f-c852901ac9c3"]}],"mendeley":{"formattedCitation":"[32]","plainTextFormattedCitation":"[32]","previouslyFormattedCitation":"[32]"},"properties":{"noteIndex":0},"schema":"https://github.com/citation-style-language/schema/raw/master/csl-citation.json"}</w:instrText>
            </w:r>
            <w:r w:rsidR="00AE6230" w:rsidRPr="0573D6D8">
              <w:rPr>
                <w:rFonts w:ascii="Times New Roman" w:hAnsi="Times New Roman" w:cs="Times New Roman"/>
                <w:sz w:val="22"/>
                <w:szCs w:val="22"/>
              </w:rPr>
              <w:fldChar w:fldCharType="separate"/>
            </w:r>
            <w:r w:rsidR="007A01DC" w:rsidRPr="007A01DC">
              <w:rPr>
                <w:rFonts w:ascii="Times New Roman" w:hAnsi="Times New Roman" w:cs="Times New Roman"/>
                <w:sz w:val="22"/>
                <w:szCs w:val="22"/>
              </w:rPr>
              <w:t>[32]</w:t>
            </w:r>
            <w:r w:rsidR="00AE6230" w:rsidRPr="0573D6D8">
              <w:fldChar w:fldCharType="end"/>
            </w:r>
            <w:r w:rsidR="00D54423">
              <w:t xml:space="preserve"> and </w:t>
            </w:r>
            <w:r w:rsidR="00593F49" w:rsidRPr="0573D6D8">
              <w:fldChar w:fldCharType="begin" w:fldLock="1"/>
            </w:r>
            <w:r w:rsidR="00590DAA">
              <w:rPr>
                <w:rFonts w:ascii="Times New Roman" w:hAnsi="Times New Roman" w:cs="Times New Roman"/>
                <w:sz w:val="22"/>
                <w:szCs w:val="22"/>
              </w:rPr>
              <w:instrText>ADDIN CSL_CITATION {"citationItems":[{"id":"ITEM-1","itemData":{"abstract":"The risk of human immunodeficiency virus ({HIV}) transmission from\nvarious types of homosexual contact, including oral sex, is of biologic,\nepidemiologic, and public health importance. The per-contact risk\nof acquiring {HIV} infection from specific acts was estimated in\na prospective cohort study of 2,189 high-risk homosexual and bisexual\nmen, conducted in San Francisco, California; Denver, Colorado; and\nChicago, Illinois, in 1992-1994. During 2,633 person-years of follow-up,\n60 seroconversions were observed. The estimated per-contact risk\nof acquiring {HIV} from unprotected receptive anal intercourse (URA)\nwas 0.82 percent (95% confidence interval: 0.24, 2.76 percent) when\nthe partner was known to be {HIV}+ and 0.27 percent (95% confidence\ninterval: 0.06, 0.49 percent) when partners of unknown serostatus\nwere included. There was heterogeneity in per-contact risk, with\nnine seroconversions occurring after only one or two episodes of\nURA. The per-contact risk associated with unprotected insertive anal\nand receptive oral sex with {HIV}-positive or unknown serostatus\npartners was 0.06 and 0.04 percent, respectively. URA accounted for\nonly 15 percent of all reported sexual activity by seroconverters.\nAs lower-risk practices become more common, they may play a larger\nrole in propagating the epidemic and should also be addressed by\ninterventions targeting high-risk homosexual and bisexual men.","author":[{"dropping-particle":"","family":"Vittinghoff","given":"E","non-dropping-particle":"","parse-names":false,"suffix":""},{"dropping-particle":"","family":"Douglas","given":"J","non-dropping-particle":"","parse-names":false,"suffix":""},{"dropping-particle":"","family":"Judson","given":"F","non-dropping-particle":"","parse-names":false,"suffix":""},{"dropping-particle":"","family":"McKirnan","given":"D","non-dropping-particle":"","parse-names":false,"suffix":""},{"dropping-particle":"","family":"MacQueen","given":"K","non-dropping-particle":"","parse-names":false,"suffix":""},{"dropping-particle":"","family":"Buchbinder","given":"S P","non-dropping-particle":"","parse-names":false,"suffix":""}],"container-title":"American Journal Of Epidemiology","id":"ITEM-1","issue":"3","issued":{"date-parts":[["1999","8"]]},"page":"306-311","title":"Per-contact risk of human immunodeficiency virus transmission between male sexual partners","type":"article-journal","volume":"150"},"uris":["http://www.mendeley.com/documents/?uuid=4332b2aa-7610-48c9-a225-b64aa3271dc1"]}],"mendeley":{"formattedCitation":"[35]","plainTextFormattedCitation":"[35]","previouslyFormattedCitation":"[35]"},"properties":{"noteIndex":0},"schema":"https://github.com/citation-style-language/schema/raw/master/csl-citation.json"}</w:instrText>
            </w:r>
            <w:r w:rsidR="00593F49" w:rsidRPr="0573D6D8">
              <w:rPr>
                <w:rFonts w:ascii="Times New Roman" w:hAnsi="Times New Roman" w:cs="Times New Roman"/>
                <w:sz w:val="22"/>
                <w:szCs w:val="22"/>
              </w:rPr>
              <w:fldChar w:fldCharType="separate"/>
            </w:r>
            <w:r w:rsidR="007A01DC" w:rsidRPr="007A01DC">
              <w:rPr>
                <w:rFonts w:ascii="Times New Roman" w:hAnsi="Times New Roman" w:cs="Times New Roman"/>
                <w:sz w:val="22"/>
                <w:szCs w:val="22"/>
              </w:rPr>
              <w:t>[35]</w:t>
            </w:r>
            <w:r w:rsidR="00593F49" w:rsidRPr="0573D6D8">
              <w:fldChar w:fldCharType="end"/>
            </w:r>
            <w:r w:rsidR="007A5A4C">
              <w:t>.</w:t>
            </w:r>
          </w:p>
        </w:tc>
      </w:tr>
      <w:tr w:rsidR="00593F49" w14:paraId="38F8DA1C" w14:textId="77777777" w:rsidTr="0573D6D8">
        <w:tc>
          <w:tcPr>
            <w:tcW w:w="2958" w:type="dxa"/>
            <w:vAlign w:val="bottom"/>
          </w:tcPr>
          <w:p w14:paraId="009F1488" w14:textId="195137CD" w:rsidR="00412327" w:rsidRPr="00B700F9" w:rsidRDefault="0573D6D8" w:rsidP="0573D6D8">
            <w:pPr>
              <w:pStyle w:val="ListParagraph"/>
              <w:ind w:left="0"/>
              <w:rPr>
                <w:rFonts w:ascii="Times New Roman" w:hAnsi="Times New Roman" w:cs="Times New Roman"/>
                <w:noProof w:val="0"/>
                <w:sz w:val="22"/>
                <w:szCs w:val="22"/>
              </w:rPr>
            </w:pPr>
            <w:r w:rsidRPr="00CF4B59">
              <w:rPr>
                <w:rFonts w:ascii="Times New Roman" w:hAnsi="Times New Roman" w:cs="Times New Roman"/>
                <w:sz w:val="22"/>
                <w:szCs w:val="22"/>
              </w:rPr>
              <w:t>Frequency</w:t>
            </w:r>
            <w:r w:rsidRPr="0573D6D8">
              <w:rPr>
                <w:rFonts w:ascii="Times New Roman" w:hAnsi="Times New Roman" w:cs="Times New Roman"/>
                <w:noProof w:val="0"/>
                <w:sz w:val="22"/>
                <w:szCs w:val="22"/>
              </w:rPr>
              <w:t xml:space="preserve"> of sex in main partnerships</w:t>
            </w:r>
            <w:r w:rsidR="000D67FC">
              <w:rPr>
                <w:rFonts w:ascii="Times New Roman" w:hAnsi="Times New Roman" w:cs="Times New Roman"/>
                <w:noProof w:val="0"/>
                <w:sz w:val="22"/>
                <w:szCs w:val="22"/>
              </w:rPr>
              <w:t xml:space="preserve"> (per condomless anal sex act)</w:t>
            </w:r>
          </w:p>
        </w:tc>
        <w:tc>
          <w:tcPr>
            <w:tcW w:w="2927" w:type="dxa"/>
            <w:vAlign w:val="bottom"/>
          </w:tcPr>
          <w:p w14:paraId="71E35A14" w14:textId="21024CD4" w:rsidR="00412327" w:rsidRPr="00B700F9" w:rsidRDefault="00593F49" w:rsidP="00956CA0">
            <w:pPr>
              <w:pStyle w:val="ListParagraph"/>
              <w:ind w:left="0"/>
              <w:rPr>
                <w:rFonts w:ascii="Times New Roman" w:hAnsi="Times New Roman" w:cs="Times New Roman"/>
                <w:noProof w:val="0"/>
                <w:sz w:val="22"/>
                <w:szCs w:val="22"/>
              </w:rPr>
            </w:pPr>
            <w:r w:rsidRPr="00B700F9">
              <w:rPr>
                <w:rFonts w:ascii="Times New Roman" w:hAnsi="Times New Roman" w:cs="Times New Roman"/>
                <w:noProof w:val="0"/>
                <w:sz w:val="22"/>
                <w:szCs w:val="22"/>
              </w:rPr>
              <w:t xml:space="preserve">The estimate of </w:t>
            </w:r>
            <w:r w:rsidR="004F54E2" w:rsidRPr="00B700F9">
              <w:rPr>
                <w:rFonts w:ascii="Times New Roman" w:hAnsi="Times New Roman" w:cs="Times New Roman"/>
                <w:noProof w:val="0"/>
                <w:sz w:val="22"/>
                <w:szCs w:val="22"/>
              </w:rPr>
              <w:t xml:space="preserve">0.093/week </w:t>
            </w:r>
            <w:r w:rsidR="00BC7FA5" w:rsidRPr="00B700F9">
              <w:rPr>
                <w:rFonts w:ascii="Times New Roman" w:hAnsi="Times New Roman" w:cs="Times New Roman"/>
                <w:noProof w:val="0"/>
                <w:sz w:val="22"/>
                <w:szCs w:val="22"/>
              </w:rPr>
              <w:t xml:space="preserve">(from </w:t>
            </w:r>
            <w:r w:rsidR="00BC7FA5" w:rsidRPr="00CF4B59">
              <w:rPr>
                <w:rFonts w:ascii="Times New Roman" w:hAnsi="Times New Roman" w:cs="Times New Roman"/>
                <w:sz w:val="22"/>
                <w:szCs w:val="22"/>
              </w:rPr>
              <w:t>secondary</w:t>
            </w:r>
            <w:r w:rsidR="00BC7FA5" w:rsidRPr="00B700F9">
              <w:rPr>
                <w:rFonts w:ascii="Times New Roman" w:hAnsi="Times New Roman" w:cs="Times New Roman"/>
                <w:noProof w:val="0"/>
                <w:sz w:val="22"/>
                <w:szCs w:val="22"/>
              </w:rPr>
              <w:t xml:space="preserve"> analysis </w:t>
            </w:r>
            <w:r w:rsidRPr="00B700F9">
              <w:rPr>
                <w:rFonts w:ascii="Times New Roman" w:hAnsi="Times New Roman" w:cs="Times New Roman"/>
                <w:noProof w:val="0"/>
                <w:sz w:val="22"/>
                <w:szCs w:val="22"/>
              </w:rPr>
              <w:t xml:space="preserve">of data in  </w:t>
            </w:r>
            <w:r w:rsidRPr="0573D6D8">
              <w:fldChar w:fldCharType="begin" w:fldLock="1"/>
            </w:r>
            <w:r w:rsidR="002569A7">
              <w:rPr>
                <w:rFonts w:ascii="Times New Roman" w:hAnsi="Times New Roman" w:cs="Times New Roman"/>
                <w:noProof w:val="0"/>
                <w:sz w:val="22"/>
                <w:szCs w:val="22"/>
              </w:rPr>
              <w:instrText>ADDIN CSL_CITATION {"citationItems":[{"id":"ITEM-1","itemData":{"DOI":"10.1001/jamainternmed.2015.6536","ISSN":"2168-6114","PMID":"26571368","author":[{"dropping-particle":"","family":"Khanna","given":"Aditya S","non-dropping-particle":"","parse-names":false,"suffix":""},{"dropping-particle":"","family":"Michaels","given":"Stuart","non-dropping-particle":"","parse-names":false,"suffix":""},{"dropping-particle":"","family":"Skaathun","given":"Britt","non-dropping-particle":"","parse-names":false,"suffix":""},{"dropping-particle":"","family":"Morgan","given":"Ethan","non-dropping-particle":"","parse-names":false,"suffix":""},{"dropping-particle":"","family":"Green","given":"Keith","non-dropping-particle":"","parse-names":false,"suffix":""},{"dropping-particle":"","family":"Young","given":"Lindsay","non-dropping-particle":"","parse-names":false,"suffix":""},{"dropping-particle":"","family":"Schneider","given":"John A","non-dropping-particle":"","parse-names":false,"suffix":""},{"dropping-particle":"","family":"uConnect Study Team","given":"","non-dropping-particle":"","parse-names":false,"suffix":""}],"container-title":"JAMA internal medicine","id":"ITEM-1","issue":"1","issued":{"date-parts":[["2016","1","1"]]},"page":"136-8","title":"Preexposure Prophylaxis Awareness and Use in a Population-Based Sample of Young Black Men Who Have Sex With Men.","type":"article-journal","volume":"176"},"uris":["http://www.mendeley.com/documents/?uuid=bef9a2cc-c473-47ef-a5fd-8efebf8bacd9"]}],"mendeley":{"formattedCitation":"[15]","plainTextFormattedCitation":"[15]","previouslyFormattedCitation":"[15]"},"properties":{"noteIndex":0},"schema":"https://github.com/citation-style-language/schema/raw/master/csl-citation.json"}</w:instrText>
            </w:r>
            <w:r w:rsidRPr="0573D6D8">
              <w:rPr>
                <w:rFonts w:ascii="Times New Roman" w:hAnsi="Times New Roman" w:cs="Times New Roman"/>
                <w:noProof w:val="0"/>
                <w:sz w:val="22"/>
                <w:szCs w:val="22"/>
              </w:rPr>
              <w:fldChar w:fldCharType="separate"/>
            </w:r>
            <w:r w:rsidR="009B5FF9" w:rsidRPr="009B5FF9">
              <w:rPr>
                <w:rFonts w:ascii="Times New Roman" w:hAnsi="Times New Roman" w:cs="Times New Roman"/>
                <w:sz w:val="22"/>
                <w:szCs w:val="22"/>
              </w:rPr>
              <w:t>[15]</w:t>
            </w:r>
            <w:r w:rsidRPr="0573D6D8">
              <w:fldChar w:fldCharType="end"/>
            </w:r>
            <w:r w:rsidRPr="00B700F9">
              <w:rPr>
                <w:rFonts w:ascii="Times New Roman" w:hAnsi="Times New Roman" w:cs="Times New Roman"/>
                <w:noProof w:val="0"/>
                <w:sz w:val="22"/>
                <w:szCs w:val="22"/>
              </w:rPr>
              <w:t>) appeared low. A</w:t>
            </w:r>
            <w:r w:rsidR="00B95370" w:rsidRPr="00B700F9">
              <w:rPr>
                <w:rFonts w:ascii="Times New Roman" w:hAnsi="Times New Roman" w:cs="Times New Roman"/>
                <w:noProof w:val="0"/>
                <w:sz w:val="22"/>
                <w:szCs w:val="22"/>
              </w:rPr>
              <w:t xml:space="preserve"> maximum of 2 acts/week was </w:t>
            </w:r>
            <w:r w:rsidR="002254C8" w:rsidRPr="00B700F9">
              <w:rPr>
                <w:rFonts w:ascii="Times New Roman" w:hAnsi="Times New Roman" w:cs="Times New Roman"/>
                <w:noProof w:val="0"/>
                <w:sz w:val="22"/>
                <w:szCs w:val="22"/>
              </w:rPr>
              <w:t>considered</w:t>
            </w:r>
            <w:r w:rsidR="00E86ED5">
              <w:rPr>
                <w:rFonts w:ascii="Times New Roman" w:hAnsi="Times New Roman" w:cs="Times New Roman"/>
                <w:noProof w:val="0"/>
                <w:sz w:val="22"/>
                <w:szCs w:val="22"/>
              </w:rPr>
              <w:t xml:space="preserve"> in accordance with </w:t>
            </w:r>
            <w:r w:rsidR="00191316">
              <w:rPr>
                <w:rFonts w:ascii="Times New Roman" w:hAnsi="Times New Roman" w:cs="Times New Roman"/>
                <w:noProof w:val="0"/>
                <w:sz w:val="22"/>
                <w:szCs w:val="22"/>
              </w:rPr>
              <w:fldChar w:fldCharType="begin" w:fldLock="1"/>
            </w:r>
            <w:r w:rsidR="002569A7">
              <w:rPr>
                <w:rFonts w:ascii="Times New Roman" w:hAnsi="Times New Roman" w:cs="Times New Roman"/>
                <w:noProof w:val="0"/>
                <w:sz w:val="22"/>
                <w:szCs w:val="22"/>
              </w:rPr>
              <w:instrText>ADDIN CSL_CITATION {"citationItems":[{"id":"ITEM-1","itemData":{"DOI":"10.1093/infdis/jiw223","ISSN":"1537-6613","PMID":"27418048","abstract":"BACKGROUND  Preexposure prophylaxis (PrEP) is effective for preventing human immunodeficiency virus (HIV) infection among men who have sex with men (MSM) within trial settings. Population impact will depend on clinical indications for PrEP initiation, coverage levels, and drug adherence. No modeling studies have estimated the impact of clinical practice guidelines for PrEP issued by the Centers for Disease Control and Prevention (CDC). METHODS  Mathematical models of HIV transmission among MSM were used to estimate the percentage of infections averted (PIA) and the number needed to treat (NNT) under behavioral indications of the CDC's PrEP guidelines. We modeled the contribution of these indications while varying treatment coverage and adherence. RESULTS  At 40% coverage of indicated MSM over the next decade, application of CDC guidelines would avert 1162 infections per 100 000 person-years, 33.0% of expected infections. The predicted NNT for the guidelines would be 25. Increasing coverage and adherence jointly raise the PIA, but reductions to the NNT were associated with better adherence only. CONCLUSIONS  Implementation of CDC PrEP guidelines would result in strong and sustained reductions in HIV incidence among MSM in the United States. The guidelines strike a good balance between epidemiological impact (PIA) and efficiency (NNT) at plausible scale-up levels. Adherence counseling could maximize public health investment in PrEP by decreasing the NNT.","author":[{"dropping-particle":"","family":"Jenness","given":"Samuel M","non-dropping-particle":"","parse-names":false,"suffix":""},{"dropping-particle":"","family":"Goodreau","given":"Steven M","non-dropping-particle":"","parse-names":false,"suffix":""},{"dropping-particle":"","family":"Rosenberg","given":"Eli","non-dropping-particle":"","parse-names":false,"suffix":""},{"dropping-particle":"","family":"Beylerian","given":"Emily N","non-dropping-particle":"","parse-names":false,"suffix":""},{"dropping-particle":"","family":"Hoover","given":"Karen W","non-dropping-particle":"","parse-names":false,"suffix":""},{"dropping-particle":"","family":"Smith","given":"Dawn K","non-dropping-particle":"","parse-names":false,"suffix":""},{"dropping-particle":"","family":"Sullivan","given":"Patrick","non-dropping-particle":"","parse-names":false,"suffix":""}],"container-title":"The Journal of infectious diseases","id":"ITEM-1","issue":"12","issued":{"date-parts":[["2016","12","15"]]},"page":"1800-1807","title":"Impact of the Centers for Disease Control's HIV Preexposure Prophylaxis Guidelines for Men Who Have Sex With Men in the United States.","type":"article-journal","volume":"214"},"uris":["http://www.mendeley.com/documents/?uuid=5ce82e87-57ea-4897-97b9-9a315b7b6bad"]}],"mendeley":{"formattedCitation":"[26]","plainTextFormattedCitation":"[26]","previouslyFormattedCitation":"[26]"},"properties":{"noteIndex":0},"schema":"https://github.com/citation-style-language/schema/raw/master/csl-citation.json"}</w:instrText>
            </w:r>
            <w:r w:rsidR="00191316">
              <w:rPr>
                <w:rFonts w:ascii="Times New Roman" w:hAnsi="Times New Roman" w:cs="Times New Roman"/>
                <w:noProof w:val="0"/>
                <w:sz w:val="22"/>
                <w:szCs w:val="22"/>
              </w:rPr>
              <w:fldChar w:fldCharType="separate"/>
            </w:r>
            <w:r w:rsidR="009B5FF9" w:rsidRPr="009B5FF9">
              <w:rPr>
                <w:rFonts w:ascii="Times New Roman" w:hAnsi="Times New Roman" w:cs="Times New Roman"/>
                <w:sz w:val="22"/>
                <w:szCs w:val="22"/>
              </w:rPr>
              <w:t>[26]</w:t>
            </w:r>
            <w:r w:rsidR="00191316">
              <w:rPr>
                <w:rFonts w:ascii="Times New Roman" w:hAnsi="Times New Roman" w:cs="Times New Roman"/>
                <w:noProof w:val="0"/>
                <w:sz w:val="22"/>
                <w:szCs w:val="22"/>
              </w:rPr>
              <w:fldChar w:fldCharType="end"/>
            </w:r>
            <w:r w:rsidR="00B95370" w:rsidRPr="00B700F9">
              <w:rPr>
                <w:rFonts w:ascii="Times New Roman" w:hAnsi="Times New Roman" w:cs="Times New Roman"/>
                <w:noProof w:val="0"/>
                <w:sz w:val="22"/>
                <w:szCs w:val="22"/>
              </w:rPr>
              <w:t xml:space="preserve">. </w:t>
            </w:r>
          </w:p>
        </w:tc>
        <w:tc>
          <w:tcPr>
            <w:tcW w:w="2971" w:type="dxa"/>
            <w:vAlign w:val="bottom"/>
          </w:tcPr>
          <w:p w14:paraId="3A03A5B5" w14:textId="22836133" w:rsidR="00412327" w:rsidRPr="00B700F9" w:rsidRDefault="0573D6D8" w:rsidP="0573D6D8">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Lower bound of 0.093 acts/week, upper bound of 2 acts/week, and the mean of the two extremities</w:t>
            </w:r>
            <w:r w:rsidR="007A5A4C">
              <w:rPr>
                <w:rFonts w:ascii="Times New Roman" w:hAnsi="Times New Roman" w:cs="Times New Roman"/>
                <w:noProof w:val="0"/>
                <w:sz w:val="22"/>
                <w:szCs w:val="22"/>
              </w:rPr>
              <w:t>.</w:t>
            </w:r>
          </w:p>
        </w:tc>
      </w:tr>
      <w:tr w:rsidR="00B7505C" w14:paraId="76B5E79C" w14:textId="77777777" w:rsidTr="0573D6D8">
        <w:tc>
          <w:tcPr>
            <w:tcW w:w="2958" w:type="dxa"/>
            <w:vAlign w:val="bottom"/>
          </w:tcPr>
          <w:p w14:paraId="3DD43758" w14:textId="730BB600" w:rsidR="00B7505C" w:rsidRPr="00B700F9" w:rsidRDefault="0573D6D8" w:rsidP="0573D6D8">
            <w:pPr>
              <w:pStyle w:val="ListParagraph"/>
              <w:ind w:left="0"/>
              <w:rPr>
                <w:rFonts w:ascii="Times New Roman" w:hAnsi="Times New Roman" w:cs="Times New Roman"/>
                <w:noProof w:val="0"/>
                <w:sz w:val="22"/>
                <w:szCs w:val="22"/>
              </w:rPr>
            </w:pPr>
            <w:r w:rsidRPr="00CF4B59">
              <w:rPr>
                <w:rFonts w:ascii="Times New Roman" w:hAnsi="Times New Roman" w:cs="Times New Roman"/>
                <w:sz w:val="22"/>
                <w:szCs w:val="22"/>
              </w:rPr>
              <w:t>Frequency</w:t>
            </w:r>
            <w:r w:rsidRPr="0573D6D8">
              <w:rPr>
                <w:rFonts w:ascii="Times New Roman" w:hAnsi="Times New Roman" w:cs="Times New Roman"/>
                <w:noProof w:val="0"/>
                <w:sz w:val="22"/>
                <w:szCs w:val="22"/>
              </w:rPr>
              <w:t xml:space="preserve"> of sex in casual partnerships</w:t>
            </w:r>
          </w:p>
        </w:tc>
        <w:tc>
          <w:tcPr>
            <w:tcW w:w="2927" w:type="dxa"/>
            <w:vAlign w:val="bottom"/>
          </w:tcPr>
          <w:p w14:paraId="115BF646" w14:textId="66D2A27E" w:rsidR="00B7505C" w:rsidRPr="00B700F9" w:rsidRDefault="00B7505C" w:rsidP="00956CA0">
            <w:pPr>
              <w:pStyle w:val="ListParagraph"/>
              <w:ind w:left="0"/>
              <w:rPr>
                <w:rFonts w:ascii="Times New Roman" w:hAnsi="Times New Roman" w:cs="Times New Roman"/>
                <w:noProof w:val="0"/>
                <w:sz w:val="22"/>
                <w:szCs w:val="22"/>
              </w:rPr>
            </w:pPr>
            <w:r w:rsidRPr="00B700F9">
              <w:rPr>
                <w:rFonts w:ascii="Times New Roman" w:hAnsi="Times New Roman" w:cs="Times New Roman"/>
                <w:noProof w:val="0"/>
                <w:sz w:val="22"/>
                <w:szCs w:val="22"/>
              </w:rPr>
              <w:t xml:space="preserve">The estimate of 0.053/week (from </w:t>
            </w:r>
            <w:r w:rsidRPr="00CF4B59">
              <w:rPr>
                <w:rFonts w:ascii="Times New Roman" w:hAnsi="Times New Roman" w:cs="Times New Roman"/>
                <w:sz w:val="22"/>
                <w:szCs w:val="22"/>
              </w:rPr>
              <w:t>secondary</w:t>
            </w:r>
            <w:r w:rsidRPr="00B700F9">
              <w:rPr>
                <w:rFonts w:ascii="Times New Roman" w:hAnsi="Times New Roman" w:cs="Times New Roman"/>
                <w:noProof w:val="0"/>
                <w:sz w:val="22"/>
                <w:szCs w:val="22"/>
              </w:rPr>
              <w:t xml:space="preserve"> analysis of data in </w:t>
            </w:r>
            <w:r w:rsidRPr="0573D6D8">
              <w:fldChar w:fldCharType="begin" w:fldLock="1"/>
            </w:r>
            <w:r w:rsidR="002569A7">
              <w:rPr>
                <w:rFonts w:ascii="Times New Roman" w:hAnsi="Times New Roman" w:cs="Times New Roman"/>
                <w:noProof w:val="0"/>
                <w:sz w:val="22"/>
                <w:szCs w:val="22"/>
              </w:rPr>
              <w:instrText>ADDIN CSL_CITATION {"citationItems":[{"id":"ITEM-1","itemData":{"DOI":"10.1001/jamainternmed.2015.6536","ISSN":"2168-6114","PMID":"26571368","author":[{"dropping-particle":"","family":"Khanna","given":"Aditya S","non-dropping-particle":"","parse-names":false,"suffix":""},{"dropping-particle":"","family":"Michaels","given":"Stuart","non-dropping-particle":"","parse-names":false,"suffix":""},{"dropping-particle":"","family":"Skaathun","given":"Britt","non-dropping-particle":"","parse-names":false,"suffix":""},{"dropping-particle":"","family":"Morgan","given":"Ethan","non-dropping-particle":"","parse-names":false,"suffix":""},{"dropping-particle":"","family":"Green","given":"Keith","non-dropping-particle":"","parse-names":false,"suffix":""},{"dropping-particle":"","family":"Young","given":"Lindsay","non-dropping-particle":"","parse-names":false,"suffix":""},{"dropping-particle":"","family":"Schneider","given":"John A","non-dropping-particle":"","parse-names":false,"suffix":""},{"dropping-particle":"","family":"uConnect Study Team","given":"","non-dropping-particle":"","parse-names":false,"suffix":""}],"container-title":"JAMA internal medicine","id":"ITEM-1","issue":"1","issued":{"date-parts":[["2016","1","1"]]},"page":"136-8","title":"Preexposure Prophylaxis Awareness and Use in a Population-Based Sample of Young Black Men Who Have Sex With Men.","type":"article-journal","volume":"176"},"uris":["http://www.mendeley.com/documents/?uuid=bef9a2cc-c473-47ef-a5fd-8efebf8bacd9"]}],"mendeley":{"formattedCitation":"[15]","plainTextFormattedCitation":"[15]","previouslyFormattedCitation":"[15]"},"properties":{"noteIndex":0},"schema":"https://github.com/citation-style-language/schema/raw/master/csl-citation.json"}</w:instrText>
            </w:r>
            <w:r w:rsidRPr="0573D6D8">
              <w:rPr>
                <w:rFonts w:ascii="Times New Roman" w:hAnsi="Times New Roman" w:cs="Times New Roman"/>
                <w:noProof w:val="0"/>
                <w:sz w:val="22"/>
                <w:szCs w:val="22"/>
              </w:rPr>
              <w:fldChar w:fldCharType="separate"/>
            </w:r>
            <w:r w:rsidR="009B5FF9" w:rsidRPr="009B5FF9">
              <w:rPr>
                <w:rFonts w:ascii="Times New Roman" w:hAnsi="Times New Roman" w:cs="Times New Roman"/>
                <w:sz w:val="22"/>
                <w:szCs w:val="22"/>
              </w:rPr>
              <w:t>[15]</w:t>
            </w:r>
            <w:r w:rsidRPr="0573D6D8">
              <w:fldChar w:fldCharType="end"/>
            </w:r>
            <w:r w:rsidRPr="00B700F9">
              <w:rPr>
                <w:rFonts w:ascii="Times New Roman" w:hAnsi="Times New Roman" w:cs="Times New Roman"/>
                <w:noProof w:val="0"/>
                <w:sz w:val="22"/>
                <w:szCs w:val="22"/>
              </w:rPr>
              <w:t>) appeared low. A maximum of 1 act/week was considered</w:t>
            </w:r>
            <w:r w:rsidR="00191316">
              <w:rPr>
                <w:rFonts w:ascii="Times New Roman" w:hAnsi="Times New Roman" w:cs="Times New Roman"/>
                <w:noProof w:val="0"/>
                <w:sz w:val="22"/>
                <w:szCs w:val="22"/>
              </w:rPr>
              <w:t xml:space="preserve"> </w:t>
            </w:r>
            <w:r w:rsidR="00191316">
              <w:rPr>
                <w:rFonts w:ascii="Times New Roman" w:hAnsi="Times New Roman" w:cs="Times New Roman"/>
                <w:noProof w:val="0"/>
                <w:sz w:val="22"/>
                <w:szCs w:val="22"/>
              </w:rPr>
              <w:fldChar w:fldCharType="begin" w:fldLock="1"/>
            </w:r>
            <w:r w:rsidR="002569A7">
              <w:rPr>
                <w:rFonts w:ascii="Times New Roman" w:hAnsi="Times New Roman" w:cs="Times New Roman"/>
                <w:noProof w:val="0"/>
                <w:sz w:val="22"/>
                <w:szCs w:val="22"/>
              </w:rPr>
              <w:instrText>ADDIN CSL_CITATION {"citationItems":[{"id":"ITEM-1","itemData":{"DOI":"10.1093/infdis/jiw223","ISSN":"1537-6613","PMID":"27418048","abstract":"BACKGROUND  Preexposure prophylaxis (PrEP) is effective for preventing human immunodeficiency virus (HIV) infection among men who have sex with men (MSM) within trial settings. Population impact will depend on clinical indications for PrEP initiation, coverage levels, and drug adherence. No modeling studies have estimated the impact of clinical practice guidelines for PrEP issued by the Centers for Disease Control and Prevention (CDC). METHODS  Mathematical models of HIV transmission among MSM were used to estimate the percentage of infections averted (PIA) and the number needed to treat (NNT) under behavioral indications of the CDC's PrEP guidelines. We modeled the contribution of these indications while varying treatment coverage and adherence. RESULTS  At 40% coverage of indicated MSM over the next decade, application of CDC guidelines would avert 1162 infections per 100 000 person-years, 33.0% of expected infections. The predicted NNT for the guidelines would be 25. Increasing coverage and adherence jointly raise the PIA, but reductions to the NNT were associated with better adherence only. CONCLUSIONS  Implementation of CDC PrEP guidelines would result in strong and sustained reductions in HIV incidence among MSM in the United States. The guidelines strike a good balance between epidemiological impact (PIA) and efficiency (NNT) at plausible scale-up levels. Adherence counseling could maximize public health investment in PrEP by decreasing the NNT.","author":[{"dropping-particle":"","family":"Jenness","given":"Samuel M","non-dropping-particle":"","parse-names":false,"suffix":""},{"dropping-particle":"","family":"Goodreau","given":"Steven M","non-dropping-particle":"","parse-names":false,"suffix":""},{"dropping-particle":"","family":"Rosenberg","given":"Eli","non-dropping-particle":"","parse-names":false,"suffix":""},{"dropping-particle":"","family":"Beylerian","given":"Emily N","non-dropping-particle":"","parse-names":false,"suffix":""},{"dropping-particle":"","family":"Hoover","given":"Karen W","non-dropping-particle":"","parse-names":false,"suffix":""},{"dropping-particle":"","family":"Smith","given":"Dawn K","non-dropping-particle":"","parse-names":false,"suffix":""},{"dropping-particle":"","family":"Sullivan","given":"Patrick","non-dropping-particle":"","parse-names":false,"suffix":""}],"container-title":"The Journal of infectious diseases","id":"ITEM-1","issue":"12","issued":{"date-parts":[["2016","12","15"]]},"page":"1800-1807","title":"Impact of the Centers for Disease Control's HIV Preexposure Prophylaxis Guidelines for Men Who Have Sex With Men in the United States.","type":"article-journal","volume":"214"},"uris":["http://www.mendeley.com/documents/?uuid=5ce82e87-57ea-4897-97b9-9a315b7b6bad"]}],"mendeley":{"formattedCitation":"[26]","plainTextFormattedCitation":"[26]","previouslyFormattedCitation":"[26]"},"properties":{"noteIndex":0},"schema":"https://github.com/citation-style-language/schema/raw/master/csl-citation.json"}</w:instrText>
            </w:r>
            <w:r w:rsidR="00191316">
              <w:rPr>
                <w:rFonts w:ascii="Times New Roman" w:hAnsi="Times New Roman" w:cs="Times New Roman"/>
                <w:noProof w:val="0"/>
                <w:sz w:val="22"/>
                <w:szCs w:val="22"/>
              </w:rPr>
              <w:fldChar w:fldCharType="separate"/>
            </w:r>
            <w:r w:rsidR="009B5FF9" w:rsidRPr="009B5FF9">
              <w:rPr>
                <w:rFonts w:ascii="Times New Roman" w:hAnsi="Times New Roman" w:cs="Times New Roman"/>
                <w:sz w:val="22"/>
                <w:szCs w:val="22"/>
              </w:rPr>
              <w:t>[26]</w:t>
            </w:r>
            <w:r w:rsidR="00191316">
              <w:rPr>
                <w:rFonts w:ascii="Times New Roman" w:hAnsi="Times New Roman" w:cs="Times New Roman"/>
                <w:noProof w:val="0"/>
                <w:sz w:val="22"/>
                <w:szCs w:val="22"/>
              </w:rPr>
              <w:fldChar w:fldCharType="end"/>
            </w:r>
            <w:r w:rsidR="00191316" w:rsidRPr="00B700F9">
              <w:rPr>
                <w:rFonts w:ascii="Times New Roman" w:hAnsi="Times New Roman" w:cs="Times New Roman"/>
                <w:noProof w:val="0"/>
                <w:sz w:val="22"/>
                <w:szCs w:val="22"/>
              </w:rPr>
              <w:t>.</w:t>
            </w:r>
          </w:p>
        </w:tc>
        <w:tc>
          <w:tcPr>
            <w:tcW w:w="2971" w:type="dxa"/>
            <w:vAlign w:val="bottom"/>
          </w:tcPr>
          <w:p w14:paraId="1003A3F7" w14:textId="2657AA11" w:rsidR="00B7505C" w:rsidRPr="00B700F9" w:rsidRDefault="0573D6D8" w:rsidP="0573D6D8">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Lower bound of 0.053 acts/week, upper bound of 1 act/week, and the mean of the two extremities</w:t>
            </w:r>
          </w:p>
        </w:tc>
      </w:tr>
      <w:tr w:rsidR="00B7505C" w14:paraId="2C15E647" w14:textId="77777777" w:rsidTr="0573D6D8">
        <w:tc>
          <w:tcPr>
            <w:tcW w:w="2958" w:type="dxa"/>
            <w:vAlign w:val="bottom"/>
          </w:tcPr>
          <w:p w14:paraId="3B83444F" w14:textId="6D3496B3" w:rsidR="00B7505C" w:rsidRPr="00B700F9" w:rsidRDefault="0573D6D8" w:rsidP="0573D6D8">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lastRenderedPageBreak/>
              <w:t xml:space="preserve">Reduction in transmissibility of HIV infection due to circumcision of </w:t>
            </w:r>
            <w:r w:rsidRPr="00CF4B59">
              <w:rPr>
                <w:rFonts w:ascii="Times New Roman" w:hAnsi="Times New Roman" w:cs="Times New Roman"/>
                <w:sz w:val="22"/>
                <w:szCs w:val="22"/>
              </w:rPr>
              <w:t>uninfected</w:t>
            </w:r>
            <w:r w:rsidRPr="0573D6D8">
              <w:rPr>
                <w:rFonts w:ascii="Times New Roman" w:hAnsi="Times New Roman" w:cs="Times New Roman"/>
                <w:noProof w:val="0"/>
                <w:sz w:val="22"/>
                <w:szCs w:val="22"/>
              </w:rPr>
              <w:t xml:space="preserve"> partner</w:t>
            </w:r>
          </w:p>
        </w:tc>
        <w:tc>
          <w:tcPr>
            <w:tcW w:w="2927" w:type="dxa"/>
            <w:vAlign w:val="bottom"/>
          </w:tcPr>
          <w:p w14:paraId="35E04F42" w14:textId="0DA50F63" w:rsidR="00B7505C" w:rsidRPr="00B700F9" w:rsidRDefault="004E659E" w:rsidP="00F95A72">
            <w:pPr>
              <w:pStyle w:val="ListParagraph"/>
              <w:ind w:left="0"/>
              <w:rPr>
                <w:rFonts w:ascii="Times New Roman" w:hAnsi="Times New Roman" w:cs="Times New Roman"/>
                <w:noProof w:val="0"/>
                <w:sz w:val="22"/>
                <w:szCs w:val="22"/>
              </w:rPr>
            </w:pPr>
            <w:r w:rsidRPr="00B700F9">
              <w:rPr>
                <w:rFonts w:ascii="Times New Roman" w:hAnsi="Times New Roman" w:cs="Times New Roman"/>
                <w:noProof w:val="0"/>
                <w:sz w:val="22"/>
                <w:szCs w:val="22"/>
              </w:rPr>
              <w:t>A maximum of 60% reduction has been estimated through studies of heterosexual couples</w:t>
            </w:r>
            <w:r w:rsidR="00062DCA" w:rsidRPr="00B700F9">
              <w:rPr>
                <w:rFonts w:ascii="Times New Roman" w:hAnsi="Times New Roman" w:cs="Times New Roman"/>
                <w:noProof w:val="0"/>
                <w:sz w:val="22"/>
                <w:szCs w:val="22"/>
              </w:rPr>
              <w:t xml:space="preserve"> </w:t>
            </w:r>
            <w:r w:rsidR="00860EAC" w:rsidRPr="0573D6D8">
              <w:fldChar w:fldCharType="begin" w:fldLock="1"/>
            </w:r>
            <w:r w:rsidR="00590DAA">
              <w:rPr>
                <w:rFonts w:ascii="Times New Roman" w:hAnsi="Times New Roman" w:cs="Times New Roman"/>
                <w:noProof w:val="0"/>
                <w:sz w:val="22"/>
                <w:szCs w:val="22"/>
              </w:rPr>
              <w:instrText>ADDIN CSL_CITATION {"citationItems":[{"id":"ITEM-1","itemData":{"DOI":"10.1016/S0140-6736(07)60313-4","ISSN":"0140-6736","abstract":"BACKGROUND\nEcological and observational studies suggest that male circumcision reduces the risk of HIV acquisition in men. Our aim was to investigate the effect of male circumcision on HIV incidence in men. \n\nMETHODS\n4996 uncircumcised, HIV-negative men aged 15–49 years who agreed to HIV testing and counselling were enrolled in this randomised trial in rural Rakai district, Uganda. Men were randomly assigned to receive immediate circumcision (n=2474) or circumcision delayed for 24 months (2522). HIV testing, physical examination, and interviews were repeated at 6, 12, and 24 month follow-up visits. The primary outcome was HIV incidence. Analyses were done on a modified intention-to-treat basis. This trial is registered with ClinicalTrials.gov, with the number NCT00425984. \n\nFINDINGS\nBaseline characteristics of the men in the intervention and control groups were much the same at enrolment. Retention rates were much the same in the two groups, with 90–92% of participants retained at all time points. In the modified intention-to-treat analysis, HIV incidence over 24 months was 0·66 cases per 100 person-years in the intervention group and 1·33 cases per 100 person-years in the control group (estimated efficacy of intervention 51%, 95% CI 16–72; p=0·006). The as-treated efficacy was 55% (95% CI 22–75; p=0·002); efficacy from the Kaplan-Meier time-to-HIV-detection as-treated analysis was 60% (30–77; p=0·003). HIV incidence was lower in the intervention group than it was in the control group in all sociodemographic, behavioural, and sexually transmitted disease symptom subgroups. Moderate or severe adverse events occurred in 84 (3·6%) circumcisions; all resolved with treatment. Behaviours were much the same in both groups during follow-up. \n\nINTERPRETATION\nMale circumcision reduced HIV incidence in men without behavioural disinhibition. Circumcision can be recommended for HIV prevention in men.","author":[{"dropping-particle":"","family":"Gray","given":"Ronald H","non-dropping-particle":"","parse-names":false,"suffix":""},{"dropping-particle":"","family":"Kigozi","given":"Godfrey","non-dropping-particle":"","parse-names":false,"suffix":""},{"dropping-particle":"","family":"Serwadda","given":"David","non-dropping-particle":"","parse-names":false,"suffix":""},{"dropping-particle":"","family":"Makumbi","given":"Frederick","non-dropping-particle":"","parse-names":false,"suffix":""},{"dropping-particle":"","family":"Watya","given":"Stephen","non-dropping-particle":"","parse-names":false,"suffix":""},{"dropping-particle":"","family":"Nalugoda","given":"Fred","non-dropping-particle":"","parse-names":false,"suffix":""},{"dropping-particle":"","family":"Kiwanuka","given":"Noah","non-dropping-particle":"","parse-names":false,"suffix":""},{"dropping-particle":"","family":"Moulton","given":"Lawrence H","non-dropping-particle":"","parse-names":false,"suffix":""},{"dropping-particle":"","family":"Chaudhary","given":"Mohammad A","non-dropping-particle":"","parse-names":false,"suffix":""},{"dropping-particle":"","family":"Chen","given":"Michael Z","non-dropping-particle":"","parse-names":false,"suffix":""},{"dropping-particle":"","family":"Sewankambo","given":"Nelson K","non-dropping-particle":"","parse-names":false,"suffix":""},{"dropping-particle":"","family":"Wabwire-Mangen","given":"Fred","non-dropping-particle":"","parse-names":false,"suffix":""},{"dropping-particle":"","family":"Bacon","given":"Melanie C","non-dropping-particle":"","parse-names":false,"suffix":""},{"dropping-particle":"","family":"Williams","given":"Carolyn FM","non-dropping-particle":"","parse-names":false,"suffix":""},{"dropping-particle":"","family":"Opendi","given":"Pius","non-dropping-particle":"","parse-names":false,"suffix":""},{"dropping-particle":"","family":"Reynolds","given":"Steven J","non-dropping-particle":"","parse-names":false,"suffix":""},{"dropping-particle":"","family":"Laeyendecker","given":"Oliver","non-dropping-particle":"","parse-names":false,"suffix":""},{"dropping-particle":"","family":"Quinn","given":"Thomas C","non-dropping-particle":"","parse-names":false,"suffix":""},{"dropping-particle":"","family":"Wawer","given":"Maria J","non-dropping-particle":"","parse-names":false,"suffix":""}],"container-title":"The Lancet","id":"ITEM-1","issue":"9562","issued":{"date-parts":[["2007","2","24"]]},"page":"657-666","publisher":"Elsevier","title":"Male circumcision for HIV prevention in men in Rakai, Uganda: a randomised trial","type":"article-journal","volume":"369"},"uris":["http://www.mendeley.com/documents/?uuid=9709192d-8c70-3e62-9386-8d0f4a37593e"]},{"id":"ITEM-2","itemData":{"DOI":"10.1016/S0140-6736(07)60312-2","ISSN":"0140-6736","abstract":"BACKGROUND\nMale circumcision could provide substantial protection against acquisition of HIV-1 infection. Our aim was to determine whether male circumcision had a protective effect against HIV infection, and to assess safety and changes in sexual behaviour related to this intervention. \n\nMETHODS\nWe did a randomised controlled trial of 2784 men aged 18–24 years in Kisumu, Kenya. Men were randomly assigned to an intervention group (circumcision; n=1391) or a control group (delayed circumcision, 1393), and assessed by HIV testing, medical examinations, and behavioural interviews during follow-ups at 1, 3, 6, 12, 18, and 24 months. HIV seroincidence was estimated in an intention-to-treat analysis. This trial is registered with ClinicalTrials.gov, with the number NCT00059371. \n\nFINDINGS\nThe trial was stopped early on December 12, 2006, after a third interim analysis reviewed by the data and safety monitoring board. The median length of follow-up was 24 months. Follow-up for HIV status was incomplete for 240 (8·6%) participants. 22 men in the intervention group and 47 in the control group had tested positive for HIV when the study was stopped. The 2-year HIV incidence was 2·1% (95% CI 1·2–3·0) in the circumcision group and 4·2% (3·0–5·4) in the control group (p=0·0065); the relative risk of HIV infection in circumcised men was 0·47 (0·28–0·78), which corresponds to a reduction in the risk of acquiring an HIV infection of 53% (22–72). Adjusting for non-adherence to treatment and excluding four men found to be seropositive at enrolment, the protective effect of circumcision was 60% (32–77). Adverse events related to the intervention (21 events in 1·5% of those circumcised) resolved quickly. No behavioural risk compensation after circumcision was observed. \n\nINTERPRETATION\nMale circumcision significantly reduces the risk of HIV acquisition in young men in Africa. Where appropriate, voluntary, safe, and affordable circumcision services should be integrated with other HIV preventive interventions and provided as expeditiously as possible.","author":[{"dropping-particle":"","family":"Bailey","given":"Robert C","non-dropping-particle":"","parse-names":false,"suffix":""},{"dropping-particle":"","family":"Moses","given":"Stephen","non-dropping-particle":"","parse-names":false,"suffix":""},{"dropping-particle":"","family":"Parker","given":"Corette B","non-dropping-particle":"","parse-names":false,"suffix":""},{"dropping-particle":"","family":"Agot","given":"Kawango","non-dropping-particle":"","parse-names":false,"suffix":""},{"dropping-particle":"","family":"Maclean","given":"Ian","non-dropping-particle":"","parse-names":false,"suffix":""},{"dropping-particle":"","family":"Krieger","given":"John N","non-dropping-particle":"","parse-names":false,"suffix":""},{"dropping-particle":"","family":"Williams","given":"Carolyn FM","non-dropping-particle":"","parse-names":false,"suffix":""},{"dropping-particle":"","family":"Campbell","given":"Richard T","non-dropping-particle":"","parse-names":false,"suffix":""},{"dropping-particle":"","family":"Ndinya-Achola","given":"Jeckoniah O","non-dropping-particle":"","parse-names":false,"suffix":""}],"container-title":"The Lancet","id":"ITEM-2","issue":"9562","issued":{"date-parts":[["2007","2","24"]]},"page":"643-656","publisher":"Elsevier","title":"Male circumcision for HIV prevention in young men in Kisumu, Kenya: a randomised controlled trial","type":"article-journal","volume":"369"},"uris":["http://www.mendeley.com/documents/?uuid=a08da48a-2ded-35b4-87c7-8cb3523093d9"]},{"id":"ITEM-3","itemData":{"DOI":"10.1371/journal.pmed.0020298","ISSN":"1549-1676","PMID":"16231970","abstract":"BACKGROUND Observational studies suggest that male circumcision may provide protection against HIV-1 infection. A randomized, controlled intervention trial was conducted in a general population of South Africa to test this hypothesis. METHODS AND FINDINGS A total of 3,274 uncircumcised men, aged 18-24 y, were randomized to a control or an intervention group with follow-up visits at months 3, 12, and 21. Male circumcision was offered to the intervention group immediately after randomization and to the control group at the end of the follow-up. The grouped censored data were analyzed in intention-to-treat, univariate and multivariate, analyses, using piecewise exponential, proportional hazards models. Rate ratios (RR) of HIV incidence were determined with 95% CI. Protection against HIV infection was calculated as 1 - RR. The trial was stopped at the interim analysis, and the mean (interquartile range) follow-up was 18.1 mo (13.0-21.0) when the data were analyzed. There were 20 HIV infections (incidence rate = 0.85 per 100 person-years) in the intervention group and 49 (2.1 per 100 person-years) in the control group, corresponding to an RR of 0.40 (95% CI: 0.24%-0.68%; p &lt; 0.001). This RR corresponds to a protection of 60% (95% CI: 32%-76%). When controlling for behavioural factors, including sexual behaviour that increased slightly in the intervention group, condom use, and health-seeking behaviour, the protection was of 61% (95% CI: 34%-77%). CONCLUSION Male circumcision provides a degree of protection against acquiring HIV infection, equivalent to what a vaccine of high efficacy would have achieved. Male circumcision may provide an important way of reducing the spread of HIV infection in sub-Saharan Africa. (Preliminary and partial results were presented at the International AIDS Society 2005 Conference, on 26 July 2005, in Rio de Janeiro, Brazil.).","author":[{"dropping-particle":"","family":"Auvert","given":"Bertran","non-dropping-particle":"","parse-names":false,"suffix":""},{"dropping-particle":"","family":"Taljaard","given":"Dirk","non-dropping-particle":"","parse-names":false,"suffix":""},{"dropping-particle":"","family":"Lagarde","given":"Emmanuel","non-dropping-particle":"","parse-names":false,"suffix":""},{"dropping-particle":"","family":"Sobngwi-Tambekou","given":"Joëlle","non-dropping-particle":"","parse-names":false,"suffix":""},{"dropping-particle":"","family":"Sitta","given":"Rémi","non-dropping-particle":"","parse-names":false,"suffix":""},{"dropping-particle":"","family":"Puren","given":"Adrian","non-dropping-particle":"","parse-names":false,"suffix":""}],"container-title":"PLoS medicine","id":"ITEM-3","issue":"11","issued":{"date-parts":[["2005","11"]]},"page":"e298","title":"Randomized, controlled intervention trial of male circumcision for reduction of HIV infection risk: the ANRS 1265 Trial.","type":"article-journal","volume":"2"},"uris":["http://www.mendeley.com/documents/?uuid=5a7bd480-9e4b-4113-a71d-2d6422e8fe0f"]}],"mendeley":{"formattedCitation":"[36–38]","plainTextFormattedCitation":"[36–38]","previouslyFormattedCitation":"[36–38]"},"properties":{"noteIndex":0},"schema":"https://github.com/citation-style-language/schema/raw/master/csl-citation.json"}</w:instrText>
            </w:r>
            <w:r w:rsidR="00860EAC" w:rsidRPr="0573D6D8">
              <w:rPr>
                <w:rFonts w:ascii="Times New Roman" w:hAnsi="Times New Roman" w:cs="Times New Roman"/>
                <w:noProof w:val="0"/>
                <w:sz w:val="22"/>
                <w:szCs w:val="22"/>
              </w:rPr>
              <w:fldChar w:fldCharType="separate"/>
            </w:r>
            <w:r w:rsidR="007A01DC" w:rsidRPr="007A01DC">
              <w:rPr>
                <w:rFonts w:ascii="Times New Roman" w:hAnsi="Times New Roman" w:cs="Times New Roman"/>
                <w:sz w:val="22"/>
                <w:szCs w:val="22"/>
              </w:rPr>
              <w:t>[36–38]</w:t>
            </w:r>
            <w:r w:rsidR="00860EAC" w:rsidRPr="0573D6D8">
              <w:fldChar w:fldCharType="end"/>
            </w:r>
            <w:r w:rsidR="00216862" w:rsidRPr="00B700F9">
              <w:rPr>
                <w:rFonts w:ascii="Times New Roman" w:hAnsi="Times New Roman" w:cs="Times New Roman"/>
                <w:noProof w:val="0"/>
                <w:sz w:val="22"/>
                <w:szCs w:val="22"/>
              </w:rPr>
              <w:t xml:space="preserve">, but studies in MSM have found negligible effect </w:t>
            </w:r>
            <w:r w:rsidR="00C013BC" w:rsidRPr="0573D6D8">
              <w:fldChar w:fldCharType="begin" w:fldLock="1"/>
            </w:r>
            <w:r w:rsidR="00590DAA">
              <w:rPr>
                <w:rFonts w:ascii="Times New Roman" w:hAnsi="Times New Roman" w:cs="Times New Roman"/>
                <w:noProof w:val="0"/>
                <w:sz w:val="22"/>
                <w:szCs w:val="22"/>
              </w:rPr>
              <w:instrText>ADDIN CSL_CITATION {"citationItems":[{"id":"ITEM-1","itemData":{"DOI":"10.1001/jama.300.14.1674","ISSN":"0098-7484","abstract":"&lt;h3&gt;Context&lt;/h3&gt;Randomized controlled trials and meta-analyses have demonstrated that male circumcision reduces men's risk of contracting human immunodeficiency virus (HIV) infection during heterosexual intercourse. Less is known about whether male circumcision provides protection against HIV infection among men who have sex with men (MSM).&lt;h3&gt;Objectives&lt;/h3&gt;To quantitatively summarize the strength of the association between male circumcision and HIV infection and other sexually transmitted infections (STIs) across observational studies of MSM.&lt;h3&gt;Data Sources&lt;/h3&gt;Comprehensive search of databases, including MEDLINE, EMBASE, ERIC, Sociofile, PsycINFO, Web of Science, and Google Scholar, and correspondence with researchers, to find published articles, conference proceedings, and unpublished reports through February 2008.&lt;h3&gt;Study Selection&lt;/h3&gt;Of 18 studies that quantitatively examined the association between male circumcision and HIV/STI among MSM, 15 (83%) met the selection criteria for the meta-analysis.&lt;h3&gt;Data Extraction&lt;/h3&gt;Independent abstraction was conducted by pairs of reviewers using a standardized abstraction form. Study quality was assessed using the Newcastle-Ottawa Scale.&lt;h3&gt;Data Synthesis&lt;/h3&gt;A total of 53 567 MSM participants (52% circumcised) were included in the meta-analysis. The odds of being HIV-positive were nonsignificantly lower among MSM who were circumcised than uncircumcised (odds ratio, 0.86; 95% confidence interval, 0.65-1.13; number of independent effect sizes [k] = 15). Higher study quality was associated with a reduced odds of HIV infection among circumcised MSM (β, −0.415; P = .01). Among MSM who primarily engaged in insertive anal sex, the association between male circumcision and HIV was protective but not statistically significant (odds ratio, 0.71; 95% confidence interval, 0.23-2.22; k = 4). Male circumcision had a protective association with HIV in studies of MSM conducted before the introduction of highly active antiretroviral therapy (odds ratio, 0.47; 95% confidence interval, 0.32-0.69; k = 3). Neither the association between male circumcision and other STIs (odds ratio, 1.02; 95% confidence interval, 0.83-1.26; k = 8), nor its relationship with study quality was statistically significant (β, 0.265; P = .47).&lt;h3&gt;Conclusions&lt;/h3&gt;Pooled analyses of available observational studies of MSM revealed insufficient evidence that male circumcision protects against HIV infection or other STIs. However, the comparable protec…","author":[{"dropping-particle":"","family":"Millett","given":"Gregorio A.","non-dropping-particle":"","parse-names":false,"suffix":""},{"dropping-particle":"","family":"Flores","given":"Stephen A.","non-dropping-particle":"","parse-names":false,"suffix":""},{"dropping-particle":"","family":"Marks","given":"Gary","non-dropping-particle":"","parse-names":false,"suffix":""},{"dropping-particle":"","family":"Reed","given":"J. Bailey","non-dropping-particle":"","parse-names":false,"suffix":""},{"dropping-particle":"","family":"Herbst","given":"Jeffrey H.","non-dropping-particle":"","parse-names":false,"suffix":""}],"container-title":"JAMA","id":"ITEM-1","issue":"14","issued":{"date-parts":[["2008","10","8"]]},"page":"1674","publisher":"American Medical Association","title":"Circumcision Status and Risk of HIV and Sexually Transmitted Infections Among Men Who Have Sex With Men","type":"article-journal","volume":"300"},"uris":["http://www.mendeley.com/documents/?uuid=ca568517-957f-3652-90f4-37aa42f00719"]},{"id":"ITEM-2","itemData":{"DOI":"10.1097/QAD.0b013e32833202b8","ISSN":"1473-5571","PMID":"19752714","abstract":"OBJECTIVE To assess circumcision status as a risk factor for HIV seroconversion in homosexual men. DESIGN, SETTING AND PARTICIPANTS The Health in Men (HIM) study was a prospective cohort of homosexual men in Sydney, Australia. HIV-negative men (n = 1426) were recruited primarily from community-based sources between 2001 and 2004 and followed to mid-2007. Participants underwent annual HIV testing, and detailed information on sexual risk behaviour was collected every 6 months. MAIN OUTCOME MEASURE HIV incidence in circumcised compared with uncircumcised participants, stratified by whether or not men predominantly practised the insertive role in anal intercourse. RESULTS There were 53 HIV seroconversions during follow-up; an incidence of 0.78 per 100 person-years. On multivariate analysis controlling for behavioural risk factors, being circumcised was associated with a nonsignificant reduction in risk of HIV seroconversion [hazard ratio 0.78, 95% confidence interval (CI) 0.42-1.45, P = 0.424]. Among one-third of study participants who reported a preference for the insertive role in anal intercourse, being circumcised was associated with a significant reduction in HIV incidence after controlling for age and unprotected anal intercourse (UAI) (hazard ratio 0.11, 95% CI 0.03-0.80, P = 0.041). Those who reported a preference for the insertive role overwhelmingly practised insertive rather than receptive UAI. CONCLUSIONS Overall, circumcision did not significantly reduce the risk of HIV infection in the HIM cohort. However, it was associated with a significant reduction in HIV incidence among those participants who reported a preference for the insertive role in anal intercourse. Circumcision may have a role as an HIV prevention intervention in this subset of homosexual men.","author":[{"dropping-particle":"","family":"Templeton","given":"David J","non-dropping-particle":"","parse-names":false,"suffix":""},{"dropping-particle":"","family":"Jin","given":"Fengyi","non-dropping-particle":"","parse-names":false,"suffix":""},{"dropping-particle":"","family":"Mao","given":"Limin","non-dropping-particle":"","parse-names":false,"suffix":""},{"dropping-particle":"","family":"Prestage","given":"Garrett P","non-dropping-particle":"","parse-names":false,"suffix":""},{"dropping-particle":"","family":"Donovan","given":"Basil","non-dropping-particle":"","parse-names":false,"suffix":""},{"dropping-particle":"","family":"Imrie","given":"John","non-dropping-particle":"","parse-names":false,"suffix":""},{"dropping-particle":"","family":"Kippax","given":"Susan","non-dropping-particle":"","parse-names":false,"suffix":""},{"dropping-particle":"","family":"Kaldor","given":"John M","non-dropping-particle":"","parse-names":false,"suffix":""},{"dropping-particle":"","family":"Grulich","given":"Andrew E","non-dropping-particle":"","parse-names":false,"suffix":""}],"container-title":"AIDS (London, England)","id":"ITEM-2","issue":"17","issued":{"date-parts":[["2009","11","13"]]},"page":"2347-51","title":"Circumcision and risk of HIV infection in Australian homosexual men.","type":"article-journal","volume":"23"},"uris":["http://www.mendeley.com/documents/?uuid=c9bb12d3-1a4f-4feb-885c-013706943455"]}],"mendeley":{"formattedCitation":"[39,40]","plainTextFormattedCitation":"[39,40]","previouslyFormattedCitation":"[39,40]"},"properties":{"noteIndex":0},"schema":"https://github.com/citation-style-language/schema/raw/master/csl-citation.json"}</w:instrText>
            </w:r>
            <w:r w:rsidR="00C013BC" w:rsidRPr="0573D6D8">
              <w:rPr>
                <w:rFonts w:ascii="Times New Roman" w:hAnsi="Times New Roman" w:cs="Times New Roman"/>
                <w:noProof w:val="0"/>
                <w:sz w:val="22"/>
                <w:szCs w:val="22"/>
              </w:rPr>
              <w:fldChar w:fldCharType="separate"/>
            </w:r>
            <w:r w:rsidR="007A01DC" w:rsidRPr="007A01DC">
              <w:rPr>
                <w:rFonts w:ascii="Times New Roman" w:hAnsi="Times New Roman" w:cs="Times New Roman"/>
                <w:sz w:val="22"/>
                <w:szCs w:val="22"/>
              </w:rPr>
              <w:t>[39,40]</w:t>
            </w:r>
            <w:r w:rsidR="00C013BC" w:rsidRPr="0573D6D8">
              <w:fldChar w:fldCharType="end"/>
            </w:r>
            <w:r w:rsidRPr="00B700F9">
              <w:rPr>
                <w:rFonts w:ascii="Times New Roman" w:hAnsi="Times New Roman" w:cs="Times New Roman"/>
                <w:noProof w:val="0"/>
                <w:sz w:val="22"/>
                <w:szCs w:val="22"/>
              </w:rPr>
              <w:t xml:space="preserve">. </w:t>
            </w:r>
          </w:p>
        </w:tc>
        <w:tc>
          <w:tcPr>
            <w:tcW w:w="2971" w:type="dxa"/>
            <w:vAlign w:val="bottom"/>
          </w:tcPr>
          <w:p w14:paraId="794D7888" w14:textId="57D0B542" w:rsidR="00B7505C" w:rsidRPr="00B700F9" w:rsidRDefault="00636CA0" w:rsidP="00F95A72">
            <w:pPr>
              <w:pStyle w:val="ListParagraph"/>
              <w:ind w:left="0"/>
              <w:rPr>
                <w:rFonts w:ascii="Times New Roman" w:hAnsi="Times New Roman" w:cs="Times New Roman"/>
                <w:noProof w:val="0"/>
                <w:sz w:val="22"/>
                <w:szCs w:val="22"/>
              </w:rPr>
            </w:pPr>
            <w:r w:rsidRPr="00B700F9">
              <w:rPr>
                <w:rFonts w:ascii="Times New Roman" w:hAnsi="Times New Roman" w:cs="Times New Roman"/>
                <w:noProof w:val="0"/>
                <w:sz w:val="22"/>
                <w:szCs w:val="22"/>
              </w:rPr>
              <w:t xml:space="preserve">Three discrete values were considered: one that assumed 60% protection, consistent with heterosexual studies </w:t>
            </w:r>
            <w:r w:rsidR="00CF2F51" w:rsidRPr="0573D6D8">
              <w:fldChar w:fldCharType="begin" w:fldLock="1"/>
            </w:r>
            <w:r w:rsidR="00590DAA">
              <w:rPr>
                <w:rFonts w:ascii="Times New Roman" w:hAnsi="Times New Roman" w:cs="Times New Roman"/>
                <w:noProof w:val="0"/>
                <w:sz w:val="22"/>
                <w:szCs w:val="22"/>
              </w:rPr>
              <w:instrText>ADDIN CSL_CITATION {"citationItems":[{"id":"ITEM-1","itemData":{"DOI":"10.1016/S0140-6736(07)60313-4","ISSN":"0140-6736","abstract":"BACKGROUND\nEcological and observational studies suggest that male circumcision reduces the risk of HIV acquisition in men. Our aim was to investigate the effect of male circumcision on HIV incidence in men. \n\nMETHODS\n4996 uncircumcised, HIV-negative men aged 15–49 years who agreed to HIV testing and counselling were enrolled in this randomised trial in rural Rakai district, Uganda. Men were randomly assigned to receive immediate circumcision (n=2474) or circumcision delayed for 24 months (2522). HIV testing, physical examination, and interviews were repeated at 6, 12, and 24 month follow-up visits. The primary outcome was HIV incidence. Analyses were done on a modified intention-to-treat basis. This trial is registered with ClinicalTrials.gov, with the number NCT00425984. \n\nFINDINGS\nBaseline characteristics of the men in the intervention and control groups were much the same at enrolment. Retention rates were much the same in the two groups, with 90–92% of participants retained at all time points. In the modified intention-to-treat analysis, HIV incidence over 24 months was 0·66 cases per 100 person-years in the intervention group and 1·33 cases per 100 person-years in the control group (estimated efficacy of intervention 51%, 95% CI 16–72; p=0·006). The as-treated efficacy was 55% (95% CI 22–75; p=0·002); efficacy from the Kaplan-Meier time-to-HIV-detection as-treated analysis was 60% (30–77; p=0·003). HIV incidence was lower in the intervention group than it was in the control group in all sociodemographic, behavioural, and sexually transmitted disease symptom subgroups. Moderate or severe adverse events occurred in 84 (3·6%) circumcisions; all resolved with treatment. Behaviours were much the same in both groups during follow-up. \n\nINTERPRETATION\nMale circumcision reduced HIV incidence in men without behavioural disinhibition. Circumcision can be recommended for HIV prevention in men.","author":[{"dropping-particle":"","family":"Gray","given":"Ronald H","non-dropping-particle":"","parse-names":false,"suffix":""},{"dropping-particle":"","family":"Kigozi","given":"Godfrey","non-dropping-particle":"","parse-names":false,"suffix":""},{"dropping-particle":"","family":"Serwadda","given":"David","non-dropping-particle":"","parse-names":false,"suffix":""},{"dropping-particle":"","family":"Makumbi","given":"Frederick","non-dropping-particle":"","parse-names":false,"suffix":""},{"dropping-particle":"","family":"Watya","given":"Stephen","non-dropping-particle":"","parse-names":false,"suffix":""},{"dropping-particle":"","family":"Nalugoda","given":"Fred","non-dropping-particle":"","parse-names":false,"suffix":""},{"dropping-particle":"","family":"Kiwanuka","given":"Noah","non-dropping-particle":"","parse-names":false,"suffix":""},{"dropping-particle":"","family":"Moulton","given":"Lawrence H","non-dropping-particle":"","parse-names":false,"suffix":""},{"dropping-particle":"","family":"Chaudhary","given":"Mohammad A","non-dropping-particle":"","parse-names":false,"suffix":""},{"dropping-particle":"","family":"Chen","given":"Michael Z","non-dropping-particle":"","parse-names":false,"suffix":""},{"dropping-particle":"","family":"Sewankambo","given":"Nelson K","non-dropping-particle":"","parse-names":false,"suffix":""},{"dropping-particle":"","family":"Wabwire-Mangen","given":"Fred","non-dropping-particle":"","parse-names":false,"suffix":""},{"dropping-particle":"","family":"Bacon","given":"Melanie C","non-dropping-particle":"","parse-names":false,"suffix":""},{"dropping-particle":"","family":"Williams","given":"Carolyn FM","non-dropping-particle":"","parse-names":false,"suffix":""},{"dropping-particle":"","family":"Opendi","given":"Pius","non-dropping-particle":"","parse-names":false,"suffix":""},{"dropping-particle":"","family":"Reynolds","given":"Steven J","non-dropping-particle":"","parse-names":false,"suffix":""},{"dropping-particle":"","family":"Laeyendecker","given":"Oliver","non-dropping-particle":"","parse-names":false,"suffix":""},{"dropping-particle":"","family":"Quinn","given":"Thomas C","non-dropping-particle":"","parse-names":false,"suffix":""},{"dropping-particle":"","family":"Wawer","given":"Maria J","non-dropping-particle":"","parse-names":false,"suffix":""}],"container-title":"The Lancet","id":"ITEM-1","issue":"9562","issued":{"date-parts":[["2007","2","24"]]},"page":"657-666","publisher":"Elsevier","title":"Male circumcision for HIV prevention in men in Rakai, Uganda: a randomised trial","type":"article-journal","volume":"369"},"uris":["http://www.mendeley.com/documents/?uuid=9709192d-8c70-3e62-9386-8d0f4a37593e"]},{"id":"ITEM-2","itemData":{"DOI":"10.1016/S0140-6736(07)60312-2","ISSN":"0140-6736","abstract":"BACKGROUND\nMale circumcision could provide substantial protection against acquisition of HIV-1 infection. Our aim was to determine whether male circumcision had a protective effect against HIV infection, and to assess safety and changes in sexual behaviour related to this intervention. \n\nMETHODS\nWe did a randomised controlled trial of 2784 men aged 18–24 years in Kisumu, Kenya. Men were randomly assigned to an intervention group (circumcision; n=1391) or a control group (delayed circumcision, 1393), and assessed by HIV testing, medical examinations, and behavioural interviews during follow-ups at 1, 3, 6, 12, 18, and 24 months. HIV seroincidence was estimated in an intention-to-treat analysis. This trial is registered with ClinicalTrials.gov, with the number NCT00059371. \n\nFINDINGS\nThe trial was stopped early on December 12, 2006, after a third interim analysis reviewed by the data and safety monitoring board. The median length of follow-up was 24 months. Follow-up for HIV status was incomplete for 240 (8·6%) participants. 22 men in the intervention group and 47 in the control group had tested positive for HIV when the study was stopped. The 2-year HIV incidence was 2·1% (95% CI 1·2–3·0) in the circumcision group and 4·2% (3·0–5·4) in the control group (p=0·0065); the relative risk of HIV infection in circumcised men was 0·47 (0·28–0·78), which corresponds to a reduction in the risk of acquiring an HIV infection of 53% (22–72). Adjusting for non-adherence to treatment and excluding four men found to be seropositive at enrolment, the protective effect of circumcision was 60% (32–77). Adverse events related to the intervention (21 events in 1·5% of those circumcised) resolved quickly. No behavioural risk compensation after circumcision was observed. \n\nINTERPRETATION\nMale circumcision significantly reduces the risk of HIV acquisition in young men in Africa. Where appropriate, voluntary, safe, and affordable circumcision services should be integrated with other HIV preventive interventions and provided as expeditiously as possible.","author":[{"dropping-particle":"","family":"Bailey","given":"Robert C","non-dropping-particle":"","parse-names":false,"suffix":""},{"dropping-particle":"","family":"Moses","given":"Stephen","non-dropping-particle":"","parse-names":false,"suffix":""},{"dropping-particle":"","family":"Parker","given":"Corette B","non-dropping-particle":"","parse-names":false,"suffix":""},{"dropping-particle":"","family":"Agot","given":"Kawango","non-dropping-particle":"","parse-names":false,"suffix":""},{"dropping-particle":"","family":"Maclean","given":"Ian","non-dropping-particle":"","parse-names":false,"suffix":""},{"dropping-particle":"","family":"Krieger","given":"John N","non-dropping-particle":"","parse-names":false,"suffix":""},{"dropping-particle":"","family":"Williams","given":"Carolyn FM","non-dropping-particle":"","parse-names":false,"suffix":""},{"dropping-particle":"","family":"Campbell","given":"Richard T","non-dropping-particle":"","parse-names":false,"suffix":""},{"dropping-particle":"","family":"Ndinya-Achola","given":"Jeckoniah O","non-dropping-particle":"","parse-names":false,"suffix":""}],"container-title":"The Lancet","id":"ITEM-2","issue":"9562","issued":{"date-parts":[["2007","2","24"]]},"page":"643-656","publisher":"Elsevier","title":"Male circumcision for HIV prevention in young men in Kisumu, Kenya: a randomised controlled trial","type":"article-journal","volume":"369"},"uris":["http://www.mendeley.com/documents/?uuid=a08da48a-2ded-35b4-87c7-8cb3523093d9"]},{"id":"ITEM-3","itemData":{"DOI":"10.1371/journal.pmed.0020298","ISSN":"1549-1676","PMID":"16231970","abstract":"BACKGROUND Observational studies suggest that male circumcision may provide protection against HIV-1 infection. A randomized, controlled intervention trial was conducted in a general population of South Africa to test this hypothesis. METHODS AND FINDINGS A total of 3,274 uncircumcised men, aged 18-24 y, were randomized to a control or an intervention group with follow-up visits at months 3, 12, and 21. Male circumcision was offered to the intervention group immediately after randomization and to the control group at the end of the follow-up. The grouped censored data were analyzed in intention-to-treat, univariate and multivariate, analyses, using piecewise exponential, proportional hazards models. Rate ratios (RR) of HIV incidence were determined with 95% CI. Protection against HIV infection was calculated as 1 - RR. The trial was stopped at the interim analysis, and the mean (interquartile range) follow-up was 18.1 mo (13.0-21.0) when the data were analyzed. There were 20 HIV infections (incidence rate = 0.85 per 100 person-years) in the intervention group and 49 (2.1 per 100 person-years) in the control group, corresponding to an RR of 0.40 (95% CI: 0.24%-0.68%; p &lt; 0.001). This RR corresponds to a protection of 60% (95% CI: 32%-76%). When controlling for behavioural factors, including sexual behaviour that increased slightly in the intervention group, condom use, and health-seeking behaviour, the protection was of 61% (95% CI: 34%-77%). CONCLUSION Male circumcision provides a degree of protection against acquiring HIV infection, equivalent to what a vaccine of high efficacy would have achieved. Male circumcision may provide an important way of reducing the spread of HIV infection in sub-Saharan Africa. (Preliminary and partial results were presented at the International AIDS Society 2005 Conference, on 26 July 2005, in Rio de Janeiro, Brazil.).","author":[{"dropping-particle":"","family":"Auvert","given":"Bertran","non-dropping-particle":"","parse-names":false,"suffix":""},{"dropping-particle":"","family":"Taljaard","given":"Dirk","non-dropping-particle":"","parse-names":false,"suffix":""},{"dropping-particle":"","family":"Lagarde","given":"Emmanuel","non-dropping-particle":"","parse-names":false,"suffix":""},{"dropping-particle":"","family":"Sobngwi-Tambekou","given":"Joëlle","non-dropping-particle":"","parse-names":false,"suffix":""},{"dropping-particle":"","family":"Sitta","given":"Rémi","non-dropping-particle":"","parse-names":false,"suffix":""},{"dropping-particle":"","family":"Puren","given":"Adrian","non-dropping-particle":"","parse-names":false,"suffix":""}],"container-title":"PLoS medicine","id":"ITEM-3","issue":"11","issued":{"date-parts":[["2005","11"]]},"page":"e298","title":"Randomized, controlled intervention trial of male circumcision for reduction of HIV infection risk: the ANRS 1265 Trial.","type":"article-journal","volume":"2"},"uris":["http://www.mendeley.com/documents/?uuid=5a7bd480-9e4b-4113-a71d-2d6422e8fe0f"]}],"mendeley":{"formattedCitation":"[36–38]","plainTextFormattedCitation":"[36–38]","previouslyFormattedCitation":"[36–38]"},"properties":{"noteIndex":0},"schema":"https://github.com/citation-style-language/schema/raw/master/csl-citation.json"}</w:instrText>
            </w:r>
            <w:r w:rsidR="00CF2F51" w:rsidRPr="0573D6D8">
              <w:rPr>
                <w:rFonts w:ascii="Times New Roman" w:hAnsi="Times New Roman" w:cs="Times New Roman"/>
                <w:noProof w:val="0"/>
                <w:sz w:val="22"/>
                <w:szCs w:val="22"/>
              </w:rPr>
              <w:fldChar w:fldCharType="separate"/>
            </w:r>
            <w:r w:rsidR="007A01DC" w:rsidRPr="007A01DC">
              <w:rPr>
                <w:rFonts w:ascii="Times New Roman" w:hAnsi="Times New Roman" w:cs="Times New Roman"/>
                <w:sz w:val="22"/>
                <w:szCs w:val="22"/>
              </w:rPr>
              <w:t>[36–38]</w:t>
            </w:r>
            <w:r w:rsidR="00CF2F51" w:rsidRPr="0573D6D8">
              <w:fldChar w:fldCharType="end"/>
            </w:r>
            <w:r w:rsidR="00CF2F51" w:rsidRPr="00B700F9">
              <w:rPr>
                <w:rFonts w:ascii="Times New Roman" w:hAnsi="Times New Roman" w:cs="Times New Roman"/>
                <w:noProof w:val="0"/>
                <w:sz w:val="22"/>
                <w:szCs w:val="22"/>
              </w:rPr>
              <w:t xml:space="preserve">, one that assumed 0% protection, and a protective effect </w:t>
            </w:r>
            <w:r w:rsidR="00BD72BD" w:rsidRPr="00B700F9">
              <w:rPr>
                <w:rFonts w:ascii="Times New Roman" w:hAnsi="Times New Roman" w:cs="Times New Roman"/>
                <w:noProof w:val="0"/>
                <w:sz w:val="22"/>
                <w:szCs w:val="22"/>
              </w:rPr>
              <w:t xml:space="preserve">halfway </w:t>
            </w:r>
            <w:r w:rsidR="00CF2F51" w:rsidRPr="00B700F9">
              <w:rPr>
                <w:rFonts w:ascii="Times New Roman" w:hAnsi="Times New Roman" w:cs="Times New Roman"/>
                <w:noProof w:val="0"/>
                <w:sz w:val="22"/>
                <w:szCs w:val="22"/>
              </w:rPr>
              <w:t>between (30%).</w:t>
            </w:r>
          </w:p>
        </w:tc>
      </w:tr>
    </w:tbl>
    <w:p w14:paraId="5B45E166" w14:textId="77777777" w:rsidR="00055897" w:rsidRDefault="00055897" w:rsidP="003001A8">
      <w:pPr>
        <w:spacing w:line="480" w:lineRule="auto"/>
        <w:ind w:firstLine="720"/>
        <w:rPr>
          <w:rFonts w:ascii="Times New Roman" w:hAnsi="Times New Roman" w:cs="Times New Roman"/>
          <w:noProof w:val="0"/>
          <w:sz w:val="24"/>
          <w:szCs w:val="24"/>
        </w:rPr>
      </w:pPr>
    </w:p>
    <w:p w14:paraId="034B6000" w14:textId="4E1ACCB8" w:rsidR="00C43932" w:rsidRDefault="0573D6D8" w:rsidP="007C5DA7">
      <w:pPr>
        <w:spacing w:line="480" w:lineRule="auto"/>
        <w:ind w:firstLine="720"/>
        <w:rPr>
          <w:rFonts w:ascii="Times New Roman" w:hAnsi="Times New Roman" w:cs="Times New Roman"/>
          <w:noProof w:val="0"/>
          <w:sz w:val="24"/>
          <w:szCs w:val="24"/>
        </w:rPr>
      </w:pPr>
      <w:r w:rsidRPr="0573D6D8">
        <w:rPr>
          <w:rFonts w:ascii="Times New Roman" w:hAnsi="Times New Roman" w:cs="Times New Roman"/>
          <w:noProof w:val="0"/>
          <w:sz w:val="24"/>
          <w:szCs w:val="24"/>
        </w:rPr>
        <w:t xml:space="preserve">Given the number of discrete values listed above for each of these parameters, 1080 combinations of these parameters were generated. Each parameter combination was simulated </w:t>
      </w:r>
      <w:r w:rsidR="0098108F">
        <w:rPr>
          <w:rFonts w:ascii="Times New Roman" w:hAnsi="Times New Roman" w:cs="Times New Roman"/>
          <w:noProof w:val="0"/>
          <w:sz w:val="24"/>
          <w:szCs w:val="24"/>
        </w:rPr>
        <w:t>3</w:t>
      </w:r>
      <w:r w:rsidRPr="0573D6D8">
        <w:rPr>
          <w:rFonts w:ascii="Times New Roman" w:hAnsi="Times New Roman" w:cs="Times New Roman"/>
          <w:noProof w:val="0"/>
          <w:sz w:val="24"/>
          <w:szCs w:val="24"/>
        </w:rPr>
        <w:t>0 times</w:t>
      </w:r>
      <w:r w:rsidR="00284870">
        <w:rPr>
          <w:rFonts w:ascii="Times New Roman" w:hAnsi="Times New Roman" w:cs="Times New Roman"/>
          <w:noProof w:val="0"/>
          <w:sz w:val="24"/>
          <w:szCs w:val="24"/>
        </w:rPr>
        <w:t>, simulated in parallel using the “Extreme-Scale Model Exploration with Swift” framework</w:t>
      </w:r>
      <w:r w:rsidR="00915F28">
        <w:rPr>
          <w:rFonts w:ascii="Times New Roman" w:hAnsi="Times New Roman" w:cs="Times New Roman"/>
          <w:noProof w:val="0"/>
          <w:sz w:val="24"/>
          <w:szCs w:val="24"/>
        </w:rPr>
        <w:t xml:space="preserve"> </w:t>
      </w:r>
      <w:r w:rsidR="00C8732A">
        <w:rPr>
          <w:rFonts w:ascii="Times New Roman" w:hAnsi="Times New Roman" w:cs="Times New Roman"/>
          <w:noProof w:val="0"/>
          <w:sz w:val="24"/>
          <w:szCs w:val="24"/>
        </w:rPr>
        <w:fldChar w:fldCharType="begin" w:fldLock="1"/>
      </w:r>
      <w:r w:rsidR="00590DAA">
        <w:rPr>
          <w:rFonts w:ascii="Times New Roman" w:hAnsi="Times New Roman" w:cs="Times New Roman"/>
          <w:noProof w:val="0"/>
          <w:sz w:val="24"/>
          <w:szCs w:val="24"/>
        </w:rPr>
        <w:instrText>ADDIN CSL_CITATION {"citationItems":[{"id":"ITEM-1","itemData":{"author":[{"dropping-particle":"","family":"Ozik","given":"J","non-dropping-particle":"","parse-names":false,"suffix":""},{"dropping-particle":"","family":"Collier","given":"NT","non-dropping-particle":"","parse-names":false,"suffix":""},{"dropping-particle":"","family":"Wozniak","given":"JT","non-dropping-particle":"","parse-names":false,"suffix":""},{"dropping-particle":"","family":"Spagnuolo","given":"C","non-dropping-particle":"","parse-names":false,"suffix":""}],"container-title":"Winter Simulation Conference 2016 Proceedings.","id":"ITEM-1","issued":{"date-parts":[["2016"]]},"title":"From Desktop To Large-Scale Model Exploration With Swift/T","type":"article-journal","volume":"To appear"},"uris":["http://www.mendeley.com/documents/?uuid=9921d9e7-9cc2-4957-9a0e-07de00572048"]}],"mendeley":{"formattedCitation":"[41]","plainTextFormattedCitation":"[41]","previouslyFormattedCitation":"[41]"},"properties":{"noteIndex":0},"schema":"https://github.com/citation-style-language/schema/raw/master/csl-citation.json"}</w:instrText>
      </w:r>
      <w:r w:rsidR="00C8732A">
        <w:rPr>
          <w:rFonts w:ascii="Times New Roman" w:hAnsi="Times New Roman" w:cs="Times New Roman"/>
          <w:noProof w:val="0"/>
          <w:sz w:val="24"/>
          <w:szCs w:val="24"/>
        </w:rPr>
        <w:fldChar w:fldCharType="separate"/>
      </w:r>
      <w:r w:rsidR="007A01DC" w:rsidRPr="007A01DC">
        <w:rPr>
          <w:rFonts w:ascii="Times New Roman" w:hAnsi="Times New Roman" w:cs="Times New Roman"/>
          <w:sz w:val="24"/>
          <w:szCs w:val="24"/>
        </w:rPr>
        <w:t>[41]</w:t>
      </w:r>
      <w:r w:rsidR="00C8732A">
        <w:rPr>
          <w:rFonts w:ascii="Times New Roman" w:hAnsi="Times New Roman" w:cs="Times New Roman"/>
          <w:noProof w:val="0"/>
          <w:sz w:val="24"/>
          <w:szCs w:val="24"/>
        </w:rPr>
        <w:fldChar w:fldCharType="end"/>
      </w:r>
      <w:r w:rsidR="00284870">
        <w:rPr>
          <w:rFonts w:ascii="Times New Roman" w:hAnsi="Times New Roman" w:cs="Times New Roman"/>
          <w:noProof w:val="0"/>
          <w:sz w:val="24"/>
          <w:szCs w:val="24"/>
        </w:rPr>
        <w:t>,</w:t>
      </w:r>
      <w:r w:rsidRPr="0573D6D8">
        <w:rPr>
          <w:rFonts w:ascii="Times New Roman" w:hAnsi="Times New Roman" w:cs="Times New Roman"/>
          <w:noProof w:val="0"/>
          <w:sz w:val="24"/>
          <w:szCs w:val="24"/>
        </w:rPr>
        <w:t xml:space="preserve"> to provide a measure of statistical variation between stochastic model runs, and the overall prevalence and annual incidence rates in the population were analyzed. Parameter sets that produced final prevalence in the 3</w:t>
      </w:r>
      <w:r w:rsidR="00615CF1">
        <w:rPr>
          <w:rFonts w:ascii="Times New Roman" w:hAnsi="Times New Roman" w:cs="Times New Roman"/>
          <w:noProof w:val="0"/>
          <w:sz w:val="24"/>
          <w:szCs w:val="24"/>
        </w:rPr>
        <w:t>3</w:t>
      </w:r>
      <w:r w:rsidRPr="0573D6D8">
        <w:rPr>
          <w:rFonts w:ascii="Times New Roman" w:hAnsi="Times New Roman" w:cs="Times New Roman"/>
          <w:noProof w:val="0"/>
          <w:sz w:val="24"/>
          <w:szCs w:val="24"/>
        </w:rPr>
        <w:t>%-</w:t>
      </w:r>
      <w:r w:rsidR="00615CF1">
        <w:rPr>
          <w:rFonts w:ascii="Times New Roman" w:hAnsi="Times New Roman" w:cs="Times New Roman"/>
          <w:noProof w:val="0"/>
          <w:sz w:val="24"/>
          <w:szCs w:val="24"/>
        </w:rPr>
        <w:t>37</w:t>
      </w:r>
      <w:r w:rsidRPr="0573D6D8">
        <w:rPr>
          <w:rFonts w:ascii="Times New Roman" w:hAnsi="Times New Roman" w:cs="Times New Roman"/>
          <w:noProof w:val="0"/>
          <w:sz w:val="24"/>
          <w:szCs w:val="24"/>
        </w:rPr>
        <w:t xml:space="preserve">% rage and annual incidence in the 5-7 per 100 </w:t>
      </w:r>
      <w:r w:rsidRPr="00CF4B59">
        <w:rPr>
          <w:rFonts w:ascii="Times New Roman" w:hAnsi="Times New Roman" w:cs="Times New Roman"/>
          <w:sz w:val="24"/>
          <w:szCs w:val="24"/>
        </w:rPr>
        <w:t>person years</w:t>
      </w:r>
      <w:r w:rsidRPr="0573D6D8">
        <w:rPr>
          <w:rFonts w:ascii="Times New Roman" w:hAnsi="Times New Roman" w:cs="Times New Roman"/>
          <w:noProof w:val="0"/>
          <w:sz w:val="24"/>
          <w:szCs w:val="24"/>
        </w:rPr>
        <w:t xml:space="preserve"> range</w:t>
      </w:r>
      <w:r w:rsidR="004B30ED">
        <w:rPr>
          <w:rFonts w:ascii="Times New Roman" w:hAnsi="Times New Roman" w:cs="Times New Roman"/>
          <w:noProof w:val="0"/>
          <w:sz w:val="24"/>
          <w:szCs w:val="24"/>
        </w:rPr>
        <w:t xml:space="preserve">, as has been estimated from </w:t>
      </w:r>
      <w:r w:rsidR="000366B5">
        <w:rPr>
          <w:rFonts w:ascii="Times New Roman" w:hAnsi="Times New Roman" w:cs="Times New Roman"/>
          <w:noProof w:val="0"/>
          <w:sz w:val="24"/>
          <w:szCs w:val="24"/>
        </w:rPr>
        <w:t xml:space="preserve">population-based </w:t>
      </w:r>
      <w:r w:rsidR="004B30ED">
        <w:rPr>
          <w:rFonts w:ascii="Times New Roman" w:hAnsi="Times New Roman" w:cs="Times New Roman"/>
          <w:noProof w:val="0"/>
          <w:sz w:val="24"/>
          <w:szCs w:val="24"/>
        </w:rPr>
        <w:t xml:space="preserve">cohort data </w:t>
      </w:r>
      <w:r w:rsidR="00FA495E">
        <w:rPr>
          <w:rFonts w:ascii="Times New Roman" w:hAnsi="Times New Roman" w:cs="Times New Roman"/>
          <w:noProof w:val="0"/>
          <w:sz w:val="24"/>
          <w:szCs w:val="24"/>
        </w:rPr>
        <w:t xml:space="preserve">collected </w:t>
      </w:r>
      <w:r w:rsidR="000366B5">
        <w:rPr>
          <w:rFonts w:ascii="Times New Roman" w:hAnsi="Times New Roman" w:cs="Times New Roman"/>
          <w:noProof w:val="0"/>
          <w:sz w:val="24"/>
          <w:szCs w:val="24"/>
        </w:rPr>
        <w:t xml:space="preserve">in two </w:t>
      </w:r>
      <w:r w:rsidR="00D2255D">
        <w:rPr>
          <w:rFonts w:ascii="Times New Roman" w:hAnsi="Times New Roman" w:cs="Times New Roman"/>
          <w:noProof w:val="0"/>
          <w:sz w:val="24"/>
          <w:szCs w:val="24"/>
        </w:rPr>
        <w:t xml:space="preserve">different studies </w:t>
      </w:r>
      <w:r w:rsidR="00FA495E">
        <w:rPr>
          <w:rFonts w:ascii="Times New Roman" w:hAnsi="Times New Roman" w:cs="Times New Roman"/>
          <w:noProof w:val="0"/>
          <w:sz w:val="24"/>
          <w:szCs w:val="24"/>
        </w:rPr>
        <w:t>for</w:t>
      </w:r>
      <w:r w:rsidR="004B30ED">
        <w:rPr>
          <w:rFonts w:ascii="Times New Roman" w:hAnsi="Times New Roman" w:cs="Times New Roman"/>
          <w:noProof w:val="0"/>
          <w:sz w:val="24"/>
          <w:szCs w:val="24"/>
        </w:rPr>
        <w:t xml:space="preserve"> Chicago YBMSM</w:t>
      </w:r>
      <w:r w:rsidR="00124C78">
        <w:rPr>
          <w:rFonts w:ascii="Times New Roman" w:hAnsi="Times New Roman" w:cs="Times New Roman"/>
          <w:noProof w:val="0"/>
          <w:sz w:val="24"/>
          <w:szCs w:val="24"/>
        </w:rPr>
        <w:t xml:space="preserve"> </w:t>
      </w:r>
      <w:r w:rsidR="00FA495E">
        <w:rPr>
          <w:rFonts w:ascii="Times New Roman" w:hAnsi="Times New Roman" w:cs="Times New Roman"/>
          <w:noProof w:val="0"/>
          <w:sz w:val="24"/>
          <w:szCs w:val="24"/>
        </w:rPr>
        <w:t>from 2013-2016</w:t>
      </w:r>
      <w:r w:rsidR="007A01DC">
        <w:rPr>
          <w:rFonts w:ascii="Times New Roman" w:hAnsi="Times New Roman" w:cs="Times New Roman"/>
          <w:noProof w:val="0"/>
          <w:sz w:val="24"/>
          <w:szCs w:val="24"/>
        </w:rPr>
        <w:t xml:space="preserve"> </w:t>
      </w:r>
      <w:r w:rsidR="007A01DC" w:rsidRPr="007122A3">
        <w:rPr>
          <w:rFonts w:ascii="Times New Roman" w:hAnsi="Times New Roman" w:cs="Times New Roman"/>
          <w:noProof w:val="0"/>
          <w:sz w:val="24"/>
          <w:szCs w:val="24"/>
        </w:rPr>
        <w:fldChar w:fldCharType="begin" w:fldLock="1"/>
      </w:r>
      <w:r w:rsidR="00590DAA">
        <w:rPr>
          <w:rFonts w:ascii="Times New Roman" w:hAnsi="Times New Roman" w:cs="Times New Roman"/>
          <w:noProof w:val="0"/>
          <w:sz w:val="24"/>
          <w:szCs w:val="24"/>
        </w:rPr>
        <w:instrText>ADDIN CSL_CITATION {"citationItems":[{"id":"ITEM-1","itemData":{"DOI":"10.1097/QAD.0000000000001710","ISSN":"1473-5571","PMID":"29194116","abstract":"BACKGROUND Identification of clients at greatest risk of acquiring HIV is critical for preexposure prophylaxi (PrEP) implementation. Young black MSM (YBMSM) have high incidence of HIV. We examined published guidelines in identifying eligible PrEP candidates, including seroconverters, in a representative cohort of YBMSM. METHODS The uConnect cohort included YBMSM aged 16-29 years during PrEP roll-out in Chicago from 2013 and 2016. YBMSM with indications for PrEP were determined using Center for Disease Control and Prevention (CDC) guidelines, the HIV incidence risk index for MSM (HIRI-MSM) scoring tool, and Gilead recommendations with calculation of sensitivities, specificities, and area under the curve (AUC) for HIV seroconversion over 18 months. Incidence rate ratios (IRRs) using Poisson regression were modeled to compare individual and network factors associated with seroconversion. RESULTS In the study cohort, 300 HIV uninfected YBMSM contributed 390.4 person-years of follow-up [mean age (SD), 22.3 years (3.07)]. HIV incidence was 8.5 cases per 100 person-years (95% confidence interval, 6.0-11.9). One network factor was associated with seroconversion: having partners more than 10 years older (IRR = 4.4, 95% confidence interval, 1.6-11.8). Overall, 49% of the cohort had an indication for PrEP using CDC guidelines; 72% using HIRI-MSM, and 86% using Gilead recommendations. HIV seroconverters (n = 33) were identified as PrEP eligible prior to seroconversion with sensitivities/AUCs for CDC (52%/0.51), HIRI-MSM (85%/0.57), and Gilead guidelines (94%/0.54). CONCLUSION Low sensitivity of CDC guidelines and limited AUC of HIRI-MSM and Gilead screening tools are of concern for PrEP implementation among most at risk populations such as YBMSM. Consideration of demographics, local epidemiology, and network factors may better guide identification of clients who could benefit most from PrEP.","author":[{"dropping-particle":"","family":"Lancki","given":"Nicola","non-dropping-particle":"","parse-names":false,"suffix":""},{"dropping-particle":"","family":"Almirol","given":"Ellen","non-dropping-particle":"","parse-names":false,"suffix":""},{"dropping-particle":"","family":"Alon","given":"Leigh","non-dropping-particle":"","parse-names":false,"suffix":""},{"dropping-particle":"","family":"McNulty","given":"Moira","non-dropping-particle":"","parse-names":false,"suffix":""},{"dropping-particle":"","family":"Schneider","given":"John A.","non-dropping-particle":"","parse-names":false,"suffix":""}],"container-title":"AIDS (London, England)","id":"ITEM-1","issue":"3","issued":{"date-parts":[["2018","1","28"]]},"page":"383-392","title":"Preexposure prophylaxis guidelines have low sensitivity for identifying seroconverters in a sample of young Black MSM in Chicago.","type":"article-journal","volume":"32"},"uris":["http://www.mendeley.com/documents/?uuid=b830df07-10a8-4703-b6e1-94f92b764cc4"]},{"id":"ITEM-2","itemData":{"DOI":"10.1017/nws.2016.27","ISSN":"2050-1242","abstract":"Critical to the development of improved HIV elimination efforts is a greater understanding of how social networks and their dynamics are related to HIV risk and prevention. In this paper, we examine network stability of confidant and sexual networks among young black men who have sex with men (YBMSM). We use data from uConnect (2013–2016), a population-based, longitudinal cohort study. We use an innovative approach to measure both sexual and confidant network stability at three time points, and examine the relationship between each type of stability and HIV risk and prevention behaviors. This approach is consistent with a co-evolutionary perspective in which behavior is not only affected by static properties of an individual's network, but may also be associated with changes in the topology of his or her egocentric network. Our results indicate that although confidant and sexual network stability are moderately correlated, their dynamics are distinct with different predictors and differing associations with behavior. Both types of stability are associated with lower rates of risk behaviors, and both are reduced among those who have spent time in jail. Public health awareness and engagement with both types of networks may provide new opportunities for HIV prevention interventions.","author":[{"dropping-particle":"","family":"Schneider","given":"J.","non-dropping-particle":"","parse-names":false,"suffix":""},{"dropping-particle":"","family":"Cornwell","given":"B.","non-dropping-particle":"","parse-names":false,"suffix":""},{"dropping-particle":"","family":"Jonas","given":"A.","non-dropping-particle":"","parse-names":false,"suffix":""},{"dropping-particle":"","family":"Lancki","given":"N.","non-dropping-particle":"","parse-names":false,"suffix":""},{"dropping-particle":"","family":"Behler","given":"R.","non-dropping-particle":"","parse-names":false,"suffix":""},{"dropping-particle":"","family":"Skaathun","given":"B.","non-dropping-particle":"","parse-names":false,"suffix":""},{"dropping-particle":"","family":"Young","given":"L. E.","non-dropping-particle":"","parse-names":false,"suffix":""},{"dropping-particle":"","family":"Morgan","given":"E.","non-dropping-particle":"","parse-names":false,"suffix":""},{"dropping-particle":"","family":"Michaels","given":"S.","non-dropping-particle":"","parse-names":false,"suffix":""},{"dropping-particle":"","family":"Duvosin","given":"R.","non-dropping-particle":"","parse-names":false,"suffix":""},{"dropping-particle":"","family":"Khanna","given":"A. S.","non-dropping-particle":"","parse-names":false,"suffix":""},{"dropping-particle":"","family":"Friedman","given":"S.","non-dropping-particle":"","parse-names":false,"suffix":""},{"dropping-particle":"","family":"Schumm","given":"P.","non-dropping-particle":"","parse-names":false,"suffix":""},{"dropping-particle":"","family":"Laumann","given":"E.","non-dropping-particle":"","parse-names":false,"suffix":""}],"container-title":"Network Science","id":"ITEM-2","issued":{"date-parts":[["2017","2","1"]]},"page":"1-29","title":"Network dynamics of HIV risk and prevention in a population-based cohort of young Black men who have sex with men","type":"article-journal"},"uris":["http://www.mendeley.com/documents/?uuid=8555ec92-af42-4c8d-82ce-7037a468896b"]},{"id":"ITEM-3","itemData":{"DOI":"10.1007/s10461-017-1739-0","ISSN":"1090-7165","author":[{"dropping-particle":"","family":"Kuhns","given":"Lisa M.","non-dropping-particle":"","parse-names":false,"suffix":""},{"dropping-particle":"","family":"Hotton","given":"Anna L.","non-dropping-particle":"","parse-names":false,"suffix":""},{"dropping-particle":"","family":"Schneider","given":"John","non-dropping-particle":"","parse-names":false,"suffix":""},{"dropping-particle":"","family":"Garofalo","given":"Robert","non-dropping-particle":"","parse-names":false,"suffix":""},{"dropping-particle":"","family":"Fujimoto","given":"Kayo","non-dropping-particle":"","parse-names":false,"suffix":""}],"container-title":"AIDS and Behavior","id":"ITEM-3","issue":"5","issued":{"date-parts":[["2017","5","25"]]},"page":"1376-1382","title":"Use of Pre-exposure Prophylaxis (PrEP) in Young Men Who Have Sex with Men is Associated with Race, Sexual Risk Behavior and Peer Network Size","type":"article-journal","volume":"21"},"uris":["http://www.mendeley.com/documents/?uuid=5d6c2ee1-3a6f-4699-9689-06c81bc155da"]}],"mendeley":{"formattedCitation":"[16,28,29]","plainTextFormattedCitation":"[16,28,29]","previouslyFormattedCitation":"[16,28,29]"},"properties":{"noteIndex":0},"schema":"https://github.com/citation-style-language/schema/raw/master/csl-citation.json"}</w:instrText>
      </w:r>
      <w:r w:rsidR="007A01DC" w:rsidRPr="007122A3">
        <w:rPr>
          <w:rFonts w:ascii="Times New Roman" w:hAnsi="Times New Roman" w:cs="Times New Roman"/>
          <w:noProof w:val="0"/>
          <w:sz w:val="24"/>
          <w:szCs w:val="24"/>
        </w:rPr>
        <w:fldChar w:fldCharType="separate"/>
      </w:r>
      <w:r w:rsidR="007A01DC" w:rsidRPr="007A01DC">
        <w:rPr>
          <w:rFonts w:ascii="Times New Roman" w:hAnsi="Times New Roman" w:cs="Times New Roman"/>
          <w:sz w:val="24"/>
          <w:szCs w:val="24"/>
        </w:rPr>
        <w:t>[16,28,29]</w:t>
      </w:r>
      <w:r w:rsidR="007A01DC" w:rsidRPr="007122A3">
        <w:rPr>
          <w:rFonts w:ascii="Times New Roman" w:hAnsi="Times New Roman" w:cs="Times New Roman"/>
          <w:noProof w:val="0"/>
          <w:sz w:val="24"/>
          <w:szCs w:val="24"/>
        </w:rPr>
        <w:fldChar w:fldCharType="end"/>
      </w:r>
      <w:r w:rsidR="004B30ED">
        <w:rPr>
          <w:rFonts w:ascii="Times New Roman" w:hAnsi="Times New Roman" w:cs="Times New Roman"/>
          <w:noProof w:val="0"/>
          <w:sz w:val="24"/>
          <w:szCs w:val="24"/>
        </w:rPr>
        <w:t xml:space="preserve">, </w:t>
      </w:r>
      <w:r w:rsidRPr="0573D6D8">
        <w:rPr>
          <w:rFonts w:ascii="Times New Roman" w:hAnsi="Times New Roman" w:cs="Times New Roman"/>
          <w:noProof w:val="0"/>
          <w:sz w:val="24"/>
          <w:szCs w:val="24"/>
        </w:rPr>
        <w:t xml:space="preserve">were considered for further analysis. </w:t>
      </w:r>
      <w:r w:rsidR="00732F8D">
        <w:rPr>
          <w:rFonts w:ascii="Times New Roman" w:hAnsi="Times New Roman" w:cs="Times New Roman"/>
          <w:noProof w:val="0"/>
          <w:sz w:val="24"/>
          <w:szCs w:val="24"/>
        </w:rPr>
        <w:t>The paramete</w:t>
      </w:r>
      <w:r w:rsidR="005C4846">
        <w:rPr>
          <w:rFonts w:ascii="Times New Roman" w:hAnsi="Times New Roman" w:cs="Times New Roman"/>
          <w:noProof w:val="0"/>
          <w:sz w:val="24"/>
          <w:szCs w:val="24"/>
        </w:rPr>
        <w:t>r</w:t>
      </w:r>
      <w:r w:rsidR="00732F8D">
        <w:rPr>
          <w:rFonts w:ascii="Times New Roman" w:hAnsi="Times New Roman" w:cs="Times New Roman"/>
          <w:noProof w:val="0"/>
          <w:sz w:val="24"/>
          <w:szCs w:val="24"/>
        </w:rPr>
        <w:t xml:space="preserve"> estimates </w:t>
      </w:r>
      <w:r w:rsidR="006E1AE7">
        <w:rPr>
          <w:rFonts w:ascii="Times New Roman" w:hAnsi="Times New Roman" w:cs="Times New Roman"/>
          <w:noProof w:val="0"/>
          <w:sz w:val="24"/>
          <w:szCs w:val="24"/>
        </w:rPr>
        <w:t>that produced reasonable outcomes</w:t>
      </w:r>
      <w:r w:rsidR="00D40E96">
        <w:rPr>
          <w:rFonts w:ascii="Times New Roman" w:hAnsi="Times New Roman" w:cs="Times New Roman"/>
          <w:noProof w:val="0"/>
          <w:sz w:val="24"/>
          <w:szCs w:val="24"/>
        </w:rPr>
        <w:t xml:space="preserve"> as defined above</w:t>
      </w:r>
      <w:r w:rsidR="006E1AE7">
        <w:rPr>
          <w:rFonts w:ascii="Times New Roman" w:hAnsi="Times New Roman" w:cs="Times New Roman"/>
          <w:noProof w:val="0"/>
          <w:sz w:val="24"/>
          <w:szCs w:val="24"/>
        </w:rPr>
        <w:t xml:space="preserve"> </w:t>
      </w:r>
      <w:r w:rsidR="00732F8D">
        <w:rPr>
          <w:rFonts w:ascii="Times New Roman" w:hAnsi="Times New Roman" w:cs="Times New Roman"/>
          <w:noProof w:val="0"/>
          <w:sz w:val="24"/>
          <w:szCs w:val="24"/>
        </w:rPr>
        <w:t>are given in Table A.4</w:t>
      </w:r>
      <w:r w:rsidR="00453220">
        <w:rPr>
          <w:rFonts w:ascii="Times New Roman" w:hAnsi="Times New Roman" w:cs="Times New Roman"/>
          <w:noProof w:val="0"/>
          <w:sz w:val="24"/>
          <w:szCs w:val="24"/>
        </w:rPr>
        <w:t xml:space="preserve">. </w:t>
      </w:r>
    </w:p>
    <w:tbl>
      <w:tblPr>
        <w:tblStyle w:val="TableGrid"/>
        <w:tblW w:w="0" w:type="auto"/>
        <w:tblLook w:val="04A0" w:firstRow="1" w:lastRow="0" w:firstColumn="1" w:lastColumn="0" w:noHBand="0" w:noVBand="1"/>
      </w:tblPr>
      <w:tblGrid>
        <w:gridCol w:w="4684"/>
        <w:gridCol w:w="4666"/>
      </w:tblGrid>
      <w:tr w:rsidR="00CC46F1" w14:paraId="4A1DCC84" w14:textId="77777777" w:rsidTr="00AC52EC">
        <w:tc>
          <w:tcPr>
            <w:tcW w:w="9576" w:type="dxa"/>
            <w:gridSpan w:val="2"/>
          </w:tcPr>
          <w:p w14:paraId="2F9389E4" w14:textId="4FB109D7" w:rsidR="00CC46F1" w:rsidRPr="0573D6D8" w:rsidRDefault="00CC46F1" w:rsidP="0573D6D8">
            <w:pPr>
              <w:rPr>
                <w:rFonts w:ascii="Times New Roman" w:hAnsi="Times New Roman" w:cs="Times New Roman"/>
                <w:b/>
                <w:bCs/>
                <w:noProof w:val="0"/>
                <w:sz w:val="22"/>
                <w:szCs w:val="22"/>
              </w:rPr>
            </w:pPr>
            <w:r>
              <w:rPr>
                <w:rFonts w:ascii="Times New Roman" w:hAnsi="Times New Roman" w:cs="Times New Roman"/>
                <w:b/>
                <w:bCs/>
                <w:noProof w:val="0"/>
                <w:sz w:val="22"/>
                <w:szCs w:val="22"/>
              </w:rPr>
              <w:t>Table A.</w:t>
            </w:r>
            <w:r w:rsidR="00E8274A">
              <w:rPr>
                <w:rFonts w:ascii="Times New Roman" w:hAnsi="Times New Roman" w:cs="Times New Roman"/>
                <w:b/>
                <w:bCs/>
                <w:noProof w:val="0"/>
                <w:sz w:val="22"/>
                <w:szCs w:val="22"/>
              </w:rPr>
              <w:t>4</w:t>
            </w:r>
            <w:r>
              <w:rPr>
                <w:rFonts w:ascii="Times New Roman" w:hAnsi="Times New Roman" w:cs="Times New Roman"/>
                <w:b/>
                <w:bCs/>
                <w:noProof w:val="0"/>
                <w:sz w:val="22"/>
                <w:szCs w:val="22"/>
              </w:rPr>
              <w:t>: Estimates found to give reasonable model outputs for uncertain parameters identified above.</w:t>
            </w:r>
          </w:p>
        </w:tc>
      </w:tr>
      <w:tr w:rsidR="00AC7F16" w14:paraId="498C5D5E" w14:textId="77777777" w:rsidTr="0573D6D8">
        <w:tc>
          <w:tcPr>
            <w:tcW w:w="4788" w:type="dxa"/>
          </w:tcPr>
          <w:p w14:paraId="100B9C55" w14:textId="3F79E4AA" w:rsidR="00AC7F16" w:rsidRPr="001E2529" w:rsidRDefault="0573D6D8" w:rsidP="0573D6D8">
            <w:pPr>
              <w:rPr>
                <w:rFonts w:ascii="Times New Roman" w:hAnsi="Times New Roman" w:cs="Times New Roman"/>
                <w:b/>
                <w:bCs/>
                <w:noProof w:val="0"/>
                <w:sz w:val="22"/>
                <w:szCs w:val="22"/>
              </w:rPr>
            </w:pPr>
            <w:r w:rsidRPr="0573D6D8">
              <w:rPr>
                <w:rFonts w:ascii="Times New Roman" w:hAnsi="Times New Roman" w:cs="Times New Roman"/>
                <w:b/>
                <w:bCs/>
                <w:noProof w:val="0"/>
                <w:sz w:val="22"/>
                <w:szCs w:val="22"/>
              </w:rPr>
              <w:t>Parameter</w:t>
            </w:r>
          </w:p>
        </w:tc>
        <w:tc>
          <w:tcPr>
            <w:tcW w:w="4788" w:type="dxa"/>
          </w:tcPr>
          <w:p w14:paraId="28791E4E" w14:textId="424632FC" w:rsidR="00AC7F16" w:rsidRPr="001E2529" w:rsidRDefault="0573D6D8" w:rsidP="0573D6D8">
            <w:pPr>
              <w:rPr>
                <w:rFonts w:ascii="Times New Roman" w:hAnsi="Times New Roman" w:cs="Times New Roman"/>
                <w:b/>
                <w:bCs/>
                <w:noProof w:val="0"/>
                <w:sz w:val="22"/>
                <w:szCs w:val="22"/>
              </w:rPr>
            </w:pPr>
            <w:r w:rsidRPr="0573D6D8">
              <w:rPr>
                <w:rFonts w:ascii="Times New Roman" w:hAnsi="Times New Roman" w:cs="Times New Roman"/>
                <w:b/>
                <w:bCs/>
                <w:noProof w:val="0"/>
                <w:sz w:val="22"/>
                <w:szCs w:val="22"/>
              </w:rPr>
              <w:t>Estimate</w:t>
            </w:r>
          </w:p>
        </w:tc>
      </w:tr>
      <w:tr w:rsidR="00CB7830" w14:paraId="52D2F195" w14:textId="77777777" w:rsidTr="0573D6D8">
        <w:tc>
          <w:tcPr>
            <w:tcW w:w="4788" w:type="dxa"/>
            <w:vAlign w:val="bottom"/>
          </w:tcPr>
          <w:p w14:paraId="28E6C07B" w14:textId="4AD0FF67" w:rsidR="00CB7830" w:rsidRPr="001E2529" w:rsidRDefault="0573D6D8" w:rsidP="0573D6D8">
            <w:pPr>
              <w:rPr>
                <w:rFonts w:ascii="Times New Roman" w:hAnsi="Times New Roman" w:cs="Times New Roman"/>
                <w:noProof w:val="0"/>
                <w:sz w:val="22"/>
                <w:szCs w:val="22"/>
              </w:rPr>
            </w:pPr>
            <w:r w:rsidRPr="00CF4B59">
              <w:rPr>
                <w:rFonts w:ascii="Times New Roman" w:hAnsi="Times New Roman" w:cs="Times New Roman"/>
                <w:sz w:val="22"/>
                <w:szCs w:val="22"/>
              </w:rPr>
              <w:t>Multiplier</w:t>
            </w:r>
            <w:r w:rsidRPr="0573D6D8">
              <w:rPr>
                <w:rFonts w:ascii="Times New Roman" w:hAnsi="Times New Roman" w:cs="Times New Roman"/>
                <w:noProof w:val="0"/>
                <w:sz w:val="22"/>
                <w:szCs w:val="22"/>
              </w:rPr>
              <w:t xml:space="preserve"> for acute infection</w:t>
            </w:r>
          </w:p>
        </w:tc>
        <w:tc>
          <w:tcPr>
            <w:tcW w:w="4788" w:type="dxa"/>
          </w:tcPr>
          <w:p w14:paraId="377306A6" w14:textId="206DC3DD" w:rsidR="00CB7830" w:rsidRPr="001E2529" w:rsidRDefault="0573D6D8" w:rsidP="0573D6D8">
            <w:pPr>
              <w:rPr>
                <w:rFonts w:ascii="Times New Roman" w:hAnsi="Times New Roman" w:cs="Times New Roman"/>
                <w:noProof w:val="0"/>
                <w:sz w:val="22"/>
                <w:szCs w:val="22"/>
              </w:rPr>
            </w:pPr>
            <w:r w:rsidRPr="0573D6D8">
              <w:rPr>
                <w:rFonts w:ascii="Times New Roman" w:hAnsi="Times New Roman" w:cs="Times New Roman"/>
                <w:noProof w:val="0"/>
                <w:sz w:val="22"/>
                <w:szCs w:val="22"/>
              </w:rPr>
              <w:t>5</w:t>
            </w:r>
          </w:p>
        </w:tc>
      </w:tr>
      <w:tr w:rsidR="00CB7830" w14:paraId="6BB725DF" w14:textId="77777777" w:rsidTr="0573D6D8">
        <w:tc>
          <w:tcPr>
            <w:tcW w:w="4788" w:type="dxa"/>
            <w:vAlign w:val="bottom"/>
          </w:tcPr>
          <w:p w14:paraId="018AD4D3" w14:textId="4EE2E3DD" w:rsidR="00CB7830" w:rsidRPr="001E2529" w:rsidRDefault="0573D6D8" w:rsidP="0573D6D8">
            <w:pPr>
              <w:rPr>
                <w:rFonts w:ascii="Times New Roman" w:hAnsi="Times New Roman" w:cs="Times New Roman"/>
                <w:noProof w:val="0"/>
                <w:sz w:val="22"/>
                <w:szCs w:val="22"/>
              </w:rPr>
            </w:pPr>
            <w:r w:rsidRPr="00CF4B59">
              <w:rPr>
                <w:rFonts w:ascii="Times New Roman" w:hAnsi="Times New Roman" w:cs="Times New Roman"/>
                <w:sz w:val="22"/>
                <w:szCs w:val="22"/>
              </w:rPr>
              <w:t>Multiplier</w:t>
            </w:r>
            <w:r w:rsidRPr="0573D6D8">
              <w:rPr>
                <w:rFonts w:ascii="Times New Roman" w:hAnsi="Times New Roman" w:cs="Times New Roman"/>
                <w:noProof w:val="0"/>
                <w:sz w:val="22"/>
                <w:szCs w:val="22"/>
              </w:rPr>
              <w:t xml:space="preserve"> for late-stage infection</w:t>
            </w:r>
          </w:p>
        </w:tc>
        <w:tc>
          <w:tcPr>
            <w:tcW w:w="4788" w:type="dxa"/>
          </w:tcPr>
          <w:p w14:paraId="46134126" w14:textId="2DFFC589" w:rsidR="00CB7830" w:rsidRPr="001E2529" w:rsidRDefault="0573D6D8" w:rsidP="0573D6D8">
            <w:pPr>
              <w:rPr>
                <w:rFonts w:ascii="Times New Roman" w:hAnsi="Times New Roman" w:cs="Times New Roman"/>
                <w:noProof w:val="0"/>
                <w:sz w:val="22"/>
                <w:szCs w:val="22"/>
              </w:rPr>
            </w:pPr>
            <w:r w:rsidRPr="0573D6D8">
              <w:rPr>
                <w:rFonts w:ascii="Times New Roman" w:hAnsi="Times New Roman" w:cs="Times New Roman"/>
                <w:noProof w:val="0"/>
                <w:sz w:val="22"/>
                <w:szCs w:val="22"/>
              </w:rPr>
              <w:t>1</w:t>
            </w:r>
          </w:p>
        </w:tc>
      </w:tr>
      <w:tr w:rsidR="00CB7830" w14:paraId="32946069" w14:textId="77777777" w:rsidTr="0573D6D8">
        <w:tc>
          <w:tcPr>
            <w:tcW w:w="4788" w:type="dxa"/>
            <w:vAlign w:val="bottom"/>
          </w:tcPr>
          <w:p w14:paraId="6C34C3DC" w14:textId="79242984" w:rsidR="00CB7830" w:rsidRPr="001E2529" w:rsidRDefault="0573D6D8" w:rsidP="0573D6D8">
            <w:pPr>
              <w:rPr>
                <w:rFonts w:ascii="Times New Roman" w:hAnsi="Times New Roman" w:cs="Times New Roman"/>
                <w:noProof w:val="0"/>
                <w:sz w:val="22"/>
                <w:szCs w:val="22"/>
              </w:rPr>
            </w:pPr>
            <w:r w:rsidRPr="0573D6D8">
              <w:rPr>
                <w:rFonts w:ascii="Times New Roman" w:hAnsi="Times New Roman" w:cs="Times New Roman"/>
                <w:noProof w:val="0"/>
                <w:sz w:val="22"/>
                <w:szCs w:val="22"/>
              </w:rPr>
              <w:t xml:space="preserve">Infectivity during </w:t>
            </w:r>
            <w:r w:rsidRPr="00CF4B59">
              <w:rPr>
                <w:rFonts w:ascii="Times New Roman" w:hAnsi="Times New Roman" w:cs="Times New Roman"/>
                <w:sz w:val="22"/>
                <w:szCs w:val="22"/>
              </w:rPr>
              <w:t>chronic</w:t>
            </w:r>
            <w:r w:rsidRPr="0573D6D8">
              <w:rPr>
                <w:rFonts w:ascii="Times New Roman" w:hAnsi="Times New Roman" w:cs="Times New Roman"/>
                <w:noProof w:val="0"/>
                <w:sz w:val="22"/>
                <w:szCs w:val="22"/>
              </w:rPr>
              <w:t xml:space="preserve"> stage of infection</w:t>
            </w:r>
            <w:r w:rsidR="00A11C4B">
              <w:rPr>
                <w:rFonts w:ascii="Times New Roman" w:hAnsi="Times New Roman" w:cs="Times New Roman"/>
                <w:noProof w:val="0"/>
                <w:sz w:val="22"/>
                <w:szCs w:val="22"/>
              </w:rPr>
              <w:t xml:space="preserve"> (per condomless anal sex act)</w:t>
            </w:r>
          </w:p>
        </w:tc>
        <w:tc>
          <w:tcPr>
            <w:tcW w:w="4788" w:type="dxa"/>
          </w:tcPr>
          <w:p w14:paraId="3F4AC5D5" w14:textId="5543DAFE" w:rsidR="00CB7830" w:rsidRPr="001E2529" w:rsidRDefault="0573D6D8" w:rsidP="0573D6D8">
            <w:pPr>
              <w:rPr>
                <w:rFonts w:ascii="Times New Roman" w:hAnsi="Times New Roman" w:cs="Times New Roman"/>
                <w:noProof w:val="0"/>
                <w:sz w:val="22"/>
                <w:szCs w:val="22"/>
              </w:rPr>
            </w:pPr>
            <w:r w:rsidRPr="0573D6D8">
              <w:rPr>
                <w:rFonts w:ascii="Times New Roman" w:hAnsi="Times New Roman" w:cs="Times New Roman"/>
                <w:noProof w:val="0"/>
                <w:sz w:val="22"/>
                <w:szCs w:val="22"/>
              </w:rPr>
              <w:t>0.00092</w:t>
            </w:r>
          </w:p>
        </w:tc>
      </w:tr>
      <w:tr w:rsidR="00CB7830" w14:paraId="27214646" w14:textId="77777777" w:rsidTr="0573D6D8">
        <w:tc>
          <w:tcPr>
            <w:tcW w:w="4788" w:type="dxa"/>
            <w:vAlign w:val="bottom"/>
          </w:tcPr>
          <w:p w14:paraId="0143626E" w14:textId="4FFA4251" w:rsidR="00CB7830" w:rsidRPr="001E2529" w:rsidRDefault="0573D6D8" w:rsidP="0573D6D8">
            <w:pPr>
              <w:rPr>
                <w:rFonts w:ascii="Times New Roman" w:hAnsi="Times New Roman" w:cs="Times New Roman"/>
                <w:noProof w:val="0"/>
                <w:sz w:val="22"/>
                <w:szCs w:val="22"/>
              </w:rPr>
            </w:pPr>
            <w:r w:rsidRPr="00CF4B59">
              <w:rPr>
                <w:rFonts w:ascii="Times New Roman" w:hAnsi="Times New Roman" w:cs="Times New Roman"/>
                <w:sz w:val="22"/>
                <w:szCs w:val="22"/>
              </w:rPr>
              <w:t>Frequency</w:t>
            </w:r>
            <w:r w:rsidRPr="0573D6D8">
              <w:rPr>
                <w:rFonts w:ascii="Times New Roman" w:hAnsi="Times New Roman" w:cs="Times New Roman"/>
                <w:noProof w:val="0"/>
                <w:sz w:val="22"/>
                <w:szCs w:val="22"/>
              </w:rPr>
              <w:t xml:space="preserve"> of sex in main partnerships</w:t>
            </w:r>
            <w:r w:rsidR="00FD320F">
              <w:rPr>
                <w:rFonts w:ascii="Times New Roman" w:hAnsi="Times New Roman" w:cs="Times New Roman"/>
                <w:noProof w:val="0"/>
                <w:sz w:val="22"/>
                <w:szCs w:val="22"/>
              </w:rPr>
              <w:t xml:space="preserve"> (number of acts/day)</w:t>
            </w:r>
          </w:p>
        </w:tc>
        <w:tc>
          <w:tcPr>
            <w:tcW w:w="4788" w:type="dxa"/>
          </w:tcPr>
          <w:p w14:paraId="1123D7FA" w14:textId="13582E9A" w:rsidR="00CB7830" w:rsidRPr="001E2529" w:rsidRDefault="0573D6D8" w:rsidP="0573D6D8">
            <w:pPr>
              <w:rPr>
                <w:rFonts w:ascii="Times New Roman" w:hAnsi="Times New Roman" w:cs="Times New Roman"/>
                <w:noProof w:val="0"/>
                <w:sz w:val="22"/>
                <w:szCs w:val="22"/>
              </w:rPr>
            </w:pPr>
            <w:r w:rsidRPr="0573D6D8">
              <w:rPr>
                <w:rFonts w:ascii="Times New Roman" w:hAnsi="Times New Roman" w:cs="Times New Roman"/>
                <w:noProof w:val="0"/>
                <w:sz w:val="22"/>
                <w:szCs w:val="22"/>
              </w:rPr>
              <w:t>0.189</w:t>
            </w:r>
          </w:p>
        </w:tc>
      </w:tr>
      <w:tr w:rsidR="00CB7830" w14:paraId="0FB386E7" w14:textId="77777777" w:rsidTr="0573D6D8">
        <w:tc>
          <w:tcPr>
            <w:tcW w:w="4788" w:type="dxa"/>
            <w:vAlign w:val="bottom"/>
          </w:tcPr>
          <w:p w14:paraId="4291B01A" w14:textId="342E56A5" w:rsidR="00CB7830" w:rsidRPr="001E2529" w:rsidRDefault="0573D6D8" w:rsidP="0573D6D8">
            <w:pPr>
              <w:rPr>
                <w:rFonts w:ascii="Times New Roman" w:hAnsi="Times New Roman" w:cs="Times New Roman"/>
                <w:noProof w:val="0"/>
                <w:sz w:val="22"/>
                <w:szCs w:val="22"/>
              </w:rPr>
            </w:pPr>
            <w:r w:rsidRPr="00CF4B59">
              <w:rPr>
                <w:rFonts w:ascii="Times New Roman" w:hAnsi="Times New Roman" w:cs="Times New Roman"/>
                <w:sz w:val="22"/>
                <w:szCs w:val="22"/>
              </w:rPr>
              <w:t>Frequency</w:t>
            </w:r>
            <w:r w:rsidRPr="0573D6D8">
              <w:rPr>
                <w:rFonts w:ascii="Times New Roman" w:hAnsi="Times New Roman" w:cs="Times New Roman"/>
                <w:noProof w:val="0"/>
                <w:sz w:val="22"/>
                <w:szCs w:val="22"/>
              </w:rPr>
              <w:t xml:space="preserve"> of sex in casual partnerships</w:t>
            </w:r>
            <w:r w:rsidR="00CB11EA">
              <w:rPr>
                <w:rFonts w:ascii="Times New Roman" w:hAnsi="Times New Roman" w:cs="Times New Roman"/>
                <w:noProof w:val="0"/>
                <w:sz w:val="22"/>
                <w:szCs w:val="22"/>
              </w:rPr>
              <w:t xml:space="preserve"> (number of acts/day)</w:t>
            </w:r>
          </w:p>
        </w:tc>
        <w:tc>
          <w:tcPr>
            <w:tcW w:w="4788" w:type="dxa"/>
          </w:tcPr>
          <w:p w14:paraId="6A1DAE45" w14:textId="777B3A72" w:rsidR="00CB7830" w:rsidRPr="001E2529" w:rsidRDefault="0573D6D8" w:rsidP="0573D6D8">
            <w:pPr>
              <w:rPr>
                <w:rFonts w:ascii="Times New Roman" w:hAnsi="Times New Roman" w:cs="Times New Roman"/>
                <w:noProof w:val="0"/>
                <w:sz w:val="22"/>
                <w:szCs w:val="22"/>
              </w:rPr>
            </w:pPr>
            <w:r w:rsidRPr="0573D6D8">
              <w:rPr>
                <w:rFonts w:ascii="Times New Roman" w:hAnsi="Times New Roman" w:cs="Times New Roman"/>
                <w:noProof w:val="0"/>
                <w:sz w:val="22"/>
                <w:szCs w:val="22"/>
              </w:rPr>
              <w:t>0.053</w:t>
            </w:r>
          </w:p>
        </w:tc>
      </w:tr>
      <w:tr w:rsidR="00CB7830" w14:paraId="7E9544B6" w14:textId="77777777" w:rsidTr="0573D6D8">
        <w:tc>
          <w:tcPr>
            <w:tcW w:w="4788" w:type="dxa"/>
            <w:vAlign w:val="bottom"/>
          </w:tcPr>
          <w:p w14:paraId="754B0CBA" w14:textId="478A6520" w:rsidR="00CB7830" w:rsidRPr="001E2529" w:rsidRDefault="0573D6D8" w:rsidP="0573D6D8">
            <w:pPr>
              <w:rPr>
                <w:rFonts w:ascii="Times New Roman" w:hAnsi="Times New Roman" w:cs="Times New Roman"/>
                <w:noProof w:val="0"/>
                <w:sz w:val="22"/>
                <w:szCs w:val="22"/>
              </w:rPr>
            </w:pPr>
            <w:r w:rsidRPr="0573D6D8">
              <w:rPr>
                <w:rFonts w:ascii="Times New Roman" w:hAnsi="Times New Roman" w:cs="Times New Roman"/>
                <w:noProof w:val="0"/>
                <w:sz w:val="22"/>
                <w:szCs w:val="22"/>
              </w:rPr>
              <w:t xml:space="preserve">Reduction in transmissibility of HIV infection due to circumcision of </w:t>
            </w:r>
            <w:r w:rsidRPr="00CF4B59">
              <w:rPr>
                <w:rFonts w:ascii="Times New Roman" w:hAnsi="Times New Roman" w:cs="Times New Roman"/>
                <w:sz w:val="22"/>
                <w:szCs w:val="22"/>
              </w:rPr>
              <w:t>uninfected</w:t>
            </w:r>
            <w:r w:rsidRPr="0573D6D8">
              <w:rPr>
                <w:rFonts w:ascii="Times New Roman" w:hAnsi="Times New Roman" w:cs="Times New Roman"/>
                <w:noProof w:val="0"/>
                <w:sz w:val="22"/>
                <w:szCs w:val="22"/>
              </w:rPr>
              <w:t xml:space="preserve"> partner</w:t>
            </w:r>
          </w:p>
        </w:tc>
        <w:tc>
          <w:tcPr>
            <w:tcW w:w="4788" w:type="dxa"/>
          </w:tcPr>
          <w:p w14:paraId="5B344058" w14:textId="0636EB19" w:rsidR="00CB7830" w:rsidRPr="001E2529" w:rsidRDefault="001B1A18" w:rsidP="0573D6D8">
            <w:pPr>
              <w:rPr>
                <w:rFonts w:ascii="Times New Roman" w:hAnsi="Times New Roman" w:cs="Times New Roman"/>
                <w:noProof w:val="0"/>
                <w:sz w:val="22"/>
                <w:szCs w:val="22"/>
              </w:rPr>
            </w:pPr>
            <w:r>
              <w:rPr>
                <w:rFonts w:ascii="Times New Roman" w:hAnsi="Times New Roman" w:cs="Times New Roman"/>
                <w:noProof w:val="0"/>
                <w:sz w:val="22"/>
                <w:szCs w:val="22"/>
              </w:rPr>
              <w:t>0</w:t>
            </w:r>
          </w:p>
        </w:tc>
      </w:tr>
    </w:tbl>
    <w:p w14:paraId="1EB42E42" w14:textId="77777777" w:rsidR="00B05042" w:rsidRDefault="00B05042" w:rsidP="00B05042">
      <w:pPr>
        <w:ind w:firstLine="720"/>
        <w:rPr>
          <w:rFonts w:ascii="Times New Roman" w:hAnsi="Times New Roman" w:cs="Times New Roman"/>
          <w:noProof w:val="0"/>
          <w:sz w:val="24"/>
          <w:szCs w:val="24"/>
        </w:rPr>
      </w:pPr>
    </w:p>
    <w:p w14:paraId="3FE5CFAC" w14:textId="650C339E" w:rsidR="00464786" w:rsidRDefault="004F5148" w:rsidP="003F47F2">
      <w:pPr>
        <w:spacing w:line="480" w:lineRule="auto"/>
        <w:ind w:firstLine="720"/>
        <w:rPr>
          <w:rFonts w:ascii="Times New Roman" w:hAnsi="Times New Roman" w:cs="Times New Roman"/>
          <w:noProof w:val="0"/>
          <w:sz w:val="24"/>
          <w:szCs w:val="24"/>
        </w:rPr>
      </w:pPr>
      <w:r>
        <w:rPr>
          <w:rFonts w:ascii="Times New Roman" w:hAnsi="Times New Roman" w:cs="Times New Roman"/>
          <w:noProof w:val="0"/>
          <w:sz w:val="24"/>
          <w:szCs w:val="24"/>
        </w:rPr>
        <w:t>Figure A.</w:t>
      </w:r>
      <w:r w:rsidR="008A1A55">
        <w:rPr>
          <w:rFonts w:ascii="Times New Roman" w:hAnsi="Times New Roman" w:cs="Times New Roman"/>
          <w:noProof w:val="0"/>
          <w:sz w:val="24"/>
          <w:szCs w:val="24"/>
        </w:rPr>
        <w:t xml:space="preserve">2 </w:t>
      </w:r>
      <w:r>
        <w:rPr>
          <w:rFonts w:ascii="Times New Roman" w:hAnsi="Times New Roman" w:cs="Times New Roman"/>
          <w:noProof w:val="0"/>
          <w:sz w:val="24"/>
          <w:szCs w:val="24"/>
        </w:rPr>
        <w:t>shows the prevalence</w:t>
      </w:r>
      <w:r w:rsidR="00F60A19">
        <w:rPr>
          <w:rFonts w:ascii="Times New Roman" w:hAnsi="Times New Roman" w:cs="Times New Roman"/>
          <w:noProof w:val="0"/>
          <w:sz w:val="24"/>
          <w:szCs w:val="24"/>
        </w:rPr>
        <w:t xml:space="preserve"> and incidence</w:t>
      </w:r>
      <w:r>
        <w:rPr>
          <w:rFonts w:ascii="Times New Roman" w:hAnsi="Times New Roman" w:cs="Times New Roman"/>
          <w:noProof w:val="0"/>
          <w:sz w:val="24"/>
          <w:szCs w:val="24"/>
        </w:rPr>
        <w:t xml:space="preserve"> trajectories of </w:t>
      </w:r>
      <w:r w:rsidR="00C0085A">
        <w:rPr>
          <w:rFonts w:ascii="Times New Roman" w:hAnsi="Times New Roman" w:cs="Times New Roman"/>
          <w:noProof w:val="0"/>
          <w:sz w:val="24"/>
          <w:szCs w:val="24"/>
        </w:rPr>
        <w:t>3</w:t>
      </w:r>
      <w:r>
        <w:rPr>
          <w:rFonts w:ascii="Times New Roman" w:hAnsi="Times New Roman" w:cs="Times New Roman"/>
          <w:noProof w:val="0"/>
          <w:sz w:val="24"/>
          <w:szCs w:val="24"/>
        </w:rPr>
        <w:t xml:space="preserve">0 stochastic model </w:t>
      </w:r>
      <w:r w:rsidRPr="00CF4B59">
        <w:rPr>
          <w:rFonts w:ascii="Times New Roman" w:hAnsi="Times New Roman" w:cs="Times New Roman"/>
          <w:sz w:val="24"/>
          <w:szCs w:val="24"/>
        </w:rPr>
        <w:t>runs</w:t>
      </w:r>
      <w:r>
        <w:rPr>
          <w:rFonts w:ascii="Times New Roman" w:hAnsi="Times New Roman" w:cs="Times New Roman"/>
          <w:noProof w:val="0"/>
          <w:sz w:val="24"/>
          <w:szCs w:val="24"/>
        </w:rPr>
        <w:t xml:space="preserve"> with the </w:t>
      </w:r>
      <w:r w:rsidR="00B444B7">
        <w:rPr>
          <w:rFonts w:ascii="Times New Roman" w:hAnsi="Times New Roman" w:cs="Times New Roman"/>
          <w:noProof w:val="0"/>
          <w:sz w:val="24"/>
          <w:szCs w:val="24"/>
        </w:rPr>
        <w:t xml:space="preserve">parameter </w:t>
      </w:r>
      <w:r>
        <w:rPr>
          <w:rFonts w:ascii="Times New Roman" w:hAnsi="Times New Roman" w:cs="Times New Roman"/>
          <w:noProof w:val="0"/>
          <w:sz w:val="24"/>
          <w:szCs w:val="24"/>
        </w:rPr>
        <w:t xml:space="preserve">estimates </w:t>
      </w:r>
      <w:r w:rsidR="00B444B7">
        <w:rPr>
          <w:rFonts w:ascii="Times New Roman" w:hAnsi="Times New Roman" w:cs="Times New Roman"/>
          <w:noProof w:val="0"/>
          <w:sz w:val="24"/>
          <w:szCs w:val="24"/>
        </w:rPr>
        <w:t>provided in Table A.4</w:t>
      </w:r>
      <w:r>
        <w:rPr>
          <w:rFonts w:ascii="Times New Roman" w:hAnsi="Times New Roman" w:cs="Times New Roman"/>
          <w:noProof w:val="0"/>
          <w:sz w:val="24"/>
          <w:szCs w:val="24"/>
        </w:rPr>
        <w:t xml:space="preserve"> </w:t>
      </w:r>
      <w:r w:rsidR="00127F57">
        <w:rPr>
          <w:rFonts w:ascii="Times New Roman" w:hAnsi="Times New Roman" w:cs="Times New Roman"/>
          <w:noProof w:val="0"/>
          <w:sz w:val="24"/>
          <w:szCs w:val="24"/>
        </w:rPr>
        <w:t>(</w:t>
      </w:r>
      <w:r>
        <w:rPr>
          <w:rFonts w:ascii="Times New Roman" w:hAnsi="Times New Roman" w:cs="Times New Roman"/>
          <w:noProof w:val="0"/>
          <w:sz w:val="24"/>
          <w:szCs w:val="24"/>
        </w:rPr>
        <w:t xml:space="preserve">and other </w:t>
      </w:r>
      <w:r w:rsidR="00680D74">
        <w:rPr>
          <w:rFonts w:ascii="Times New Roman" w:hAnsi="Times New Roman" w:cs="Times New Roman"/>
          <w:noProof w:val="0"/>
          <w:sz w:val="24"/>
          <w:szCs w:val="24"/>
        </w:rPr>
        <w:t xml:space="preserve">input </w:t>
      </w:r>
      <w:r>
        <w:rPr>
          <w:rFonts w:ascii="Times New Roman" w:hAnsi="Times New Roman" w:cs="Times New Roman"/>
          <w:noProof w:val="0"/>
          <w:sz w:val="24"/>
          <w:szCs w:val="24"/>
        </w:rPr>
        <w:t xml:space="preserve">parameters described in </w:t>
      </w:r>
      <w:r>
        <w:rPr>
          <w:rFonts w:ascii="Times New Roman" w:hAnsi="Times New Roman" w:cs="Times New Roman"/>
          <w:noProof w:val="0"/>
          <w:sz w:val="24"/>
          <w:szCs w:val="24"/>
        </w:rPr>
        <w:lastRenderedPageBreak/>
        <w:t>Table 1 in the main body</w:t>
      </w:r>
      <w:r w:rsidR="00817AC7">
        <w:rPr>
          <w:rFonts w:ascii="Times New Roman" w:hAnsi="Times New Roman" w:cs="Times New Roman"/>
          <w:noProof w:val="0"/>
          <w:sz w:val="24"/>
          <w:szCs w:val="24"/>
        </w:rPr>
        <w:t xml:space="preserve"> of the manuscript</w:t>
      </w:r>
      <w:r w:rsidR="00127F57">
        <w:rPr>
          <w:rFonts w:ascii="Times New Roman" w:hAnsi="Times New Roman" w:cs="Times New Roman"/>
          <w:noProof w:val="0"/>
          <w:sz w:val="24"/>
          <w:szCs w:val="24"/>
        </w:rPr>
        <w:t>)</w:t>
      </w:r>
      <w:r>
        <w:rPr>
          <w:rFonts w:ascii="Times New Roman" w:hAnsi="Times New Roman" w:cs="Times New Roman"/>
          <w:noProof w:val="0"/>
          <w:sz w:val="24"/>
          <w:szCs w:val="24"/>
        </w:rPr>
        <w:t xml:space="preserve">. </w:t>
      </w:r>
      <w:r w:rsidR="00426F16">
        <w:rPr>
          <w:rFonts w:ascii="Times New Roman" w:hAnsi="Times New Roman" w:cs="Times New Roman"/>
          <w:noProof w:val="0"/>
          <w:sz w:val="24"/>
          <w:szCs w:val="24"/>
        </w:rPr>
        <w:t>Table A.</w:t>
      </w:r>
      <w:r w:rsidR="00212CCF">
        <w:rPr>
          <w:rFonts w:ascii="Times New Roman" w:hAnsi="Times New Roman" w:cs="Times New Roman"/>
          <w:noProof w:val="0"/>
          <w:sz w:val="24"/>
          <w:szCs w:val="24"/>
        </w:rPr>
        <w:t>5</w:t>
      </w:r>
      <w:r w:rsidR="0573D6D8" w:rsidRPr="0573D6D8">
        <w:rPr>
          <w:rFonts w:ascii="Times New Roman" w:hAnsi="Times New Roman" w:cs="Times New Roman"/>
          <w:noProof w:val="0"/>
          <w:sz w:val="24"/>
          <w:szCs w:val="24"/>
        </w:rPr>
        <w:t xml:space="preserve"> displays key model outcomes averaged over the last </w:t>
      </w:r>
      <w:r w:rsidR="00186FD4">
        <w:rPr>
          <w:rFonts w:ascii="Times New Roman" w:hAnsi="Times New Roman" w:cs="Times New Roman"/>
          <w:noProof w:val="0"/>
          <w:sz w:val="24"/>
          <w:szCs w:val="24"/>
        </w:rPr>
        <w:t xml:space="preserve">10 years </w:t>
      </w:r>
      <w:r w:rsidR="0573D6D8" w:rsidRPr="0573D6D8">
        <w:rPr>
          <w:rFonts w:ascii="Times New Roman" w:hAnsi="Times New Roman" w:cs="Times New Roman"/>
          <w:noProof w:val="0"/>
          <w:sz w:val="24"/>
          <w:szCs w:val="24"/>
        </w:rPr>
        <w:t>of the baseline simulation. The prevalence and incidence data are averaged over the last ten years of the simulation.</w:t>
      </w:r>
      <w:r w:rsidR="00590DAA" w:rsidRPr="00590DAA">
        <w:rPr>
          <w:rFonts w:ascii="Times New Roman" w:eastAsia="Times New Roman" w:hAnsi="Times New Roman" w:cs="Times New Roman"/>
          <w:bCs/>
          <w:noProof w:val="0"/>
          <w:color w:val="4F81BD" w:themeColor="accent1"/>
          <w:sz w:val="24"/>
          <w:szCs w:val="24"/>
        </w:rPr>
        <w:t xml:space="preserve"> </w:t>
      </w:r>
      <w:r w:rsidR="00590DAA">
        <w:rPr>
          <w:rFonts w:ascii="Times New Roman" w:hAnsi="Times New Roman" w:cs="Times New Roman"/>
          <w:bCs/>
          <w:noProof w:val="0"/>
          <w:sz w:val="24"/>
          <w:szCs w:val="24"/>
        </w:rPr>
        <w:t>T</w:t>
      </w:r>
      <w:r w:rsidR="00590DAA" w:rsidRPr="00590DAA">
        <w:rPr>
          <w:rFonts w:ascii="Times New Roman" w:hAnsi="Times New Roman" w:cs="Times New Roman"/>
          <w:bCs/>
          <w:noProof w:val="0"/>
          <w:sz w:val="24"/>
          <w:szCs w:val="24"/>
        </w:rPr>
        <w:t>he average</w:t>
      </w:r>
      <w:r w:rsidR="00D929EF">
        <w:rPr>
          <w:rFonts w:ascii="Times New Roman" w:hAnsi="Times New Roman" w:cs="Times New Roman"/>
          <w:bCs/>
          <w:noProof w:val="0"/>
          <w:sz w:val="24"/>
          <w:szCs w:val="24"/>
        </w:rPr>
        <w:t>d</w:t>
      </w:r>
      <w:r w:rsidR="00590DAA" w:rsidRPr="00590DAA">
        <w:rPr>
          <w:rFonts w:ascii="Times New Roman" w:hAnsi="Times New Roman" w:cs="Times New Roman"/>
          <w:bCs/>
          <w:noProof w:val="0"/>
          <w:sz w:val="24"/>
          <w:szCs w:val="24"/>
        </w:rPr>
        <w:t xml:space="preserve"> </w:t>
      </w:r>
      <w:r w:rsidR="003A373E">
        <w:rPr>
          <w:rFonts w:ascii="Times New Roman" w:hAnsi="Times New Roman" w:cs="Times New Roman"/>
          <w:bCs/>
          <w:noProof w:val="0"/>
          <w:sz w:val="24"/>
          <w:szCs w:val="24"/>
        </w:rPr>
        <w:t>outcomes</w:t>
      </w:r>
      <w:r w:rsidR="00D929EF">
        <w:rPr>
          <w:rFonts w:ascii="Times New Roman" w:hAnsi="Times New Roman" w:cs="Times New Roman"/>
          <w:bCs/>
          <w:noProof w:val="0"/>
          <w:sz w:val="24"/>
          <w:szCs w:val="24"/>
        </w:rPr>
        <w:t xml:space="preserve"> over </w:t>
      </w:r>
      <w:r w:rsidR="00590DAA" w:rsidRPr="00590DAA">
        <w:rPr>
          <w:rFonts w:ascii="Times New Roman" w:hAnsi="Times New Roman" w:cs="Times New Roman"/>
          <w:bCs/>
          <w:noProof w:val="0"/>
          <w:sz w:val="24"/>
          <w:szCs w:val="24"/>
        </w:rPr>
        <w:t xml:space="preserve">the last 10 years </w:t>
      </w:r>
      <w:r w:rsidR="00D929EF">
        <w:rPr>
          <w:rFonts w:ascii="Times New Roman" w:hAnsi="Times New Roman" w:cs="Times New Roman"/>
          <w:bCs/>
          <w:noProof w:val="0"/>
          <w:sz w:val="24"/>
          <w:szCs w:val="24"/>
        </w:rPr>
        <w:t xml:space="preserve">were used to calibrate </w:t>
      </w:r>
      <w:r w:rsidR="00590DAA" w:rsidRPr="00590DAA">
        <w:rPr>
          <w:rFonts w:ascii="Times New Roman" w:hAnsi="Times New Roman" w:cs="Times New Roman"/>
          <w:bCs/>
          <w:noProof w:val="0"/>
          <w:sz w:val="24"/>
          <w:szCs w:val="24"/>
        </w:rPr>
        <w:t xml:space="preserve">the baseline </w:t>
      </w:r>
      <w:r w:rsidR="007348B1">
        <w:rPr>
          <w:rFonts w:ascii="Times New Roman" w:hAnsi="Times New Roman" w:cs="Times New Roman"/>
          <w:bCs/>
          <w:noProof w:val="0"/>
          <w:sz w:val="24"/>
          <w:szCs w:val="24"/>
        </w:rPr>
        <w:t xml:space="preserve">model </w:t>
      </w:r>
      <w:r w:rsidR="00590DAA" w:rsidRPr="00590DAA">
        <w:rPr>
          <w:rFonts w:ascii="Times New Roman" w:hAnsi="Times New Roman" w:cs="Times New Roman"/>
          <w:bCs/>
          <w:noProof w:val="0"/>
          <w:sz w:val="24"/>
          <w:szCs w:val="24"/>
        </w:rPr>
        <w:t>because, as per the experimental design, that is the length of time that the interventions were going to be run over.</w:t>
      </w:r>
    </w:p>
    <w:p w14:paraId="15F5C158" w14:textId="2D5EF8D0" w:rsidR="005F671F" w:rsidRDefault="00111C2A" w:rsidP="00685590">
      <w:pPr>
        <w:rPr>
          <w:rFonts w:ascii="Times New Roman" w:hAnsi="Times New Roman" w:cs="Times New Roman"/>
          <w:b/>
          <w:noProof w:val="0"/>
          <w:sz w:val="24"/>
          <w:szCs w:val="24"/>
        </w:rPr>
      </w:pPr>
      <w:r w:rsidRPr="001D2585">
        <w:rPr>
          <w:rFonts w:ascii="Times New Roman" w:hAnsi="Times New Roman" w:cs="Times New Roman"/>
          <w:b/>
          <w:noProof w:val="0"/>
          <w:sz w:val="24"/>
          <w:szCs w:val="24"/>
        </w:rPr>
        <w:t>Figure A.</w:t>
      </w:r>
      <w:r w:rsidR="00B037A6">
        <w:rPr>
          <w:rFonts w:ascii="Times New Roman" w:hAnsi="Times New Roman" w:cs="Times New Roman"/>
          <w:b/>
          <w:noProof w:val="0"/>
          <w:sz w:val="24"/>
          <w:szCs w:val="24"/>
        </w:rPr>
        <w:t>2</w:t>
      </w:r>
      <w:r w:rsidRPr="001D2585">
        <w:rPr>
          <w:rFonts w:ascii="Times New Roman" w:hAnsi="Times New Roman" w:cs="Times New Roman"/>
          <w:b/>
          <w:noProof w:val="0"/>
          <w:sz w:val="24"/>
          <w:szCs w:val="24"/>
        </w:rPr>
        <w:t>: Prevalence</w:t>
      </w:r>
      <w:r w:rsidR="0047188A">
        <w:rPr>
          <w:rFonts w:ascii="Times New Roman" w:hAnsi="Times New Roman" w:cs="Times New Roman"/>
          <w:b/>
          <w:noProof w:val="0"/>
          <w:sz w:val="24"/>
          <w:szCs w:val="24"/>
        </w:rPr>
        <w:t xml:space="preserve"> (A) and incidence (B)</w:t>
      </w:r>
      <w:r w:rsidRPr="001D2585">
        <w:rPr>
          <w:rFonts w:ascii="Times New Roman" w:hAnsi="Times New Roman" w:cs="Times New Roman"/>
          <w:b/>
          <w:noProof w:val="0"/>
          <w:sz w:val="24"/>
          <w:szCs w:val="24"/>
        </w:rPr>
        <w:t xml:space="preserve"> trajectories over </w:t>
      </w:r>
      <w:r w:rsidR="00534040">
        <w:rPr>
          <w:rFonts w:ascii="Times New Roman" w:hAnsi="Times New Roman" w:cs="Times New Roman"/>
          <w:b/>
          <w:noProof w:val="0"/>
          <w:sz w:val="24"/>
          <w:szCs w:val="24"/>
        </w:rPr>
        <w:t>thirty</w:t>
      </w:r>
      <w:r w:rsidR="00534040" w:rsidRPr="001D2585">
        <w:rPr>
          <w:rFonts w:ascii="Times New Roman" w:hAnsi="Times New Roman" w:cs="Times New Roman"/>
          <w:b/>
          <w:noProof w:val="0"/>
          <w:sz w:val="24"/>
          <w:szCs w:val="24"/>
        </w:rPr>
        <w:t xml:space="preserve"> </w:t>
      </w:r>
      <w:r w:rsidRPr="001D2585">
        <w:rPr>
          <w:rFonts w:ascii="Times New Roman" w:hAnsi="Times New Roman" w:cs="Times New Roman"/>
          <w:b/>
          <w:noProof w:val="0"/>
          <w:sz w:val="24"/>
          <w:szCs w:val="24"/>
        </w:rPr>
        <w:t xml:space="preserve">baseline model runs with the parameters listed in </w:t>
      </w:r>
      <w:r w:rsidR="00534040">
        <w:rPr>
          <w:rFonts w:ascii="Times New Roman" w:hAnsi="Times New Roman" w:cs="Times New Roman"/>
          <w:b/>
          <w:noProof w:val="0"/>
          <w:sz w:val="24"/>
          <w:szCs w:val="24"/>
        </w:rPr>
        <w:t xml:space="preserve">Tables 1 and A.4. </w:t>
      </w:r>
      <w:proofErr w:type="gramStart"/>
      <w:r w:rsidRPr="001D2585">
        <w:rPr>
          <w:rFonts w:ascii="Times New Roman" w:hAnsi="Times New Roman" w:cs="Times New Roman"/>
          <w:b/>
          <w:noProof w:val="0"/>
          <w:sz w:val="24"/>
          <w:szCs w:val="24"/>
        </w:rPr>
        <w:t>interventions.</w:t>
      </w:r>
      <w:r w:rsidR="00534040">
        <w:rPr>
          <w:rFonts w:ascii="Times New Roman" w:hAnsi="Times New Roman" w:cs="Times New Roman"/>
          <w:b/>
          <w:noProof w:val="0"/>
          <w:sz w:val="24"/>
          <w:szCs w:val="24"/>
        </w:rPr>
        <w:t>*</w:t>
      </w:r>
      <w:proofErr w:type="gramEnd"/>
      <w:r w:rsidR="00534040">
        <w:rPr>
          <w:rFonts w:ascii="Times New Roman" w:hAnsi="Times New Roman" w:cs="Times New Roman"/>
          <w:b/>
          <w:noProof w:val="0"/>
          <w:sz w:val="24"/>
          <w:szCs w:val="24"/>
        </w:rPr>
        <w:t xml:space="preserve"> </w:t>
      </w:r>
    </w:p>
    <w:p w14:paraId="0F94BFDC" w14:textId="2F7C1144" w:rsidR="008E55B3" w:rsidRPr="00464786" w:rsidRDefault="008E55B3" w:rsidP="00685590">
      <w:pPr>
        <w:rPr>
          <w:rFonts w:ascii="Times New Roman" w:hAnsi="Times New Roman" w:cs="Times New Roman"/>
          <w:noProof w:val="0"/>
          <w:sz w:val="24"/>
          <w:szCs w:val="24"/>
        </w:rPr>
      </w:pPr>
    </w:p>
    <w:p w14:paraId="6B1264D4" w14:textId="77777777" w:rsidR="00113995" w:rsidRDefault="00113995" w:rsidP="00113995">
      <w:pPr>
        <w:pStyle w:val="ListParagraph"/>
        <w:numPr>
          <w:ilvl w:val="0"/>
          <w:numId w:val="10"/>
        </w:numPr>
        <w:spacing w:line="480" w:lineRule="auto"/>
        <w:jc w:val="center"/>
        <w:rPr>
          <w:rFonts w:ascii="Times New Roman" w:hAnsi="Times New Roman" w:cs="Times New Roman"/>
          <w:b/>
          <w:noProof w:val="0"/>
          <w:sz w:val="24"/>
          <w:szCs w:val="24"/>
        </w:rPr>
      </w:pPr>
      <w:r>
        <w:rPr>
          <w:rFonts w:ascii="Times New Roman" w:hAnsi="Times New Roman" w:cs="Times New Roman"/>
          <w:b/>
          <w:noProof w:val="0"/>
          <w:sz w:val="24"/>
          <w:szCs w:val="24"/>
        </w:rPr>
        <w:t>Prevalence trajectories</w:t>
      </w:r>
    </w:p>
    <w:p w14:paraId="1F18E03B" w14:textId="35E88F93" w:rsidR="00B23170" w:rsidRPr="00E473A4" w:rsidRDefault="008E55B3" w:rsidP="00E473A4">
      <w:pPr>
        <w:pStyle w:val="ListParagraph"/>
        <w:spacing w:line="480" w:lineRule="auto"/>
        <w:ind w:left="1080"/>
        <w:jc w:val="center"/>
        <w:rPr>
          <w:rFonts w:ascii="Times New Roman" w:hAnsi="Times New Roman" w:cs="Times New Roman"/>
          <w:b/>
          <w:noProof w:val="0"/>
          <w:sz w:val="24"/>
          <w:szCs w:val="24"/>
        </w:rPr>
      </w:pPr>
      <w:r>
        <w:rPr>
          <w:rFonts w:ascii="Times New Roman" w:hAnsi="Times New Roman" w:cs="Times New Roman"/>
          <w:b/>
          <w:sz w:val="24"/>
          <w:szCs w:val="24"/>
          <w:lang w:val="en-GB" w:eastAsia="en-GB"/>
        </w:rPr>
        <w:drawing>
          <wp:inline distT="0" distB="0" distL="0" distR="0" wp14:anchorId="35D8C389" wp14:editId="108D132A">
            <wp:extent cx="4580627" cy="2347571"/>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valence-v54calib-final.png"/>
                    <pic:cNvPicPr/>
                  </pic:nvPicPr>
                  <pic:blipFill>
                    <a:blip r:embed="rId9">
                      <a:extLst>
                        <a:ext uri="{28A0092B-C50C-407E-A947-70E740481C1C}">
                          <a14:useLocalDpi xmlns:a14="http://schemas.microsoft.com/office/drawing/2010/main" val="0"/>
                        </a:ext>
                      </a:extLst>
                    </a:blip>
                    <a:stretch>
                      <a:fillRect/>
                    </a:stretch>
                  </pic:blipFill>
                  <pic:spPr>
                    <a:xfrm>
                      <a:off x="0" y="0"/>
                      <a:ext cx="4587175" cy="2350927"/>
                    </a:xfrm>
                    <a:prstGeom prst="rect">
                      <a:avLst/>
                    </a:prstGeom>
                  </pic:spPr>
                </pic:pic>
              </a:graphicData>
            </a:graphic>
          </wp:inline>
        </w:drawing>
      </w:r>
    </w:p>
    <w:p w14:paraId="42298062" w14:textId="384B716A" w:rsidR="00474C59" w:rsidRPr="008E55B3" w:rsidRDefault="00623B29" w:rsidP="008E55B3">
      <w:pPr>
        <w:pStyle w:val="ListParagraph"/>
        <w:numPr>
          <w:ilvl w:val="0"/>
          <w:numId w:val="10"/>
        </w:numPr>
        <w:spacing w:line="480" w:lineRule="auto"/>
        <w:jc w:val="center"/>
        <w:rPr>
          <w:rFonts w:ascii="Times New Roman" w:hAnsi="Times New Roman" w:cs="Times New Roman"/>
          <w:b/>
          <w:noProof w:val="0"/>
          <w:sz w:val="24"/>
          <w:szCs w:val="24"/>
        </w:rPr>
      </w:pPr>
      <w:r w:rsidRPr="008E55B3">
        <w:rPr>
          <w:rFonts w:ascii="Times New Roman" w:hAnsi="Times New Roman" w:cs="Times New Roman"/>
          <w:b/>
          <w:noProof w:val="0"/>
          <w:sz w:val="24"/>
          <w:szCs w:val="24"/>
        </w:rPr>
        <w:t>Incidence trajectories</w:t>
      </w:r>
    </w:p>
    <w:p w14:paraId="74C803EC" w14:textId="2971DBF2" w:rsidR="008E55B3" w:rsidRPr="008E55B3" w:rsidRDefault="008E55B3" w:rsidP="008E55B3">
      <w:pPr>
        <w:pStyle w:val="ListParagraph"/>
        <w:spacing w:line="480" w:lineRule="auto"/>
        <w:ind w:left="1080"/>
        <w:jc w:val="center"/>
        <w:rPr>
          <w:rFonts w:ascii="Times New Roman" w:hAnsi="Times New Roman" w:cs="Times New Roman"/>
          <w:b/>
          <w:noProof w:val="0"/>
          <w:sz w:val="24"/>
          <w:szCs w:val="24"/>
        </w:rPr>
      </w:pPr>
      <w:r>
        <w:rPr>
          <w:rFonts w:ascii="Times New Roman" w:hAnsi="Times New Roman" w:cs="Times New Roman"/>
          <w:b/>
          <w:sz w:val="24"/>
          <w:szCs w:val="24"/>
          <w:lang w:val="en-GB" w:eastAsia="en-GB"/>
        </w:rPr>
        <w:drawing>
          <wp:inline distT="0" distB="0" distL="0" distR="0" wp14:anchorId="41DE4163" wp14:editId="25A73B65">
            <wp:extent cx="4510983" cy="23118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cidence-v54calib-final.png"/>
                    <pic:cNvPicPr/>
                  </pic:nvPicPr>
                  <pic:blipFill>
                    <a:blip r:embed="rId10">
                      <a:extLst>
                        <a:ext uri="{28A0092B-C50C-407E-A947-70E740481C1C}">
                          <a14:useLocalDpi xmlns:a14="http://schemas.microsoft.com/office/drawing/2010/main" val="0"/>
                        </a:ext>
                      </a:extLst>
                    </a:blip>
                    <a:stretch>
                      <a:fillRect/>
                    </a:stretch>
                  </pic:blipFill>
                  <pic:spPr>
                    <a:xfrm>
                      <a:off x="0" y="0"/>
                      <a:ext cx="4515355" cy="2314119"/>
                    </a:xfrm>
                    <a:prstGeom prst="rect">
                      <a:avLst/>
                    </a:prstGeom>
                  </pic:spPr>
                </pic:pic>
              </a:graphicData>
            </a:graphic>
          </wp:inline>
        </w:drawing>
      </w:r>
    </w:p>
    <w:p w14:paraId="1AE6817A" w14:textId="266F6C87" w:rsidR="005655E1" w:rsidRDefault="00534040" w:rsidP="00932E2D">
      <w:pPr>
        <w:rPr>
          <w:rFonts w:ascii="Times New Roman" w:hAnsi="Times New Roman" w:cs="Times New Roman"/>
          <w:noProof w:val="0"/>
          <w:sz w:val="24"/>
          <w:szCs w:val="24"/>
        </w:rPr>
      </w:pPr>
      <w:r>
        <w:rPr>
          <w:rFonts w:ascii="Times New Roman" w:hAnsi="Times New Roman" w:cs="Times New Roman"/>
          <w:noProof w:val="0"/>
          <w:sz w:val="24"/>
          <w:szCs w:val="24"/>
        </w:rPr>
        <w:t xml:space="preserve">* </w:t>
      </w:r>
      <w:r w:rsidRPr="00932E2D">
        <w:rPr>
          <w:rFonts w:ascii="Times New Roman" w:hAnsi="Times New Roman" w:cs="Times New Roman"/>
          <w:noProof w:val="0"/>
          <w:sz w:val="24"/>
          <w:szCs w:val="24"/>
        </w:rPr>
        <w:t>The blue curve denotes the one instance that was selected for the intervention analyses</w:t>
      </w:r>
      <w:r w:rsidR="001346D2">
        <w:rPr>
          <w:rFonts w:ascii="Times New Roman" w:hAnsi="Times New Roman" w:cs="Times New Roman"/>
          <w:noProof w:val="0"/>
          <w:sz w:val="24"/>
          <w:szCs w:val="24"/>
        </w:rPr>
        <w:t xml:space="preserve"> </w:t>
      </w:r>
      <w:r w:rsidRPr="00932E2D">
        <w:rPr>
          <w:rFonts w:ascii="Times New Roman" w:hAnsi="Times New Roman" w:cs="Times New Roman"/>
          <w:noProof w:val="0"/>
          <w:sz w:val="24"/>
          <w:szCs w:val="24"/>
        </w:rPr>
        <w:lastRenderedPageBreak/>
        <w:t>presented in the main text; the gray lines represent the other 29 instances. The x-axis shows HIV</w:t>
      </w:r>
      <w:r w:rsidR="001346D2">
        <w:rPr>
          <w:rFonts w:ascii="Times New Roman" w:hAnsi="Times New Roman" w:cs="Times New Roman"/>
          <w:noProof w:val="0"/>
          <w:sz w:val="24"/>
          <w:szCs w:val="24"/>
        </w:rPr>
        <w:t xml:space="preserve"> </w:t>
      </w:r>
      <w:r w:rsidRPr="00932E2D">
        <w:rPr>
          <w:rFonts w:ascii="Times New Roman" w:hAnsi="Times New Roman" w:cs="Times New Roman"/>
          <w:noProof w:val="0"/>
          <w:sz w:val="24"/>
          <w:szCs w:val="24"/>
        </w:rPr>
        <w:t>prevalence at a given time, and the y-axis shows the given year.</w:t>
      </w:r>
    </w:p>
    <w:p w14:paraId="0389140C" w14:textId="77777777" w:rsidR="002F7A53" w:rsidRDefault="002F7A53" w:rsidP="00932E2D">
      <w:pPr>
        <w:rPr>
          <w:rFonts w:ascii="Times New Roman" w:hAnsi="Times New Roman" w:cs="Times New Roman"/>
          <w:noProof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2694"/>
        <w:gridCol w:w="3402"/>
      </w:tblGrid>
      <w:tr w:rsidR="005655E1" w:rsidRPr="00844D31" w14:paraId="5D27D46A" w14:textId="77777777" w:rsidTr="001B51AB">
        <w:trPr>
          <w:trHeight w:val="288"/>
          <w:jc w:val="center"/>
        </w:trPr>
        <w:tc>
          <w:tcPr>
            <w:tcW w:w="8409" w:type="dxa"/>
            <w:gridSpan w:val="3"/>
            <w:shd w:val="clear" w:color="auto" w:fill="auto"/>
            <w:noWrap/>
            <w:vAlign w:val="bottom"/>
          </w:tcPr>
          <w:p w14:paraId="030E7840" w14:textId="77777777" w:rsidR="005655E1" w:rsidRPr="00932E2D" w:rsidRDefault="005655E1" w:rsidP="001B51AB">
            <w:pPr>
              <w:spacing w:line="480" w:lineRule="auto"/>
              <w:rPr>
                <w:rFonts w:ascii="Times New Roman" w:hAnsi="Times New Roman" w:cs="Times New Roman"/>
                <w:noProof w:val="0"/>
                <w:sz w:val="24"/>
                <w:szCs w:val="24"/>
              </w:rPr>
            </w:pPr>
            <w:r w:rsidRPr="00844D31">
              <w:rPr>
                <w:rFonts w:ascii="Times New Roman" w:eastAsia="Times New Roman" w:hAnsi="Times New Roman" w:cs="Times New Roman"/>
                <w:b/>
                <w:bCs/>
                <w:noProof w:val="0"/>
                <w:color w:val="000000" w:themeColor="text1"/>
              </w:rPr>
              <w:t>Table A.</w:t>
            </w:r>
            <w:r>
              <w:rPr>
                <w:rFonts w:ascii="Times New Roman" w:eastAsia="Times New Roman" w:hAnsi="Times New Roman" w:cs="Times New Roman"/>
                <w:b/>
                <w:bCs/>
                <w:noProof w:val="0"/>
                <w:color w:val="000000" w:themeColor="text1"/>
              </w:rPr>
              <w:t>5</w:t>
            </w:r>
            <w:r w:rsidRPr="00844D31">
              <w:rPr>
                <w:rFonts w:ascii="Times New Roman" w:eastAsia="Times New Roman" w:hAnsi="Times New Roman" w:cs="Times New Roman"/>
                <w:b/>
                <w:bCs/>
                <w:noProof w:val="0"/>
                <w:color w:val="000000" w:themeColor="text1"/>
              </w:rPr>
              <w:t>: Key model outputs produced with baseline model run for 100 years.</w:t>
            </w:r>
          </w:p>
        </w:tc>
      </w:tr>
      <w:tr w:rsidR="005655E1" w:rsidRPr="00844D31" w14:paraId="2ACD8B82" w14:textId="77777777" w:rsidTr="001B51AB">
        <w:trPr>
          <w:trHeight w:val="460"/>
          <w:jc w:val="center"/>
        </w:trPr>
        <w:tc>
          <w:tcPr>
            <w:tcW w:w="2313" w:type="dxa"/>
            <w:shd w:val="clear" w:color="auto" w:fill="auto"/>
            <w:noWrap/>
            <w:vAlign w:val="bottom"/>
            <w:hideMark/>
          </w:tcPr>
          <w:p w14:paraId="5C0CC3F2" w14:textId="77777777" w:rsidR="005655E1" w:rsidRPr="00844D31" w:rsidRDefault="005655E1" w:rsidP="001B51AB">
            <w:pPr>
              <w:widowControl/>
              <w:autoSpaceDE/>
              <w:autoSpaceDN/>
              <w:adjustRightInd/>
              <w:rPr>
                <w:rFonts w:ascii="Times New Roman" w:eastAsia="Times New Roman" w:hAnsi="Times New Roman" w:cs="Times New Roman"/>
                <w:b/>
                <w:bCs/>
                <w:noProof w:val="0"/>
              </w:rPr>
            </w:pPr>
            <w:r w:rsidRPr="00844D31">
              <w:rPr>
                <w:rFonts w:ascii="Times New Roman" w:eastAsia="Times New Roman" w:hAnsi="Times New Roman" w:cs="Times New Roman"/>
                <w:b/>
                <w:bCs/>
                <w:noProof w:val="0"/>
              </w:rPr>
              <w:t>Simulation number</w:t>
            </w:r>
          </w:p>
        </w:tc>
        <w:tc>
          <w:tcPr>
            <w:tcW w:w="2694" w:type="dxa"/>
            <w:shd w:val="clear" w:color="auto" w:fill="auto"/>
            <w:noWrap/>
            <w:vAlign w:val="bottom"/>
            <w:hideMark/>
          </w:tcPr>
          <w:p w14:paraId="70C5F8CC" w14:textId="77777777" w:rsidR="005655E1" w:rsidRPr="00844D31" w:rsidRDefault="005655E1" w:rsidP="001B51AB">
            <w:pPr>
              <w:widowControl/>
              <w:autoSpaceDE/>
              <w:autoSpaceDN/>
              <w:adjustRightInd/>
              <w:rPr>
                <w:rFonts w:ascii="Times New Roman" w:eastAsia="Times New Roman" w:hAnsi="Times New Roman" w:cs="Times New Roman"/>
                <w:b/>
                <w:bCs/>
                <w:noProof w:val="0"/>
                <w:color w:val="000000" w:themeColor="text1"/>
              </w:rPr>
            </w:pPr>
            <w:r w:rsidRPr="00844D31">
              <w:rPr>
                <w:rFonts w:ascii="Times New Roman" w:eastAsia="Times New Roman" w:hAnsi="Times New Roman" w:cs="Times New Roman"/>
                <w:b/>
                <w:bCs/>
                <w:noProof w:val="0"/>
                <w:color w:val="000000" w:themeColor="text1"/>
              </w:rPr>
              <w:t>Overall prevalence (%)</w:t>
            </w:r>
          </w:p>
        </w:tc>
        <w:tc>
          <w:tcPr>
            <w:tcW w:w="3402" w:type="dxa"/>
            <w:shd w:val="clear" w:color="auto" w:fill="auto"/>
            <w:noWrap/>
            <w:vAlign w:val="bottom"/>
            <w:hideMark/>
          </w:tcPr>
          <w:p w14:paraId="75E69ACC" w14:textId="77777777" w:rsidR="005655E1" w:rsidRPr="00844D31" w:rsidRDefault="005655E1" w:rsidP="001B51AB">
            <w:pPr>
              <w:widowControl/>
              <w:autoSpaceDE/>
              <w:autoSpaceDN/>
              <w:adjustRightInd/>
              <w:rPr>
                <w:rFonts w:ascii="Times New Roman" w:eastAsia="Times New Roman" w:hAnsi="Times New Roman" w:cs="Times New Roman"/>
                <w:b/>
                <w:bCs/>
                <w:noProof w:val="0"/>
                <w:color w:val="000000" w:themeColor="text1"/>
              </w:rPr>
            </w:pPr>
            <w:r w:rsidRPr="00844D31">
              <w:rPr>
                <w:rFonts w:ascii="Times New Roman" w:eastAsia="Times New Roman" w:hAnsi="Times New Roman" w:cs="Times New Roman"/>
                <w:b/>
                <w:bCs/>
                <w:noProof w:val="0"/>
                <w:color w:val="000000" w:themeColor="text1"/>
              </w:rPr>
              <w:t xml:space="preserve">Overall incidence rate (per 100 </w:t>
            </w:r>
            <w:proofErr w:type="spellStart"/>
            <w:r w:rsidRPr="00844D31">
              <w:rPr>
                <w:rFonts w:ascii="Times New Roman" w:eastAsia="Times New Roman" w:hAnsi="Times New Roman" w:cs="Times New Roman"/>
                <w:b/>
                <w:bCs/>
                <w:noProof w:val="0"/>
                <w:color w:val="000000" w:themeColor="text1"/>
              </w:rPr>
              <w:t>py</w:t>
            </w:r>
            <w:proofErr w:type="spellEnd"/>
            <w:r w:rsidRPr="00844D31">
              <w:rPr>
                <w:rFonts w:ascii="Times New Roman" w:eastAsia="Times New Roman" w:hAnsi="Times New Roman" w:cs="Times New Roman"/>
                <w:b/>
                <w:bCs/>
                <w:noProof w:val="0"/>
                <w:color w:val="000000" w:themeColor="text1"/>
              </w:rPr>
              <w:t>)</w:t>
            </w:r>
          </w:p>
        </w:tc>
      </w:tr>
      <w:tr w:rsidR="005655E1" w:rsidRPr="00844D31" w14:paraId="73F697A2" w14:textId="77777777" w:rsidTr="001B51AB">
        <w:trPr>
          <w:trHeight w:val="460"/>
          <w:jc w:val="center"/>
        </w:trPr>
        <w:tc>
          <w:tcPr>
            <w:tcW w:w="1134" w:type="dxa"/>
            <w:shd w:val="clear" w:color="auto" w:fill="auto"/>
            <w:noWrap/>
            <w:vAlign w:val="center"/>
            <w:hideMark/>
          </w:tcPr>
          <w:p w14:paraId="2A6DB665" w14:textId="77777777" w:rsidR="005655E1" w:rsidRPr="00844D31" w:rsidRDefault="005655E1" w:rsidP="001B51AB">
            <w:pPr>
              <w:widowControl/>
              <w:autoSpaceDE/>
              <w:autoSpaceDN/>
              <w:adjustRightInd/>
              <w:jc w:val="right"/>
              <w:rPr>
                <w:rFonts w:ascii="Times New Roman" w:eastAsia="Times New Roman" w:hAnsi="Times New Roman" w:cs="Times New Roman"/>
                <w:noProof w:val="0"/>
                <w:color w:val="000000"/>
              </w:rPr>
            </w:pPr>
            <w:r w:rsidRPr="00844D31">
              <w:rPr>
                <w:rFonts w:ascii="Times New Roman" w:eastAsia="Times New Roman" w:hAnsi="Times New Roman" w:cs="Times New Roman"/>
                <w:color w:val="000000"/>
              </w:rPr>
              <w:t>1</w:t>
            </w:r>
          </w:p>
        </w:tc>
        <w:tc>
          <w:tcPr>
            <w:tcW w:w="1134" w:type="dxa"/>
            <w:shd w:val="clear" w:color="auto" w:fill="auto"/>
            <w:noWrap/>
            <w:vAlign w:val="center"/>
            <w:hideMark/>
          </w:tcPr>
          <w:p w14:paraId="4DFB150F"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33.90</w:t>
            </w:r>
          </w:p>
        </w:tc>
        <w:tc>
          <w:tcPr>
            <w:tcW w:w="1134" w:type="dxa"/>
            <w:shd w:val="clear" w:color="auto" w:fill="auto"/>
            <w:noWrap/>
            <w:vAlign w:val="center"/>
            <w:hideMark/>
          </w:tcPr>
          <w:p w14:paraId="3463CE85"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5.46</w:t>
            </w:r>
          </w:p>
        </w:tc>
      </w:tr>
      <w:tr w:rsidR="005655E1" w:rsidRPr="00844D31" w14:paraId="4CEABE24" w14:textId="77777777" w:rsidTr="001B51AB">
        <w:trPr>
          <w:trHeight w:val="460"/>
          <w:jc w:val="center"/>
        </w:trPr>
        <w:tc>
          <w:tcPr>
            <w:tcW w:w="1134" w:type="dxa"/>
            <w:shd w:val="clear" w:color="auto" w:fill="auto"/>
            <w:noWrap/>
            <w:vAlign w:val="center"/>
            <w:hideMark/>
          </w:tcPr>
          <w:p w14:paraId="56242174"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2</w:t>
            </w:r>
          </w:p>
        </w:tc>
        <w:tc>
          <w:tcPr>
            <w:tcW w:w="1134" w:type="dxa"/>
            <w:shd w:val="clear" w:color="auto" w:fill="auto"/>
            <w:noWrap/>
            <w:vAlign w:val="center"/>
            <w:hideMark/>
          </w:tcPr>
          <w:p w14:paraId="432445DE"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32.55</w:t>
            </w:r>
          </w:p>
        </w:tc>
        <w:tc>
          <w:tcPr>
            <w:tcW w:w="1134" w:type="dxa"/>
            <w:shd w:val="clear" w:color="auto" w:fill="auto"/>
            <w:noWrap/>
            <w:vAlign w:val="center"/>
            <w:hideMark/>
          </w:tcPr>
          <w:p w14:paraId="6199309C"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5.62</w:t>
            </w:r>
          </w:p>
        </w:tc>
      </w:tr>
      <w:tr w:rsidR="005655E1" w:rsidRPr="00844D31" w14:paraId="7900A352" w14:textId="77777777" w:rsidTr="001B51AB">
        <w:trPr>
          <w:trHeight w:val="460"/>
          <w:jc w:val="center"/>
        </w:trPr>
        <w:tc>
          <w:tcPr>
            <w:tcW w:w="1134" w:type="dxa"/>
            <w:shd w:val="clear" w:color="auto" w:fill="auto"/>
            <w:noWrap/>
            <w:vAlign w:val="center"/>
            <w:hideMark/>
          </w:tcPr>
          <w:p w14:paraId="648D5360"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w:t>
            </w:r>
          </w:p>
        </w:tc>
        <w:tc>
          <w:tcPr>
            <w:tcW w:w="1134" w:type="dxa"/>
            <w:shd w:val="clear" w:color="auto" w:fill="auto"/>
            <w:noWrap/>
            <w:vAlign w:val="center"/>
            <w:hideMark/>
          </w:tcPr>
          <w:p w14:paraId="1CC48416"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33.95</w:t>
            </w:r>
          </w:p>
        </w:tc>
        <w:tc>
          <w:tcPr>
            <w:tcW w:w="1134" w:type="dxa"/>
            <w:shd w:val="clear" w:color="auto" w:fill="auto"/>
            <w:noWrap/>
            <w:vAlign w:val="center"/>
            <w:hideMark/>
          </w:tcPr>
          <w:p w14:paraId="3A0BFD49"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4.81</w:t>
            </w:r>
          </w:p>
        </w:tc>
      </w:tr>
      <w:tr w:rsidR="005655E1" w:rsidRPr="00844D31" w14:paraId="611CB7D7" w14:textId="77777777" w:rsidTr="001B51AB">
        <w:trPr>
          <w:trHeight w:val="460"/>
          <w:jc w:val="center"/>
        </w:trPr>
        <w:tc>
          <w:tcPr>
            <w:tcW w:w="1134" w:type="dxa"/>
            <w:shd w:val="clear" w:color="auto" w:fill="auto"/>
            <w:noWrap/>
            <w:vAlign w:val="center"/>
            <w:hideMark/>
          </w:tcPr>
          <w:p w14:paraId="28867DC5"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4</w:t>
            </w:r>
          </w:p>
        </w:tc>
        <w:tc>
          <w:tcPr>
            <w:tcW w:w="1134" w:type="dxa"/>
            <w:shd w:val="clear" w:color="auto" w:fill="auto"/>
            <w:noWrap/>
            <w:vAlign w:val="center"/>
            <w:hideMark/>
          </w:tcPr>
          <w:p w14:paraId="4A93C782"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33.62</w:t>
            </w:r>
          </w:p>
        </w:tc>
        <w:tc>
          <w:tcPr>
            <w:tcW w:w="1134" w:type="dxa"/>
            <w:shd w:val="clear" w:color="auto" w:fill="auto"/>
            <w:noWrap/>
            <w:vAlign w:val="center"/>
            <w:hideMark/>
          </w:tcPr>
          <w:p w14:paraId="22599102"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4.85</w:t>
            </w:r>
          </w:p>
        </w:tc>
      </w:tr>
      <w:tr w:rsidR="005655E1" w:rsidRPr="00844D31" w14:paraId="4025188C" w14:textId="77777777" w:rsidTr="001B51AB">
        <w:trPr>
          <w:trHeight w:val="460"/>
          <w:jc w:val="center"/>
        </w:trPr>
        <w:tc>
          <w:tcPr>
            <w:tcW w:w="1134" w:type="dxa"/>
            <w:shd w:val="clear" w:color="auto" w:fill="auto"/>
            <w:noWrap/>
            <w:vAlign w:val="center"/>
            <w:hideMark/>
          </w:tcPr>
          <w:p w14:paraId="25C5A333"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5</w:t>
            </w:r>
          </w:p>
        </w:tc>
        <w:tc>
          <w:tcPr>
            <w:tcW w:w="1134" w:type="dxa"/>
            <w:shd w:val="clear" w:color="auto" w:fill="auto"/>
            <w:noWrap/>
            <w:vAlign w:val="center"/>
            <w:hideMark/>
          </w:tcPr>
          <w:p w14:paraId="2A12AB2E"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34.31</w:t>
            </w:r>
          </w:p>
        </w:tc>
        <w:tc>
          <w:tcPr>
            <w:tcW w:w="1134" w:type="dxa"/>
            <w:shd w:val="clear" w:color="auto" w:fill="auto"/>
            <w:noWrap/>
            <w:vAlign w:val="center"/>
            <w:hideMark/>
          </w:tcPr>
          <w:p w14:paraId="293DBA69"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5.54</w:t>
            </w:r>
          </w:p>
        </w:tc>
      </w:tr>
      <w:tr w:rsidR="005655E1" w:rsidRPr="00844D31" w14:paraId="39D3096B" w14:textId="77777777" w:rsidTr="001B51AB">
        <w:trPr>
          <w:trHeight w:val="460"/>
          <w:jc w:val="center"/>
        </w:trPr>
        <w:tc>
          <w:tcPr>
            <w:tcW w:w="1134" w:type="dxa"/>
            <w:shd w:val="clear" w:color="auto" w:fill="auto"/>
            <w:noWrap/>
            <w:vAlign w:val="center"/>
            <w:hideMark/>
          </w:tcPr>
          <w:p w14:paraId="6A2B9ADC"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6</w:t>
            </w:r>
          </w:p>
        </w:tc>
        <w:tc>
          <w:tcPr>
            <w:tcW w:w="1134" w:type="dxa"/>
            <w:shd w:val="clear" w:color="auto" w:fill="auto"/>
            <w:noWrap/>
            <w:vAlign w:val="center"/>
            <w:hideMark/>
          </w:tcPr>
          <w:p w14:paraId="25E0C842"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33.95</w:t>
            </w:r>
          </w:p>
        </w:tc>
        <w:tc>
          <w:tcPr>
            <w:tcW w:w="1134" w:type="dxa"/>
            <w:shd w:val="clear" w:color="auto" w:fill="auto"/>
            <w:noWrap/>
            <w:vAlign w:val="center"/>
            <w:hideMark/>
          </w:tcPr>
          <w:p w14:paraId="3B6F59C1"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5.91</w:t>
            </w:r>
          </w:p>
        </w:tc>
      </w:tr>
      <w:tr w:rsidR="005655E1" w:rsidRPr="00844D31" w14:paraId="6F037F6D" w14:textId="77777777" w:rsidTr="001B51AB">
        <w:trPr>
          <w:trHeight w:val="460"/>
          <w:jc w:val="center"/>
        </w:trPr>
        <w:tc>
          <w:tcPr>
            <w:tcW w:w="1134" w:type="dxa"/>
            <w:shd w:val="clear" w:color="auto" w:fill="auto"/>
            <w:noWrap/>
            <w:vAlign w:val="center"/>
            <w:hideMark/>
          </w:tcPr>
          <w:p w14:paraId="701D3292"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7</w:t>
            </w:r>
          </w:p>
        </w:tc>
        <w:tc>
          <w:tcPr>
            <w:tcW w:w="1134" w:type="dxa"/>
            <w:shd w:val="clear" w:color="auto" w:fill="auto"/>
            <w:noWrap/>
            <w:vAlign w:val="center"/>
            <w:hideMark/>
          </w:tcPr>
          <w:p w14:paraId="2B2A100A"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33.10</w:t>
            </w:r>
          </w:p>
        </w:tc>
        <w:tc>
          <w:tcPr>
            <w:tcW w:w="1134" w:type="dxa"/>
            <w:shd w:val="clear" w:color="auto" w:fill="auto"/>
            <w:noWrap/>
            <w:vAlign w:val="center"/>
            <w:hideMark/>
          </w:tcPr>
          <w:p w14:paraId="07B612FF"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5.05</w:t>
            </w:r>
          </w:p>
        </w:tc>
      </w:tr>
      <w:tr w:rsidR="005655E1" w:rsidRPr="00844D31" w14:paraId="472617DA" w14:textId="77777777" w:rsidTr="001B51AB">
        <w:trPr>
          <w:trHeight w:val="460"/>
          <w:jc w:val="center"/>
        </w:trPr>
        <w:tc>
          <w:tcPr>
            <w:tcW w:w="1134" w:type="dxa"/>
            <w:shd w:val="clear" w:color="auto" w:fill="auto"/>
            <w:noWrap/>
            <w:vAlign w:val="center"/>
            <w:hideMark/>
          </w:tcPr>
          <w:p w14:paraId="743C5AAD"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8</w:t>
            </w:r>
          </w:p>
        </w:tc>
        <w:tc>
          <w:tcPr>
            <w:tcW w:w="1134" w:type="dxa"/>
            <w:shd w:val="clear" w:color="auto" w:fill="auto"/>
            <w:noWrap/>
            <w:vAlign w:val="center"/>
            <w:hideMark/>
          </w:tcPr>
          <w:p w14:paraId="4A6F9635"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34.06</w:t>
            </w:r>
          </w:p>
        </w:tc>
        <w:tc>
          <w:tcPr>
            <w:tcW w:w="1134" w:type="dxa"/>
            <w:shd w:val="clear" w:color="auto" w:fill="auto"/>
            <w:noWrap/>
            <w:vAlign w:val="center"/>
            <w:hideMark/>
          </w:tcPr>
          <w:p w14:paraId="35E256BB"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4.80</w:t>
            </w:r>
          </w:p>
        </w:tc>
      </w:tr>
      <w:tr w:rsidR="005655E1" w:rsidRPr="00844D31" w14:paraId="2C8AD132" w14:textId="77777777" w:rsidTr="001B51AB">
        <w:trPr>
          <w:trHeight w:val="460"/>
          <w:jc w:val="center"/>
        </w:trPr>
        <w:tc>
          <w:tcPr>
            <w:tcW w:w="1134" w:type="dxa"/>
            <w:shd w:val="clear" w:color="auto" w:fill="auto"/>
            <w:noWrap/>
            <w:vAlign w:val="center"/>
            <w:hideMark/>
          </w:tcPr>
          <w:p w14:paraId="1B6DF0D2"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9</w:t>
            </w:r>
          </w:p>
        </w:tc>
        <w:tc>
          <w:tcPr>
            <w:tcW w:w="1134" w:type="dxa"/>
            <w:shd w:val="clear" w:color="auto" w:fill="auto"/>
            <w:noWrap/>
            <w:vAlign w:val="center"/>
            <w:hideMark/>
          </w:tcPr>
          <w:p w14:paraId="63BC6DF8"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34.43</w:t>
            </w:r>
          </w:p>
        </w:tc>
        <w:tc>
          <w:tcPr>
            <w:tcW w:w="1134" w:type="dxa"/>
            <w:shd w:val="clear" w:color="auto" w:fill="auto"/>
            <w:noWrap/>
            <w:vAlign w:val="center"/>
            <w:hideMark/>
          </w:tcPr>
          <w:p w14:paraId="4ED3C073"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5.22</w:t>
            </w:r>
          </w:p>
        </w:tc>
      </w:tr>
      <w:tr w:rsidR="005655E1" w:rsidRPr="00844D31" w14:paraId="254DA3EC" w14:textId="77777777" w:rsidTr="001B51AB">
        <w:trPr>
          <w:trHeight w:val="460"/>
          <w:jc w:val="center"/>
        </w:trPr>
        <w:tc>
          <w:tcPr>
            <w:tcW w:w="1134" w:type="dxa"/>
            <w:shd w:val="clear" w:color="auto" w:fill="auto"/>
            <w:noWrap/>
            <w:vAlign w:val="center"/>
            <w:hideMark/>
          </w:tcPr>
          <w:p w14:paraId="648847B3"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10</w:t>
            </w:r>
          </w:p>
        </w:tc>
        <w:tc>
          <w:tcPr>
            <w:tcW w:w="1134" w:type="dxa"/>
            <w:shd w:val="clear" w:color="auto" w:fill="auto"/>
            <w:noWrap/>
            <w:vAlign w:val="center"/>
            <w:hideMark/>
          </w:tcPr>
          <w:p w14:paraId="5B338461"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34.16</w:t>
            </w:r>
          </w:p>
        </w:tc>
        <w:tc>
          <w:tcPr>
            <w:tcW w:w="1134" w:type="dxa"/>
            <w:shd w:val="clear" w:color="auto" w:fill="auto"/>
            <w:noWrap/>
            <w:vAlign w:val="center"/>
            <w:hideMark/>
          </w:tcPr>
          <w:p w14:paraId="626A5BB9"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4.74</w:t>
            </w:r>
          </w:p>
        </w:tc>
      </w:tr>
      <w:tr w:rsidR="005655E1" w:rsidRPr="00844D31" w14:paraId="5E1D76B8" w14:textId="77777777" w:rsidTr="001B51AB">
        <w:trPr>
          <w:trHeight w:val="460"/>
          <w:jc w:val="center"/>
        </w:trPr>
        <w:tc>
          <w:tcPr>
            <w:tcW w:w="1134" w:type="dxa"/>
            <w:shd w:val="clear" w:color="auto" w:fill="auto"/>
            <w:noWrap/>
            <w:vAlign w:val="center"/>
          </w:tcPr>
          <w:p w14:paraId="2E9654CD"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11</w:t>
            </w:r>
          </w:p>
        </w:tc>
        <w:tc>
          <w:tcPr>
            <w:tcW w:w="1134" w:type="dxa"/>
            <w:shd w:val="clear" w:color="auto" w:fill="auto"/>
            <w:noWrap/>
            <w:vAlign w:val="center"/>
          </w:tcPr>
          <w:p w14:paraId="583FFB90"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34.06</w:t>
            </w:r>
          </w:p>
        </w:tc>
        <w:tc>
          <w:tcPr>
            <w:tcW w:w="1134" w:type="dxa"/>
            <w:shd w:val="clear" w:color="auto" w:fill="auto"/>
            <w:noWrap/>
            <w:vAlign w:val="center"/>
          </w:tcPr>
          <w:p w14:paraId="29A29AE8"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4.91</w:t>
            </w:r>
          </w:p>
        </w:tc>
      </w:tr>
      <w:tr w:rsidR="005655E1" w:rsidRPr="00844D31" w14:paraId="0FD63EEC" w14:textId="77777777" w:rsidTr="001B51AB">
        <w:trPr>
          <w:trHeight w:val="460"/>
          <w:jc w:val="center"/>
        </w:trPr>
        <w:tc>
          <w:tcPr>
            <w:tcW w:w="1134" w:type="dxa"/>
            <w:shd w:val="clear" w:color="auto" w:fill="auto"/>
            <w:noWrap/>
            <w:vAlign w:val="center"/>
          </w:tcPr>
          <w:p w14:paraId="2B6052C7"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12</w:t>
            </w:r>
          </w:p>
        </w:tc>
        <w:tc>
          <w:tcPr>
            <w:tcW w:w="1134" w:type="dxa"/>
            <w:shd w:val="clear" w:color="auto" w:fill="auto"/>
            <w:noWrap/>
            <w:vAlign w:val="center"/>
          </w:tcPr>
          <w:p w14:paraId="29545F48"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34.80</w:t>
            </w:r>
          </w:p>
        </w:tc>
        <w:tc>
          <w:tcPr>
            <w:tcW w:w="1134" w:type="dxa"/>
            <w:shd w:val="clear" w:color="auto" w:fill="auto"/>
            <w:noWrap/>
            <w:vAlign w:val="center"/>
          </w:tcPr>
          <w:p w14:paraId="24D80F78"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4.97</w:t>
            </w:r>
          </w:p>
        </w:tc>
      </w:tr>
      <w:tr w:rsidR="005655E1" w:rsidRPr="00844D31" w14:paraId="28FF4288" w14:textId="77777777" w:rsidTr="001B51AB">
        <w:trPr>
          <w:trHeight w:val="460"/>
          <w:jc w:val="center"/>
        </w:trPr>
        <w:tc>
          <w:tcPr>
            <w:tcW w:w="1134" w:type="dxa"/>
            <w:shd w:val="clear" w:color="auto" w:fill="auto"/>
            <w:noWrap/>
            <w:vAlign w:val="center"/>
          </w:tcPr>
          <w:p w14:paraId="29388C6C"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13</w:t>
            </w:r>
          </w:p>
        </w:tc>
        <w:tc>
          <w:tcPr>
            <w:tcW w:w="1134" w:type="dxa"/>
            <w:shd w:val="clear" w:color="auto" w:fill="auto"/>
            <w:noWrap/>
            <w:vAlign w:val="center"/>
          </w:tcPr>
          <w:p w14:paraId="796FD6E9"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33.85</w:t>
            </w:r>
          </w:p>
        </w:tc>
        <w:tc>
          <w:tcPr>
            <w:tcW w:w="1134" w:type="dxa"/>
            <w:shd w:val="clear" w:color="auto" w:fill="auto"/>
            <w:noWrap/>
            <w:vAlign w:val="center"/>
          </w:tcPr>
          <w:p w14:paraId="52949404"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6.19</w:t>
            </w:r>
          </w:p>
        </w:tc>
      </w:tr>
      <w:tr w:rsidR="005655E1" w:rsidRPr="00844D31" w14:paraId="410DD147" w14:textId="77777777" w:rsidTr="001B51AB">
        <w:trPr>
          <w:trHeight w:val="460"/>
          <w:jc w:val="center"/>
        </w:trPr>
        <w:tc>
          <w:tcPr>
            <w:tcW w:w="1134" w:type="dxa"/>
            <w:shd w:val="clear" w:color="auto" w:fill="auto"/>
            <w:noWrap/>
            <w:vAlign w:val="center"/>
          </w:tcPr>
          <w:p w14:paraId="63A83684"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14</w:t>
            </w:r>
          </w:p>
        </w:tc>
        <w:tc>
          <w:tcPr>
            <w:tcW w:w="1134" w:type="dxa"/>
            <w:shd w:val="clear" w:color="auto" w:fill="auto"/>
            <w:noWrap/>
            <w:vAlign w:val="center"/>
          </w:tcPr>
          <w:p w14:paraId="4740615C"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33.04</w:t>
            </w:r>
          </w:p>
        </w:tc>
        <w:tc>
          <w:tcPr>
            <w:tcW w:w="1134" w:type="dxa"/>
            <w:shd w:val="clear" w:color="auto" w:fill="auto"/>
            <w:noWrap/>
            <w:vAlign w:val="center"/>
          </w:tcPr>
          <w:p w14:paraId="0BE3E67C"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5.21</w:t>
            </w:r>
          </w:p>
        </w:tc>
      </w:tr>
      <w:tr w:rsidR="005655E1" w:rsidRPr="00844D31" w14:paraId="21B57845" w14:textId="77777777" w:rsidTr="001B51AB">
        <w:trPr>
          <w:trHeight w:val="460"/>
          <w:jc w:val="center"/>
        </w:trPr>
        <w:tc>
          <w:tcPr>
            <w:tcW w:w="1134" w:type="dxa"/>
            <w:shd w:val="clear" w:color="auto" w:fill="auto"/>
            <w:noWrap/>
            <w:vAlign w:val="center"/>
          </w:tcPr>
          <w:p w14:paraId="4A226D67"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15</w:t>
            </w:r>
          </w:p>
        </w:tc>
        <w:tc>
          <w:tcPr>
            <w:tcW w:w="1134" w:type="dxa"/>
            <w:shd w:val="clear" w:color="auto" w:fill="auto"/>
            <w:noWrap/>
            <w:vAlign w:val="center"/>
          </w:tcPr>
          <w:p w14:paraId="25CBF5BE"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34.82</w:t>
            </w:r>
          </w:p>
        </w:tc>
        <w:tc>
          <w:tcPr>
            <w:tcW w:w="1134" w:type="dxa"/>
            <w:shd w:val="clear" w:color="auto" w:fill="auto"/>
            <w:noWrap/>
            <w:vAlign w:val="center"/>
          </w:tcPr>
          <w:p w14:paraId="1C9F2E07"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4.80</w:t>
            </w:r>
          </w:p>
        </w:tc>
      </w:tr>
      <w:tr w:rsidR="005655E1" w:rsidRPr="00844D31" w14:paraId="29EEE8DA" w14:textId="77777777" w:rsidTr="001B51AB">
        <w:trPr>
          <w:trHeight w:val="460"/>
          <w:jc w:val="center"/>
        </w:trPr>
        <w:tc>
          <w:tcPr>
            <w:tcW w:w="1134" w:type="dxa"/>
            <w:shd w:val="clear" w:color="auto" w:fill="auto"/>
            <w:noWrap/>
            <w:vAlign w:val="center"/>
          </w:tcPr>
          <w:p w14:paraId="49D3AB9C"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16</w:t>
            </w:r>
          </w:p>
        </w:tc>
        <w:tc>
          <w:tcPr>
            <w:tcW w:w="1134" w:type="dxa"/>
            <w:shd w:val="clear" w:color="auto" w:fill="auto"/>
            <w:noWrap/>
            <w:vAlign w:val="center"/>
          </w:tcPr>
          <w:p w14:paraId="586B5085"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33.42</w:t>
            </w:r>
          </w:p>
        </w:tc>
        <w:tc>
          <w:tcPr>
            <w:tcW w:w="1134" w:type="dxa"/>
            <w:shd w:val="clear" w:color="auto" w:fill="auto"/>
            <w:noWrap/>
            <w:vAlign w:val="center"/>
          </w:tcPr>
          <w:p w14:paraId="27FCD7C8"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4.80</w:t>
            </w:r>
          </w:p>
        </w:tc>
      </w:tr>
      <w:tr w:rsidR="005655E1" w:rsidRPr="00844D31" w14:paraId="3A5E2381" w14:textId="77777777" w:rsidTr="001B51AB">
        <w:trPr>
          <w:trHeight w:val="460"/>
          <w:jc w:val="center"/>
        </w:trPr>
        <w:tc>
          <w:tcPr>
            <w:tcW w:w="1134" w:type="dxa"/>
            <w:shd w:val="clear" w:color="auto" w:fill="auto"/>
            <w:noWrap/>
            <w:vAlign w:val="center"/>
          </w:tcPr>
          <w:p w14:paraId="4D67BAD4"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17</w:t>
            </w:r>
          </w:p>
        </w:tc>
        <w:tc>
          <w:tcPr>
            <w:tcW w:w="1134" w:type="dxa"/>
            <w:shd w:val="clear" w:color="auto" w:fill="auto"/>
            <w:noWrap/>
            <w:vAlign w:val="center"/>
          </w:tcPr>
          <w:p w14:paraId="1F77235F"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34.24</w:t>
            </w:r>
          </w:p>
        </w:tc>
        <w:tc>
          <w:tcPr>
            <w:tcW w:w="1134" w:type="dxa"/>
            <w:shd w:val="clear" w:color="auto" w:fill="auto"/>
            <w:noWrap/>
            <w:vAlign w:val="center"/>
          </w:tcPr>
          <w:p w14:paraId="3894AA83"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5.20</w:t>
            </w:r>
          </w:p>
        </w:tc>
      </w:tr>
      <w:tr w:rsidR="005655E1" w:rsidRPr="00844D31" w14:paraId="7158A1D4" w14:textId="77777777" w:rsidTr="001B51AB">
        <w:trPr>
          <w:trHeight w:val="460"/>
          <w:jc w:val="center"/>
        </w:trPr>
        <w:tc>
          <w:tcPr>
            <w:tcW w:w="1134" w:type="dxa"/>
            <w:shd w:val="clear" w:color="auto" w:fill="auto"/>
            <w:noWrap/>
            <w:vAlign w:val="center"/>
          </w:tcPr>
          <w:p w14:paraId="4884E361"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18</w:t>
            </w:r>
          </w:p>
        </w:tc>
        <w:tc>
          <w:tcPr>
            <w:tcW w:w="1134" w:type="dxa"/>
            <w:shd w:val="clear" w:color="auto" w:fill="auto"/>
            <w:noWrap/>
            <w:vAlign w:val="center"/>
          </w:tcPr>
          <w:p w14:paraId="2D13E013"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33.85</w:t>
            </w:r>
          </w:p>
        </w:tc>
        <w:tc>
          <w:tcPr>
            <w:tcW w:w="1134" w:type="dxa"/>
            <w:shd w:val="clear" w:color="auto" w:fill="auto"/>
            <w:noWrap/>
            <w:vAlign w:val="center"/>
          </w:tcPr>
          <w:p w14:paraId="6E87F897"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4.64</w:t>
            </w:r>
          </w:p>
        </w:tc>
      </w:tr>
      <w:tr w:rsidR="005655E1" w:rsidRPr="00844D31" w14:paraId="58693A85" w14:textId="77777777" w:rsidTr="001B51AB">
        <w:trPr>
          <w:trHeight w:val="460"/>
          <w:jc w:val="center"/>
        </w:trPr>
        <w:tc>
          <w:tcPr>
            <w:tcW w:w="1134" w:type="dxa"/>
            <w:shd w:val="clear" w:color="auto" w:fill="auto"/>
            <w:noWrap/>
            <w:vAlign w:val="center"/>
          </w:tcPr>
          <w:p w14:paraId="70452E49"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19</w:t>
            </w:r>
          </w:p>
        </w:tc>
        <w:tc>
          <w:tcPr>
            <w:tcW w:w="1134" w:type="dxa"/>
            <w:shd w:val="clear" w:color="auto" w:fill="auto"/>
            <w:noWrap/>
            <w:vAlign w:val="center"/>
          </w:tcPr>
          <w:p w14:paraId="290D927E"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32.68</w:t>
            </w:r>
          </w:p>
        </w:tc>
        <w:tc>
          <w:tcPr>
            <w:tcW w:w="1134" w:type="dxa"/>
            <w:shd w:val="clear" w:color="auto" w:fill="auto"/>
            <w:noWrap/>
            <w:vAlign w:val="center"/>
          </w:tcPr>
          <w:p w14:paraId="08B9BBE0"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4.65</w:t>
            </w:r>
          </w:p>
        </w:tc>
      </w:tr>
      <w:tr w:rsidR="005655E1" w:rsidRPr="00844D31" w14:paraId="483F3984" w14:textId="77777777" w:rsidTr="001B51AB">
        <w:trPr>
          <w:trHeight w:val="460"/>
          <w:jc w:val="center"/>
        </w:trPr>
        <w:tc>
          <w:tcPr>
            <w:tcW w:w="1134" w:type="dxa"/>
            <w:shd w:val="clear" w:color="auto" w:fill="auto"/>
            <w:noWrap/>
            <w:vAlign w:val="center"/>
          </w:tcPr>
          <w:p w14:paraId="57F6D85B"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20</w:t>
            </w:r>
          </w:p>
        </w:tc>
        <w:tc>
          <w:tcPr>
            <w:tcW w:w="1134" w:type="dxa"/>
            <w:shd w:val="clear" w:color="auto" w:fill="auto"/>
            <w:noWrap/>
            <w:vAlign w:val="center"/>
          </w:tcPr>
          <w:p w14:paraId="33D7054F"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34.13</w:t>
            </w:r>
          </w:p>
        </w:tc>
        <w:tc>
          <w:tcPr>
            <w:tcW w:w="1134" w:type="dxa"/>
            <w:shd w:val="clear" w:color="auto" w:fill="auto"/>
            <w:noWrap/>
            <w:vAlign w:val="center"/>
          </w:tcPr>
          <w:p w14:paraId="5AF370E7"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5.24</w:t>
            </w:r>
          </w:p>
        </w:tc>
      </w:tr>
      <w:tr w:rsidR="005655E1" w:rsidRPr="00844D31" w14:paraId="310A3489" w14:textId="77777777" w:rsidTr="001B51AB">
        <w:trPr>
          <w:trHeight w:val="460"/>
          <w:jc w:val="center"/>
        </w:trPr>
        <w:tc>
          <w:tcPr>
            <w:tcW w:w="1134" w:type="dxa"/>
            <w:shd w:val="clear" w:color="auto" w:fill="auto"/>
            <w:noWrap/>
            <w:vAlign w:val="center"/>
          </w:tcPr>
          <w:p w14:paraId="3C8E5080"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21</w:t>
            </w:r>
          </w:p>
        </w:tc>
        <w:tc>
          <w:tcPr>
            <w:tcW w:w="1134" w:type="dxa"/>
            <w:shd w:val="clear" w:color="auto" w:fill="auto"/>
            <w:noWrap/>
            <w:vAlign w:val="center"/>
          </w:tcPr>
          <w:p w14:paraId="3AB30648"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33.97</w:t>
            </w:r>
          </w:p>
        </w:tc>
        <w:tc>
          <w:tcPr>
            <w:tcW w:w="1134" w:type="dxa"/>
            <w:shd w:val="clear" w:color="auto" w:fill="auto"/>
            <w:noWrap/>
            <w:vAlign w:val="center"/>
          </w:tcPr>
          <w:p w14:paraId="0104D273"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5.20</w:t>
            </w:r>
          </w:p>
        </w:tc>
      </w:tr>
      <w:tr w:rsidR="005655E1" w:rsidRPr="00844D31" w14:paraId="24FB21AC" w14:textId="77777777" w:rsidTr="001B51AB">
        <w:trPr>
          <w:trHeight w:val="460"/>
          <w:jc w:val="center"/>
        </w:trPr>
        <w:tc>
          <w:tcPr>
            <w:tcW w:w="1134" w:type="dxa"/>
            <w:shd w:val="clear" w:color="auto" w:fill="auto"/>
            <w:noWrap/>
            <w:vAlign w:val="center"/>
          </w:tcPr>
          <w:p w14:paraId="6F8E2C6E"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22</w:t>
            </w:r>
          </w:p>
        </w:tc>
        <w:tc>
          <w:tcPr>
            <w:tcW w:w="1134" w:type="dxa"/>
            <w:shd w:val="clear" w:color="auto" w:fill="auto"/>
            <w:noWrap/>
            <w:vAlign w:val="center"/>
          </w:tcPr>
          <w:p w14:paraId="3C4B7A4D"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33.94</w:t>
            </w:r>
          </w:p>
        </w:tc>
        <w:tc>
          <w:tcPr>
            <w:tcW w:w="1134" w:type="dxa"/>
            <w:shd w:val="clear" w:color="auto" w:fill="auto"/>
            <w:noWrap/>
            <w:vAlign w:val="center"/>
          </w:tcPr>
          <w:p w14:paraId="369FA148"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5.39</w:t>
            </w:r>
          </w:p>
        </w:tc>
      </w:tr>
      <w:tr w:rsidR="005655E1" w:rsidRPr="00844D31" w14:paraId="1EA86A34" w14:textId="77777777" w:rsidTr="001B51AB">
        <w:trPr>
          <w:trHeight w:val="460"/>
          <w:jc w:val="center"/>
        </w:trPr>
        <w:tc>
          <w:tcPr>
            <w:tcW w:w="1134" w:type="dxa"/>
            <w:shd w:val="clear" w:color="auto" w:fill="auto"/>
            <w:noWrap/>
            <w:vAlign w:val="center"/>
          </w:tcPr>
          <w:p w14:paraId="51478725"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23</w:t>
            </w:r>
          </w:p>
        </w:tc>
        <w:tc>
          <w:tcPr>
            <w:tcW w:w="1134" w:type="dxa"/>
            <w:shd w:val="clear" w:color="auto" w:fill="auto"/>
            <w:noWrap/>
            <w:vAlign w:val="center"/>
          </w:tcPr>
          <w:p w14:paraId="4018711B"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34.11</w:t>
            </w:r>
          </w:p>
        </w:tc>
        <w:tc>
          <w:tcPr>
            <w:tcW w:w="1134" w:type="dxa"/>
            <w:shd w:val="clear" w:color="auto" w:fill="auto"/>
            <w:noWrap/>
            <w:vAlign w:val="center"/>
          </w:tcPr>
          <w:p w14:paraId="04B7EA69"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5.19</w:t>
            </w:r>
          </w:p>
        </w:tc>
      </w:tr>
      <w:tr w:rsidR="005655E1" w:rsidRPr="00844D31" w14:paraId="48BCC10D" w14:textId="77777777" w:rsidTr="001B51AB">
        <w:trPr>
          <w:trHeight w:val="460"/>
          <w:jc w:val="center"/>
        </w:trPr>
        <w:tc>
          <w:tcPr>
            <w:tcW w:w="1134" w:type="dxa"/>
            <w:shd w:val="clear" w:color="auto" w:fill="auto"/>
            <w:noWrap/>
            <w:vAlign w:val="center"/>
          </w:tcPr>
          <w:p w14:paraId="3DFF1F3D"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lastRenderedPageBreak/>
              <w:t>24</w:t>
            </w:r>
          </w:p>
        </w:tc>
        <w:tc>
          <w:tcPr>
            <w:tcW w:w="1134" w:type="dxa"/>
            <w:shd w:val="clear" w:color="auto" w:fill="auto"/>
            <w:noWrap/>
            <w:vAlign w:val="center"/>
          </w:tcPr>
          <w:p w14:paraId="7F5E3289"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32.90</w:t>
            </w:r>
          </w:p>
        </w:tc>
        <w:tc>
          <w:tcPr>
            <w:tcW w:w="1134" w:type="dxa"/>
            <w:shd w:val="clear" w:color="auto" w:fill="auto"/>
            <w:noWrap/>
            <w:vAlign w:val="center"/>
          </w:tcPr>
          <w:p w14:paraId="5BC5A7A1"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5.37</w:t>
            </w:r>
          </w:p>
        </w:tc>
      </w:tr>
      <w:tr w:rsidR="005655E1" w:rsidRPr="00844D31" w14:paraId="31D35ACE" w14:textId="77777777" w:rsidTr="001B51AB">
        <w:trPr>
          <w:trHeight w:val="460"/>
          <w:jc w:val="center"/>
        </w:trPr>
        <w:tc>
          <w:tcPr>
            <w:tcW w:w="1134" w:type="dxa"/>
            <w:shd w:val="clear" w:color="auto" w:fill="auto"/>
            <w:noWrap/>
            <w:vAlign w:val="center"/>
          </w:tcPr>
          <w:p w14:paraId="0C46E957"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25</w:t>
            </w:r>
          </w:p>
        </w:tc>
        <w:tc>
          <w:tcPr>
            <w:tcW w:w="1134" w:type="dxa"/>
            <w:shd w:val="clear" w:color="auto" w:fill="auto"/>
            <w:noWrap/>
            <w:vAlign w:val="center"/>
          </w:tcPr>
          <w:p w14:paraId="17726B60"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34.78</w:t>
            </w:r>
          </w:p>
        </w:tc>
        <w:tc>
          <w:tcPr>
            <w:tcW w:w="1134" w:type="dxa"/>
            <w:shd w:val="clear" w:color="auto" w:fill="auto"/>
            <w:noWrap/>
            <w:vAlign w:val="center"/>
          </w:tcPr>
          <w:p w14:paraId="1B8E0144"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4.56</w:t>
            </w:r>
          </w:p>
        </w:tc>
      </w:tr>
      <w:tr w:rsidR="005655E1" w:rsidRPr="00844D31" w14:paraId="34A5BF73" w14:textId="77777777" w:rsidTr="001B51AB">
        <w:trPr>
          <w:trHeight w:val="460"/>
          <w:jc w:val="center"/>
        </w:trPr>
        <w:tc>
          <w:tcPr>
            <w:tcW w:w="1134" w:type="dxa"/>
            <w:shd w:val="clear" w:color="auto" w:fill="auto"/>
            <w:noWrap/>
            <w:vAlign w:val="center"/>
          </w:tcPr>
          <w:p w14:paraId="144F6728"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26</w:t>
            </w:r>
          </w:p>
        </w:tc>
        <w:tc>
          <w:tcPr>
            <w:tcW w:w="1134" w:type="dxa"/>
            <w:shd w:val="clear" w:color="auto" w:fill="auto"/>
            <w:noWrap/>
            <w:vAlign w:val="center"/>
          </w:tcPr>
          <w:p w14:paraId="45352699"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33.15</w:t>
            </w:r>
          </w:p>
        </w:tc>
        <w:tc>
          <w:tcPr>
            <w:tcW w:w="1134" w:type="dxa"/>
            <w:shd w:val="clear" w:color="auto" w:fill="auto"/>
            <w:noWrap/>
            <w:vAlign w:val="center"/>
          </w:tcPr>
          <w:p w14:paraId="231696D9"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5.11</w:t>
            </w:r>
          </w:p>
        </w:tc>
      </w:tr>
      <w:tr w:rsidR="005655E1" w:rsidRPr="00844D31" w14:paraId="49FE9136" w14:textId="77777777" w:rsidTr="001B51AB">
        <w:trPr>
          <w:trHeight w:val="460"/>
          <w:jc w:val="center"/>
        </w:trPr>
        <w:tc>
          <w:tcPr>
            <w:tcW w:w="1134" w:type="dxa"/>
            <w:shd w:val="clear" w:color="auto" w:fill="auto"/>
            <w:noWrap/>
            <w:vAlign w:val="center"/>
          </w:tcPr>
          <w:p w14:paraId="55AE7698"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27</w:t>
            </w:r>
          </w:p>
        </w:tc>
        <w:tc>
          <w:tcPr>
            <w:tcW w:w="1134" w:type="dxa"/>
            <w:shd w:val="clear" w:color="auto" w:fill="auto"/>
            <w:noWrap/>
            <w:vAlign w:val="center"/>
          </w:tcPr>
          <w:p w14:paraId="21087A90"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33.70</w:t>
            </w:r>
          </w:p>
        </w:tc>
        <w:tc>
          <w:tcPr>
            <w:tcW w:w="1134" w:type="dxa"/>
            <w:shd w:val="clear" w:color="auto" w:fill="auto"/>
            <w:noWrap/>
            <w:vAlign w:val="center"/>
          </w:tcPr>
          <w:p w14:paraId="5D52BBE1"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5.34</w:t>
            </w:r>
          </w:p>
        </w:tc>
      </w:tr>
      <w:tr w:rsidR="005655E1" w:rsidRPr="00844D31" w14:paraId="6AD19771" w14:textId="77777777" w:rsidTr="001B51AB">
        <w:trPr>
          <w:trHeight w:val="460"/>
          <w:jc w:val="center"/>
        </w:trPr>
        <w:tc>
          <w:tcPr>
            <w:tcW w:w="1134" w:type="dxa"/>
            <w:shd w:val="clear" w:color="auto" w:fill="auto"/>
            <w:noWrap/>
            <w:vAlign w:val="center"/>
          </w:tcPr>
          <w:p w14:paraId="4615A2BA"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28</w:t>
            </w:r>
          </w:p>
        </w:tc>
        <w:tc>
          <w:tcPr>
            <w:tcW w:w="1134" w:type="dxa"/>
            <w:shd w:val="clear" w:color="auto" w:fill="auto"/>
            <w:noWrap/>
            <w:vAlign w:val="center"/>
          </w:tcPr>
          <w:p w14:paraId="471098CE"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33.53</w:t>
            </w:r>
          </w:p>
        </w:tc>
        <w:tc>
          <w:tcPr>
            <w:tcW w:w="1134" w:type="dxa"/>
            <w:shd w:val="clear" w:color="auto" w:fill="auto"/>
            <w:noWrap/>
            <w:vAlign w:val="center"/>
          </w:tcPr>
          <w:p w14:paraId="62C2EB81"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4.73</w:t>
            </w:r>
          </w:p>
        </w:tc>
      </w:tr>
      <w:tr w:rsidR="005655E1" w:rsidRPr="00844D31" w14:paraId="7399C89E" w14:textId="77777777" w:rsidTr="001B51AB">
        <w:trPr>
          <w:trHeight w:val="460"/>
          <w:jc w:val="center"/>
        </w:trPr>
        <w:tc>
          <w:tcPr>
            <w:tcW w:w="1134" w:type="dxa"/>
            <w:shd w:val="clear" w:color="auto" w:fill="auto"/>
            <w:noWrap/>
            <w:vAlign w:val="center"/>
          </w:tcPr>
          <w:p w14:paraId="05ABB341"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29</w:t>
            </w:r>
          </w:p>
        </w:tc>
        <w:tc>
          <w:tcPr>
            <w:tcW w:w="1134" w:type="dxa"/>
            <w:shd w:val="clear" w:color="auto" w:fill="auto"/>
            <w:noWrap/>
            <w:vAlign w:val="center"/>
          </w:tcPr>
          <w:p w14:paraId="270878FD"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33.34</w:t>
            </w:r>
          </w:p>
        </w:tc>
        <w:tc>
          <w:tcPr>
            <w:tcW w:w="1134" w:type="dxa"/>
            <w:shd w:val="clear" w:color="auto" w:fill="auto"/>
            <w:noWrap/>
            <w:vAlign w:val="center"/>
          </w:tcPr>
          <w:p w14:paraId="0B165A7B"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5.99</w:t>
            </w:r>
          </w:p>
        </w:tc>
      </w:tr>
      <w:tr w:rsidR="005655E1" w:rsidRPr="00844D31" w14:paraId="5A28544A" w14:textId="77777777" w:rsidTr="001B51AB">
        <w:trPr>
          <w:trHeight w:val="460"/>
          <w:jc w:val="center"/>
        </w:trPr>
        <w:tc>
          <w:tcPr>
            <w:tcW w:w="1134" w:type="dxa"/>
            <w:shd w:val="clear" w:color="auto" w:fill="auto"/>
            <w:noWrap/>
            <w:vAlign w:val="center"/>
          </w:tcPr>
          <w:p w14:paraId="6DB24E7B"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30</w:t>
            </w:r>
          </w:p>
        </w:tc>
        <w:tc>
          <w:tcPr>
            <w:tcW w:w="1134" w:type="dxa"/>
            <w:shd w:val="clear" w:color="auto" w:fill="auto"/>
            <w:noWrap/>
            <w:vAlign w:val="center"/>
          </w:tcPr>
          <w:p w14:paraId="6C79B2E7"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34.20</w:t>
            </w:r>
          </w:p>
        </w:tc>
        <w:tc>
          <w:tcPr>
            <w:tcW w:w="1134" w:type="dxa"/>
            <w:shd w:val="clear" w:color="auto" w:fill="auto"/>
            <w:noWrap/>
            <w:vAlign w:val="center"/>
          </w:tcPr>
          <w:p w14:paraId="13D12941" w14:textId="77777777" w:rsidR="005655E1" w:rsidRPr="00844D31" w:rsidRDefault="005655E1" w:rsidP="001B51AB">
            <w:pPr>
              <w:jc w:val="right"/>
              <w:rPr>
                <w:rFonts w:ascii="Times New Roman" w:eastAsia="Times New Roman" w:hAnsi="Times New Roman" w:cs="Times New Roman"/>
                <w:color w:val="000000"/>
              </w:rPr>
            </w:pPr>
            <w:r w:rsidRPr="00844D31">
              <w:rPr>
                <w:rFonts w:ascii="Times New Roman" w:eastAsia="Times New Roman" w:hAnsi="Times New Roman" w:cs="Times New Roman"/>
                <w:color w:val="000000"/>
              </w:rPr>
              <w:t>4.84</w:t>
            </w:r>
          </w:p>
        </w:tc>
      </w:tr>
    </w:tbl>
    <w:p w14:paraId="1D4534FC" w14:textId="77777777" w:rsidR="005655E1" w:rsidRPr="00932E2D" w:rsidRDefault="005655E1" w:rsidP="00932E2D">
      <w:pPr>
        <w:rPr>
          <w:rFonts w:ascii="Times New Roman" w:hAnsi="Times New Roman" w:cs="Times New Roman"/>
          <w:noProof w:val="0"/>
          <w:sz w:val="24"/>
          <w:szCs w:val="24"/>
        </w:rPr>
      </w:pPr>
    </w:p>
    <w:p w14:paraId="4A3C30C1" w14:textId="77777777" w:rsidR="00534040" w:rsidRPr="0060174B" w:rsidRDefault="00534040" w:rsidP="00932E2D">
      <w:pPr>
        <w:pStyle w:val="ListParagraph"/>
        <w:spacing w:line="480" w:lineRule="auto"/>
        <w:ind w:left="1080"/>
        <w:rPr>
          <w:rFonts w:ascii="Times New Roman" w:hAnsi="Times New Roman" w:cs="Times New Roman"/>
          <w:b/>
          <w:noProof w:val="0"/>
          <w:sz w:val="24"/>
          <w:szCs w:val="24"/>
        </w:rPr>
      </w:pPr>
    </w:p>
    <w:p w14:paraId="5B581CA4" w14:textId="5DD480A5" w:rsidR="00A017B6" w:rsidRDefault="00446781" w:rsidP="0573D6D8">
      <w:pPr>
        <w:spacing w:line="480" w:lineRule="auto"/>
        <w:rPr>
          <w:rFonts w:ascii="Times New Roman" w:hAnsi="Times New Roman" w:cs="Times New Roman"/>
          <w:noProof w:val="0"/>
          <w:sz w:val="24"/>
          <w:szCs w:val="24"/>
        </w:rPr>
      </w:pPr>
      <w:r>
        <w:rPr>
          <w:rFonts w:ascii="Times New Roman" w:hAnsi="Times New Roman" w:cs="Times New Roman"/>
          <w:noProof w:val="0"/>
          <w:sz w:val="24"/>
          <w:szCs w:val="24"/>
        </w:rPr>
        <w:t>Since a</w:t>
      </w:r>
      <w:r w:rsidR="00DE0B97">
        <w:rPr>
          <w:rFonts w:ascii="Times New Roman" w:hAnsi="Times New Roman" w:cs="Times New Roman"/>
          <w:noProof w:val="0"/>
          <w:sz w:val="24"/>
          <w:szCs w:val="24"/>
        </w:rPr>
        <w:t xml:space="preserve">ll of the above instances showed a reasonable </w:t>
      </w:r>
      <w:r w:rsidR="008649C8">
        <w:rPr>
          <w:rFonts w:ascii="Times New Roman" w:hAnsi="Times New Roman" w:cs="Times New Roman"/>
          <w:noProof w:val="0"/>
          <w:sz w:val="24"/>
          <w:szCs w:val="24"/>
        </w:rPr>
        <w:t xml:space="preserve">match with our target statistics, </w:t>
      </w:r>
      <w:r w:rsidR="008E2C8B">
        <w:rPr>
          <w:rFonts w:ascii="Times New Roman" w:hAnsi="Times New Roman" w:cs="Times New Roman"/>
          <w:noProof w:val="0"/>
          <w:sz w:val="24"/>
          <w:szCs w:val="24"/>
        </w:rPr>
        <w:t xml:space="preserve">one instance </w:t>
      </w:r>
      <w:r w:rsidR="001E4373">
        <w:rPr>
          <w:rFonts w:ascii="Times New Roman" w:hAnsi="Times New Roman" w:cs="Times New Roman"/>
          <w:noProof w:val="0"/>
          <w:sz w:val="24"/>
          <w:szCs w:val="24"/>
        </w:rPr>
        <w:t xml:space="preserve">was </w:t>
      </w:r>
      <w:r w:rsidR="008E2C8B">
        <w:rPr>
          <w:rFonts w:ascii="Times New Roman" w:hAnsi="Times New Roman" w:cs="Times New Roman"/>
          <w:noProof w:val="0"/>
          <w:sz w:val="24"/>
          <w:szCs w:val="24"/>
        </w:rPr>
        <w:t xml:space="preserve">randomly </w:t>
      </w:r>
      <w:r w:rsidR="001E4373">
        <w:rPr>
          <w:rFonts w:ascii="Times New Roman" w:hAnsi="Times New Roman" w:cs="Times New Roman"/>
          <w:noProof w:val="0"/>
          <w:sz w:val="24"/>
          <w:szCs w:val="24"/>
        </w:rPr>
        <w:t xml:space="preserve">chosen </w:t>
      </w:r>
      <w:r w:rsidR="008E2C8B">
        <w:rPr>
          <w:rFonts w:ascii="Times New Roman" w:hAnsi="Times New Roman" w:cs="Times New Roman"/>
          <w:noProof w:val="0"/>
          <w:sz w:val="24"/>
          <w:szCs w:val="24"/>
        </w:rPr>
        <w:t>(simulation</w:t>
      </w:r>
      <w:r w:rsidR="0010455A">
        <w:rPr>
          <w:rFonts w:ascii="Times New Roman" w:hAnsi="Times New Roman" w:cs="Times New Roman"/>
          <w:noProof w:val="0"/>
          <w:sz w:val="24"/>
          <w:szCs w:val="24"/>
        </w:rPr>
        <w:t xml:space="preserve"> </w:t>
      </w:r>
      <w:r w:rsidR="00586D4D">
        <w:rPr>
          <w:rFonts w:ascii="Times New Roman" w:hAnsi="Times New Roman" w:cs="Times New Roman"/>
          <w:noProof w:val="0"/>
          <w:sz w:val="24"/>
          <w:szCs w:val="24"/>
        </w:rPr>
        <w:t xml:space="preserve">number </w:t>
      </w:r>
      <w:r w:rsidR="0010455A">
        <w:rPr>
          <w:rFonts w:ascii="Times New Roman" w:hAnsi="Times New Roman" w:cs="Times New Roman"/>
          <w:noProof w:val="0"/>
          <w:sz w:val="24"/>
          <w:szCs w:val="24"/>
        </w:rPr>
        <w:t>8</w:t>
      </w:r>
      <w:r w:rsidR="00586D4D">
        <w:rPr>
          <w:rFonts w:ascii="Times New Roman" w:hAnsi="Times New Roman" w:cs="Times New Roman"/>
          <w:noProof w:val="0"/>
          <w:sz w:val="24"/>
          <w:szCs w:val="24"/>
        </w:rPr>
        <w:t xml:space="preserve"> from Table A.5</w:t>
      </w:r>
      <w:r w:rsidR="001E4373">
        <w:rPr>
          <w:rFonts w:ascii="Times New Roman" w:hAnsi="Times New Roman" w:cs="Times New Roman"/>
          <w:noProof w:val="0"/>
          <w:sz w:val="24"/>
          <w:szCs w:val="24"/>
        </w:rPr>
        <w:t>)</w:t>
      </w:r>
      <w:r w:rsidR="0010455A">
        <w:rPr>
          <w:rFonts w:ascii="Times New Roman" w:hAnsi="Times New Roman" w:cs="Times New Roman"/>
          <w:noProof w:val="0"/>
          <w:sz w:val="24"/>
          <w:szCs w:val="24"/>
        </w:rPr>
        <w:t xml:space="preserve"> for further </w:t>
      </w:r>
      <w:r w:rsidR="00F57604">
        <w:rPr>
          <w:rFonts w:ascii="Times New Roman" w:hAnsi="Times New Roman" w:cs="Times New Roman"/>
          <w:noProof w:val="0"/>
          <w:sz w:val="24"/>
          <w:szCs w:val="24"/>
        </w:rPr>
        <w:t xml:space="preserve">intervention </w:t>
      </w:r>
      <w:r w:rsidR="0010455A">
        <w:rPr>
          <w:rFonts w:ascii="Times New Roman" w:hAnsi="Times New Roman" w:cs="Times New Roman"/>
          <w:noProof w:val="0"/>
          <w:sz w:val="24"/>
          <w:szCs w:val="24"/>
        </w:rPr>
        <w:t xml:space="preserve">analysis. </w:t>
      </w:r>
      <w:r w:rsidR="008649C8">
        <w:rPr>
          <w:rFonts w:ascii="Times New Roman" w:hAnsi="Times New Roman" w:cs="Times New Roman"/>
          <w:noProof w:val="0"/>
          <w:sz w:val="24"/>
          <w:szCs w:val="24"/>
        </w:rPr>
        <w:t xml:space="preserve"> </w:t>
      </w:r>
    </w:p>
    <w:p w14:paraId="5567DF6B" w14:textId="4EA826D5" w:rsidR="006F629D" w:rsidRDefault="00111C2A" w:rsidP="000B44D1">
      <w:pPr>
        <w:pStyle w:val="Heading1"/>
      </w:pPr>
      <w:bookmarkStart w:id="15" w:name="_Toc3377343"/>
      <w:r>
        <w:t>A.</w:t>
      </w:r>
      <w:r w:rsidR="0573D6D8" w:rsidRPr="008413CA">
        <w:t>6</w:t>
      </w:r>
      <w:r w:rsidR="0573D6D8" w:rsidRPr="0573D6D8">
        <w:t xml:space="preserve"> Model Diagnostics</w:t>
      </w:r>
      <w:bookmarkEnd w:id="15"/>
    </w:p>
    <w:p w14:paraId="41D2EE79" w14:textId="77777777" w:rsidR="000B44D1" w:rsidRPr="000B44D1" w:rsidRDefault="000B44D1" w:rsidP="000B44D1"/>
    <w:p w14:paraId="5682DE15" w14:textId="0DEE6D44" w:rsidR="00DA156B" w:rsidRPr="00DA156B" w:rsidRDefault="0573D6D8" w:rsidP="0573D6D8">
      <w:pPr>
        <w:spacing w:line="480" w:lineRule="auto"/>
        <w:rPr>
          <w:rFonts w:ascii="Times New Roman" w:hAnsi="Times New Roman" w:cs="Times New Roman"/>
          <w:noProof w:val="0"/>
          <w:sz w:val="24"/>
          <w:szCs w:val="24"/>
        </w:rPr>
      </w:pPr>
      <w:r w:rsidRPr="0573D6D8">
        <w:rPr>
          <w:rFonts w:ascii="Times New Roman" w:hAnsi="Times New Roman" w:cs="Times New Roman"/>
          <w:noProof w:val="0"/>
          <w:sz w:val="24"/>
          <w:szCs w:val="24"/>
        </w:rPr>
        <w:t xml:space="preserve">A number of model outputs, described in the table below, </w:t>
      </w:r>
      <w:r w:rsidR="006E1CC9">
        <w:rPr>
          <w:rFonts w:ascii="Times New Roman" w:hAnsi="Times New Roman" w:cs="Times New Roman"/>
          <w:noProof w:val="0"/>
          <w:sz w:val="24"/>
          <w:szCs w:val="24"/>
        </w:rPr>
        <w:t xml:space="preserve">from the selected simulation above </w:t>
      </w:r>
      <w:r w:rsidRPr="0573D6D8">
        <w:rPr>
          <w:rFonts w:ascii="Times New Roman" w:hAnsi="Times New Roman" w:cs="Times New Roman"/>
          <w:noProof w:val="0"/>
          <w:sz w:val="24"/>
          <w:szCs w:val="24"/>
        </w:rPr>
        <w:t>were compared to empirically derived target values to verify that the model outputs provided a reasonable approximation of the processes included here.</w:t>
      </w:r>
    </w:p>
    <w:tbl>
      <w:tblPr>
        <w:tblStyle w:val="TableGrid"/>
        <w:tblW w:w="0" w:type="auto"/>
        <w:tblInd w:w="720" w:type="dxa"/>
        <w:tblLook w:val="04A0" w:firstRow="1" w:lastRow="0" w:firstColumn="1" w:lastColumn="0" w:noHBand="0" w:noVBand="1"/>
      </w:tblPr>
      <w:tblGrid>
        <w:gridCol w:w="2292"/>
        <w:gridCol w:w="2223"/>
        <w:gridCol w:w="2190"/>
        <w:gridCol w:w="1925"/>
      </w:tblGrid>
      <w:tr w:rsidR="00195D6A" w14:paraId="41AD69D8" w14:textId="05DF44A7" w:rsidTr="005A3C0B">
        <w:tc>
          <w:tcPr>
            <w:tcW w:w="8856" w:type="dxa"/>
            <w:gridSpan w:val="4"/>
            <w:vAlign w:val="bottom"/>
          </w:tcPr>
          <w:p w14:paraId="61596035" w14:textId="183CC955" w:rsidR="00195D6A" w:rsidRDefault="00195D6A" w:rsidP="005A3C0B">
            <w:pPr>
              <w:pStyle w:val="ListParagraph"/>
              <w:ind w:left="0"/>
              <w:rPr>
                <w:rFonts w:ascii="Times New Roman" w:hAnsi="Times New Roman" w:cs="Times New Roman"/>
                <w:b/>
                <w:bCs/>
                <w:noProof w:val="0"/>
                <w:sz w:val="22"/>
                <w:szCs w:val="22"/>
              </w:rPr>
            </w:pPr>
            <w:r>
              <w:rPr>
                <w:rFonts w:ascii="Times New Roman" w:hAnsi="Times New Roman" w:cs="Times New Roman"/>
                <w:b/>
                <w:bCs/>
                <w:noProof w:val="0"/>
                <w:sz w:val="22"/>
                <w:szCs w:val="22"/>
              </w:rPr>
              <w:t>Table A.6: Comparison of simulated and target values for key model inputs.</w:t>
            </w:r>
          </w:p>
        </w:tc>
      </w:tr>
      <w:tr w:rsidR="00581A74" w14:paraId="690CC487" w14:textId="3CCCAB2B" w:rsidTr="00955030">
        <w:tc>
          <w:tcPr>
            <w:tcW w:w="2349" w:type="dxa"/>
            <w:vAlign w:val="bottom"/>
          </w:tcPr>
          <w:p w14:paraId="3337BC27" w14:textId="77777777" w:rsidR="00581A74" w:rsidRPr="00B700F9" w:rsidRDefault="00581A74" w:rsidP="005A3C0B">
            <w:pPr>
              <w:pStyle w:val="ListParagraph"/>
              <w:ind w:left="0"/>
              <w:rPr>
                <w:rFonts w:ascii="Times New Roman" w:hAnsi="Times New Roman" w:cs="Times New Roman"/>
                <w:b/>
                <w:bCs/>
                <w:noProof w:val="0"/>
                <w:sz w:val="22"/>
                <w:szCs w:val="22"/>
              </w:rPr>
            </w:pPr>
            <w:r w:rsidRPr="0573D6D8">
              <w:rPr>
                <w:rFonts w:ascii="Times New Roman" w:hAnsi="Times New Roman" w:cs="Times New Roman"/>
                <w:b/>
                <w:bCs/>
                <w:noProof w:val="0"/>
                <w:sz w:val="22"/>
                <w:szCs w:val="22"/>
              </w:rPr>
              <w:t>Parameter</w:t>
            </w:r>
          </w:p>
        </w:tc>
        <w:tc>
          <w:tcPr>
            <w:tcW w:w="2284" w:type="dxa"/>
            <w:vAlign w:val="bottom"/>
          </w:tcPr>
          <w:p w14:paraId="7C39F04B" w14:textId="7C738F57" w:rsidR="00581A74" w:rsidRPr="00B700F9" w:rsidRDefault="00581A74" w:rsidP="005A3C0B">
            <w:pPr>
              <w:pStyle w:val="ListParagraph"/>
              <w:ind w:left="0"/>
              <w:rPr>
                <w:rFonts w:ascii="Times New Roman" w:hAnsi="Times New Roman" w:cs="Times New Roman"/>
                <w:b/>
                <w:bCs/>
                <w:noProof w:val="0"/>
                <w:sz w:val="22"/>
                <w:szCs w:val="22"/>
              </w:rPr>
            </w:pPr>
            <w:r w:rsidRPr="0573D6D8">
              <w:rPr>
                <w:rFonts w:ascii="Times New Roman" w:hAnsi="Times New Roman" w:cs="Times New Roman"/>
                <w:b/>
                <w:bCs/>
                <w:noProof w:val="0"/>
                <w:sz w:val="22"/>
                <w:szCs w:val="22"/>
              </w:rPr>
              <w:t>Simulated statistics</w:t>
            </w:r>
          </w:p>
        </w:tc>
        <w:tc>
          <w:tcPr>
            <w:tcW w:w="2258" w:type="dxa"/>
            <w:vAlign w:val="bottom"/>
          </w:tcPr>
          <w:p w14:paraId="55C45C10" w14:textId="0B20975F" w:rsidR="00581A74" w:rsidRPr="00B700F9" w:rsidRDefault="00581A74" w:rsidP="005A3C0B">
            <w:pPr>
              <w:pStyle w:val="ListParagraph"/>
              <w:ind w:left="0"/>
              <w:rPr>
                <w:rFonts w:ascii="Times New Roman" w:hAnsi="Times New Roman" w:cs="Times New Roman"/>
                <w:b/>
                <w:bCs/>
                <w:noProof w:val="0"/>
                <w:sz w:val="22"/>
                <w:szCs w:val="22"/>
              </w:rPr>
            </w:pPr>
            <w:r w:rsidRPr="0573D6D8">
              <w:rPr>
                <w:rFonts w:ascii="Times New Roman" w:hAnsi="Times New Roman" w:cs="Times New Roman"/>
                <w:b/>
                <w:bCs/>
                <w:noProof w:val="0"/>
                <w:sz w:val="22"/>
                <w:szCs w:val="22"/>
              </w:rPr>
              <w:t>Target statistics</w:t>
            </w:r>
          </w:p>
        </w:tc>
        <w:tc>
          <w:tcPr>
            <w:tcW w:w="1965" w:type="dxa"/>
            <w:vAlign w:val="bottom"/>
          </w:tcPr>
          <w:p w14:paraId="12CF6944" w14:textId="68045807" w:rsidR="00581A74" w:rsidRPr="0573D6D8" w:rsidRDefault="00581A74" w:rsidP="005A3C0B">
            <w:pPr>
              <w:pStyle w:val="ListParagraph"/>
              <w:ind w:left="0"/>
              <w:rPr>
                <w:rFonts w:ascii="Times New Roman" w:hAnsi="Times New Roman" w:cs="Times New Roman"/>
                <w:b/>
                <w:bCs/>
                <w:noProof w:val="0"/>
                <w:sz w:val="22"/>
                <w:szCs w:val="22"/>
              </w:rPr>
            </w:pPr>
            <w:r>
              <w:rPr>
                <w:rFonts w:ascii="Times New Roman" w:hAnsi="Times New Roman" w:cs="Times New Roman"/>
                <w:b/>
                <w:bCs/>
                <w:noProof w:val="0"/>
                <w:sz w:val="22"/>
                <w:szCs w:val="22"/>
              </w:rPr>
              <w:t>References</w:t>
            </w:r>
            <w:r w:rsidR="00DC6A1C">
              <w:rPr>
                <w:rFonts w:ascii="Times New Roman" w:hAnsi="Times New Roman" w:cs="Times New Roman"/>
                <w:b/>
                <w:bCs/>
                <w:noProof w:val="0"/>
                <w:sz w:val="22"/>
                <w:szCs w:val="22"/>
              </w:rPr>
              <w:t xml:space="preserve"> (for target statistics)</w:t>
            </w:r>
          </w:p>
        </w:tc>
      </w:tr>
      <w:tr w:rsidR="00831B2D" w14:paraId="42383F3D" w14:textId="3A06049C" w:rsidTr="00955030">
        <w:tc>
          <w:tcPr>
            <w:tcW w:w="2349" w:type="dxa"/>
            <w:vAlign w:val="bottom"/>
          </w:tcPr>
          <w:p w14:paraId="27BC7F6B" w14:textId="2CDE340C" w:rsidR="00831B2D" w:rsidRPr="008A4B10" w:rsidRDefault="00831B2D" w:rsidP="005A3C0B">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Mean number of main partnerships</w:t>
            </w:r>
          </w:p>
        </w:tc>
        <w:tc>
          <w:tcPr>
            <w:tcW w:w="2284" w:type="dxa"/>
            <w:vAlign w:val="bottom"/>
          </w:tcPr>
          <w:p w14:paraId="0570FD2C" w14:textId="231A60F5" w:rsidR="00831B2D" w:rsidRDefault="00831B2D" w:rsidP="005A3C0B">
            <w:pPr>
              <w:pStyle w:val="ListParagraph"/>
              <w:ind w:left="0"/>
              <w:rPr>
                <w:rFonts w:ascii="Times New Roman" w:hAnsi="Times New Roman" w:cs="Times New Roman"/>
                <w:b/>
                <w:bCs/>
                <w:noProof w:val="0"/>
                <w:sz w:val="22"/>
                <w:szCs w:val="22"/>
              </w:rPr>
            </w:pPr>
            <w:r w:rsidRPr="0573D6D8">
              <w:rPr>
                <w:rFonts w:ascii="Times New Roman" w:hAnsi="Times New Roman" w:cs="Times New Roman"/>
                <w:noProof w:val="0"/>
                <w:sz w:val="22"/>
                <w:szCs w:val="22"/>
              </w:rPr>
              <w:t>0.</w:t>
            </w:r>
            <w:r>
              <w:rPr>
                <w:rFonts w:ascii="Times New Roman" w:hAnsi="Times New Roman" w:cs="Times New Roman"/>
                <w:noProof w:val="0"/>
                <w:sz w:val="22"/>
                <w:szCs w:val="22"/>
              </w:rPr>
              <w:t>39</w:t>
            </w:r>
          </w:p>
        </w:tc>
        <w:tc>
          <w:tcPr>
            <w:tcW w:w="2258" w:type="dxa"/>
            <w:vAlign w:val="bottom"/>
          </w:tcPr>
          <w:p w14:paraId="5AAD3788" w14:textId="04D339BE" w:rsidR="00831B2D" w:rsidRPr="00745237" w:rsidRDefault="00831B2D" w:rsidP="005A3C0B">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0.38</w:t>
            </w:r>
          </w:p>
        </w:tc>
        <w:tc>
          <w:tcPr>
            <w:tcW w:w="1965" w:type="dxa"/>
            <w:vAlign w:val="bottom"/>
          </w:tcPr>
          <w:p w14:paraId="13EBA346" w14:textId="2DE6EC6C" w:rsidR="00831B2D" w:rsidRPr="0573D6D8" w:rsidRDefault="00831B2D" w:rsidP="005A3C0B">
            <w:pPr>
              <w:pStyle w:val="ListParagraph"/>
              <w:ind w:left="0"/>
              <w:rPr>
                <w:rFonts w:ascii="Times New Roman" w:hAnsi="Times New Roman" w:cs="Times New Roman"/>
                <w:noProof w:val="0"/>
                <w:sz w:val="22"/>
                <w:szCs w:val="22"/>
              </w:rPr>
            </w:pPr>
            <w:r w:rsidRPr="00200549">
              <w:fldChar w:fldCharType="begin" w:fldLock="1"/>
            </w:r>
            <w:r w:rsidR="002569A7">
              <w:instrText>ADDIN CSL_CITATION {"citationItems":[{"id":"ITEM-1","itemData":{"DOI":"10.1001/jamainternmed.2015.6536","ISSN":"2168-6114","PMID":"26571368","author":[{"dropping-particle":"","family":"Khanna","given":"Aditya S","non-dropping-particle":"","parse-names":false,"suffix":""},{"dropping-particle":"","family":"Michaels","given":"Stuart","non-dropping-particle":"","parse-names":false,"suffix":""},{"dropping-particle":"","family":"Skaathun","given":"Britt","non-dropping-particle":"","parse-names":false,"suffix":""},{"dropping-particle":"","family":"Morgan","given":"Ethan","non-dropping-particle":"","parse-names":false,"suffix":""},{"dropping-particle":"","family":"Green","given":"Keith","non-dropping-particle":"","parse-names":false,"suffix":""},{"dropping-particle":"","family":"Young","given":"Lindsay","non-dropping-particle":"","parse-names":false,"suffix":""},{"dropping-particle":"","family":"Schneider","given":"John A","non-dropping-particle":"","parse-names":false,"suffix":""},{"dropping-particle":"","family":"uConnect Study Team","given":"","non-dropping-particle":"","parse-names":false,"suffix":""}],"container-title":"JAMA internal medicine","id":"ITEM-1","issue":"1","issued":{"date-parts":[["2016","1","1"]]},"page":"136-8","title":"Preexposure Prophylaxis Awareness and Use in a Population-Based Sample of Young Black Men Who Have Sex With Men.","type":"article-journal","volume":"176"},"uris":["http://www.mendeley.com/documents/?uuid=bef9a2cc-c473-47ef-a5fd-8efebf8bacd9"]},{"id":"ITEM-2","itemData":{"DOI":"10.1017/nws.2016.27","ISSN":"2050-1242","abstract":"Critical to the development of improved HIV elimination efforts is a greater understanding of how social networks and their dynamics are related to HIV risk and prevention. In this paper, we examine network stability of confidant and sexual networks among young black men who have sex with men (YBMSM). We use data from uConnect (2013–2016), a population-based, longitudinal cohort study. We use an innovative approach to measure both sexual and confidant network stability at three time points, and examine the relationship between each type of stability and HIV risk and prevention behaviors. This approach is consistent with a co-evolutionary perspective in which behavior is not only affected by static properties of an individual's network, but may also be associated with changes in the topology of his or her egocentric network. Our results indicate that although confidant and sexual network stability are moderately correlated, their dynamics are distinct with different predictors and differing associations with behavior. Both types of stability are associated with lower rates of risk behaviors, and both are reduced among those who have spent time in jail. Public health awareness and engagement with both types of networks may provide new opportunities for HIV prevention interventions.","author":[{"dropping-particle":"","family":"Schneider","given":"J.","non-dropping-particle":"","parse-names":false,"suffix":""},{"dropping-particle":"","family":"Cornwell","given":"B.","non-dropping-particle":"","parse-names":false,"suffix":""},{"dropping-particle":"","family":"Jonas","given":"A.","non-dropping-particle":"","parse-names":false,"suffix":""},{"dropping-particle":"","family":"Lancki","given":"N.","non-dropping-particle":"","parse-names":false,"suffix":""},{"dropping-particle":"","family":"Behler","given":"R.","non-dropping-particle":"","parse-names":false,"suffix":""},{"dropping-particle":"","family":"Skaathun","given":"B.","non-dropping-particle":"","parse-names":false,"suffix":""},{"dropping-particle":"","family":"Young","given":"L. E.","non-dropping-particle":"","parse-names":false,"suffix":""},{"dropping-particle":"","family":"Morgan","given":"E.","non-dropping-particle":"","parse-names":false,"suffix":""},{"dropping-particle":"","family":"Michaels","given":"S.","non-dropping-particle":"","parse-names":false,"suffix":""},{"dropping-particle":"","family":"Duvosin","given":"R.","non-dropping-particle":"","parse-names":false,"suffix":""},{"dropping-particle":"","family":"Khanna","given":"A. S.","non-dropping-particle":"","parse-names":false,"suffix":""},{"dropping-particle":"","family":"Friedman","given":"S.","non-dropping-particle":"","parse-names":false,"suffix":""},{"dropping-particle":"","family":"Schumm","given":"P.","non-dropping-particle":"","parse-names":false,"suffix":""},{"dropping-particle":"","family":"Laumann","given":"E.","non-dropping-particle":"","parse-names":false,"suffix":""}],"container-title":"Network Science","id":"ITEM-2","issued":{"date-parts":[["2017","2","1"]]},"page":"1-29","title":"Network dynamics of HIV risk and prevention in a population-based cohort of young Black men who have sex with men","type":"article-journal"},"uris":["http://www.mendeley.com/documents/?uuid=8555ec92-af42-4c8d-82ce-7037a468896b"]}],"mendeley":{"formattedCitation":"[15,16]","plainTextFormattedCitation":"[15,16]","previouslyFormattedCitation":"[15,16]"},"properties":{"noteIndex":0},"schema":"https://github.com/citation-style-language/schema/raw/master/csl-citation.json"}</w:instrText>
            </w:r>
            <w:r w:rsidRPr="00200549">
              <w:fldChar w:fldCharType="separate"/>
            </w:r>
            <w:r w:rsidR="009B5FF9" w:rsidRPr="009B5FF9">
              <w:t>[15,16]</w:t>
            </w:r>
            <w:r w:rsidRPr="00200549">
              <w:fldChar w:fldCharType="end"/>
            </w:r>
          </w:p>
        </w:tc>
      </w:tr>
      <w:tr w:rsidR="00831B2D" w14:paraId="7BA74E98" w14:textId="51E37CA9" w:rsidTr="00955030">
        <w:tc>
          <w:tcPr>
            <w:tcW w:w="2349" w:type="dxa"/>
            <w:vAlign w:val="bottom"/>
          </w:tcPr>
          <w:p w14:paraId="38D0FC6A" w14:textId="71FAA41C" w:rsidR="00831B2D" w:rsidRPr="008A4B10" w:rsidRDefault="00831B2D" w:rsidP="005A3C0B">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Mean number of casual partnerships</w:t>
            </w:r>
          </w:p>
        </w:tc>
        <w:tc>
          <w:tcPr>
            <w:tcW w:w="2284" w:type="dxa"/>
            <w:vAlign w:val="bottom"/>
          </w:tcPr>
          <w:p w14:paraId="44704666" w14:textId="42311D66" w:rsidR="00831B2D" w:rsidRPr="00E45241" w:rsidRDefault="00831B2D" w:rsidP="005A3C0B">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0.46</w:t>
            </w:r>
          </w:p>
        </w:tc>
        <w:tc>
          <w:tcPr>
            <w:tcW w:w="2258" w:type="dxa"/>
            <w:vAlign w:val="bottom"/>
          </w:tcPr>
          <w:p w14:paraId="2249935E" w14:textId="5613771C" w:rsidR="00831B2D" w:rsidRPr="00CB0B32" w:rsidRDefault="00831B2D" w:rsidP="005A3C0B">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0.46</w:t>
            </w:r>
          </w:p>
        </w:tc>
        <w:tc>
          <w:tcPr>
            <w:tcW w:w="1965" w:type="dxa"/>
            <w:vAlign w:val="bottom"/>
          </w:tcPr>
          <w:p w14:paraId="1F323D22" w14:textId="665A7024" w:rsidR="00831B2D" w:rsidRPr="0573D6D8" w:rsidRDefault="00831B2D" w:rsidP="005A3C0B">
            <w:pPr>
              <w:pStyle w:val="ListParagraph"/>
              <w:ind w:left="0"/>
              <w:rPr>
                <w:rFonts w:ascii="Times New Roman" w:hAnsi="Times New Roman" w:cs="Times New Roman"/>
                <w:noProof w:val="0"/>
                <w:sz w:val="22"/>
                <w:szCs w:val="22"/>
              </w:rPr>
            </w:pPr>
            <w:r w:rsidRPr="00200549">
              <w:fldChar w:fldCharType="begin" w:fldLock="1"/>
            </w:r>
            <w:r w:rsidR="002569A7">
              <w:instrText>ADDIN CSL_CITATION {"citationItems":[{"id":"ITEM-1","itemData":{"DOI":"10.1001/jamainternmed.2015.6536","ISSN":"2168-6114","PMID":"26571368","author":[{"dropping-particle":"","family":"Khanna","given":"Aditya S","non-dropping-particle":"","parse-names":false,"suffix":""},{"dropping-particle":"","family":"Michaels","given":"Stuart","non-dropping-particle":"","parse-names":false,"suffix":""},{"dropping-particle":"","family":"Skaathun","given":"Britt","non-dropping-particle":"","parse-names":false,"suffix":""},{"dropping-particle":"","family":"Morgan","given":"Ethan","non-dropping-particle":"","parse-names":false,"suffix":""},{"dropping-particle":"","family":"Green","given":"Keith","non-dropping-particle":"","parse-names":false,"suffix":""},{"dropping-particle":"","family":"Young","given":"Lindsay","non-dropping-particle":"","parse-names":false,"suffix":""},{"dropping-particle":"","family":"Schneider","given":"John A","non-dropping-particle":"","parse-names":false,"suffix":""},{"dropping-particle":"","family":"uConnect Study Team","given":"","non-dropping-particle":"","parse-names":false,"suffix":""}],"container-title":"JAMA internal medicine","id":"ITEM-1","issue":"1","issued":{"date-parts":[["2016","1","1"]]},"page":"136-8","title":"Preexposure Prophylaxis Awareness and Use in a Population-Based Sample of Young Black Men Who Have Sex With Men.","type":"article-journal","volume":"176"},"uris":["http://www.mendeley.com/documents/?uuid=bef9a2cc-c473-47ef-a5fd-8efebf8bacd9"]},{"id":"ITEM-2","itemData":{"DOI":"10.1017/nws.2016.27","ISSN":"2050-1242","abstract":"Critical to the development of improved HIV elimination efforts is a greater understanding of how social networks and their dynamics are related to HIV risk and prevention. In this paper, we examine network stability of confidant and sexual networks among young black men who have sex with men (YBMSM). We use data from uConnect (2013–2016), a population-based, longitudinal cohort study. We use an innovative approach to measure both sexual and confidant network stability at three time points, and examine the relationship between each type of stability and HIV risk and prevention behaviors. This approach is consistent with a co-evolutionary perspective in which behavior is not only affected by static properties of an individual's network, but may also be associated with changes in the topology of his or her egocentric network. Our results indicate that although confidant and sexual network stability are moderately correlated, their dynamics are distinct with different predictors and differing associations with behavior. Both types of stability are associated with lower rates of risk behaviors, and both are reduced among those who have spent time in jail. Public health awareness and engagement with both types of networks may provide new opportunities for HIV prevention interventions.","author":[{"dropping-particle":"","family":"Schneider","given":"J.","non-dropping-particle":"","parse-names":false,"suffix":""},{"dropping-particle":"","family":"Cornwell","given":"B.","non-dropping-particle":"","parse-names":false,"suffix":""},{"dropping-particle":"","family":"Jonas","given":"A.","non-dropping-particle":"","parse-names":false,"suffix":""},{"dropping-particle":"","family":"Lancki","given":"N.","non-dropping-particle":"","parse-names":false,"suffix":""},{"dropping-particle":"","family":"Behler","given":"R.","non-dropping-particle":"","parse-names":false,"suffix":""},{"dropping-particle":"","family":"Skaathun","given":"B.","non-dropping-particle":"","parse-names":false,"suffix":""},{"dropping-particle":"","family":"Young","given":"L. E.","non-dropping-particle":"","parse-names":false,"suffix":""},{"dropping-particle":"","family":"Morgan","given":"E.","non-dropping-particle":"","parse-names":false,"suffix":""},{"dropping-particle":"","family":"Michaels","given":"S.","non-dropping-particle":"","parse-names":false,"suffix":""},{"dropping-particle":"","family":"Duvosin","given":"R.","non-dropping-particle":"","parse-names":false,"suffix":""},{"dropping-particle":"","family":"Khanna","given":"A. S.","non-dropping-particle":"","parse-names":false,"suffix":""},{"dropping-particle":"","family":"Friedman","given":"S.","non-dropping-particle":"","parse-names":false,"suffix":""},{"dropping-particle":"","family":"Schumm","given":"P.","non-dropping-particle":"","parse-names":false,"suffix":""},{"dropping-particle":"","family":"Laumann","given":"E.","non-dropping-particle":"","parse-names":false,"suffix":""}],"container-title":"Network Science","id":"ITEM-2","issued":{"date-parts":[["2017","2","1"]]},"page":"1-29","title":"Network dynamics of HIV risk and prevention in a population-based cohort of young Black men who have sex with men","type":"article-journal"},"uris":["http://www.mendeley.com/documents/?uuid=8555ec92-af42-4c8d-82ce-7037a468896b"]}],"mendeley":{"formattedCitation":"[15,16]","plainTextFormattedCitation":"[15,16]","previouslyFormattedCitation":"[15,16]"},"properties":{"noteIndex":0},"schema":"https://github.com/citation-style-language/schema/raw/master/csl-citation.json"}</w:instrText>
            </w:r>
            <w:r w:rsidRPr="00200549">
              <w:fldChar w:fldCharType="separate"/>
            </w:r>
            <w:r w:rsidR="009B5FF9" w:rsidRPr="009B5FF9">
              <w:t>[15,16]</w:t>
            </w:r>
            <w:r w:rsidRPr="00200549">
              <w:fldChar w:fldCharType="end"/>
            </w:r>
          </w:p>
        </w:tc>
      </w:tr>
      <w:tr w:rsidR="00831B2D" w14:paraId="05B3F18C" w14:textId="655FFDBE" w:rsidTr="00955030">
        <w:tc>
          <w:tcPr>
            <w:tcW w:w="2349" w:type="dxa"/>
            <w:vAlign w:val="bottom"/>
          </w:tcPr>
          <w:p w14:paraId="29DC4C68" w14:textId="1C0CA2CB" w:rsidR="00831B2D" w:rsidRPr="00B700F9" w:rsidRDefault="00831B2D" w:rsidP="005A3C0B">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Degree distribution for main partnerships</w:t>
            </w:r>
          </w:p>
        </w:tc>
        <w:tc>
          <w:tcPr>
            <w:tcW w:w="2284" w:type="dxa"/>
            <w:vAlign w:val="bottom"/>
          </w:tcPr>
          <w:p w14:paraId="036BF1B3" w14:textId="4FFB071E" w:rsidR="00831B2D" w:rsidRPr="00B700F9" w:rsidRDefault="00831B2D" w:rsidP="005A3C0B">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Degrees 0, 1, 2: 6</w:t>
            </w:r>
            <w:r>
              <w:rPr>
                <w:rFonts w:ascii="Times New Roman" w:hAnsi="Times New Roman" w:cs="Times New Roman"/>
                <w:noProof w:val="0"/>
                <w:sz w:val="22"/>
                <w:szCs w:val="22"/>
              </w:rPr>
              <w:t>2</w:t>
            </w:r>
            <w:r w:rsidRPr="0573D6D8">
              <w:rPr>
                <w:rFonts w:ascii="Times New Roman" w:hAnsi="Times New Roman" w:cs="Times New Roman"/>
                <w:noProof w:val="0"/>
                <w:sz w:val="22"/>
                <w:szCs w:val="22"/>
              </w:rPr>
              <w:t>%, 3</w:t>
            </w:r>
            <w:r>
              <w:rPr>
                <w:rFonts w:ascii="Times New Roman" w:hAnsi="Times New Roman" w:cs="Times New Roman"/>
                <w:noProof w:val="0"/>
                <w:sz w:val="22"/>
                <w:szCs w:val="22"/>
              </w:rPr>
              <w:t>7</w:t>
            </w:r>
            <w:r w:rsidRPr="0573D6D8">
              <w:rPr>
                <w:rFonts w:ascii="Times New Roman" w:hAnsi="Times New Roman" w:cs="Times New Roman"/>
                <w:noProof w:val="0"/>
                <w:sz w:val="22"/>
                <w:szCs w:val="22"/>
              </w:rPr>
              <w:t>%, 1%</w:t>
            </w:r>
          </w:p>
        </w:tc>
        <w:tc>
          <w:tcPr>
            <w:tcW w:w="2258" w:type="dxa"/>
            <w:vAlign w:val="bottom"/>
          </w:tcPr>
          <w:p w14:paraId="5F24112E" w14:textId="483BD61A" w:rsidR="00831B2D" w:rsidRPr="00B700F9" w:rsidRDefault="00831B2D" w:rsidP="005A3C0B">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Degrees 0, 1, 2: 6</w:t>
            </w:r>
            <w:r>
              <w:rPr>
                <w:rFonts w:ascii="Times New Roman" w:hAnsi="Times New Roman" w:cs="Times New Roman"/>
                <w:noProof w:val="0"/>
                <w:sz w:val="22"/>
                <w:szCs w:val="22"/>
              </w:rPr>
              <w:t>4</w:t>
            </w:r>
            <w:r w:rsidRPr="0573D6D8">
              <w:rPr>
                <w:rFonts w:ascii="Times New Roman" w:hAnsi="Times New Roman" w:cs="Times New Roman"/>
                <w:noProof w:val="0"/>
                <w:sz w:val="22"/>
                <w:szCs w:val="22"/>
              </w:rPr>
              <w:t>%, 34% 2%</w:t>
            </w:r>
          </w:p>
        </w:tc>
        <w:tc>
          <w:tcPr>
            <w:tcW w:w="1965" w:type="dxa"/>
            <w:vAlign w:val="bottom"/>
          </w:tcPr>
          <w:p w14:paraId="2E964B4D" w14:textId="30F28A19" w:rsidR="00831B2D" w:rsidRPr="0573D6D8" w:rsidRDefault="00831B2D" w:rsidP="005A3C0B">
            <w:pPr>
              <w:pStyle w:val="ListParagraph"/>
              <w:ind w:left="0"/>
              <w:rPr>
                <w:rFonts w:ascii="Times New Roman" w:hAnsi="Times New Roman" w:cs="Times New Roman"/>
                <w:noProof w:val="0"/>
                <w:sz w:val="22"/>
                <w:szCs w:val="22"/>
              </w:rPr>
            </w:pPr>
            <w:r w:rsidRPr="00200549">
              <w:fldChar w:fldCharType="begin" w:fldLock="1"/>
            </w:r>
            <w:r w:rsidR="002569A7">
              <w:instrText>ADDIN CSL_CITATION {"citationItems":[{"id":"ITEM-1","itemData":{"DOI":"10.1001/jamainternmed.2015.6536","ISSN":"2168-6114","PMID":"26571368","author":[{"dropping-particle":"","family":"Khanna","given":"Aditya S","non-dropping-particle":"","parse-names":false,"suffix":""},{"dropping-particle":"","family":"Michaels","given":"Stuart","non-dropping-particle":"","parse-names":false,"suffix":""},{"dropping-particle":"","family":"Skaathun","given":"Britt","non-dropping-particle":"","parse-names":false,"suffix":""},{"dropping-particle":"","family":"Morgan","given":"Ethan","non-dropping-particle":"","parse-names":false,"suffix":""},{"dropping-particle":"","family":"Green","given":"Keith","non-dropping-particle":"","parse-names":false,"suffix":""},{"dropping-particle":"","family":"Young","given":"Lindsay","non-dropping-particle":"","parse-names":false,"suffix":""},{"dropping-particle":"","family":"Schneider","given":"John A","non-dropping-particle":"","parse-names":false,"suffix":""},{"dropping-particle":"","family":"uConnect Study Team","given":"","non-dropping-particle":"","parse-names":false,"suffix":""}],"container-title":"JAMA internal medicine","id":"ITEM-1","issue":"1","issued":{"date-parts":[["2016","1","1"]]},"page":"136-8","title":"Preexposure Prophylaxis Awareness and Use in a Population-Based Sample of Young Black Men Who Have Sex With Men.","type":"article-journal","volume":"176"},"uris":["http://www.mendeley.com/documents/?uuid=bef9a2cc-c473-47ef-a5fd-8efebf8bacd9"]},{"id":"ITEM-2","itemData":{"DOI":"10.1017/nws.2016.27","ISSN":"2050-1242","abstract":"Critical to the development of improved HIV elimination efforts is a greater understanding of how social networks and their dynamics are related to HIV risk and prevention. In this paper, we examine network stability of confidant and sexual networks among young black men who have sex with men (YBMSM). We use data from uConnect (2013–2016), a population-based, longitudinal cohort study. We use an innovative approach to measure both sexual and confidant network stability at three time points, and examine the relationship between each type of stability and HIV risk and prevention behaviors. This approach is consistent with a co-evolutionary perspective in which behavior is not only affected by static properties of an individual's network, but may also be associated with changes in the topology of his or her egocentric network. Our results indicate that although confidant and sexual network stability are moderately correlated, their dynamics are distinct with different predictors and differing associations with behavior. Both types of stability are associated with lower rates of risk behaviors, and both are reduced among those who have spent time in jail. Public health awareness and engagement with both types of networks may provide new opportunities for HIV prevention interventions.","author":[{"dropping-particle":"","family":"Schneider","given":"J.","non-dropping-particle":"","parse-names":false,"suffix":""},{"dropping-particle":"","family":"Cornwell","given":"B.","non-dropping-particle":"","parse-names":false,"suffix":""},{"dropping-particle":"","family":"Jonas","given":"A.","non-dropping-particle":"","parse-names":false,"suffix":""},{"dropping-particle":"","family":"Lancki","given":"N.","non-dropping-particle":"","parse-names":false,"suffix":""},{"dropping-particle":"","family":"Behler","given":"R.","non-dropping-particle":"","parse-names":false,"suffix":""},{"dropping-particle":"","family":"Skaathun","given":"B.","non-dropping-particle":"","parse-names":false,"suffix":""},{"dropping-particle":"","family":"Young","given":"L. E.","non-dropping-particle":"","parse-names":false,"suffix":""},{"dropping-particle":"","family":"Morgan","given":"E.","non-dropping-particle":"","parse-names":false,"suffix":""},{"dropping-particle":"","family":"Michaels","given":"S.","non-dropping-particle":"","parse-names":false,"suffix":""},{"dropping-particle":"","family":"Duvosin","given":"R.","non-dropping-particle":"","parse-names":false,"suffix":""},{"dropping-particle":"","family":"Khanna","given":"A. S.","non-dropping-particle":"","parse-names":false,"suffix":""},{"dropping-particle":"","family":"Friedman","given":"S.","non-dropping-particle":"","parse-names":false,"suffix":""},{"dropping-particle":"","family":"Schumm","given":"P.","non-dropping-particle":"","parse-names":false,"suffix":""},{"dropping-particle":"","family":"Laumann","given":"E.","non-dropping-particle":"","parse-names":false,"suffix":""}],"container-title":"Network Science","id":"ITEM-2","issued":{"date-parts":[["2017","2","1"]]},"page":"1-29","title":"Network dynamics of HIV risk and prevention in a population-based cohort of young Black men who have sex with men","type":"article-journal"},"uris":["http://www.mendeley.com/documents/?uuid=8555ec92-af42-4c8d-82ce-7037a468896b"]}],"mendeley":{"formattedCitation":"[15,16]","plainTextFormattedCitation":"[15,16]","previouslyFormattedCitation":"[15,16]"},"properties":{"noteIndex":0},"schema":"https://github.com/citation-style-language/schema/raw/master/csl-citation.json"}</w:instrText>
            </w:r>
            <w:r w:rsidRPr="00200549">
              <w:fldChar w:fldCharType="separate"/>
            </w:r>
            <w:r w:rsidR="009B5FF9" w:rsidRPr="009B5FF9">
              <w:t>[15,16]</w:t>
            </w:r>
            <w:r w:rsidRPr="00200549">
              <w:fldChar w:fldCharType="end"/>
            </w:r>
          </w:p>
        </w:tc>
      </w:tr>
      <w:tr w:rsidR="00831B2D" w14:paraId="2E60A555" w14:textId="56D38451" w:rsidTr="00955030">
        <w:tc>
          <w:tcPr>
            <w:tcW w:w="2349" w:type="dxa"/>
            <w:vAlign w:val="bottom"/>
          </w:tcPr>
          <w:p w14:paraId="6346478C" w14:textId="2B7170D3" w:rsidR="00831B2D" w:rsidRPr="00B700F9" w:rsidRDefault="00831B2D" w:rsidP="005A3C0B">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Degree distribution for casual partnerships</w:t>
            </w:r>
          </w:p>
        </w:tc>
        <w:tc>
          <w:tcPr>
            <w:tcW w:w="2284" w:type="dxa"/>
            <w:vAlign w:val="bottom"/>
          </w:tcPr>
          <w:p w14:paraId="1A33AED6" w14:textId="24B9BFFC" w:rsidR="00831B2D" w:rsidRPr="00B700F9" w:rsidRDefault="00831B2D" w:rsidP="005A3C0B">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Degrees 0, 1, 2: 6</w:t>
            </w:r>
            <w:r>
              <w:rPr>
                <w:rFonts w:ascii="Times New Roman" w:hAnsi="Times New Roman" w:cs="Times New Roman"/>
                <w:noProof w:val="0"/>
                <w:sz w:val="22"/>
                <w:szCs w:val="22"/>
              </w:rPr>
              <w:t>0</w:t>
            </w:r>
            <w:r w:rsidRPr="0573D6D8">
              <w:rPr>
                <w:rFonts w:ascii="Times New Roman" w:hAnsi="Times New Roman" w:cs="Times New Roman"/>
                <w:noProof w:val="0"/>
                <w:sz w:val="22"/>
                <w:szCs w:val="22"/>
              </w:rPr>
              <w:t>%, 3</w:t>
            </w:r>
            <w:r>
              <w:rPr>
                <w:rFonts w:ascii="Times New Roman" w:hAnsi="Times New Roman" w:cs="Times New Roman"/>
                <w:noProof w:val="0"/>
                <w:sz w:val="22"/>
                <w:szCs w:val="22"/>
              </w:rPr>
              <w:t>3</w:t>
            </w:r>
            <w:r w:rsidRPr="0573D6D8">
              <w:rPr>
                <w:rFonts w:ascii="Times New Roman" w:hAnsi="Times New Roman" w:cs="Times New Roman"/>
                <w:noProof w:val="0"/>
                <w:sz w:val="22"/>
                <w:szCs w:val="22"/>
              </w:rPr>
              <w:t>%, 7%</w:t>
            </w:r>
          </w:p>
        </w:tc>
        <w:tc>
          <w:tcPr>
            <w:tcW w:w="2258" w:type="dxa"/>
            <w:vAlign w:val="bottom"/>
          </w:tcPr>
          <w:p w14:paraId="4BC70D93" w14:textId="6F4320E9" w:rsidR="00831B2D" w:rsidRPr="00B700F9" w:rsidRDefault="00831B2D" w:rsidP="005A3C0B">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Degrees 0, 1, 2: 59%, 32%, 7%</w:t>
            </w:r>
          </w:p>
        </w:tc>
        <w:tc>
          <w:tcPr>
            <w:tcW w:w="1965" w:type="dxa"/>
            <w:vAlign w:val="bottom"/>
          </w:tcPr>
          <w:p w14:paraId="0B87EBE0" w14:textId="00BC4327" w:rsidR="00831B2D" w:rsidRPr="0573D6D8" w:rsidRDefault="00831B2D" w:rsidP="005A3C0B">
            <w:pPr>
              <w:pStyle w:val="ListParagraph"/>
              <w:ind w:left="0"/>
              <w:rPr>
                <w:rFonts w:ascii="Times New Roman" w:hAnsi="Times New Roman" w:cs="Times New Roman"/>
                <w:noProof w:val="0"/>
                <w:sz w:val="22"/>
                <w:szCs w:val="22"/>
              </w:rPr>
            </w:pPr>
            <w:r w:rsidRPr="00200549">
              <w:fldChar w:fldCharType="begin" w:fldLock="1"/>
            </w:r>
            <w:r w:rsidR="002569A7">
              <w:instrText>ADDIN CSL_CITATION {"citationItems":[{"id":"ITEM-1","itemData":{"DOI":"10.1001/jamainternmed.2015.6536","ISSN":"2168-6114","PMID":"26571368","author":[{"dropping-particle":"","family":"Khanna","given":"Aditya S","non-dropping-particle":"","parse-names":false,"suffix":""},{"dropping-particle":"","family":"Michaels","given":"Stuart","non-dropping-particle":"","parse-names":false,"suffix":""},{"dropping-particle":"","family":"Skaathun","given":"Britt","non-dropping-particle":"","parse-names":false,"suffix":""},{"dropping-particle":"","family":"Morgan","given":"Ethan","non-dropping-particle":"","parse-names":false,"suffix":""},{"dropping-particle":"","family":"Green","given":"Keith","non-dropping-particle":"","parse-names":false,"suffix":""},{"dropping-particle":"","family":"Young","given":"Lindsay","non-dropping-particle":"","parse-names":false,"suffix":""},{"dropping-particle":"","family":"Schneider","given":"John A","non-dropping-particle":"","parse-names":false,"suffix":""},{"dropping-particle":"","family":"uConnect Study Team","given":"","non-dropping-particle":"","parse-names":false,"suffix":""}],"container-title":"JAMA internal medicine","id":"ITEM-1","issue":"1","issued":{"date-parts":[["2016","1","1"]]},"page":"136-8","title":"Preexposure Prophylaxis Awareness and Use in a Population-Based Sample of Young Black Men Who Have Sex With Men.","type":"article-journal","volume":"176"},"uris":["http://www.mendeley.com/documents/?uuid=bef9a2cc-c473-47ef-a5fd-8efebf8bacd9"]},{"id":"ITEM-2","itemData":{"DOI":"10.1017/nws.2016.27","ISSN":"2050-1242","abstract":"Critical to the development of improved HIV elimination efforts is a greater understanding of how social networks and their dynamics are related to HIV risk and prevention. In this paper, we examine network stability of confidant and sexual networks among young black men who have sex with men (YBMSM). We use data from uConnect (2013–2016), a population-based, longitudinal cohort study. We use an innovative approach to measure both sexual and confidant network stability at three time points, and examine the relationship between each type of stability and HIV risk and prevention behaviors. This approach is consistent with a co-evolutionary perspective in which behavior is not only affected by static properties of an individual's network, but may also be associated with changes in the topology of his or her egocentric network. Our results indicate that although confidant and sexual network stability are moderately correlated, their dynamics are distinct with different predictors and differing associations with behavior. Both types of stability are associated with lower rates of risk behaviors, and both are reduced among those who have spent time in jail. Public health awareness and engagement with both types of networks may provide new opportunities for HIV prevention interventions.","author":[{"dropping-particle":"","family":"Schneider","given":"J.","non-dropping-particle":"","parse-names":false,"suffix":""},{"dropping-particle":"","family":"Cornwell","given":"B.","non-dropping-particle":"","parse-names":false,"suffix":""},{"dropping-particle":"","family":"Jonas","given":"A.","non-dropping-particle":"","parse-names":false,"suffix":""},{"dropping-particle":"","family":"Lancki","given":"N.","non-dropping-particle":"","parse-names":false,"suffix":""},{"dropping-particle":"","family":"Behler","given":"R.","non-dropping-particle":"","parse-names":false,"suffix":""},{"dropping-particle":"","family":"Skaathun","given":"B.","non-dropping-particle":"","parse-names":false,"suffix":""},{"dropping-particle":"","family":"Young","given":"L. E.","non-dropping-particle":"","parse-names":false,"suffix":""},{"dropping-particle":"","family":"Morgan","given":"E.","non-dropping-particle":"","parse-names":false,"suffix":""},{"dropping-particle":"","family":"Michaels","given":"S.","non-dropping-particle":"","parse-names":false,"suffix":""},{"dropping-particle":"","family":"Duvosin","given":"R.","non-dropping-particle":"","parse-names":false,"suffix":""},{"dropping-particle":"","family":"Khanna","given":"A. S.","non-dropping-particle":"","parse-names":false,"suffix":""},{"dropping-particle":"","family":"Friedman","given":"S.","non-dropping-particle":"","parse-names":false,"suffix":""},{"dropping-particle":"","family":"Schumm","given":"P.","non-dropping-particle":"","parse-names":false,"suffix":""},{"dropping-particle":"","family":"Laumann","given":"E.","non-dropping-particle":"","parse-names":false,"suffix":""}],"container-title":"Network Science","id":"ITEM-2","issued":{"date-parts":[["2017","2","1"]]},"page":"1-29","title":"Network dynamics of HIV risk and prevention in a population-based cohort of young Black men who have sex with men","type":"article-journal"},"uris":["http://www.mendeley.com/documents/?uuid=8555ec92-af42-4c8d-82ce-7037a468896b"]}],"mendeley":{"formattedCitation":"[15,16]","plainTextFormattedCitation":"[15,16]","previouslyFormattedCitation":"[15,16]"},"properties":{"noteIndex":0},"schema":"https://github.com/citation-style-language/schema/raw/master/csl-citation.json"}</w:instrText>
            </w:r>
            <w:r w:rsidRPr="00200549">
              <w:fldChar w:fldCharType="separate"/>
            </w:r>
            <w:r w:rsidR="009B5FF9" w:rsidRPr="009B5FF9">
              <w:t>[15,16]</w:t>
            </w:r>
            <w:r w:rsidRPr="00200549">
              <w:fldChar w:fldCharType="end"/>
            </w:r>
          </w:p>
        </w:tc>
      </w:tr>
      <w:tr w:rsidR="00831B2D" w14:paraId="66FDAFED" w14:textId="787098AF" w:rsidTr="00955030">
        <w:tc>
          <w:tcPr>
            <w:tcW w:w="2349" w:type="dxa"/>
            <w:vAlign w:val="bottom"/>
          </w:tcPr>
          <w:p w14:paraId="4CB37B0E" w14:textId="31BF2919" w:rsidR="00831B2D" w:rsidRPr="00B700F9" w:rsidRDefault="00831B2D" w:rsidP="005A3C0B">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Mean duration of main partnerships</w:t>
            </w:r>
          </w:p>
        </w:tc>
        <w:tc>
          <w:tcPr>
            <w:tcW w:w="2284" w:type="dxa"/>
            <w:vAlign w:val="bottom"/>
          </w:tcPr>
          <w:p w14:paraId="1C84A560" w14:textId="777F8522" w:rsidR="00831B2D" w:rsidRPr="00B700F9" w:rsidRDefault="00831B2D" w:rsidP="005A3C0B">
            <w:pPr>
              <w:pStyle w:val="ListParagraph"/>
              <w:ind w:left="0"/>
              <w:rPr>
                <w:rFonts w:ascii="Times New Roman" w:hAnsi="Times New Roman" w:cs="Times New Roman"/>
                <w:noProof w:val="0"/>
                <w:sz w:val="22"/>
                <w:szCs w:val="22"/>
              </w:rPr>
            </w:pPr>
            <w:r>
              <w:rPr>
                <w:rFonts w:ascii="Times New Roman" w:hAnsi="Times New Roman" w:cs="Times New Roman"/>
                <w:noProof w:val="0"/>
                <w:sz w:val="22"/>
                <w:szCs w:val="22"/>
              </w:rPr>
              <w:t>522 days</w:t>
            </w:r>
          </w:p>
        </w:tc>
        <w:tc>
          <w:tcPr>
            <w:tcW w:w="2258" w:type="dxa"/>
            <w:vAlign w:val="bottom"/>
          </w:tcPr>
          <w:p w14:paraId="27C90CD3" w14:textId="232718D1" w:rsidR="00831B2D" w:rsidRPr="00B700F9" w:rsidRDefault="00831B2D" w:rsidP="005A3C0B">
            <w:pPr>
              <w:pStyle w:val="ListParagraph"/>
              <w:ind w:left="0"/>
              <w:rPr>
                <w:rFonts w:ascii="Times New Roman" w:hAnsi="Times New Roman" w:cs="Times New Roman"/>
                <w:noProof w:val="0"/>
                <w:sz w:val="22"/>
                <w:szCs w:val="22"/>
              </w:rPr>
            </w:pPr>
            <w:r>
              <w:rPr>
                <w:rFonts w:ascii="Times New Roman" w:hAnsi="Times New Roman" w:cs="Times New Roman"/>
                <w:noProof w:val="0"/>
                <w:sz w:val="22"/>
                <w:szCs w:val="22"/>
              </w:rPr>
              <w:t>512 days</w:t>
            </w:r>
          </w:p>
        </w:tc>
        <w:tc>
          <w:tcPr>
            <w:tcW w:w="1965" w:type="dxa"/>
            <w:vAlign w:val="bottom"/>
          </w:tcPr>
          <w:p w14:paraId="129E6724" w14:textId="66F8B641" w:rsidR="00831B2D" w:rsidRDefault="002569A7" w:rsidP="005A3C0B">
            <w:pPr>
              <w:pStyle w:val="ListParagraph"/>
              <w:ind w:left="0"/>
              <w:rPr>
                <w:rFonts w:ascii="Times New Roman" w:hAnsi="Times New Roman" w:cs="Times New Roman"/>
                <w:noProof w:val="0"/>
                <w:sz w:val="22"/>
                <w:szCs w:val="22"/>
              </w:rPr>
            </w:pPr>
            <w:r w:rsidRPr="002569A7">
              <w:rPr>
                <w:rFonts w:ascii="Times New Roman" w:hAnsi="Times New Roman" w:cs="Times New Roman"/>
                <w:noProof w:val="0"/>
                <w:sz w:val="24"/>
                <w:szCs w:val="24"/>
              </w:rPr>
              <w:fldChar w:fldCharType="begin" w:fldLock="1"/>
            </w:r>
            <w:r w:rsidR="00F9595F">
              <w:rPr>
                <w:rFonts w:ascii="Times New Roman" w:hAnsi="Times New Roman" w:cs="Times New Roman"/>
                <w:noProof w:val="0"/>
                <w:sz w:val="24"/>
                <w:szCs w:val="24"/>
              </w:rPr>
              <w:instrText>ADDIN CSL_CITATION {"citationItems":[{"id":"ITEM-1","itemData":{"DOI":"10.1097/QAD.0000000000001139","ISSN":"0269-9370","author":[{"dropping-particle":"","family":"Paz-Bailey","given":"Gabriela","non-dropping-particle":"","parse-names":false,"suffix":""},{"dropping-particle":"","family":"Mendoza","given":"Maria C.B.","non-dropping-particle":"","parse-names":false,"suffix":""},{"dropping-particle":"","family":"Finlayson","given":"Teresa","non-dropping-particle":"","parse-names":false,"suffix":""},{"dropping-particle":"","family":"Wejnert","given":"Cyprian","non-dropping-particle":"","parse-names":false,"suffix":""},{"dropping-particle":"","family":"Le","given":"Binh","non-dropping-particle":"","parse-names":false,"suffix":""},{"dropping-particle":"","family":"Rose","given":"Charles","non-dropping-particle":"","parse-names":false,"suffix":""},{"dropping-particle":"","family":"Raymond","given":"Henry Fisher","non-dropping-particle":"","parse-names":false,"suffix":""},{"dropping-particle":"","family":"Prejean","given":"Joseph","non-dropping-particle":"","parse-names":false,"suffix":""}],"container-title":"AIDS","id":"ITEM-1","issue":"12","issued":{"date-parts":[["2016","7"]]},"page":"1985-1990","title":"Trends in condom use among MSM in the United States","type":"article-journal","volume":"30"},"uris":["http://www.mendeley.com/documents/?uuid=397ef5f2-ce63-4ab1-95e2-508d72f794cc"]}],"mendeley":{"formattedCitation":"[18]","plainTextFormattedCitation":"[18]","previouslyFormattedCitation":"[18]"},"properties":{"noteIndex":0},"schema":"https://github.com/citation-style-language/schema/raw/master/csl-citation.json"}</w:instrText>
            </w:r>
            <w:r w:rsidRPr="002569A7">
              <w:rPr>
                <w:rFonts w:ascii="Times New Roman" w:hAnsi="Times New Roman" w:cs="Times New Roman"/>
                <w:noProof w:val="0"/>
                <w:sz w:val="24"/>
                <w:szCs w:val="24"/>
              </w:rPr>
              <w:fldChar w:fldCharType="separate"/>
            </w:r>
            <w:r w:rsidR="006F2C9A" w:rsidRPr="006F2C9A">
              <w:rPr>
                <w:rFonts w:ascii="Times New Roman" w:hAnsi="Times New Roman" w:cs="Times New Roman"/>
                <w:sz w:val="24"/>
                <w:szCs w:val="24"/>
              </w:rPr>
              <w:t>[18]</w:t>
            </w:r>
            <w:r w:rsidRPr="002569A7">
              <w:rPr>
                <w:rFonts w:ascii="Times New Roman" w:hAnsi="Times New Roman" w:cs="Times New Roman"/>
                <w:noProof w:val="0"/>
                <w:sz w:val="24"/>
                <w:szCs w:val="24"/>
              </w:rPr>
              <w:fldChar w:fldCharType="end"/>
            </w:r>
          </w:p>
        </w:tc>
      </w:tr>
      <w:tr w:rsidR="00831B2D" w14:paraId="5232EF7F" w14:textId="61E78367" w:rsidTr="00955030">
        <w:tc>
          <w:tcPr>
            <w:tcW w:w="2349" w:type="dxa"/>
            <w:vAlign w:val="bottom"/>
          </w:tcPr>
          <w:p w14:paraId="2D52F68F" w14:textId="58F83406" w:rsidR="00831B2D" w:rsidRPr="00B700F9" w:rsidRDefault="00831B2D" w:rsidP="005A3C0B">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Mean duration of casual partnerships</w:t>
            </w:r>
          </w:p>
        </w:tc>
        <w:tc>
          <w:tcPr>
            <w:tcW w:w="2284" w:type="dxa"/>
            <w:vAlign w:val="bottom"/>
          </w:tcPr>
          <w:p w14:paraId="62C98F28" w14:textId="103F7E2C" w:rsidR="00831B2D" w:rsidRPr="00B700F9" w:rsidRDefault="00831B2D" w:rsidP="005A3C0B">
            <w:pPr>
              <w:pStyle w:val="ListParagraph"/>
              <w:ind w:left="0"/>
              <w:rPr>
                <w:rFonts w:ascii="Times New Roman" w:hAnsi="Times New Roman" w:cs="Times New Roman"/>
                <w:noProof w:val="0"/>
                <w:sz w:val="22"/>
                <w:szCs w:val="22"/>
              </w:rPr>
            </w:pPr>
            <w:r>
              <w:rPr>
                <w:rFonts w:ascii="Times New Roman" w:hAnsi="Times New Roman" w:cs="Times New Roman"/>
                <w:noProof w:val="0"/>
                <w:sz w:val="22"/>
                <w:szCs w:val="22"/>
              </w:rPr>
              <w:t>161 days</w:t>
            </w:r>
          </w:p>
        </w:tc>
        <w:tc>
          <w:tcPr>
            <w:tcW w:w="2258" w:type="dxa"/>
            <w:vAlign w:val="bottom"/>
          </w:tcPr>
          <w:p w14:paraId="6985EF1C" w14:textId="305675D3" w:rsidR="00831B2D" w:rsidRPr="00B700F9" w:rsidRDefault="00831B2D" w:rsidP="005A3C0B">
            <w:pPr>
              <w:pStyle w:val="ListParagraph"/>
              <w:ind w:left="0"/>
              <w:rPr>
                <w:rFonts w:ascii="Times New Roman" w:hAnsi="Times New Roman" w:cs="Times New Roman"/>
                <w:noProof w:val="0"/>
                <w:sz w:val="22"/>
                <w:szCs w:val="22"/>
              </w:rPr>
            </w:pPr>
            <w:r>
              <w:rPr>
                <w:rFonts w:ascii="Times New Roman" w:hAnsi="Times New Roman" w:cs="Times New Roman"/>
                <w:noProof w:val="0"/>
                <w:sz w:val="22"/>
                <w:szCs w:val="22"/>
              </w:rPr>
              <w:t>160 days</w:t>
            </w:r>
          </w:p>
        </w:tc>
        <w:tc>
          <w:tcPr>
            <w:tcW w:w="1965" w:type="dxa"/>
            <w:vAlign w:val="bottom"/>
          </w:tcPr>
          <w:p w14:paraId="09A8F085" w14:textId="2A7AFBC3" w:rsidR="00831B2D" w:rsidRDefault="002569A7" w:rsidP="005A3C0B">
            <w:pPr>
              <w:pStyle w:val="ListParagraph"/>
              <w:ind w:left="0"/>
              <w:rPr>
                <w:rFonts w:ascii="Times New Roman" w:hAnsi="Times New Roman" w:cs="Times New Roman"/>
                <w:noProof w:val="0"/>
                <w:sz w:val="22"/>
                <w:szCs w:val="22"/>
              </w:rPr>
            </w:pPr>
            <w:r w:rsidRPr="002569A7">
              <w:fldChar w:fldCharType="begin" w:fldLock="1"/>
            </w:r>
            <w:r w:rsidR="00F9595F">
              <w:instrText>ADDIN CSL_CITATION {"citationItems":[{"id":"ITEM-1","itemData":{"DOI":"10.1097/QAD.0000000000001139","ISSN":"0269-9370","author":[{"dropping-particle":"","family":"Paz-Bailey","given":"Gabriela","non-dropping-particle":"","parse-names":false,"suffix":""},{"dropping-particle":"","family":"Mendoza","given":"Maria C.B.","non-dropping-particle":"","parse-names":false,"suffix":""},{"dropping-particle":"","family":"Finlayson","given":"Teresa","non-dropping-particle":"","parse-names":false,"suffix":""},{"dropping-particle":"","family":"Wejnert","given":"Cyprian","non-dropping-particle":"","parse-names":false,"suffix":""},{"dropping-particle":"","family":"Le","given":"Binh","non-dropping-particle":"","parse-names":false,"suffix":""},{"dropping-particle":"","family":"Rose","given":"Charles","non-dropping-particle":"","parse-names":false,"suffix":""},{"dropping-particle":"","family":"Raymond","given":"Henry Fisher","non-dropping-particle":"","parse-names":false,"suffix":""},{"dropping-particle":"","family":"Prejean","given":"Joseph","non-dropping-particle":"","parse-names":false,"suffix":""}],"container-title":"AIDS","id":"ITEM-1","issue":"12","issued":{"date-parts":[["2016","7"]]},"page":"1985-1990","title":"Trends in condom use among MSM in the United States","type":"article-journal","volume":"30"},"uris":["http://www.mendeley.com/documents/?uuid=397ef5f2-ce63-4ab1-95e2-508d72f794cc"]}],"mendeley":{"formattedCitation":"[18]","plainTextFormattedCitation":"[18]","previouslyFormattedCitation":"[18]"},"properties":{"noteIndex":0},"schema":"https://github.com/citation-style-language/schema/raw/master/csl-citation.json"}</w:instrText>
            </w:r>
            <w:r w:rsidRPr="002569A7">
              <w:fldChar w:fldCharType="separate"/>
            </w:r>
            <w:r w:rsidR="006F2C9A" w:rsidRPr="006F2C9A">
              <w:t>[18]</w:t>
            </w:r>
            <w:r w:rsidRPr="002569A7">
              <w:fldChar w:fldCharType="end"/>
            </w:r>
          </w:p>
        </w:tc>
      </w:tr>
      <w:tr w:rsidR="00831B2D" w14:paraId="28A681F0" w14:textId="311FD996" w:rsidTr="00955030">
        <w:tc>
          <w:tcPr>
            <w:tcW w:w="2349" w:type="dxa"/>
            <w:vAlign w:val="bottom"/>
          </w:tcPr>
          <w:p w14:paraId="766465AE" w14:textId="16D38DF6" w:rsidR="00831B2D" w:rsidRDefault="00831B2D" w:rsidP="005A3C0B">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Per cent HIV-negatives on PrEP</w:t>
            </w:r>
          </w:p>
        </w:tc>
        <w:tc>
          <w:tcPr>
            <w:tcW w:w="2284" w:type="dxa"/>
            <w:vAlign w:val="bottom"/>
          </w:tcPr>
          <w:p w14:paraId="049DB97A" w14:textId="70F5BD46" w:rsidR="00831B2D" w:rsidRPr="00B700F9" w:rsidRDefault="00831B2D" w:rsidP="005A3C0B">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1</w:t>
            </w:r>
            <w:r>
              <w:rPr>
                <w:rFonts w:ascii="Times New Roman" w:hAnsi="Times New Roman" w:cs="Times New Roman"/>
                <w:noProof w:val="0"/>
                <w:sz w:val="22"/>
                <w:szCs w:val="22"/>
              </w:rPr>
              <w:t>2</w:t>
            </w:r>
            <w:r w:rsidRPr="0573D6D8">
              <w:rPr>
                <w:rFonts w:ascii="Times New Roman" w:hAnsi="Times New Roman" w:cs="Times New Roman"/>
                <w:noProof w:val="0"/>
                <w:sz w:val="22"/>
                <w:szCs w:val="22"/>
              </w:rPr>
              <w:t>.</w:t>
            </w:r>
            <w:r>
              <w:rPr>
                <w:rFonts w:ascii="Times New Roman" w:hAnsi="Times New Roman" w:cs="Times New Roman"/>
                <w:noProof w:val="0"/>
                <w:sz w:val="22"/>
                <w:szCs w:val="22"/>
              </w:rPr>
              <w:t>8</w:t>
            </w:r>
            <w:r w:rsidRPr="0573D6D8">
              <w:rPr>
                <w:rFonts w:ascii="Times New Roman" w:hAnsi="Times New Roman" w:cs="Times New Roman"/>
                <w:noProof w:val="0"/>
                <w:sz w:val="22"/>
                <w:szCs w:val="22"/>
              </w:rPr>
              <w:t>%</w:t>
            </w:r>
          </w:p>
        </w:tc>
        <w:tc>
          <w:tcPr>
            <w:tcW w:w="2258" w:type="dxa"/>
            <w:vAlign w:val="bottom"/>
          </w:tcPr>
          <w:p w14:paraId="31E13B23" w14:textId="2B834A82" w:rsidR="00831B2D" w:rsidRPr="00B700F9" w:rsidRDefault="00831B2D" w:rsidP="005A3C0B">
            <w:pPr>
              <w:pStyle w:val="ListParagraph"/>
              <w:ind w:left="0"/>
              <w:rPr>
                <w:rFonts w:ascii="Times New Roman" w:hAnsi="Times New Roman" w:cs="Times New Roman"/>
                <w:noProof w:val="0"/>
                <w:sz w:val="22"/>
                <w:szCs w:val="22"/>
              </w:rPr>
            </w:pPr>
            <w:r w:rsidRPr="0573D6D8">
              <w:rPr>
                <w:rFonts w:ascii="Times New Roman" w:hAnsi="Times New Roman" w:cs="Times New Roman"/>
                <w:noProof w:val="0"/>
                <w:sz w:val="22"/>
                <w:szCs w:val="22"/>
              </w:rPr>
              <w:t>13.2%</w:t>
            </w:r>
          </w:p>
        </w:tc>
        <w:tc>
          <w:tcPr>
            <w:tcW w:w="1965" w:type="dxa"/>
            <w:vAlign w:val="bottom"/>
          </w:tcPr>
          <w:p w14:paraId="2DEB1CF8" w14:textId="42E554BC" w:rsidR="00831B2D" w:rsidRPr="0573D6D8" w:rsidRDefault="00831B2D" w:rsidP="005A3C0B">
            <w:pPr>
              <w:pStyle w:val="ListParagraph"/>
              <w:ind w:left="0"/>
              <w:rPr>
                <w:rFonts w:ascii="Times New Roman" w:hAnsi="Times New Roman" w:cs="Times New Roman"/>
                <w:noProof w:val="0"/>
                <w:sz w:val="22"/>
                <w:szCs w:val="22"/>
              </w:rPr>
            </w:pPr>
            <w:r w:rsidRPr="00200549">
              <w:fldChar w:fldCharType="begin" w:fldLock="1"/>
            </w:r>
            <w:r w:rsidR="002569A7">
              <w:instrText>ADDIN CSL_CITATION {"citationItems":[{"id":"ITEM-1","itemData":{"DOI":"10.1001/jamainternmed.2015.6536","ISSN":"2168-6114","PMID":"26571368","author":[{"dropping-particle":"","family":"Khanna","given":"Aditya S","non-dropping-particle":"","parse-names":false,"suffix":""},{"dropping-particle":"","family":"Michaels","given":"Stuart","non-dropping-particle":"","parse-names":false,"suffix":""},{"dropping-particle":"","family":"Skaathun","given":"Britt","non-dropping-particle":"","parse-names":false,"suffix":""},{"dropping-particle":"","family":"Morgan","given":"Ethan","non-dropping-particle":"","parse-names":false,"suffix":""},{"dropping-particle":"","family":"Green","given":"Keith","non-dropping-particle":"","parse-names":false,"suffix":""},{"dropping-particle":"","family":"Young","given":"Lindsay","non-dropping-particle":"","parse-names":false,"suffix":""},{"dropping-particle":"","family":"Schneider","given":"John A","non-dropping-particle":"","parse-names":false,"suffix":""},{"dropping-particle":"","family":"uConnect Study Team","given":"","non-dropping-particle":"","parse-names":false,"suffix":""}],"container-title":"JAMA internal medicine","id":"ITEM-1","issue":"1","issued":{"date-parts":[["2016","1","1"]]},"page":"136-8","title":"Preexposure Prophylaxis Awareness and Use in a Population-Based Sample of Young Black Men Who Have Sex With Men.","type":"article-journal","volume":"176"},"uris":["http://www.mendeley.com/documents/?uuid=bef9a2cc-c473-47ef-a5fd-8efebf8bacd9"]},{"id":"ITEM-2","itemData":{"DOI":"10.1017/nws.2016.27","ISSN":"2050-1242","abstract":"Critical to the development of improved HIV elimination efforts is a greater understanding of how social networks and their dynamics are related to HIV risk and prevention. In this paper, we examine network stability of confidant and sexual networks among young black men who have sex with men (YBMSM). We use data from uConnect (2013–2016), a population-based, longitudinal cohort study. We use an innovative approach to measure both sexual and confidant network stability at three time points, and examine the relationship between each type of stability and HIV risk and prevention behaviors. This approach is consistent with a co-evolutionary perspective in which behavior is not only affected by static properties of an individual's network, but may also be associated with changes in the topology of his or her egocentric network. Our results indicate that although confidant and sexual network stability are moderately correlated, their dynamics are distinct with different predictors and differing associations with behavior. Both types of stability are associated with lower rates of risk behaviors, and both are reduced among those who have spent time in jail. Public health awareness and engagement with both types of networks may provide new opportunities for HIV prevention interventions.","author":[{"dropping-particle":"","family":"Schneider","given":"J.","non-dropping-particle":"","parse-names":false,"suffix":""},{"dropping-particle":"","family":"Cornwell","given":"B.","non-dropping-particle":"","parse-names":false,"suffix":""},{"dropping-particle":"","family":"Jonas","given":"A.","non-dropping-particle":"","parse-names":false,"suffix":""},{"dropping-particle":"","family":"Lancki","given":"N.","non-dropping-particle":"","parse-names":false,"suffix":""},{"dropping-particle":"","family":"Behler","given":"R.","non-dropping-particle":"","parse-names":false,"suffix":""},{"dropping-particle":"","family":"Skaathun","given":"B.","non-dropping-particle":"","parse-names":false,"suffix":""},{"dropping-particle":"","family":"Young","given":"L. E.","non-dropping-particle":"","parse-names":false,"suffix":""},{"dropping-particle":"","family":"Morgan","given":"E.","non-dropping-particle":"","parse-names":false,"suffix":""},{"dropping-particle":"","family":"Michaels","given":"S.","non-dropping-particle":"","parse-names":false,"suffix":""},{"dropping-particle":"","family":"Duvosin","given":"R.","non-dropping-particle":"","parse-names":false,"suffix":""},{"dropping-particle":"","family":"Khanna","given":"A. S.","non-dropping-particle":"","parse-names":false,"suffix":""},{"dropping-particle":"","family":"Friedman","given":"S.","non-dropping-particle":"","parse-names":false,"suffix":""},{"dropping-particle":"","family":"Schumm","given":"P.","non-dropping-particle":"","parse-names":false,"suffix":""},{"dropping-particle":"","family":"Laumann","given":"E.","non-dropping-particle":"","parse-names":false,"suffix":""}],"container-title":"Network Science","id":"ITEM-2","issued":{"date-parts":[["2017","2","1"]]},"page":"1-29","title":"Network dynamics of HIV risk and prevention in a population-based cohort of young Black men who have sex with men","type":"article-journal"},"uris":["http://www.mendeley.com/documents/?uuid=8555ec92-af42-4c8d-82ce-7037a468896b"]}],"mendeley":{"formattedCitation":"[15,16]","plainTextFormattedCitation":"[15,16]","previouslyFormattedCitation":"[15,16]"},"properties":{"noteIndex":0},"schema":"https://github.com/citation-style-language/schema/raw/master/csl-citation.json"}</w:instrText>
            </w:r>
            <w:r w:rsidRPr="00200549">
              <w:fldChar w:fldCharType="separate"/>
            </w:r>
            <w:r w:rsidR="009B5FF9" w:rsidRPr="009B5FF9">
              <w:t>[15,16]</w:t>
            </w:r>
            <w:r w:rsidRPr="00200549">
              <w:fldChar w:fldCharType="end"/>
            </w:r>
          </w:p>
        </w:tc>
      </w:tr>
    </w:tbl>
    <w:p w14:paraId="7CBC05C2" w14:textId="77777777" w:rsidR="00903798" w:rsidRDefault="00903798" w:rsidP="0573D6D8">
      <w:pPr>
        <w:spacing w:line="480" w:lineRule="auto"/>
        <w:rPr>
          <w:rFonts w:ascii="Times New Roman" w:hAnsi="Times New Roman" w:cs="Times New Roman"/>
          <w:noProof w:val="0"/>
          <w:sz w:val="24"/>
          <w:szCs w:val="24"/>
        </w:rPr>
      </w:pPr>
    </w:p>
    <w:p w14:paraId="340D2922" w14:textId="09920760" w:rsidR="00903798" w:rsidRDefault="00111C2A" w:rsidP="000B44D1">
      <w:pPr>
        <w:pStyle w:val="Heading1"/>
      </w:pPr>
      <w:bookmarkStart w:id="16" w:name="_Toc3377344"/>
      <w:r>
        <w:lastRenderedPageBreak/>
        <w:t>A.</w:t>
      </w:r>
      <w:r w:rsidR="0573D6D8" w:rsidRPr="0573D6D8">
        <w:t>7 Simulating Interventions</w:t>
      </w:r>
      <w:bookmarkEnd w:id="16"/>
    </w:p>
    <w:p w14:paraId="5A49F53F" w14:textId="77777777" w:rsidR="000B44D1" w:rsidRPr="000B44D1" w:rsidRDefault="000B44D1" w:rsidP="000B44D1"/>
    <w:p w14:paraId="2F7C4FAB" w14:textId="53C0B1ED" w:rsidR="00710FC1" w:rsidRDefault="00BC62C7" w:rsidP="00BC62C7">
      <w:pPr>
        <w:spacing w:line="480" w:lineRule="auto"/>
        <w:rPr>
          <w:rFonts w:ascii="Times New Roman" w:hAnsi="Times New Roman" w:cs="Times New Roman"/>
          <w:sz w:val="24"/>
          <w:szCs w:val="24"/>
        </w:rPr>
      </w:pPr>
      <w:bookmarkStart w:id="17" w:name="_Toc3377345"/>
      <w:r w:rsidRPr="000B44D1">
        <w:rPr>
          <w:rStyle w:val="Heading2Char"/>
        </w:rPr>
        <w:t xml:space="preserve">A.7.1 </w:t>
      </w:r>
      <w:r w:rsidR="00DD37B8" w:rsidRPr="000B44D1">
        <w:rPr>
          <w:rStyle w:val="Heading2Char"/>
        </w:rPr>
        <w:t xml:space="preserve">Candidate </w:t>
      </w:r>
      <w:r w:rsidRPr="000B44D1">
        <w:rPr>
          <w:rStyle w:val="Heading2Char"/>
        </w:rPr>
        <w:t>PrEP intervention design</w:t>
      </w:r>
      <w:bookmarkEnd w:id="17"/>
      <w:r>
        <w:rPr>
          <w:rFonts w:ascii="Times New Roman" w:hAnsi="Times New Roman" w:cs="Times New Roman"/>
          <w:bCs/>
          <w:noProof w:val="0"/>
          <w:sz w:val="24"/>
          <w:szCs w:val="24"/>
        </w:rPr>
        <w:t xml:space="preserve">: </w:t>
      </w:r>
      <w:r w:rsidR="008C59E9">
        <w:rPr>
          <w:rFonts w:ascii="Times New Roman" w:hAnsi="Times New Roman" w:cs="Times New Roman"/>
          <w:sz w:val="24"/>
          <w:szCs w:val="24"/>
        </w:rPr>
        <w:t>Candidate</w:t>
      </w:r>
      <w:r w:rsidR="008C59E9" w:rsidRPr="005C44E0">
        <w:rPr>
          <w:rFonts w:ascii="Times New Roman" w:hAnsi="Times New Roman" w:cs="Times New Roman"/>
          <w:sz w:val="24"/>
          <w:szCs w:val="24"/>
        </w:rPr>
        <w:t xml:space="preserve"> PrEP </w:t>
      </w:r>
      <w:r w:rsidR="008743FF">
        <w:rPr>
          <w:rFonts w:ascii="Times New Roman" w:hAnsi="Times New Roman" w:cs="Times New Roman"/>
          <w:sz w:val="24"/>
          <w:szCs w:val="24"/>
        </w:rPr>
        <w:t>intervention strategies</w:t>
      </w:r>
      <w:r w:rsidR="008C59E9" w:rsidRPr="005C44E0">
        <w:rPr>
          <w:rFonts w:ascii="Times New Roman" w:hAnsi="Times New Roman" w:cs="Times New Roman"/>
          <w:sz w:val="24"/>
          <w:szCs w:val="24"/>
        </w:rPr>
        <w:t xml:space="preserve"> were </w:t>
      </w:r>
      <w:r w:rsidR="008C59E9">
        <w:rPr>
          <w:rFonts w:ascii="Times New Roman" w:hAnsi="Times New Roman" w:cs="Times New Roman"/>
          <w:sz w:val="24"/>
          <w:szCs w:val="24"/>
        </w:rPr>
        <w:t xml:space="preserve">selected from ongoing interventions supported by health departments and </w:t>
      </w:r>
      <w:r w:rsidR="008C59E9" w:rsidRPr="005C44E0">
        <w:rPr>
          <w:rFonts w:ascii="Times New Roman" w:hAnsi="Times New Roman" w:cs="Times New Roman"/>
          <w:sz w:val="24"/>
          <w:szCs w:val="24"/>
        </w:rPr>
        <w:t xml:space="preserve">organized across two axes: </w:t>
      </w:r>
      <w:r w:rsidR="008C59E9">
        <w:rPr>
          <w:rFonts w:ascii="Times New Roman" w:hAnsi="Times New Roman" w:cs="Times New Roman"/>
          <w:sz w:val="24"/>
          <w:szCs w:val="24"/>
        </w:rPr>
        <w:t>(I</w:t>
      </w:r>
      <w:r w:rsidR="008C59E9" w:rsidRPr="005C44E0">
        <w:rPr>
          <w:rFonts w:ascii="Times New Roman" w:hAnsi="Times New Roman" w:cs="Times New Roman"/>
          <w:sz w:val="24"/>
          <w:szCs w:val="24"/>
        </w:rPr>
        <w:t xml:space="preserve">) </w:t>
      </w:r>
      <w:r w:rsidR="00F37F84">
        <w:rPr>
          <w:rFonts w:ascii="Times New Roman" w:hAnsi="Times New Roman" w:cs="Times New Roman"/>
          <w:sz w:val="24"/>
          <w:szCs w:val="24"/>
        </w:rPr>
        <w:t xml:space="preserve">PrEP </w:t>
      </w:r>
      <w:r w:rsidR="008C59E9" w:rsidRPr="005C44E0">
        <w:rPr>
          <w:rFonts w:ascii="Times New Roman" w:hAnsi="Times New Roman" w:cs="Times New Roman"/>
          <w:sz w:val="24"/>
          <w:szCs w:val="24"/>
        </w:rPr>
        <w:t>continuum stage (</w:t>
      </w:r>
      <w:r w:rsidR="008C59E9">
        <w:rPr>
          <w:rFonts w:ascii="Times New Roman" w:hAnsi="Times New Roman" w:cs="Times New Roman"/>
          <w:sz w:val="24"/>
          <w:szCs w:val="24"/>
        </w:rPr>
        <w:t>initiation and retention); and (II</w:t>
      </w:r>
      <w:r w:rsidR="008C59E9" w:rsidRPr="005C44E0">
        <w:rPr>
          <w:rFonts w:ascii="Times New Roman" w:hAnsi="Times New Roman" w:cs="Times New Roman"/>
          <w:sz w:val="24"/>
          <w:szCs w:val="24"/>
        </w:rPr>
        <w:t xml:space="preserve">) </w:t>
      </w:r>
      <w:r w:rsidR="008C59E9">
        <w:rPr>
          <w:rFonts w:ascii="Times New Roman" w:hAnsi="Times New Roman" w:cs="Times New Roman"/>
          <w:sz w:val="24"/>
          <w:szCs w:val="24"/>
        </w:rPr>
        <w:t xml:space="preserve">sex </w:t>
      </w:r>
      <w:r w:rsidR="008C59E9" w:rsidRPr="005C44E0">
        <w:rPr>
          <w:rFonts w:ascii="Times New Roman" w:hAnsi="Times New Roman" w:cs="Times New Roman"/>
          <w:sz w:val="24"/>
          <w:szCs w:val="24"/>
        </w:rPr>
        <w:t>network targeted (serodiscordant partner</w:t>
      </w:r>
      <w:r w:rsidR="008C59E9">
        <w:rPr>
          <w:rFonts w:ascii="Times New Roman" w:hAnsi="Times New Roman" w:cs="Times New Roman"/>
          <w:sz w:val="24"/>
          <w:szCs w:val="24"/>
        </w:rPr>
        <w:t>s</w:t>
      </w:r>
      <w:r w:rsidR="008C59E9" w:rsidRPr="005C44E0">
        <w:rPr>
          <w:rFonts w:ascii="Times New Roman" w:hAnsi="Times New Roman" w:cs="Times New Roman"/>
          <w:sz w:val="24"/>
          <w:szCs w:val="24"/>
        </w:rPr>
        <w:t xml:space="preserve"> and </w:t>
      </w:r>
      <w:r w:rsidR="008C59E9">
        <w:rPr>
          <w:rFonts w:ascii="Times New Roman" w:hAnsi="Times New Roman" w:cs="Times New Roman"/>
          <w:sz w:val="24"/>
          <w:szCs w:val="24"/>
        </w:rPr>
        <w:t>network</w:t>
      </w:r>
      <w:r w:rsidR="008C59E9" w:rsidRPr="005C44E0">
        <w:rPr>
          <w:rFonts w:ascii="Times New Roman" w:hAnsi="Times New Roman" w:cs="Times New Roman"/>
          <w:sz w:val="24"/>
          <w:szCs w:val="24"/>
        </w:rPr>
        <w:t xml:space="preserve"> </w:t>
      </w:r>
      <w:r w:rsidR="008C59E9">
        <w:rPr>
          <w:rFonts w:ascii="Times New Roman" w:hAnsi="Times New Roman" w:cs="Times New Roman"/>
          <w:sz w:val="24"/>
          <w:szCs w:val="24"/>
        </w:rPr>
        <w:t>position</w:t>
      </w:r>
      <w:r w:rsidR="008C59E9" w:rsidRPr="005C44E0">
        <w:rPr>
          <w:rFonts w:ascii="Times New Roman" w:hAnsi="Times New Roman" w:cs="Times New Roman"/>
          <w:sz w:val="24"/>
          <w:szCs w:val="24"/>
        </w:rPr>
        <w:t>).</w:t>
      </w:r>
      <w:r w:rsidR="000F3E9A">
        <w:rPr>
          <w:rFonts w:ascii="Times New Roman" w:hAnsi="Times New Roman" w:cs="Times New Roman"/>
          <w:sz w:val="24"/>
          <w:szCs w:val="24"/>
        </w:rPr>
        <w:t xml:space="preserve"> </w:t>
      </w:r>
      <w:r w:rsidR="000E6FD3">
        <w:rPr>
          <w:rFonts w:ascii="Times New Roman" w:hAnsi="Times New Roman" w:cs="Times New Roman"/>
          <w:sz w:val="24"/>
          <w:szCs w:val="24"/>
        </w:rPr>
        <w:t>These specific interventio</w:t>
      </w:r>
      <w:r w:rsidR="005B5B3C">
        <w:rPr>
          <w:rFonts w:ascii="Times New Roman" w:hAnsi="Times New Roman" w:cs="Times New Roman"/>
          <w:sz w:val="24"/>
          <w:szCs w:val="24"/>
        </w:rPr>
        <w:t>n</w:t>
      </w:r>
      <w:r w:rsidR="000E6FD3">
        <w:rPr>
          <w:rFonts w:ascii="Times New Roman" w:hAnsi="Times New Roman" w:cs="Times New Roman"/>
          <w:sz w:val="24"/>
          <w:szCs w:val="24"/>
        </w:rPr>
        <w:t>s</w:t>
      </w:r>
      <w:r w:rsidR="005B5B3C">
        <w:rPr>
          <w:rFonts w:ascii="Times New Roman" w:hAnsi="Times New Roman" w:cs="Times New Roman"/>
          <w:sz w:val="24"/>
          <w:szCs w:val="24"/>
        </w:rPr>
        <w:t xml:space="preserve"> were considered given input from GTZ </w:t>
      </w:r>
      <w:r w:rsidR="00126557">
        <w:rPr>
          <w:rFonts w:ascii="Times New Roman" w:hAnsi="Times New Roman" w:cs="Times New Roman"/>
          <w:sz w:val="24"/>
          <w:szCs w:val="24"/>
        </w:rPr>
        <w:t>I</w:t>
      </w:r>
      <w:r w:rsidR="005B5B3C">
        <w:rPr>
          <w:rFonts w:ascii="Times New Roman" w:hAnsi="Times New Roman" w:cs="Times New Roman"/>
          <w:sz w:val="24"/>
          <w:szCs w:val="24"/>
        </w:rPr>
        <w:t xml:space="preserve">llinois. </w:t>
      </w:r>
      <w:r w:rsidR="00EF606F">
        <w:rPr>
          <w:rFonts w:ascii="Times New Roman" w:hAnsi="Times New Roman" w:cs="Times New Roman"/>
          <w:sz w:val="24"/>
          <w:szCs w:val="24"/>
        </w:rPr>
        <w:t>E</w:t>
      </w:r>
      <w:r w:rsidRPr="005C44E0">
        <w:rPr>
          <w:rFonts w:ascii="Times New Roman" w:hAnsi="Times New Roman" w:cs="Times New Roman"/>
          <w:sz w:val="24"/>
          <w:szCs w:val="24"/>
        </w:rPr>
        <w:t>arly discussions</w:t>
      </w:r>
      <w:r>
        <w:rPr>
          <w:rFonts w:ascii="Times New Roman" w:hAnsi="Times New Roman" w:cs="Times New Roman"/>
          <w:sz w:val="24"/>
          <w:szCs w:val="24"/>
        </w:rPr>
        <w:t xml:space="preserve"> within GTZ Illinois</w:t>
      </w:r>
      <w:r w:rsidRPr="005C44E0">
        <w:rPr>
          <w:rFonts w:ascii="Times New Roman" w:hAnsi="Times New Roman" w:cs="Times New Roman"/>
          <w:sz w:val="24"/>
          <w:szCs w:val="24"/>
        </w:rPr>
        <w:t xml:space="preserve"> </w:t>
      </w:r>
      <w:r>
        <w:rPr>
          <w:rFonts w:ascii="Times New Roman" w:hAnsi="Times New Roman" w:cs="Times New Roman"/>
          <w:sz w:val="24"/>
          <w:szCs w:val="24"/>
        </w:rPr>
        <w:t xml:space="preserve">considered </w:t>
      </w:r>
      <w:r w:rsidRPr="005C44E0">
        <w:rPr>
          <w:rFonts w:ascii="Times New Roman" w:hAnsi="Times New Roman" w:cs="Times New Roman"/>
          <w:sz w:val="24"/>
          <w:szCs w:val="24"/>
        </w:rPr>
        <w:t xml:space="preserve">adherence interventions which are commonly </w:t>
      </w:r>
      <w:r>
        <w:rPr>
          <w:rFonts w:ascii="Times New Roman" w:hAnsi="Times New Roman" w:cs="Times New Roman"/>
          <w:sz w:val="24"/>
          <w:szCs w:val="24"/>
        </w:rPr>
        <w:t>modeled;</w:t>
      </w:r>
      <w:r w:rsidRPr="005C44E0">
        <w:rPr>
          <w:rFonts w:ascii="Times New Roman" w:hAnsi="Times New Roman" w:cs="Times New Roman"/>
          <w:sz w:val="24"/>
          <w:szCs w:val="24"/>
        </w:rPr>
        <w:t xml:space="preserve"> however, given that rates of initiation and retention in care are low and are a requirement for downstream adherence</w:t>
      </w:r>
      <w:r>
        <w:rPr>
          <w:rFonts w:ascii="Times New Roman" w:hAnsi="Times New Roman" w:cs="Times New Roman"/>
          <w:sz w:val="24"/>
          <w:szCs w:val="24"/>
        </w:rPr>
        <w:t>,</w:t>
      </w:r>
      <w:r w:rsidRPr="005C44E0">
        <w:rPr>
          <w:rFonts w:ascii="Times New Roman" w:hAnsi="Times New Roman" w:cs="Times New Roman"/>
          <w:sz w:val="24"/>
          <w:szCs w:val="24"/>
        </w:rPr>
        <w:t xml:space="preserve"> </w:t>
      </w:r>
      <w:r>
        <w:rPr>
          <w:rFonts w:ascii="Times New Roman" w:hAnsi="Times New Roman" w:cs="Times New Roman"/>
          <w:sz w:val="24"/>
          <w:szCs w:val="24"/>
        </w:rPr>
        <w:t xml:space="preserve">the focus in this paper </w:t>
      </w:r>
      <w:r w:rsidR="00946566">
        <w:rPr>
          <w:rFonts w:ascii="Times New Roman" w:hAnsi="Times New Roman" w:cs="Times New Roman"/>
          <w:sz w:val="24"/>
          <w:szCs w:val="24"/>
        </w:rPr>
        <w:t>wa</w:t>
      </w:r>
      <w:r>
        <w:rPr>
          <w:rFonts w:ascii="Times New Roman" w:hAnsi="Times New Roman" w:cs="Times New Roman"/>
          <w:sz w:val="24"/>
          <w:szCs w:val="24"/>
        </w:rPr>
        <w:t>s</w:t>
      </w:r>
      <w:r w:rsidRPr="005C44E0">
        <w:rPr>
          <w:rFonts w:ascii="Times New Roman" w:hAnsi="Times New Roman" w:cs="Times New Roman"/>
          <w:sz w:val="24"/>
          <w:szCs w:val="24"/>
        </w:rPr>
        <w:t xml:space="preserve"> </w:t>
      </w:r>
      <w:r w:rsidR="00946566">
        <w:rPr>
          <w:rFonts w:ascii="Times New Roman" w:hAnsi="Times New Roman" w:cs="Times New Roman"/>
          <w:sz w:val="24"/>
          <w:szCs w:val="24"/>
        </w:rPr>
        <w:t xml:space="preserve">shifted to PrEP </w:t>
      </w:r>
      <w:r w:rsidRPr="005C44E0">
        <w:rPr>
          <w:rFonts w:ascii="Times New Roman" w:hAnsi="Times New Roman" w:cs="Times New Roman"/>
          <w:sz w:val="24"/>
          <w:szCs w:val="24"/>
        </w:rPr>
        <w:t>initiation and retention</w:t>
      </w:r>
      <w:r>
        <w:rPr>
          <w:rFonts w:ascii="Times New Roman" w:hAnsi="Times New Roman" w:cs="Times New Roman"/>
          <w:sz w:val="24"/>
          <w:szCs w:val="24"/>
        </w:rPr>
        <w:t xml:space="preserve">. </w:t>
      </w:r>
    </w:p>
    <w:p w14:paraId="4231B07D" w14:textId="347F9D6B" w:rsidR="00BC62C7" w:rsidRDefault="00BC62C7" w:rsidP="007E0D19">
      <w:pPr>
        <w:spacing w:line="480" w:lineRule="auto"/>
        <w:ind w:firstLine="720"/>
        <w:rPr>
          <w:rFonts w:ascii="Times New Roman" w:hAnsi="Times New Roman" w:cs="Times New Roman"/>
          <w:sz w:val="24"/>
          <w:szCs w:val="24"/>
        </w:rPr>
      </w:pPr>
      <w:r w:rsidRPr="005C44E0">
        <w:rPr>
          <w:rFonts w:ascii="Times New Roman" w:hAnsi="Times New Roman" w:cs="Times New Roman"/>
          <w:sz w:val="24"/>
          <w:szCs w:val="24"/>
        </w:rPr>
        <w:t xml:space="preserve">PrEP </w:t>
      </w:r>
      <w:r>
        <w:rPr>
          <w:rFonts w:ascii="Times New Roman" w:hAnsi="Times New Roman" w:cs="Times New Roman"/>
          <w:sz w:val="24"/>
          <w:szCs w:val="24"/>
        </w:rPr>
        <w:t>use</w:t>
      </w:r>
      <w:r w:rsidRPr="005C44E0">
        <w:rPr>
          <w:rFonts w:ascii="Times New Roman" w:hAnsi="Times New Roman" w:cs="Times New Roman"/>
          <w:sz w:val="24"/>
          <w:szCs w:val="24"/>
        </w:rPr>
        <w:t xml:space="preserve"> among YBMSM </w:t>
      </w:r>
      <w:r>
        <w:rPr>
          <w:rFonts w:ascii="Times New Roman" w:hAnsi="Times New Roman" w:cs="Times New Roman"/>
          <w:sz w:val="24"/>
          <w:szCs w:val="24"/>
        </w:rPr>
        <w:t>in Chicago wa</w:t>
      </w:r>
      <w:r w:rsidRPr="005C44E0">
        <w:rPr>
          <w:rFonts w:ascii="Times New Roman" w:hAnsi="Times New Roman" w:cs="Times New Roman"/>
          <w:sz w:val="24"/>
          <w:szCs w:val="24"/>
        </w:rPr>
        <w:t xml:space="preserve">s estimated at </w:t>
      </w:r>
      <w:r>
        <w:rPr>
          <w:rFonts w:ascii="Times New Roman" w:hAnsi="Times New Roman" w:cs="Times New Roman"/>
          <w:sz w:val="24"/>
          <w:szCs w:val="24"/>
        </w:rPr>
        <w:t xml:space="preserve">approximately 13% in 2016 </w:t>
      </w:r>
      <w:r w:rsidRPr="00D902FA">
        <w:rPr>
          <w:rFonts w:ascii="Times New Roman" w:hAnsi="Times New Roman" w:cs="Times New Roman"/>
          <w:sz w:val="24"/>
          <w:szCs w:val="24"/>
        </w:rPr>
        <w:fldChar w:fldCharType="begin" w:fldLock="1"/>
      </w:r>
      <w:r w:rsidR="002569A7">
        <w:rPr>
          <w:rFonts w:ascii="Times New Roman" w:hAnsi="Times New Roman" w:cs="Times New Roman"/>
          <w:sz w:val="24"/>
          <w:szCs w:val="24"/>
        </w:rPr>
        <w:instrText>ADDIN CSL_CITATION {"citationItems":[{"id":"ITEM-1","itemData":{"DOI":"10.1001/jamainternmed.2015.6536","ISSN":"2168-6114","PMID":"26571368","author":[{"dropping-particle":"","family":"Khanna","given":"Aditya S","non-dropping-particle":"","parse-names":false,"suffix":""},{"dropping-particle":"","family":"Michaels","given":"Stuart","non-dropping-particle":"","parse-names":false,"suffix":""},{"dropping-particle":"","family":"Skaathun","given":"Britt","non-dropping-particle":"","parse-names":false,"suffix":""},{"dropping-particle":"","family":"Morgan","given":"Ethan","non-dropping-particle":"","parse-names":false,"suffix":""},{"dropping-particle":"","family":"Green","given":"Keith","non-dropping-particle":"","parse-names":false,"suffix":""},{"dropping-particle":"","family":"Young","given":"Lindsay","non-dropping-particle":"","parse-names":false,"suffix":""},{"dropping-particle":"","family":"Schneider","given":"John A","non-dropping-particle":"","parse-names":false,"suffix":""},{"dropping-particle":"","family":"uConnect Study Team","given":"","non-dropping-particle":"","parse-names":false,"suffix":""}],"container-title":"JAMA internal medicine","id":"ITEM-1","issue":"1","issued":{"date-parts":[["2016","1","1"]]},"page":"136-8","title":"Preexposure Prophylaxis Awareness and Use in a Population-Based Sample of Young Black Men Who Have Sex With Men.","type":"article-journal","volume":"176"},"uris":["http://www.mendeley.com/documents/?uuid=bef9a2cc-c473-47ef-a5fd-8efebf8bacd9"]}],"mendeley":{"formattedCitation":"[15]","plainTextFormattedCitation":"[15]","previouslyFormattedCitation":"[15]"},"properties":{"noteIndex":0},"schema":"https://github.com/citation-style-language/schema/raw/master/csl-citation.json"}</w:instrText>
      </w:r>
      <w:r w:rsidRPr="00D902FA">
        <w:rPr>
          <w:rFonts w:ascii="Times New Roman" w:hAnsi="Times New Roman" w:cs="Times New Roman"/>
          <w:sz w:val="24"/>
          <w:szCs w:val="24"/>
        </w:rPr>
        <w:fldChar w:fldCharType="separate"/>
      </w:r>
      <w:r w:rsidR="009B5FF9" w:rsidRPr="009B5FF9">
        <w:rPr>
          <w:rFonts w:ascii="Times New Roman" w:hAnsi="Times New Roman" w:cs="Times New Roman"/>
          <w:sz w:val="24"/>
          <w:szCs w:val="24"/>
        </w:rPr>
        <w:t>[15</w:t>
      </w:r>
      <w:r w:rsidR="009B5FF9" w:rsidRPr="00D902FA">
        <w:rPr>
          <w:rFonts w:ascii="Times New Roman" w:hAnsi="Times New Roman" w:cs="Times New Roman"/>
          <w:sz w:val="24"/>
          <w:szCs w:val="24"/>
        </w:rPr>
        <w:t>]</w:t>
      </w:r>
      <w:r w:rsidRPr="00D902FA">
        <w:rPr>
          <w:rFonts w:ascii="Times New Roman" w:hAnsi="Times New Roman" w:cs="Times New Roman"/>
          <w:sz w:val="24"/>
          <w:szCs w:val="24"/>
        </w:rPr>
        <w:fldChar w:fldCharType="end"/>
      </w:r>
      <w:r w:rsidRPr="00D902FA">
        <w:rPr>
          <w:rFonts w:ascii="Times New Roman" w:hAnsi="Times New Roman" w:cs="Times New Roman"/>
          <w:sz w:val="24"/>
          <w:szCs w:val="24"/>
        </w:rPr>
        <w:t>,</w:t>
      </w:r>
      <w:r>
        <w:rPr>
          <w:rFonts w:ascii="Times New Roman" w:hAnsi="Times New Roman" w:cs="Times New Roman"/>
          <w:sz w:val="24"/>
          <w:szCs w:val="24"/>
        </w:rPr>
        <w:t xml:space="preserve"> and has been found to be comparably low in other studies across the </w:t>
      </w:r>
      <w:r w:rsidR="00FE0A12">
        <w:rPr>
          <w:rFonts w:ascii="Times New Roman" w:hAnsi="Times New Roman" w:cs="Times New Roman"/>
          <w:sz w:val="24"/>
          <w:szCs w:val="24"/>
        </w:rPr>
        <w:t>U.S.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590DAA">
        <w:rPr>
          <w:rFonts w:ascii="Times New Roman" w:hAnsi="Times New Roman" w:cs="Times New Roman"/>
          <w:sz w:val="24"/>
          <w:szCs w:val="24"/>
        </w:rPr>
        <w:instrText>ADDIN CSL_CITATION {"citationItems":[{"id":"ITEM-1","itemData":{"DOI":"10.1093/cid/ciw367","ISSN":"1058-4838","PMID":"27282710","abstract":"BACKGROUND Pre-exposure prophylaxis (PrEP) is an effective prevention tool for people at substantial risk of acquiring human immunodeficiency virus (HIV). To monitor the current state of PrEP use among men who have sex with men (MSM), we report on willingness to use PrEP and PrEP utilization. To assess whether the MSM subpopulations at highest risk for infection have indications for PrEP according to the 2014 clinical guidelines, we estimated indications for PrEP for MSM by demographics. METHODS We analyzed data from the 2014 cycle of the National HIV Behavioral Surveillance (NHBS) system among MSM who tested HIV negative in NHBS and were currently sexually active. Adjusted prevalence ratios and 95% confidence intervals were estimated from log-linked Poisson regression with generalized estimating equations to explore differences in willingness to take PrEP, PrEP use, and indications for PrEP. RESULTS Whereas over half of MSM said they were willing to take PrEP, only about 4% reported using PrEP. There was no difference in willingness to take PrEP between black and white MSM. PrEP use was higher among white compared with black MSM and among those with greater education and income levels. Young, black MSM were less likely to have indications for PrEP compared with young MSM of other races/ethnicities. CONCLUSIONS Young, black MSM, despite being at high risk of HIV acquisition, may not have indications for PrEP under the current guidelines. Clinicians may need to consider other factors besides risk behaviors such as HIV incidence and prevalence in subgroups of their communities when considering prescribing PrEP.","author":[{"dropping-particle":"","family":"Hoots","given":"Brooke E.","non-dropping-particle":"","parse-names":false,"suffix":""},{"dropping-particle":"","family":"Finlayson","given":"Teresa","non-dropping-particle":"","parse-names":false,"suffix":""},{"dropping-particle":"","family":"Nerlander","given":"Lina","non-dropping-particle":"","parse-names":false,"suffix":""},{"dropping-particle":"","family":"Paz-Bailey","given":"Gabriela","non-dropping-particle":"","parse-names":false,"suffix":""},{"dropping-particle":"","family":"National HIV Behavioral Surveillance Study Group","given":"","non-dropping-particle":"","parse-names":false,"suffix":""}],"container-title":"Clinical Infectious Diseases","id":"ITEM-1","issue":"5","issued":{"date-parts":[["2016","9","1"]]},"page":"672-677","title":"Willingness to Take, Use of, and Indications for Pre-exposure Prophylaxis Among Men Who Have Sex With Men—20 US Cities, 2014","type":"article-journal","volume":"63"},"uris":["http://www.mendeley.com/documents/?uuid=3dcad6dd-4538-3e11-a07b-19d462f82947"]},{"id":"ITEM-2","itemData":{"DOI":"10.1007/s11121-017-0756-6","ISSN":"1389-4986","author":[{"dropping-particle":"","family":"Eaton","given":"Lisa A.","non-dropping-particle":"","parse-names":false,"suffix":""},{"dropping-particle":"","family":"Matthews","given":"Derrick D.","non-dropping-particle":"","parse-names":false,"suffix":""},{"dropping-particle":"","family":"Driffin","given":"Daniel D.","non-dropping-particle":"","parse-names":false,"suffix":""},{"dropping-particle":"","family":"Bukowski","given":"Leigh","non-dropping-particle":"","parse-names":false,"suffix":""},{"dropping-particle":"","family":"Wilson","given":"Patrick A.","non-dropping-particle":"","parse-names":false,"suffix":""},{"dropping-particle":"","family":"Stall","given":"Ron D.","non-dropping-particle":"","parse-names":false,"suffix":""},{"dropping-particle":"","family":"Team","given":"The POWER Study","non-dropping-particle":"","parse-names":false,"suffix":""}],"container-title":"Prevention Science","id":"ITEM-2","issue":"5","issued":{"date-parts":[["2017","7","18"]]},"page":"505-516","publisher":"Springer US","title":"A Multi-US City Assessment of Awareness and Uptake of Pre-exposure Prophylaxis (PrEP) for HIV Prevention Among Black Men and Transgender Women Who Have Sex with Men","type":"article-journal","volume":"18"},"uris":["http://www.mendeley.com/documents/?uuid=cccaf5f4-6f5b-3eb4-bda4-05c88ebc9c86"]}],"mendeley":{"formattedCitation":"[42,43]","plainTextFormattedCitation":"[42,43]","previouslyFormattedCitation":"[42,43]"},"properties":{"noteIndex":0},"schema":"https://github.com/citation-style-language/schema/raw/master/csl-citation.json"}</w:instrText>
      </w:r>
      <w:r>
        <w:rPr>
          <w:rFonts w:ascii="Times New Roman" w:hAnsi="Times New Roman" w:cs="Times New Roman"/>
          <w:sz w:val="24"/>
          <w:szCs w:val="24"/>
        </w:rPr>
        <w:fldChar w:fldCharType="separate"/>
      </w:r>
      <w:r w:rsidR="007A01DC" w:rsidRPr="007A01DC">
        <w:rPr>
          <w:rFonts w:ascii="Times New Roman" w:hAnsi="Times New Roman" w:cs="Times New Roman"/>
          <w:sz w:val="24"/>
          <w:szCs w:val="24"/>
        </w:rPr>
        <w:t>[42,43]</w:t>
      </w:r>
      <w:r>
        <w:rPr>
          <w:rFonts w:ascii="Times New Roman" w:hAnsi="Times New Roman" w:cs="Times New Roman"/>
          <w:sz w:val="24"/>
          <w:szCs w:val="24"/>
        </w:rPr>
        <w:fldChar w:fldCharType="end"/>
      </w:r>
      <w:r>
        <w:rPr>
          <w:rFonts w:ascii="Times New Roman" w:hAnsi="Times New Roman" w:cs="Times New Roman"/>
          <w:sz w:val="24"/>
          <w:szCs w:val="24"/>
        </w:rPr>
        <w:t>. Evidence for l</w:t>
      </w:r>
      <w:r w:rsidRPr="005C44E0">
        <w:rPr>
          <w:rFonts w:ascii="Times New Roman" w:hAnsi="Times New Roman" w:cs="Times New Roman"/>
          <w:sz w:val="24"/>
          <w:szCs w:val="24"/>
        </w:rPr>
        <w:t>ow Pr</w:t>
      </w:r>
      <w:r>
        <w:rPr>
          <w:rFonts w:ascii="Times New Roman" w:hAnsi="Times New Roman" w:cs="Times New Roman"/>
          <w:sz w:val="24"/>
          <w:szCs w:val="24"/>
        </w:rPr>
        <w:t>E</w:t>
      </w:r>
      <w:r w:rsidRPr="005C44E0">
        <w:rPr>
          <w:rFonts w:ascii="Times New Roman" w:hAnsi="Times New Roman" w:cs="Times New Roman"/>
          <w:sz w:val="24"/>
          <w:szCs w:val="24"/>
        </w:rPr>
        <w:t xml:space="preserve">P retention among YBMSM </w:t>
      </w:r>
      <w:r>
        <w:rPr>
          <w:rFonts w:ascii="Times New Roman" w:hAnsi="Times New Roman" w:cs="Times New Roman"/>
          <w:sz w:val="24"/>
          <w:szCs w:val="24"/>
        </w:rPr>
        <w:t xml:space="preserve">(and other MSM) </w:t>
      </w:r>
      <w:r w:rsidRPr="005C44E0">
        <w:rPr>
          <w:rFonts w:ascii="Times New Roman" w:hAnsi="Times New Roman" w:cs="Times New Roman"/>
          <w:sz w:val="24"/>
          <w:szCs w:val="24"/>
        </w:rPr>
        <w:t xml:space="preserve">in Chicago is also </w:t>
      </w:r>
      <w:r>
        <w:rPr>
          <w:rFonts w:ascii="Times New Roman" w:hAnsi="Times New Roman" w:cs="Times New Roman"/>
          <w:sz w:val="24"/>
          <w:szCs w:val="24"/>
        </w:rPr>
        <w:t>available, and</w:t>
      </w:r>
      <w:r w:rsidRPr="005C44E0">
        <w:rPr>
          <w:rFonts w:ascii="Times New Roman" w:hAnsi="Times New Roman" w:cs="Times New Roman"/>
          <w:sz w:val="24"/>
          <w:szCs w:val="24"/>
        </w:rPr>
        <w:t xml:space="preserve"> </w:t>
      </w:r>
      <w:r>
        <w:rPr>
          <w:rFonts w:ascii="Times New Roman" w:hAnsi="Times New Roman" w:cs="Times New Roman"/>
          <w:sz w:val="24"/>
          <w:szCs w:val="24"/>
        </w:rPr>
        <w:t xml:space="preserve">half of </w:t>
      </w:r>
      <w:r w:rsidR="002242BD">
        <w:rPr>
          <w:rFonts w:ascii="Times New Roman" w:hAnsi="Times New Roman" w:cs="Times New Roman"/>
          <w:sz w:val="24"/>
          <w:szCs w:val="24"/>
        </w:rPr>
        <w:t xml:space="preserve">the </w:t>
      </w:r>
      <w:r>
        <w:rPr>
          <w:rFonts w:ascii="Times New Roman" w:hAnsi="Times New Roman" w:cs="Times New Roman"/>
          <w:sz w:val="24"/>
          <w:szCs w:val="24"/>
        </w:rPr>
        <w:t>PrEP initiators discontinue</w:t>
      </w:r>
      <w:r w:rsidRPr="005C44E0">
        <w:rPr>
          <w:rFonts w:ascii="Times New Roman" w:hAnsi="Times New Roman" w:cs="Times New Roman"/>
          <w:sz w:val="24"/>
          <w:szCs w:val="24"/>
        </w:rPr>
        <w:t xml:space="preserve"> </w:t>
      </w:r>
      <w:r>
        <w:rPr>
          <w:rFonts w:ascii="Times New Roman" w:hAnsi="Times New Roman" w:cs="Times New Roman"/>
          <w:sz w:val="24"/>
          <w:szCs w:val="24"/>
        </w:rPr>
        <w:t xml:space="preserve">within </w:t>
      </w:r>
      <w:r w:rsidRPr="005C44E0">
        <w:rPr>
          <w:rFonts w:ascii="Times New Roman" w:hAnsi="Times New Roman" w:cs="Times New Roman"/>
          <w:sz w:val="24"/>
          <w:szCs w:val="24"/>
        </w:rPr>
        <w:t>12 months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2569A7">
        <w:rPr>
          <w:rFonts w:ascii="Times New Roman" w:hAnsi="Times New Roman" w:cs="Times New Roman"/>
          <w:sz w:val="24"/>
          <w:szCs w:val="24"/>
        </w:rPr>
        <w:instrText>ADDIN CSL_CITATION {"citationItems":[{"id":"ITEM-1","itemData":{"DOI":"10.1093/cid/ciy160","ISSN":"1537-6591","PMID":"29506057","abstract":"Retention in preexposure prophylaxis (PrEP) care is critical to elimination of human immunodeficiency virus. We reviewed all Howard Brown Health patients receiving PrEP (n = 5583) from 2012 to 2017. Among those with 12 months of follow-up, 43% remained in care, yet only 15% had all 4 quarters with a PrEP visit. Insurance status and comorbid conditions were drivers of retention in care.","author":[{"dropping-particle":"","family":"Rusie","given":"Laura K","non-dropping-particle":"","parse-names":false,"suffix":""},{"dropping-particle":"","family":"Orengo","given":"Carlos","non-dropping-particle":"","parse-names":false,"suffix":""},{"dropping-particle":"","family":"Burrell","given":"Diane","non-dropping-particle":"","parse-names":false,"suffix":""},{"dropping-particle":"","family":"Ramachandran","given":"Arthi","non-dropping-particle":"","parse-names":false,"suffix":""},{"dropping-particle":"","family":"Houlberg","given":"Magda","non-dropping-particle":"","parse-names":false,"suffix":""},{"dropping-particle":"","family":"Keglovitz","given":"Kristin","non-dropping-particle":"","parse-names":false,"suffix":""},{"dropping-particle":"","family":"Munar","given":"David","non-dropping-particle":"","parse-names":false,"suffix":""},{"dropping-particle":"","family":"Schneider","given":"John A","non-dropping-particle":"","parse-names":false,"suffix":""}],"container-title":"Clinical infectious diseases","id":"ITEM-1","issue":"2","issued":{"date-parts":[["2018","7","2"]]},"page":"283-287","title":"Preexposure Prophylaxis Initiation and Retention in Care Over 5 Years, 2012-2017: Are Quarterly Visits Too Much?","type":"article-journal","volume":"67"},"uris":["http://www.mendeley.com/documents/?uuid=91618452-7248-43f6-985a-8a07e573a784"]}],"mendeley":{"formattedCitation":"[27]","plainTextFormattedCitation":"[27]","previouslyFormattedCitation":"[27]"},"properties":{"noteIndex":0},"schema":"https://github.com/citation-style-language/schema/raw/master/csl-citation.json"}</w:instrText>
      </w:r>
      <w:r>
        <w:rPr>
          <w:rFonts w:ascii="Times New Roman" w:hAnsi="Times New Roman" w:cs="Times New Roman"/>
          <w:sz w:val="24"/>
          <w:szCs w:val="24"/>
        </w:rPr>
        <w:fldChar w:fldCharType="separate"/>
      </w:r>
      <w:r w:rsidR="009B5FF9" w:rsidRPr="009B5FF9">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t>. These interventions that accounted</w:t>
      </w:r>
      <w:r w:rsidR="00716DE0">
        <w:rPr>
          <w:rFonts w:ascii="Times New Roman" w:hAnsi="Times New Roman" w:cs="Times New Roman"/>
          <w:sz w:val="24"/>
          <w:szCs w:val="24"/>
        </w:rPr>
        <w:t xml:space="preserve"> for larger networks were motiv</w:t>
      </w:r>
      <w:r>
        <w:rPr>
          <w:rFonts w:ascii="Times New Roman" w:hAnsi="Times New Roman" w:cs="Times New Roman"/>
          <w:sz w:val="24"/>
          <w:szCs w:val="24"/>
        </w:rPr>
        <w:t xml:space="preserve">ated by the evidence for </w:t>
      </w:r>
      <w:r w:rsidRPr="005C44E0">
        <w:rPr>
          <w:rFonts w:ascii="Times New Roman" w:hAnsi="Times New Roman" w:cs="Times New Roman"/>
          <w:sz w:val="24"/>
          <w:szCs w:val="24"/>
        </w:rPr>
        <w:t>network change</w:t>
      </w:r>
      <w:r>
        <w:rPr>
          <w:rFonts w:ascii="Times New Roman" w:hAnsi="Times New Roman" w:cs="Times New Roman"/>
          <w:sz w:val="24"/>
          <w:szCs w:val="24"/>
        </w:rPr>
        <w:t xml:space="preserve"> </w:t>
      </w:r>
      <w:r w:rsidRPr="005C44E0">
        <w:rPr>
          <w:rFonts w:ascii="Times New Roman" w:hAnsi="Times New Roman" w:cs="Times New Roman"/>
          <w:sz w:val="24"/>
          <w:szCs w:val="24"/>
        </w:rPr>
        <w:t>agent type of interventions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590DAA">
        <w:rPr>
          <w:rFonts w:ascii="Times New Roman" w:hAnsi="Times New Roman" w:cs="Times New Roman"/>
          <w:sz w:val="24"/>
          <w:szCs w:val="24"/>
        </w:rPr>
        <w:instrText>ADDIN CSL_CITATION {"citationItems":[{"id":"ITEM-1","itemData":{"DOI":"10.1126/science.1217330","ISBN":"1095-9203 (Electronic)\\r0036-8075 (Linking)","ISSN":"0036-8075","PMID":"22767921","abstract":"The term \"network interventions\" describes the process of using social network data to accelerate behavior change or improve organizational performance. In this Review, four strategies for network interventions are described, each of which has multiple tactical alternatives. Many of these tactics can incorporate different mathematical algorithms. Consequently, researchers have many intervention choices at their disposal. Selecting the appropriate network intervention depends on the availability and character of network data, perceived characteristics of the behavior, its existing prevalence, and the social context of the program.","author":[{"dropping-particle":"","family":"Valente","given":"T. W.","non-dropping-particle":"","parse-names":false,"suffix":""}],"container-title":"Science","id":"ITEM-1","issue":"6090","issued":{"date-parts":[["2012"]]},"page":"49-53","title":"Network Interventions","type":"article","volume":"337"},"uris":["http://www.mendeley.com/documents/?uuid=4c4aa4d1-b19f-44ed-97d5-558ce1ce2440"]}],"mendeley":{"formattedCitation":"[44]","plainTextFormattedCitation":"[44]","previouslyFormattedCitation":"[44]"},"properties":{"noteIndex":0},"schema":"https://github.com/citation-style-language/schema/raw/master/csl-citation.json"}</w:instrText>
      </w:r>
      <w:r>
        <w:rPr>
          <w:rFonts w:ascii="Times New Roman" w:hAnsi="Times New Roman" w:cs="Times New Roman"/>
          <w:sz w:val="24"/>
          <w:szCs w:val="24"/>
        </w:rPr>
        <w:fldChar w:fldCharType="separate"/>
      </w:r>
      <w:r w:rsidR="007A01DC" w:rsidRPr="007A01DC">
        <w:rPr>
          <w:rFonts w:ascii="Times New Roman" w:hAnsi="Times New Roman" w:cs="Times New Roman"/>
          <w:sz w:val="24"/>
          <w:szCs w:val="24"/>
        </w:rPr>
        <w:t>[44]</w:t>
      </w:r>
      <w:r>
        <w:rPr>
          <w:rFonts w:ascii="Times New Roman" w:hAnsi="Times New Roman" w:cs="Times New Roman"/>
          <w:sz w:val="24"/>
          <w:szCs w:val="24"/>
        </w:rPr>
        <w:fldChar w:fldCharType="end"/>
      </w:r>
      <w:r w:rsidRPr="005C44E0">
        <w:rPr>
          <w:rFonts w:ascii="Times New Roman" w:hAnsi="Times New Roman" w:cs="Times New Roman"/>
          <w:sz w:val="24"/>
          <w:szCs w:val="24"/>
        </w:rPr>
        <w:t xml:space="preserve">. Importantly, </w:t>
      </w:r>
      <w:r>
        <w:rPr>
          <w:rFonts w:ascii="Times New Roman" w:hAnsi="Times New Roman" w:cs="Times New Roman"/>
          <w:sz w:val="24"/>
          <w:szCs w:val="24"/>
        </w:rPr>
        <w:t xml:space="preserve">interventions that prioritize serodiscordant partners and network position </w:t>
      </w:r>
      <w:r w:rsidRPr="005C44E0">
        <w:rPr>
          <w:rFonts w:ascii="Times New Roman" w:hAnsi="Times New Roman" w:cs="Times New Roman"/>
          <w:sz w:val="24"/>
          <w:szCs w:val="24"/>
        </w:rPr>
        <w:t xml:space="preserve">are also </w:t>
      </w:r>
      <w:r>
        <w:rPr>
          <w:rFonts w:ascii="Times New Roman" w:hAnsi="Times New Roman" w:cs="Times New Roman"/>
          <w:sz w:val="24"/>
          <w:szCs w:val="24"/>
        </w:rPr>
        <w:t>funded</w:t>
      </w:r>
      <w:r w:rsidRPr="005C44E0">
        <w:rPr>
          <w:rFonts w:ascii="Times New Roman" w:hAnsi="Times New Roman" w:cs="Times New Roman"/>
          <w:sz w:val="24"/>
          <w:szCs w:val="24"/>
        </w:rPr>
        <w:t xml:space="preserve"> by </w:t>
      </w:r>
      <w:r>
        <w:rPr>
          <w:rFonts w:ascii="Times New Roman" w:hAnsi="Times New Roman" w:cs="Times New Roman"/>
          <w:sz w:val="24"/>
          <w:szCs w:val="24"/>
        </w:rPr>
        <w:t>health</w:t>
      </w:r>
      <w:r w:rsidRPr="005C44E0">
        <w:rPr>
          <w:rFonts w:ascii="Times New Roman" w:hAnsi="Times New Roman" w:cs="Times New Roman"/>
          <w:sz w:val="24"/>
          <w:szCs w:val="24"/>
        </w:rPr>
        <w:t xml:space="preserve"> departments</w:t>
      </w:r>
      <w:r w:rsidR="0068774A">
        <w:rPr>
          <w:rFonts w:ascii="Times New Roman" w:hAnsi="Times New Roman" w:cs="Times New Roman"/>
          <w:sz w:val="24"/>
          <w:szCs w:val="24"/>
        </w:rPr>
        <w:t xml:space="preserve"> (details follow)</w:t>
      </w:r>
      <w:r>
        <w:rPr>
          <w:rFonts w:ascii="Times New Roman" w:hAnsi="Times New Roman" w:cs="Times New Roman"/>
          <w:sz w:val="24"/>
          <w:szCs w:val="24"/>
        </w:rPr>
        <w:t>,</w:t>
      </w:r>
      <w:r w:rsidRPr="005C44E0">
        <w:rPr>
          <w:rFonts w:ascii="Times New Roman" w:hAnsi="Times New Roman" w:cs="Times New Roman"/>
          <w:sz w:val="24"/>
          <w:szCs w:val="24"/>
        </w:rPr>
        <w:t xml:space="preserve"> </w:t>
      </w:r>
      <w:r>
        <w:rPr>
          <w:rFonts w:ascii="Times New Roman" w:hAnsi="Times New Roman" w:cs="Times New Roman"/>
          <w:sz w:val="24"/>
          <w:szCs w:val="24"/>
        </w:rPr>
        <w:t>making them</w:t>
      </w:r>
      <w:r w:rsidRPr="005C44E0">
        <w:rPr>
          <w:rFonts w:ascii="Times New Roman" w:hAnsi="Times New Roman" w:cs="Times New Roman"/>
          <w:sz w:val="24"/>
          <w:szCs w:val="24"/>
        </w:rPr>
        <w:t xml:space="preserve"> </w:t>
      </w:r>
      <w:r>
        <w:rPr>
          <w:rFonts w:ascii="Times New Roman" w:hAnsi="Times New Roman" w:cs="Times New Roman"/>
          <w:sz w:val="24"/>
          <w:szCs w:val="24"/>
        </w:rPr>
        <w:t>candidates</w:t>
      </w:r>
      <w:r w:rsidRPr="005C44E0">
        <w:rPr>
          <w:rFonts w:ascii="Times New Roman" w:hAnsi="Times New Roman" w:cs="Times New Roman"/>
          <w:sz w:val="24"/>
          <w:szCs w:val="24"/>
        </w:rPr>
        <w:t xml:space="preserve"> for implementation. </w:t>
      </w:r>
      <w:r w:rsidR="00E3005E">
        <w:rPr>
          <w:rFonts w:ascii="Times New Roman" w:hAnsi="Times New Roman" w:cs="Times New Roman"/>
          <w:sz w:val="24"/>
          <w:szCs w:val="24"/>
        </w:rPr>
        <w:t xml:space="preserve">For instance, the </w:t>
      </w:r>
      <w:r w:rsidR="00E3005E" w:rsidRPr="00E3005E">
        <w:rPr>
          <w:rFonts w:ascii="Times New Roman" w:hAnsi="Times New Roman" w:cs="Times New Roman"/>
          <w:sz w:val="24"/>
          <w:szCs w:val="24"/>
        </w:rPr>
        <w:t xml:space="preserve">Chicago Department of Public Health funds </w:t>
      </w:r>
      <w:r w:rsidR="007E2F98">
        <w:rPr>
          <w:rFonts w:ascii="Times New Roman" w:hAnsi="Times New Roman" w:cs="Times New Roman"/>
          <w:sz w:val="24"/>
          <w:szCs w:val="24"/>
        </w:rPr>
        <w:t>“</w:t>
      </w:r>
      <w:r w:rsidR="00E3005E" w:rsidRPr="00E3005E">
        <w:rPr>
          <w:rFonts w:ascii="Times New Roman" w:hAnsi="Times New Roman" w:cs="Times New Roman"/>
          <w:sz w:val="24"/>
          <w:szCs w:val="24"/>
        </w:rPr>
        <w:t>PrEP</w:t>
      </w:r>
      <w:r w:rsidR="007E2F98">
        <w:rPr>
          <w:rFonts w:ascii="Times New Roman" w:hAnsi="Times New Roman" w:cs="Times New Roman"/>
          <w:sz w:val="24"/>
          <w:szCs w:val="24"/>
        </w:rPr>
        <w:t xml:space="preserve"> </w:t>
      </w:r>
      <w:r w:rsidR="00E3005E" w:rsidRPr="00E3005E">
        <w:rPr>
          <w:rFonts w:ascii="Times New Roman" w:hAnsi="Times New Roman" w:cs="Times New Roman"/>
          <w:sz w:val="24"/>
          <w:szCs w:val="24"/>
        </w:rPr>
        <w:t>Chicago</w:t>
      </w:r>
      <w:r w:rsidR="007E2F98">
        <w:rPr>
          <w:rFonts w:ascii="Times New Roman" w:hAnsi="Times New Roman" w:cs="Times New Roman"/>
          <w:sz w:val="24"/>
          <w:szCs w:val="24"/>
        </w:rPr>
        <w:t xml:space="preserve">” – </w:t>
      </w:r>
      <w:r w:rsidR="00E3005E" w:rsidRPr="00E3005E">
        <w:rPr>
          <w:rFonts w:ascii="Times New Roman" w:hAnsi="Times New Roman" w:cs="Times New Roman"/>
          <w:sz w:val="24"/>
          <w:szCs w:val="24"/>
        </w:rPr>
        <w:t xml:space="preserve"> a network intervention that focuses on individuals in key network positions</w:t>
      </w:r>
      <w:r w:rsidR="00D026CF">
        <w:rPr>
          <w:rFonts w:ascii="Times New Roman" w:hAnsi="Times New Roman" w:cs="Times New Roman"/>
          <w:sz w:val="24"/>
          <w:szCs w:val="24"/>
        </w:rPr>
        <w:t xml:space="preserve"> </w:t>
      </w:r>
      <w:r w:rsidR="00D026CF">
        <w:rPr>
          <w:rFonts w:ascii="Times New Roman" w:hAnsi="Times New Roman" w:cs="Times New Roman"/>
          <w:sz w:val="24"/>
          <w:szCs w:val="24"/>
        </w:rPr>
        <w:fldChar w:fldCharType="begin" w:fldLock="1"/>
      </w:r>
      <w:r w:rsidR="00590DAA">
        <w:rPr>
          <w:rFonts w:ascii="Times New Roman" w:hAnsi="Times New Roman" w:cs="Times New Roman"/>
          <w:sz w:val="24"/>
          <w:szCs w:val="24"/>
        </w:rPr>
        <w:instrText>ADDIN CSL_CITATION {"citationItems":[{"id":"ITEM-1","itemData":{"DOI":"10.1177/1740774517730012","ISSN":"1740-7745","PMID":"28862483","abstract":"BACKGROUND/AIMS Advances in biomedical prevention strategies such as pre-exposure prophylaxis (PrEP) represent a new opportunity for reducing HIV incidence among young Black men who have sex with men, for whom the number of new HIV infections continues to rise. However, studies have documented low rates of PrEP uptake in this community. Research suggests that the peer networks of young Black men who have sex with men play important roles in their sexual health decisions. PrEP Chicago is a randomized controlled trial network intervention designed to increase PrEP uptake among young Black men who have sex with men living in Chicago. The aims of this study are twofold. Aim 1 is to estimate the effectiveness of a peer change agent intervention for (1) increasing the number of referrals made to a PrEP information line, (2) increasing the rate of PrEP adoption among non-participant peers, and (3) increasing PrEP knowledge, attitudes, and intentions among participants. Aim 2 is to determine the individual and network variables that explain peer change agent effectiveness. METHODS PrEP Chicago is a social network intervention that utilizes the influence of peer change agents to link young Black men who have sex with men in Chicago to PrEP. Young Black men who have sex with men were recruited using respondent-driven sampling. Once screened for eligibility, participants were randomly assigned to either one of two treatment sequences: (1) intervention treatment in Year 1 followed by a minimal contact attention control in Year 2 or (2) the minimal contact attention control in Year 1 followed by treatment in Year 2. The treatment consists of a PrEP/peer change agent training workshop followed by booster calls for 12 months. The attention control consists of a sex diary activity designed to help participants assess sexual risk. Psychosocial, sexual health, and network data are collected from all participants at baseline and at 12- and 24-month follow-ups. RESULTS In total, 423 participants aged 18-35 have been enrolled (more than 100% target enrollment) and have completed baseline data collection. A majority of participants in both intervention and control groups reported having heard of PrEP before enrolling in the study, yet also reported having had no current or prior experience taking PrEP. Statistical analyses await completion of Year 1 of the trial in March 2018. CONCLUSION PrEP Chicago addresses a gap in HIV prevention research and intervention design by utili…","author":[{"dropping-particle":"","family":"Young","given":"Lindsay E","non-dropping-particle":"","parse-names":false,"suffix":""},{"dropping-particle":"","family":"Schumm","given":"Phil","non-dropping-particle":"","parse-names":false,"suffix":""},{"dropping-particle":"","family":"Alon","given":"Leigh","non-dropping-particle":"","parse-names":false,"suffix":""},{"dropping-particle":"","family":"Bouris","given":"Alida","non-dropping-particle":"","parse-names":false,"suffix":""},{"dropping-particle":"","family":"Ferreira","given":"Matthew","non-dropping-particle":"","parse-names":false,"suffix":""},{"dropping-particle":"","family":"Hill","given":"Brandon","non-dropping-particle":"","parse-names":false,"suffix":""},{"dropping-particle":"","family":"Khanna","given":"Aditya S","non-dropping-particle":"","parse-names":false,"suffix":""},{"dropping-particle":"","family":"Valente","given":"Thomas W","non-dropping-particle":"","parse-names":false,"suffix":""},{"dropping-particle":"","family":"Schneider","given":"John A","non-dropping-particle":"","parse-names":false,"suffix":""}],"container-title":"Clinical Trials","id":"ITEM-1","issue":"1","issued":{"date-parts":[["2018","2"]]},"page":"44-52","title":"&lt;i&gt;PrEP Chicago&lt;/i&gt; : A randomized controlled peer change agent intervention to promote the adoption of pre-exposure prophylaxis for HIV prevention among young Black men who have sex with men","type":"article-journal","volume":"15"},"uris":["http://www.mendeley.com/documents/?uuid=709ed5c4-6043-3344-ae2f-bbde28f3787f"]}],"mendeley":{"formattedCitation":"[45]","plainTextFormattedCitation":"[45]","previouslyFormattedCitation":"[45]"},"properties":{"noteIndex":0},"schema":"https://github.com/citation-style-language/schema/raw/master/csl-citation.json"}</w:instrText>
      </w:r>
      <w:r w:rsidR="00D026CF">
        <w:rPr>
          <w:rFonts w:ascii="Times New Roman" w:hAnsi="Times New Roman" w:cs="Times New Roman"/>
          <w:sz w:val="24"/>
          <w:szCs w:val="24"/>
        </w:rPr>
        <w:fldChar w:fldCharType="separate"/>
      </w:r>
      <w:r w:rsidR="007A01DC" w:rsidRPr="007A01DC">
        <w:rPr>
          <w:rFonts w:ascii="Times New Roman" w:hAnsi="Times New Roman" w:cs="Times New Roman"/>
          <w:sz w:val="24"/>
          <w:szCs w:val="24"/>
        </w:rPr>
        <w:t>[45]</w:t>
      </w:r>
      <w:r w:rsidR="00D026CF">
        <w:rPr>
          <w:rFonts w:ascii="Times New Roman" w:hAnsi="Times New Roman" w:cs="Times New Roman"/>
          <w:sz w:val="24"/>
          <w:szCs w:val="24"/>
        </w:rPr>
        <w:fldChar w:fldCharType="end"/>
      </w:r>
      <w:r w:rsidR="00DF3A22">
        <w:rPr>
          <w:rFonts w:ascii="Times New Roman" w:hAnsi="Times New Roman" w:cs="Times New Roman"/>
          <w:sz w:val="24"/>
          <w:szCs w:val="24"/>
        </w:rPr>
        <w:t>, and p</w:t>
      </w:r>
      <w:r w:rsidR="00793D7E" w:rsidRPr="00793D7E">
        <w:rPr>
          <w:rFonts w:ascii="Times New Roman" w:hAnsi="Times New Roman" w:cs="Times New Roman"/>
          <w:sz w:val="24"/>
          <w:szCs w:val="24"/>
        </w:rPr>
        <w:t xml:space="preserve">artner services interventions </w:t>
      </w:r>
      <w:r w:rsidR="00BA393F">
        <w:rPr>
          <w:rFonts w:ascii="Times New Roman" w:hAnsi="Times New Roman" w:cs="Times New Roman"/>
          <w:sz w:val="24"/>
          <w:szCs w:val="24"/>
        </w:rPr>
        <w:t>that</w:t>
      </w:r>
      <w:r w:rsidR="00793D7E" w:rsidRPr="00793D7E">
        <w:rPr>
          <w:rFonts w:ascii="Times New Roman" w:hAnsi="Times New Roman" w:cs="Times New Roman"/>
          <w:sz w:val="24"/>
          <w:szCs w:val="24"/>
        </w:rPr>
        <w:t xml:space="preserve"> focus on initiating PrEP for HIV seronegative partners of HIV/STI infected individuals</w:t>
      </w:r>
      <w:r w:rsidR="008A1D46">
        <w:rPr>
          <w:rFonts w:ascii="Times New Roman" w:hAnsi="Times New Roman" w:cs="Times New Roman"/>
          <w:sz w:val="24"/>
          <w:szCs w:val="24"/>
        </w:rPr>
        <w:t xml:space="preserve"> </w:t>
      </w:r>
      <w:r w:rsidR="008A1D46">
        <w:rPr>
          <w:rFonts w:ascii="Times New Roman" w:hAnsi="Times New Roman" w:cs="Times New Roman"/>
          <w:sz w:val="24"/>
          <w:szCs w:val="24"/>
        </w:rPr>
        <w:fldChar w:fldCharType="begin" w:fldLock="1"/>
      </w:r>
      <w:r w:rsidR="00590DAA">
        <w:rPr>
          <w:rFonts w:ascii="Times New Roman" w:hAnsi="Times New Roman" w:cs="Times New Roman"/>
          <w:sz w:val="24"/>
          <w:szCs w:val="24"/>
        </w:rPr>
        <w:instrText>ADDIN CSL_CITATION {"citationItems":[{"id":"ITEM-1","itemData":{"DOI":"10.1097/OLQ.0000000000000690","ISSN":"1537-4521","PMID":"28876282","abstract":"BACKGROUND Human immunodeficiency virus preexposure prophylaxis (PrEP) uptake remains low in high-risk populations. Sexually transmitted infection (STI) clinics reach PrEP-eligible persons and may be ideal settings to model PrEP implementation. METHODS Consenting PrEP-eligible patients identified at Chicago Department of Public Health STI Clinics were actively referred to PrEP partner sites between June 1, 2015, and May 31, 2016. Outcomes included successful contact by a partner site, linkage to a partner site, and receipt of a PrEP prescription. Bivariable and time to event analyses were conducted to determine significant associations of outcomes. RESULTS One hundred thirty-seven patients were referred; 126 (92%) were men who have sex with men, and mean age was 29 years. Ninety-eight (72%) were contacted by a PrEP partner, 43 (31%) were linked, and 40 (29%) received a prescription. Individuals aged 25 years and older were more likely to link (odds ratio, 3.10; 95% confidence interval, 1.30-7.41) and receive a PrEP prescription (odds ratio, 2.70; 95% confidence interval, 1.12-6.45) compared with individuals 24 years and younger. The average time between each step was greater for those 24 years and younger compared with those aged 25 years and older for all steps. Time to event analyses revealed that those aged 25 years and older were significantly more likely to receive a prescription compared to those aged 24 years and younger (hazard ratio, 3.62; 95% risk limits, 1.47-8.92). CONCLUSIONS Preexposure prophylaxis active referrals from STI clinics to partner sites are feasible, though drop out was prominent in the initial steps of the continuum. Youth were less likely to link or receive prescriptions, indicating the need for tailored interventions for this vulnerable population.","author":[{"dropping-particle":"","family":"Bhatia","given":"Ramona","non-dropping-particle":"","parse-names":false,"suffix":""},{"dropping-particle":"","family":"Modali","given":"Laxmi","non-dropping-particle":"","parse-names":false,"suffix":""},{"dropping-particle":"","family":"Lowther","given":"Matthew","non-dropping-particle":"","parse-names":false,"suffix":""},{"dropping-particle":"","family":"Glick","given":"Nancy","non-dropping-particle":"","parse-names":false,"suffix":""},{"dropping-particle":"","family":"Bell","given":"Margo","non-dropping-particle":"","parse-names":false,"suffix":""},{"dropping-particle":"","family":"Rowan","given":"Sarah","non-dropping-particle":"","parse-names":false,"suffix":""},{"dropping-particle":"","family":"Keglovitz","given":"Kristin","non-dropping-particle":"","parse-names":false,"suffix":""},{"dropping-particle":"","family":"Schneider","given":"John","non-dropping-particle":"","parse-names":false,"suffix":""}],"container-title":"Sexually transmitted diseases","id":"ITEM-1","issue":"1","issued":{"date-parts":[["2018"]]},"page":"50-55","title":"Outcomes of Preexposure Prophylaxis Referrals From Public STI Clinics and Implications for the Preexposure Prophylaxis Continuum.","type":"article-journal","volume":"45"},"uris":["http://www.mendeley.com/documents/?uuid=7d308af5-e34a-4d43-b028-ecaa90a1a43d"]}],"mendeley":{"formattedCitation":"[46]","plainTextFormattedCitation":"[46]","previouslyFormattedCitation":"[46]"},"properties":{"noteIndex":0},"schema":"https://github.com/citation-style-language/schema/raw/master/csl-citation.json"}</w:instrText>
      </w:r>
      <w:r w:rsidR="008A1D46">
        <w:rPr>
          <w:rFonts w:ascii="Times New Roman" w:hAnsi="Times New Roman" w:cs="Times New Roman"/>
          <w:sz w:val="24"/>
          <w:szCs w:val="24"/>
        </w:rPr>
        <w:fldChar w:fldCharType="separate"/>
      </w:r>
      <w:r w:rsidR="007A01DC" w:rsidRPr="007A01DC">
        <w:rPr>
          <w:rFonts w:ascii="Times New Roman" w:hAnsi="Times New Roman" w:cs="Times New Roman"/>
          <w:sz w:val="24"/>
          <w:szCs w:val="24"/>
        </w:rPr>
        <w:t>[46]</w:t>
      </w:r>
      <w:r w:rsidR="008A1D46">
        <w:rPr>
          <w:rFonts w:ascii="Times New Roman" w:hAnsi="Times New Roman" w:cs="Times New Roman"/>
          <w:sz w:val="24"/>
          <w:szCs w:val="24"/>
        </w:rPr>
        <w:fldChar w:fldCharType="end"/>
      </w:r>
      <w:r w:rsidR="00ED2749">
        <w:rPr>
          <w:rFonts w:ascii="Times New Roman" w:hAnsi="Times New Roman" w:cs="Times New Roman"/>
          <w:sz w:val="24"/>
          <w:szCs w:val="24"/>
        </w:rPr>
        <w:t>.</w:t>
      </w:r>
      <w:r w:rsidR="00D026CF">
        <w:rPr>
          <w:rFonts w:ascii="Times New Roman" w:hAnsi="Times New Roman" w:cs="Times New Roman"/>
          <w:sz w:val="24"/>
          <w:szCs w:val="24"/>
        </w:rPr>
        <w:t xml:space="preserve"> </w:t>
      </w:r>
      <w:r w:rsidR="003248CA">
        <w:rPr>
          <w:rFonts w:ascii="Times New Roman" w:hAnsi="Times New Roman" w:cs="Times New Roman"/>
          <w:sz w:val="24"/>
          <w:szCs w:val="24"/>
        </w:rPr>
        <w:t xml:space="preserve">Evidence for network interventions </w:t>
      </w:r>
      <w:r w:rsidR="003248CA">
        <w:rPr>
          <w:rFonts w:ascii="Times New Roman" w:hAnsi="Times New Roman" w:cs="Times New Roman"/>
          <w:sz w:val="24"/>
          <w:szCs w:val="24"/>
        </w:rPr>
        <w:fldChar w:fldCharType="begin" w:fldLock="1"/>
      </w:r>
      <w:r w:rsidR="00605EAA">
        <w:rPr>
          <w:rFonts w:ascii="Times New Roman" w:hAnsi="Times New Roman" w:cs="Times New Roman"/>
          <w:sz w:val="24"/>
          <w:szCs w:val="24"/>
        </w:rPr>
        <w:instrText>ADDIN CSL_CITATION {"citationItems":[{"id":"ITEM-1","itemData":{"DOI":"10.1016/j.socscimed.2013.12.034","ISBN":"0277-9536, 0277-9536","ISSN":"1873-5347","PMID":"24518188","abstract":"Internationally, the Peer Change Agent (PCA) model is the most frequently used conceptual framework for HIV prevention. Change agents themselves can be more important than the messages they convey. PCA selection is operationalized via heterogeneous methods based upon individual-level attributes. A sociometric position selection strategy, however, could increase peer influence potency and halt transmission at key network locations. In this study, we selected candidate PCAs based upon relative sociometric bridging and centrality scores and assessed their attributes in comparison to one another and to existing peer educators. We focused upon an emerging HIV epidemic among men who have sex with men in Southern India in 2011. PCAs selected based on their bridging score were more likely to be innovators when compared to other centrally-located PCAs, to PCAs located on the periphery, and to existing peer educators. We also found that sociodemographic attributes and risk behaviors were similar across all candidate PCAs, but risk behaviors of existing peer educators differed. Existing peer educators were more likely to engage in higher risk behavior such as receiving money for sex when compared to sociometrically selected peer changes agents. These existing peer educators were also more likely to exhibit leadership qualities within the overall network; they were, however, just as likely as other non-trained candidate peer change agents to report important HIV intravention behavior (encouraging condoms within their network). The importance of identifying bridges who may be able to diffuse innovation more effectively within high risk HIV networks is especially critical given recent efficacy data from novel HIV prevention interventions such as pre-exposure prophylaxis. Moreover, while existing peer educators were more likely to be leaders in our analysis, using peer educators with high risk behavior may have limited utility in enacting behavior change among sex worker peers or male clients in the network.","author":[{"dropping-particle":"","family":"Schneider","given":"John A","non-dropping-particle":"","parse-names":false,"suffix":""},{"dropping-particle":"","family":"Zhou","given":"A. Ning","non-dropping-particle":"","parse-names":false,"suffix":""},{"dropping-particle":"","family":"Laumann","given":"Edward O","non-dropping-particle":"","parse-names":false,"suffix":""}],"container-title":"Social Science and Medicine","id":"ITEM-1","issued":{"date-parts":[["2014","1"]]},"page":"192-202","title":"A new HIV prevention network approach: sociometric peer change agent selection.","type":"article-newspaper","volume":"125"},"uris":["http://www.mendeley.com/documents/?uuid=42458c9f-908e-494e-906d-81cb289b843d"]},{"id":"ITEM-2","itemData":{"author":[{"dropping-particle":"","family":"Bowman","given":"B","non-dropping-particle":"","parse-names":false,"suffix":""},{"dropping-particle":"","family":"Schneider","given":"J","non-dropping-particle":"","parse-names":false,"suffix":""},{"dropping-particle":"","family":"Paraskevis","given":"D","non-dropping-particle":"","parse-names":false,"suffix":""},{"dropping-particle":"","family":"Hatzakis","given":"A","non-dropping-particle":"","parse-names":false,"suffix":""},{"dropping-particle":"","family":"Chanos","given":"S","non-dropping-particle":"","parse-names":false,"suffix":""},{"dropping-particle":"","family":"Psichogyiou","given":"M","non-dropping-particle":"","parse-names":false,"suffix":""},{"dropping-particle":"","family":"Papadopoulou","given":"M","non-dropping-particle":"","parse-names":false,"suffix":""},{"dropping-particle":"","family":"Khanna","given":"A","non-dropping-particle":"","parse-names":false,"suffix":""},{"dropping-particle":"","family":"Sypsa","given":"V","non-dropping-particle":"","parse-names":false,"suffix":""}],"container-title":"HIV Glasgow 2018","id":"ITEM-2","issued":{"date-parts":[["2018"]]},"publisher":"Journal of the International AIDS Society","publisher-place":"Glasgow, UK","title":"Sexual mixing and HIV risk among Greek men who have sex with men: results from SOPHOCLES","type":"paper-conference"},"uris":["http://www.mendeley.com/documents/?uuid=df778878-37b4-445f-b571-3295990825bb"]}],"mendeley":{"formattedCitation":"[47,48]","plainTextFormattedCitation":"[47,48]","previouslyFormattedCitation":"[47,48]"},"properties":{"noteIndex":0},"schema":"https://github.com/citation-style-language/schema/raw/master/csl-citation.json"}</w:instrText>
      </w:r>
      <w:r w:rsidR="003248CA">
        <w:rPr>
          <w:rFonts w:ascii="Times New Roman" w:hAnsi="Times New Roman" w:cs="Times New Roman"/>
          <w:sz w:val="24"/>
          <w:szCs w:val="24"/>
        </w:rPr>
        <w:fldChar w:fldCharType="separate"/>
      </w:r>
      <w:r w:rsidR="003248CA" w:rsidRPr="00CD689A">
        <w:rPr>
          <w:rFonts w:ascii="Times New Roman" w:hAnsi="Times New Roman" w:cs="Times New Roman"/>
          <w:sz w:val="24"/>
          <w:szCs w:val="24"/>
        </w:rPr>
        <w:t>[47,48]</w:t>
      </w:r>
      <w:r w:rsidR="003248CA">
        <w:rPr>
          <w:rFonts w:ascii="Times New Roman" w:hAnsi="Times New Roman" w:cs="Times New Roman"/>
          <w:sz w:val="24"/>
          <w:szCs w:val="24"/>
        </w:rPr>
        <w:fldChar w:fldCharType="end"/>
      </w:r>
      <w:r w:rsidR="003248CA">
        <w:rPr>
          <w:rFonts w:ascii="Times New Roman" w:hAnsi="Times New Roman" w:cs="Times New Roman"/>
          <w:sz w:val="24"/>
          <w:szCs w:val="24"/>
        </w:rPr>
        <w:t xml:space="preserve"> and interventions for se</w:t>
      </w:r>
      <w:r w:rsidR="002242BD">
        <w:rPr>
          <w:rFonts w:ascii="Times New Roman" w:hAnsi="Times New Roman" w:cs="Times New Roman"/>
          <w:sz w:val="24"/>
          <w:szCs w:val="24"/>
        </w:rPr>
        <w:t>r</w:t>
      </w:r>
      <w:r w:rsidR="003248CA">
        <w:rPr>
          <w:rFonts w:ascii="Times New Roman" w:hAnsi="Times New Roman" w:cs="Times New Roman"/>
          <w:sz w:val="24"/>
          <w:szCs w:val="24"/>
        </w:rPr>
        <w:t xml:space="preserve">odiscordant partners </w:t>
      </w:r>
      <w:r w:rsidR="00605EAA">
        <w:rPr>
          <w:rFonts w:ascii="Times New Roman" w:hAnsi="Times New Roman" w:cs="Times New Roman"/>
          <w:sz w:val="24"/>
          <w:szCs w:val="24"/>
        </w:rPr>
        <w:fldChar w:fldCharType="begin" w:fldLock="1"/>
      </w:r>
      <w:r w:rsidR="00A17324">
        <w:rPr>
          <w:rFonts w:ascii="Times New Roman" w:hAnsi="Times New Roman" w:cs="Times New Roman"/>
          <w:sz w:val="24"/>
          <w:szCs w:val="24"/>
        </w:rPr>
        <w:instrText>ADDIN CSL_CITATION {"citationItems":[{"id":"ITEM-1","itemData":{"DOI":"10.1016/S2352-3018(16)30214-4","ISSN":"2352-3018","PMID":"27913227","abstract":"BACKGROUND Assisted partner services for index patients with HIV infections involves elicitation of information about sex partners and contacting them to ensure that they test for HIV and link to care. Assisted partner services are not widely available in Africa. We aimed to establish whether or not assisted partner services increase HIV testing, diagnoses, and linkage to care among sex partners of people with HIV infections in Kenya. METHODS In this cluster randomised controlled trial, we recruited non-pregnant adults aged at least 18 years with newly or recently diagnosed HIV without a recent history of intimate partner violence who had not yet or had only recently linked to HIV care from 18 HIV testing services clinics in Kenya. Consenting sites in Kenya were randomly assigned (1:1) by the study statistician (restricted randomisation; balanced distribution in terms of county and proximity to a city) to immediate versus delayed assisted partner services. Primary outcomes were the number of partners tested for HIV, the number who tested HIV positive, and the number enrolled in HIV care, in those who were interviewed at 6 week follow-up. Participants within each cluster were masked to treatment allocation because participants within each cluster received the same intervention. This trial is registered with ClinicalTrials.gov, number NCT01616420. FINDINGS Between Aug 12, 2013, and Aug 31, 2015, we randomly allocated 18 clusters to immediate and delayed HIV assisted partner services (nine in each group), enrolling 1305 participants: 625 (48%) in the immediate group and 680 (52%) in the delayed group. 6 weeks after enrolment of index patients, 392 (67%) of 586 partners had tested for HIV in the immediate group and 85 (13%) of 680 had tested in the delayed group (incidence rate ratio 4·8, 95% CI 3·7-6·4). 136 (23%) partners had new HIV diagnoses in the immediate group compared with 28 (4%) in the delayed group (5·0, 3·2-7·9) and 88 (15%) versus 19 (3%) were newly enrolled in care (4·4, 2·6-7·4). Assisted partner services did not increase intimate partner violence (one intimate partner violence event related to partner notification or study procedures occurred in each group). INTERPRETATION Assisted partner services are safe and increase HIV testing and case-finding; implementation at the population level could enhance linkage to care and antiretroviral therapy initiation and substantially decrease HIV transmission. FUNDING National Institutes of Health.","author":[{"dropping-particle":"","family":"Cherutich","given":"Peter","non-dropping-particle":"","parse-names":false,"suffix":""},{"dropping-particle":"","family":"Golden","given":"Matthew R","non-dropping-particle":"","parse-names":false,"suffix":""},{"dropping-particle":"","family":"Wamuti","given":"Beatrice","non-dropping-particle":"","parse-names":false,"suffix":""},{"dropping-particle":"","family":"Richardson","given":"Barbra A","non-dropping-particle":"","parse-names":false,"suffix":""},{"dropping-particle":"","family":"Ásbjörnsdóttir","given":"Kristjana H","non-dropping-particle":"","parse-names":false,"suffix":""},{"dropping-particle":"","family":"Otieno","given":"Felix A","non-dropping-particle":"","parse-names":false,"suffix":""},{"dropping-particle":"","family":"Ng'ang'a","given":"Ann","non-dropping-particle":"","parse-names":false,"suffix":""},{"dropping-particle":"","family":"Mutiti","given":"Peter Maingi","non-dropping-particle":"","parse-names":false,"suffix":""},{"dropping-particle":"","family":"Macharia","given":"Paul","non-dropping-particle":"","parse-names":false,"suffix":""},{"dropping-particle":"","family":"Sambai","given":"Betsy","non-dropping-particle":"","parse-names":false,"suffix":""},{"dropping-particle":"","family":"Dunbar","given":"Matt","non-dropping-particle":"","parse-names":false,"suffix":""},{"dropping-particle":"","family":"Bukusi","given":"David","non-dropping-particle":"","parse-names":false,"suffix":""},{"dropping-particle":"","family":"Farquhar","given":"Carey","non-dropping-particle":"","parse-names":false,"suffix":""},{"dropping-particle":"","family":"aPS Study Group","given":"","non-dropping-particle":"","parse-names":false,"suffix":""}],"container-title":"The lancet. HIV","id":"ITEM-1","issue":"2","issued":{"date-parts":[["2017"]]},"page":"e74-e82","title":"Assisted partner services for HIV in Kenya: a cluster randomised controlled trial.","type":"article-journal","volume":"4"},"uris":["http://www.mendeley.com/documents/?uuid=e5ff2584-21aa-4fcb-b529-1eaa58e04945"]}],"mendeley":{"formattedCitation":"[49]","plainTextFormattedCitation":"[49]","previouslyFormattedCitation":"[49]"},"properties":{"noteIndex":0},"schema":"https://github.com/citation-style-language/schema/raw/master/csl-citation.json"}</w:instrText>
      </w:r>
      <w:r w:rsidR="00605EAA">
        <w:rPr>
          <w:rFonts w:ascii="Times New Roman" w:hAnsi="Times New Roman" w:cs="Times New Roman"/>
          <w:sz w:val="24"/>
          <w:szCs w:val="24"/>
        </w:rPr>
        <w:fldChar w:fldCharType="separate"/>
      </w:r>
      <w:r w:rsidR="00605EAA" w:rsidRPr="00605EAA">
        <w:rPr>
          <w:rFonts w:ascii="Times New Roman" w:hAnsi="Times New Roman" w:cs="Times New Roman"/>
          <w:sz w:val="24"/>
          <w:szCs w:val="24"/>
        </w:rPr>
        <w:t>[49]</w:t>
      </w:r>
      <w:r w:rsidR="00605EAA">
        <w:rPr>
          <w:rFonts w:ascii="Times New Roman" w:hAnsi="Times New Roman" w:cs="Times New Roman"/>
          <w:sz w:val="24"/>
          <w:szCs w:val="24"/>
        </w:rPr>
        <w:fldChar w:fldCharType="end"/>
      </w:r>
      <w:r w:rsidR="00605EAA">
        <w:rPr>
          <w:rFonts w:ascii="Times New Roman" w:hAnsi="Times New Roman" w:cs="Times New Roman"/>
          <w:sz w:val="24"/>
          <w:szCs w:val="24"/>
        </w:rPr>
        <w:t xml:space="preserve"> </w:t>
      </w:r>
      <w:r w:rsidR="003248CA">
        <w:rPr>
          <w:rFonts w:ascii="Times New Roman" w:hAnsi="Times New Roman" w:cs="Times New Roman"/>
          <w:sz w:val="24"/>
          <w:szCs w:val="24"/>
        </w:rPr>
        <w:t>in international contexts is also emerging</w:t>
      </w:r>
      <w:r w:rsidR="00EF2457">
        <w:rPr>
          <w:rFonts w:ascii="Times New Roman" w:hAnsi="Times New Roman" w:cs="Times New Roman"/>
          <w:sz w:val="24"/>
          <w:szCs w:val="24"/>
        </w:rPr>
        <w:t xml:space="preserve">. </w:t>
      </w:r>
      <w:r w:rsidRPr="005C44E0">
        <w:rPr>
          <w:rFonts w:ascii="Times New Roman" w:hAnsi="Times New Roman" w:cs="Times New Roman"/>
          <w:sz w:val="24"/>
          <w:szCs w:val="24"/>
        </w:rPr>
        <w:t xml:space="preserve">Modeling </w:t>
      </w:r>
      <w:r w:rsidR="008A1D46">
        <w:rPr>
          <w:rFonts w:ascii="Times New Roman" w:hAnsi="Times New Roman" w:cs="Times New Roman"/>
          <w:sz w:val="24"/>
          <w:szCs w:val="24"/>
        </w:rPr>
        <w:t xml:space="preserve">such </w:t>
      </w:r>
      <w:r w:rsidRPr="005C44E0">
        <w:rPr>
          <w:rFonts w:ascii="Times New Roman" w:hAnsi="Times New Roman" w:cs="Times New Roman"/>
          <w:sz w:val="24"/>
          <w:szCs w:val="24"/>
        </w:rPr>
        <w:t xml:space="preserve">interventions alone or in combination </w:t>
      </w:r>
      <w:r>
        <w:rPr>
          <w:rFonts w:ascii="Times New Roman" w:hAnsi="Times New Roman" w:cs="Times New Roman"/>
          <w:sz w:val="24"/>
          <w:szCs w:val="24"/>
        </w:rPr>
        <w:t>allows informed consideration of</w:t>
      </w:r>
      <w:r w:rsidRPr="005C44E0">
        <w:rPr>
          <w:rFonts w:ascii="Times New Roman" w:hAnsi="Times New Roman" w:cs="Times New Roman"/>
          <w:sz w:val="24"/>
          <w:szCs w:val="24"/>
        </w:rPr>
        <w:t xml:space="preserve"> </w:t>
      </w:r>
      <w:r>
        <w:rPr>
          <w:rFonts w:ascii="Times New Roman" w:hAnsi="Times New Roman" w:cs="Times New Roman"/>
          <w:sz w:val="24"/>
          <w:szCs w:val="24"/>
        </w:rPr>
        <w:t>a</w:t>
      </w:r>
      <w:r w:rsidRPr="005C44E0">
        <w:rPr>
          <w:rFonts w:ascii="Times New Roman" w:hAnsi="Times New Roman" w:cs="Times New Roman"/>
          <w:sz w:val="24"/>
          <w:szCs w:val="24"/>
        </w:rPr>
        <w:t xml:space="preserve"> spectrum of candidate PrEP implementation strategies</w:t>
      </w:r>
      <w:r>
        <w:rPr>
          <w:rFonts w:ascii="Times New Roman" w:hAnsi="Times New Roman" w:cs="Times New Roman"/>
          <w:sz w:val="24"/>
          <w:szCs w:val="24"/>
        </w:rPr>
        <w:t xml:space="preserve">, </w:t>
      </w:r>
      <w:r w:rsidRPr="005C44E0">
        <w:rPr>
          <w:rFonts w:ascii="Times New Roman" w:hAnsi="Times New Roman" w:cs="Times New Roman"/>
          <w:sz w:val="24"/>
          <w:szCs w:val="24"/>
        </w:rPr>
        <w:t xml:space="preserve">without </w:t>
      </w:r>
      <w:r w:rsidR="002242BD">
        <w:rPr>
          <w:rFonts w:ascii="Times New Roman" w:hAnsi="Times New Roman" w:cs="Times New Roman"/>
          <w:sz w:val="24"/>
          <w:szCs w:val="24"/>
        </w:rPr>
        <w:t xml:space="preserve">the </w:t>
      </w:r>
      <w:r w:rsidRPr="005C44E0">
        <w:rPr>
          <w:rFonts w:ascii="Times New Roman" w:hAnsi="Times New Roman" w:cs="Times New Roman"/>
          <w:sz w:val="24"/>
          <w:szCs w:val="24"/>
        </w:rPr>
        <w:t>need for</w:t>
      </w:r>
      <w:r>
        <w:rPr>
          <w:rFonts w:ascii="Times New Roman" w:hAnsi="Times New Roman" w:cs="Times New Roman"/>
          <w:sz w:val="24"/>
          <w:szCs w:val="24"/>
        </w:rPr>
        <w:t xml:space="preserve"> costly and research trials that may be difficult to implement</w:t>
      </w:r>
      <w:r w:rsidRPr="005C44E0">
        <w:rPr>
          <w:rFonts w:ascii="Times New Roman" w:hAnsi="Times New Roman" w:cs="Times New Roman"/>
          <w:sz w:val="24"/>
          <w:szCs w:val="24"/>
        </w:rPr>
        <w:t>.</w:t>
      </w:r>
    </w:p>
    <w:p w14:paraId="728F663E" w14:textId="2F6E628D" w:rsidR="000466FB" w:rsidRDefault="000466FB" w:rsidP="007E0D1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modeled interventions are summarized in Table A.7 below.</w:t>
      </w:r>
    </w:p>
    <w:tbl>
      <w:tblPr>
        <w:tblStyle w:val="TableGrid"/>
        <w:tblW w:w="10432" w:type="dxa"/>
        <w:tblInd w:w="-856" w:type="dxa"/>
        <w:tblLook w:val="04A0" w:firstRow="1" w:lastRow="0" w:firstColumn="1" w:lastColumn="0" w:noHBand="0" w:noVBand="1"/>
      </w:tblPr>
      <w:tblGrid>
        <w:gridCol w:w="1491"/>
        <w:gridCol w:w="2003"/>
        <w:gridCol w:w="2335"/>
        <w:gridCol w:w="2605"/>
        <w:gridCol w:w="1998"/>
      </w:tblGrid>
      <w:tr w:rsidR="005D4084" w:rsidRPr="005D4084" w14:paraId="7F5A046F" w14:textId="77777777" w:rsidTr="00DA2409">
        <w:trPr>
          <w:trHeight w:val="806"/>
        </w:trPr>
        <w:tc>
          <w:tcPr>
            <w:tcW w:w="10432" w:type="dxa"/>
            <w:gridSpan w:val="5"/>
            <w:vAlign w:val="center"/>
          </w:tcPr>
          <w:p w14:paraId="446204AC" w14:textId="191D1365" w:rsidR="005154D9" w:rsidRPr="005D4084" w:rsidRDefault="005154D9" w:rsidP="005154D9">
            <w:pPr>
              <w:rPr>
                <w:rFonts w:ascii="Times New Roman" w:hAnsi="Times New Roman" w:cs="Times New Roman"/>
                <w:b/>
                <w:color w:val="000000" w:themeColor="text1"/>
              </w:rPr>
            </w:pPr>
            <w:r w:rsidRPr="005D4084">
              <w:rPr>
                <w:rFonts w:ascii="Times New Roman" w:hAnsi="Times New Roman" w:cs="Times New Roman"/>
                <w:b/>
                <w:color w:val="000000" w:themeColor="text1"/>
              </w:rPr>
              <w:t xml:space="preserve">Table A.7: Modeled PrEP interventions. </w:t>
            </w:r>
          </w:p>
        </w:tc>
      </w:tr>
      <w:tr w:rsidR="005D4084" w:rsidRPr="005D4084" w14:paraId="1212539C" w14:textId="77777777" w:rsidTr="00DA2409">
        <w:trPr>
          <w:trHeight w:val="806"/>
        </w:trPr>
        <w:tc>
          <w:tcPr>
            <w:tcW w:w="1491" w:type="dxa"/>
            <w:vAlign w:val="center"/>
          </w:tcPr>
          <w:p w14:paraId="3B69213E" w14:textId="77777777" w:rsidR="005154D9" w:rsidRPr="005D4084" w:rsidRDefault="005154D9" w:rsidP="00DA2409">
            <w:pPr>
              <w:rPr>
                <w:rFonts w:ascii="Times New Roman" w:hAnsi="Times New Roman" w:cs="Times New Roman"/>
                <w:b/>
                <w:color w:val="000000" w:themeColor="text1"/>
              </w:rPr>
            </w:pPr>
            <w:r w:rsidRPr="005D4084">
              <w:rPr>
                <w:rFonts w:ascii="Times New Roman" w:hAnsi="Times New Roman" w:cs="Times New Roman"/>
                <w:b/>
                <w:color w:val="000000" w:themeColor="text1"/>
              </w:rPr>
              <w:t>Intervention name</w:t>
            </w:r>
          </w:p>
        </w:tc>
        <w:tc>
          <w:tcPr>
            <w:tcW w:w="2003" w:type="dxa"/>
            <w:vAlign w:val="center"/>
          </w:tcPr>
          <w:p w14:paraId="4B2D1839" w14:textId="77777777" w:rsidR="005154D9" w:rsidRPr="005D4084" w:rsidRDefault="005154D9" w:rsidP="00DA2409">
            <w:pPr>
              <w:rPr>
                <w:rFonts w:ascii="Times New Roman" w:hAnsi="Times New Roman" w:cs="Times New Roman"/>
                <w:b/>
                <w:color w:val="000000" w:themeColor="text1"/>
              </w:rPr>
            </w:pPr>
            <w:r w:rsidRPr="005D4084">
              <w:rPr>
                <w:rFonts w:ascii="Times New Roman" w:hAnsi="Times New Roman" w:cs="Times New Roman"/>
                <w:b/>
                <w:color w:val="000000" w:themeColor="text1"/>
              </w:rPr>
              <w:t>Intervention type</w:t>
            </w:r>
          </w:p>
        </w:tc>
        <w:tc>
          <w:tcPr>
            <w:tcW w:w="2335" w:type="dxa"/>
            <w:vAlign w:val="center"/>
          </w:tcPr>
          <w:p w14:paraId="1C070E3D" w14:textId="77777777" w:rsidR="005154D9" w:rsidRPr="005D4084" w:rsidRDefault="005154D9" w:rsidP="00DA2409">
            <w:pPr>
              <w:rPr>
                <w:rFonts w:ascii="Times New Roman" w:hAnsi="Times New Roman" w:cs="Times New Roman"/>
                <w:b/>
                <w:color w:val="000000" w:themeColor="text1"/>
              </w:rPr>
            </w:pPr>
            <w:r w:rsidRPr="005D4084">
              <w:rPr>
                <w:rFonts w:ascii="Times New Roman" w:hAnsi="Times New Roman" w:cs="Times New Roman"/>
                <w:b/>
                <w:color w:val="000000" w:themeColor="text1"/>
              </w:rPr>
              <w:t>Selection of New Agents to achieve target PrEP levels</w:t>
            </w:r>
          </w:p>
        </w:tc>
        <w:tc>
          <w:tcPr>
            <w:tcW w:w="2605" w:type="dxa"/>
            <w:vAlign w:val="center"/>
          </w:tcPr>
          <w:p w14:paraId="55B9F13B" w14:textId="77777777" w:rsidR="005154D9" w:rsidRPr="005D4084" w:rsidRDefault="005154D9" w:rsidP="00DA2409">
            <w:pPr>
              <w:rPr>
                <w:rFonts w:ascii="Times New Roman" w:hAnsi="Times New Roman" w:cs="Times New Roman"/>
                <w:b/>
                <w:color w:val="000000" w:themeColor="text1"/>
              </w:rPr>
            </w:pPr>
            <w:r w:rsidRPr="005D4084">
              <w:rPr>
                <w:rFonts w:ascii="Times New Roman" w:hAnsi="Times New Roman" w:cs="Times New Roman"/>
                <w:b/>
                <w:color w:val="000000" w:themeColor="text1"/>
              </w:rPr>
              <w:t>Rationale for Intervention</w:t>
            </w:r>
          </w:p>
        </w:tc>
        <w:tc>
          <w:tcPr>
            <w:tcW w:w="1998" w:type="dxa"/>
            <w:vAlign w:val="center"/>
          </w:tcPr>
          <w:p w14:paraId="596851AE" w14:textId="77777777" w:rsidR="005154D9" w:rsidRPr="005D4084" w:rsidRDefault="005154D9" w:rsidP="00DA2409">
            <w:pPr>
              <w:rPr>
                <w:rFonts w:ascii="Times New Roman" w:hAnsi="Times New Roman" w:cs="Times New Roman"/>
                <w:b/>
                <w:color w:val="000000" w:themeColor="text1"/>
              </w:rPr>
            </w:pPr>
            <w:r w:rsidRPr="005D4084">
              <w:rPr>
                <w:rFonts w:ascii="Times New Roman" w:hAnsi="Times New Roman" w:cs="Times New Roman"/>
                <w:b/>
                <w:color w:val="000000" w:themeColor="text1"/>
              </w:rPr>
              <w:t>Results</w:t>
            </w:r>
          </w:p>
        </w:tc>
      </w:tr>
      <w:tr w:rsidR="005D4084" w:rsidRPr="005D4084" w14:paraId="2490D63C" w14:textId="77777777" w:rsidTr="00DA2409">
        <w:tc>
          <w:tcPr>
            <w:tcW w:w="1491" w:type="dxa"/>
            <w:vMerge w:val="restart"/>
            <w:vAlign w:val="center"/>
          </w:tcPr>
          <w:p w14:paraId="641E4184"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PrEP initiation</w:t>
            </w:r>
          </w:p>
        </w:tc>
        <w:tc>
          <w:tcPr>
            <w:tcW w:w="2003" w:type="dxa"/>
            <w:vAlign w:val="center"/>
          </w:tcPr>
          <w:p w14:paraId="77C4477B"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Random Selection</w:t>
            </w:r>
          </w:p>
        </w:tc>
        <w:tc>
          <w:tcPr>
            <w:tcW w:w="2335" w:type="dxa"/>
            <w:vAlign w:val="center"/>
          </w:tcPr>
          <w:p w14:paraId="3FF7346B"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 xml:space="preserve">All HIV-negative individuals are equally likely for PrEP initiation. </w:t>
            </w:r>
          </w:p>
        </w:tc>
        <w:tc>
          <w:tcPr>
            <w:tcW w:w="2605" w:type="dxa"/>
            <w:vAlign w:val="center"/>
          </w:tcPr>
          <w:p w14:paraId="09A2B495"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 xml:space="preserve">This scenario provides a controlled setting to measure the efficacy of specialized PrEP interventions. </w:t>
            </w:r>
          </w:p>
        </w:tc>
        <w:tc>
          <w:tcPr>
            <w:tcW w:w="1998" w:type="dxa"/>
          </w:tcPr>
          <w:p w14:paraId="41F66516"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Table 2, Figure 1A</w:t>
            </w:r>
          </w:p>
        </w:tc>
      </w:tr>
      <w:tr w:rsidR="005D4084" w:rsidRPr="005D4084" w14:paraId="6C8811CF" w14:textId="77777777" w:rsidTr="00DA2409">
        <w:tc>
          <w:tcPr>
            <w:tcW w:w="1491" w:type="dxa"/>
            <w:vMerge/>
            <w:vAlign w:val="center"/>
          </w:tcPr>
          <w:p w14:paraId="63777C15" w14:textId="77777777" w:rsidR="005154D9" w:rsidRPr="005D4084" w:rsidRDefault="005154D9" w:rsidP="00DA2409">
            <w:pPr>
              <w:rPr>
                <w:rFonts w:ascii="Times New Roman" w:hAnsi="Times New Roman" w:cs="Times New Roman"/>
                <w:color w:val="000000" w:themeColor="text1"/>
              </w:rPr>
            </w:pPr>
          </w:p>
        </w:tc>
        <w:tc>
          <w:tcPr>
            <w:tcW w:w="2003" w:type="dxa"/>
            <w:vAlign w:val="center"/>
          </w:tcPr>
          <w:p w14:paraId="79E02BFC"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Main serodiscordant partners</w:t>
            </w:r>
          </w:p>
        </w:tc>
        <w:tc>
          <w:tcPr>
            <w:tcW w:w="2335" w:type="dxa"/>
            <w:vAlign w:val="center"/>
          </w:tcPr>
          <w:p w14:paraId="28045424"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 xml:space="preserve">HIV-negative individuals in main serodiscordant partnerships are selected. </w:t>
            </w:r>
          </w:p>
        </w:tc>
        <w:tc>
          <w:tcPr>
            <w:tcW w:w="2605" w:type="dxa"/>
            <w:vAlign w:val="center"/>
          </w:tcPr>
          <w:p w14:paraId="491CAAA4"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 xml:space="preserve">Initiating PrEP for HIV-negative individuals whose main partner(s) are HIV-infected may substantially increase the number of new infections prevented at the population level. </w:t>
            </w:r>
          </w:p>
        </w:tc>
        <w:tc>
          <w:tcPr>
            <w:tcW w:w="1998" w:type="dxa"/>
          </w:tcPr>
          <w:p w14:paraId="6BCB2CF1"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Table 2, Figure 1A</w:t>
            </w:r>
          </w:p>
        </w:tc>
      </w:tr>
      <w:tr w:rsidR="005D4084" w:rsidRPr="005D4084" w14:paraId="5FBEE5FF" w14:textId="77777777" w:rsidTr="00DA2409">
        <w:tc>
          <w:tcPr>
            <w:tcW w:w="1491" w:type="dxa"/>
            <w:vMerge/>
            <w:vAlign w:val="center"/>
          </w:tcPr>
          <w:p w14:paraId="3B202092" w14:textId="77777777" w:rsidR="005154D9" w:rsidRPr="005D4084" w:rsidRDefault="005154D9" w:rsidP="00DA2409">
            <w:pPr>
              <w:rPr>
                <w:rFonts w:ascii="Times New Roman" w:hAnsi="Times New Roman" w:cs="Times New Roman"/>
                <w:color w:val="000000" w:themeColor="text1"/>
              </w:rPr>
            </w:pPr>
          </w:p>
        </w:tc>
        <w:tc>
          <w:tcPr>
            <w:tcW w:w="2003" w:type="dxa"/>
            <w:vAlign w:val="center"/>
          </w:tcPr>
          <w:p w14:paraId="5A8E49F1"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Main and casual serodiscordant partners</w:t>
            </w:r>
          </w:p>
        </w:tc>
        <w:tc>
          <w:tcPr>
            <w:tcW w:w="2335" w:type="dxa"/>
            <w:vAlign w:val="center"/>
          </w:tcPr>
          <w:p w14:paraId="1FB798A4"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HIV-negative individuals in main and casual serodiscordant partnerships are selected.</w:t>
            </w:r>
          </w:p>
        </w:tc>
        <w:tc>
          <w:tcPr>
            <w:tcW w:w="2605" w:type="dxa"/>
            <w:vAlign w:val="center"/>
          </w:tcPr>
          <w:p w14:paraId="6167893E"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Initiating PrEP for HIV-negative individuals whose main or casual partner(s) are HIV-infected may have a substantial population-level effect on preventing new infections.</w:t>
            </w:r>
          </w:p>
        </w:tc>
        <w:tc>
          <w:tcPr>
            <w:tcW w:w="1998" w:type="dxa"/>
          </w:tcPr>
          <w:p w14:paraId="5C08FC2B"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Table 2, Figure 1A</w:t>
            </w:r>
          </w:p>
        </w:tc>
      </w:tr>
      <w:tr w:rsidR="005D4084" w:rsidRPr="005D4084" w14:paraId="5290709B" w14:textId="77777777" w:rsidTr="00DA2409">
        <w:tc>
          <w:tcPr>
            <w:tcW w:w="1491" w:type="dxa"/>
            <w:vMerge/>
            <w:vAlign w:val="center"/>
          </w:tcPr>
          <w:p w14:paraId="398A4273" w14:textId="77777777" w:rsidR="005154D9" w:rsidRPr="005D4084" w:rsidRDefault="005154D9" w:rsidP="00DA2409">
            <w:pPr>
              <w:rPr>
                <w:rFonts w:ascii="Times New Roman" w:hAnsi="Times New Roman" w:cs="Times New Roman"/>
                <w:color w:val="000000" w:themeColor="text1"/>
              </w:rPr>
            </w:pPr>
          </w:p>
        </w:tc>
        <w:tc>
          <w:tcPr>
            <w:tcW w:w="2003" w:type="dxa"/>
            <w:vAlign w:val="center"/>
          </w:tcPr>
          <w:p w14:paraId="08241551"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Network position: Degree centrality</w:t>
            </w:r>
          </w:p>
        </w:tc>
        <w:tc>
          <w:tcPr>
            <w:tcW w:w="2335" w:type="dxa"/>
            <w:vAlign w:val="center"/>
          </w:tcPr>
          <w:p w14:paraId="6B52683D"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 xml:space="preserve">HIV-negative individuals with </w:t>
            </w:r>
            <w:r w:rsidRPr="00D902FA">
              <w:rPr>
                <w:rFonts w:ascii="Times New Roman" w:hAnsi="Times New Roman" w:cs="Times New Roman"/>
                <w:color w:val="000000" w:themeColor="text1"/>
              </w:rPr>
              <w:t>top</w:t>
            </w:r>
            <w:r w:rsidRPr="005D4084">
              <w:rPr>
                <w:rFonts w:ascii="Times New Roman" w:hAnsi="Times New Roman" w:cs="Times New Roman"/>
                <w:color w:val="000000" w:themeColor="text1"/>
              </w:rPr>
              <w:t xml:space="preserve"> 10% of degree centrality scores are selected.  </w:t>
            </w:r>
          </w:p>
        </w:tc>
        <w:tc>
          <w:tcPr>
            <w:tcW w:w="2605" w:type="dxa"/>
            <w:vAlign w:val="center"/>
          </w:tcPr>
          <w:p w14:paraId="5375E59E"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 xml:space="preserve">Initiating PrEP for individuals with the highest number of main and casual sexual partners may prevent downstream transmission of new HIV infections. </w:t>
            </w:r>
          </w:p>
        </w:tc>
        <w:tc>
          <w:tcPr>
            <w:tcW w:w="1998" w:type="dxa"/>
          </w:tcPr>
          <w:p w14:paraId="6CF6C92B"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Table 2, Figure 1A</w:t>
            </w:r>
          </w:p>
        </w:tc>
      </w:tr>
      <w:tr w:rsidR="005D4084" w:rsidRPr="005D4084" w14:paraId="145EC609" w14:textId="77777777" w:rsidTr="00DA2409">
        <w:tc>
          <w:tcPr>
            <w:tcW w:w="1491" w:type="dxa"/>
            <w:vMerge/>
            <w:vAlign w:val="center"/>
          </w:tcPr>
          <w:p w14:paraId="0A3CB910" w14:textId="77777777" w:rsidR="005154D9" w:rsidRPr="005D4084" w:rsidRDefault="005154D9" w:rsidP="00DA2409">
            <w:pPr>
              <w:rPr>
                <w:rFonts w:ascii="Times New Roman" w:hAnsi="Times New Roman" w:cs="Times New Roman"/>
                <w:color w:val="000000" w:themeColor="text1"/>
              </w:rPr>
            </w:pPr>
          </w:p>
        </w:tc>
        <w:tc>
          <w:tcPr>
            <w:tcW w:w="2003" w:type="dxa"/>
            <w:vAlign w:val="center"/>
          </w:tcPr>
          <w:p w14:paraId="56944A9E"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Network position: Eigenvector centrality</w:t>
            </w:r>
          </w:p>
        </w:tc>
        <w:tc>
          <w:tcPr>
            <w:tcW w:w="2335" w:type="dxa"/>
            <w:vAlign w:val="center"/>
          </w:tcPr>
          <w:p w14:paraId="11FF64E5"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 xml:space="preserve">HIV-negative individuals with </w:t>
            </w:r>
            <w:r w:rsidRPr="00D902FA">
              <w:rPr>
                <w:rFonts w:ascii="Times New Roman" w:hAnsi="Times New Roman" w:cs="Times New Roman"/>
                <w:color w:val="000000" w:themeColor="text1"/>
              </w:rPr>
              <w:t>top</w:t>
            </w:r>
            <w:r w:rsidRPr="005D4084">
              <w:rPr>
                <w:rFonts w:ascii="Times New Roman" w:hAnsi="Times New Roman" w:cs="Times New Roman"/>
                <w:color w:val="000000" w:themeColor="text1"/>
              </w:rPr>
              <w:t xml:space="preserve"> 10% of highest eigenvector centrality scores are selected. </w:t>
            </w:r>
          </w:p>
        </w:tc>
        <w:tc>
          <w:tcPr>
            <w:tcW w:w="2605" w:type="dxa"/>
            <w:vAlign w:val="center"/>
          </w:tcPr>
          <w:p w14:paraId="0DCE6256"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 xml:space="preserve">Initiating PrEP for individuals who have sexual partnerships with other individuals with </w:t>
            </w:r>
            <w:r w:rsidRPr="00D902FA">
              <w:rPr>
                <w:rFonts w:ascii="Times New Roman" w:hAnsi="Times New Roman" w:cs="Times New Roman"/>
                <w:color w:val="000000" w:themeColor="text1"/>
              </w:rPr>
              <w:t>high</w:t>
            </w:r>
            <w:r w:rsidRPr="005D4084">
              <w:rPr>
                <w:rFonts w:ascii="Times New Roman" w:hAnsi="Times New Roman" w:cs="Times New Roman"/>
                <w:color w:val="000000" w:themeColor="text1"/>
              </w:rPr>
              <w:t xml:space="preserve"> number of sexual partnerships may prevent downstream transmission of new HIV infections.</w:t>
            </w:r>
          </w:p>
        </w:tc>
        <w:tc>
          <w:tcPr>
            <w:tcW w:w="1998" w:type="dxa"/>
          </w:tcPr>
          <w:p w14:paraId="419F391C"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Table 2, Figure 1A</w:t>
            </w:r>
          </w:p>
        </w:tc>
      </w:tr>
      <w:tr w:rsidR="005D4084" w:rsidRPr="005D4084" w14:paraId="06E39BE4" w14:textId="77777777" w:rsidTr="00DA2409">
        <w:trPr>
          <w:trHeight w:val="206"/>
        </w:trPr>
        <w:tc>
          <w:tcPr>
            <w:tcW w:w="1491" w:type="dxa"/>
            <w:vAlign w:val="center"/>
          </w:tcPr>
          <w:p w14:paraId="12DFF91A"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PrEP retention</w:t>
            </w:r>
          </w:p>
        </w:tc>
        <w:tc>
          <w:tcPr>
            <w:tcW w:w="2003" w:type="dxa"/>
            <w:vAlign w:val="center"/>
          </w:tcPr>
          <w:p w14:paraId="356405E8" w14:textId="17A5F0A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 xml:space="preserve">Mean duration of PrEP </w:t>
            </w:r>
            <w:r w:rsidR="00033D2D" w:rsidRPr="005D4084">
              <w:rPr>
                <w:rFonts w:ascii="Times New Roman" w:hAnsi="Times New Roman" w:cs="Times New Roman"/>
                <w:color w:val="000000" w:themeColor="text1"/>
              </w:rPr>
              <w:t>use</w:t>
            </w:r>
            <w:r w:rsidRPr="005D4084">
              <w:rPr>
                <w:rFonts w:ascii="Times New Roman" w:hAnsi="Times New Roman" w:cs="Times New Roman"/>
                <w:color w:val="000000" w:themeColor="text1"/>
              </w:rPr>
              <w:t xml:space="preserve"> is increased</w:t>
            </w:r>
          </w:p>
        </w:tc>
        <w:tc>
          <w:tcPr>
            <w:tcW w:w="2335" w:type="dxa"/>
            <w:vAlign w:val="center"/>
          </w:tcPr>
          <w:p w14:paraId="5943563E" w14:textId="32E030EE" w:rsidR="005154D9" w:rsidRPr="005D4084" w:rsidRDefault="00721FDF"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N/A</w:t>
            </w:r>
          </w:p>
        </w:tc>
        <w:tc>
          <w:tcPr>
            <w:tcW w:w="2605" w:type="dxa"/>
            <w:vAlign w:val="center"/>
          </w:tcPr>
          <w:p w14:paraId="075074E0"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Overall PrEP uptake can be increased by increasing retention.</w:t>
            </w:r>
          </w:p>
        </w:tc>
        <w:tc>
          <w:tcPr>
            <w:tcW w:w="1998" w:type="dxa"/>
          </w:tcPr>
          <w:p w14:paraId="34A05B84"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Table 3, Figure 1C</w:t>
            </w:r>
          </w:p>
        </w:tc>
      </w:tr>
      <w:tr w:rsidR="005D4084" w:rsidRPr="005D4084" w14:paraId="4896DD83" w14:textId="77777777" w:rsidTr="00DA2409">
        <w:tc>
          <w:tcPr>
            <w:tcW w:w="1491" w:type="dxa"/>
            <w:vAlign w:val="center"/>
          </w:tcPr>
          <w:p w14:paraId="64E0317F"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 xml:space="preserve">Combination </w:t>
            </w:r>
          </w:p>
          <w:p w14:paraId="07D7D3C5"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 xml:space="preserve">(initiation &amp; retention) </w:t>
            </w:r>
          </w:p>
        </w:tc>
        <w:tc>
          <w:tcPr>
            <w:tcW w:w="2003" w:type="dxa"/>
            <w:vAlign w:val="center"/>
          </w:tcPr>
          <w:p w14:paraId="7DE3DEFD" w14:textId="2D7CE79F" w:rsidR="005154D9" w:rsidRPr="005D4084" w:rsidRDefault="00D6686D"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PrEP i</w:t>
            </w:r>
            <w:r w:rsidR="005154D9" w:rsidRPr="005D4084">
              <w:rPr>
                <w:rFonts w:ascii="Times New Roman" w:hAnsi="Times New Roman" w:cs="Times New Roman"/>
                <w:color w:val="000000" w:themeColor="text1"/>
              </w:rPr>
              <w:t xml:space="preserve">nitiation rates and duration of </w:t>
            </w:r>
            <w:r w:rsidRPr="005D4084">
              <w:rPr>
                <w:rFonts w:ascii="Times New Roman" w:hAnsi="Times New Roman" w:cs="Times New Roman"/>
                <w:color w:val="000000" w:themeColor="text1"/>
              </w:rPr>
              <w:t xml:space="preserve">use </w:t>
            </w:r>
            <w:r w:rsidR="005154D9" w:rsidRPr="005D4084">
              <w:rPr>
                <w:rFonts w:ascii="Times New Roman" w:hAnsi="Times New Roman" w:cs="Times New Roman"/>
                <w:color w:val="000000" w:themeColor="text1"/>
              </w:rPr>
              <w:t>are simultaneously increased</w:t>
            </w:r>
          </w:p>
        </w:tc>
        <w:tc>
          <w:tcPr>
            <w:tcW w:w="2335" w:type="dxa"/>
            <w:vAlign w:val="center"/>
          </w:tcPr>
          <w:p w14:paraId="29EE997B" w14:textId="0A58437E" w:rsidR="005154D9" w:rsidRPr="005D4084" w:rsidRDefault="00F30D5E"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N/A</w:t>
            </w:r>
          </w:p>
        </w:tc>
        <w:tc>
          <w:tcPr>
            <w:tcW w:w="2605" w:type="dxa"/>
            <w:vAlign w:val="center"/>
          </w:tcPr>
          <w:p w14:paraId="4182CA0B" w14:textId="77777777"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 xml:space="preserve">To assess if increasing initiation and retention rates simultaneously (with overall PrEP uptake held constant) is more effective at preventing new infections than increasing either initiation or retention exclusively. </w:t>
            </w:r>
          </w:p>
        </w:tc>
        <w:tc>
          <w:tcPr>
            <w:tcW w:w="1998" w:type="dxa"/>
          </w:tcPr>
          <w:p w14:paraId="518DD0FA" w14:textId="61DF6128" w:rsidR="005154D9" w:rsidRPr="005D4084" w:rsidRDefault="005154D9" w:rsidP="00DA2409">
            <w:pPr>
              <w:rPr>
                <w:rFonts w:ascii="Times New Roman" w:hAnsi="Times New Roman" w:cs="Times New Roman"/>
                <w:color w:val="000000" w:themeColor="text1"/>
              </w:rPr>
            </w:pPr>
            <w:r w:rsidRPr="005D4084">
              <w:rPr>
                <w:rFonts w:ascii="Times New Roman" w:hAnsi="Times New Roman" w:cs="Times New Roman"/>
                <w:color w:val="000000" w:themeColor="text1"/>
              </w:rPr>
              <w:t>Appendix Table A.</w:t>
            </w:r>
            <w:r w:rsidR="00471349" w:rsidRPr="005D4084">
              <w:rPr>
                <w:rFonts w:ascii="Times New Roman" w:hAnsi="Times New Roman" w:cs="Times New Roman"/>
                <w:color w:val="000000" w:themeColor="text1"/>
              </w:rPr>
              <w:t>9</w:t>
            </w:r>
            <w:r w:rsidRPr="005D4084">
              <w:rPr>
                <w:rFonts w:ascii="Times New Roman" w:hAnsi="Times New Roman" w:cs="Times New Roman"/>
                <w:color w:val="000000" w:themeColor="text1"/>
              </w:rPr>
              <w:t>, Figure A.3</w:t>
            </w:r>
          </w:p>
        </w:tc>
      </w:tr>
    </w:tbl>
    <w:p w14:paraId="2A879BBD" w14:textId="77777777" w:rsidR="000466FB" w:rsidRPr="007E0D19" w:rsidRDefault="000466FB" w:rsidP="007E0D19">
      <w:pPr>
        <w:spacing w:line="480" w:lineRule="auto"/>
        <w:ind w:firstLine="720"/>
        <w:rPr>
          <w:rFonts w:ascii="Times New Roman" w:hAnsi="Times New Roman" w:cs="Times New Roman"/>
          <w:sz w:val="24"/>
          <w:szCs w:val="24"/>
        </w:rPr>
      </w:pPr>
    </w:p>
    <w:p w14:paraId="618786D8" w14:textId="24AC75C1" w:rsidR="000D0A46" w:rsidRPr="00903798" w:rsidRDefault="00111C2A" w:rsidP="0573D6D8">
      <w:pPr>
        <w:spacing w:line="480" w:lineRule="auto"/>
        <w:rPr>
          <w:rFonts w:ascii="Times New Roman" w:hAnsi="Times New Roman" w:cs="Times New Roman"/>
          <w:b/>
          <w:bCs/>
          <w:noProof w:val="0"/>
          <w:sz w:val="24"/>
          <w:szCs w:val="24"/>
        </w:rPr>
      </w:pPr>
      <w:bookmarkStart w:id="18" w:name="_Toc3377346"/>
      <w:r w:rsidRPr="000B44D1">
        <w:rPr>
          <w:rStyle w:val="Heading2Char"/>
        </w:rPr>
        <w:lastRenderedPageBreak/>
        <w:t>A.</w:t>
      </w:r>
      <w:r w:rsidR="004D188C" w:rsidRPr="000B44D1">
        <w:rPr>
          <w:rStyle w:val="Heading2Char"/>
        </w:rPr>
        <w:t>7.</w:t>
      </w:r>
      <w:r w:rsidR="00DA3EC0" w:rsidRPr="000B44D1">
        <w:rPr>
          <w:rStyle w:val="Heading2Char"/>
        </w:rPr>
        <w:t>2</w:t>
      </w:r>
      <w:r w:rsidR="004D188C" w:rsidRPr="000B44D1">
        <w:rPr>
          <w:rStyle w:val="Heading2Char"/>
        </w:rPr>
        <w:t xml:space="preserve"> Mathematical definitions of the network </w:t>
      </w:r>
      <w:r w:rsidR="00327276" w:rsidRPr="000B44D1">
        <w:rPr>
          <w:rStyle w:val="Heading2Char"/>
        </w:rPr>
        <w:t xml:space="preserve">position </w:t>
      </w:r>
      <w:r w:rsidR="00FB244C" w:rsidRPr="000B44D1">
        <w:rPr>
          <w:rStyle w:val="Heading2Char"/>
        </w:rPr>
        <w:t>measures</w:t>
      </w:r>
      <w:bookmarkEnd w:id="18"/>
      <w:r w:rsidR="00FB244C">
        <w:rPr>
          <w:rFonts w:ascii="Times New Roman" w:hAnsi="Times New Roman" w:cs="Times New Roman"/>
          <w:noProof w:val="0"/>
          <w:sz w:val="24"/>
          <w:szCs w:val="24"/>
          <w:u w:val="single"/>
        </w:rPr>
        <w:t>:</w:t>
      </w:r>
      <w:r w:rsidR="00FB244C">
        <w:rPr>
          <w:rFonts w:ascii="Times New Roman" w:hAnsi="Times New Roman" w:cs="Times New Roman"/>
          <w:noProof w:val="0"/>
          <w:sz w:val="24"/>
          <w:szCs w:val="24"/>
        </w:rPr>
        <w:t xml:space="preserve"> </w:t>
      </w:r>
      <w:r w:rsidR="002541CF">
        <w:rPr>
          <w:rFonts w:ascii="Times New Roman" w:hAnsi="Times New Roman" w:cs="Times New Roman"/>
          <w:noProof w:val="0"/>
          <w:sz w:val="24"/>
          <w:szCs w:val="24"/>
        </w:rPr>
        <w:t xml:space="preserve">The degree centrality </w:t>
      </w:r>
      <m:oMath>
        <m:sSub>
          <m:sSubPr>
            <m:ctrlPr>
              <w:rPr>
                <w:rFonts w:ascii="Cambria Math" w:hAnsi="Cambria Math" w:cs="Times New Roman"/>
                <w:i/>
                <w:noProof w:val="0"/>
                <w:sz w:val="24"/>
                <w:szCs w:val="24"/>
              </w:rPr>
            </m:ctrlPr>
          </m:sSubPr>
          <m:e>
            <m:r>
              <w:rPr>
                <w:rFonts w:ascii="Cambria Math" w:hAnsi="Cambria Math" w:cs="Times New Roman"/>
                <w:noProof w:val="0"/>
                <w:sz w:val="24"/>
                <w:szCs w:val="24"/>
              </w:rPr>
              <m:t>d</m:t>
            </m:r>
          </m:e>
          <m:sub>
            <m:r>
              <w:rPr>
                <w:rFonts w:ascii="Cambria Math" w:hAnsi="Cambria Math" w:cs="Times New Roman"/>
                <w:noProof w:val="0"/>
                <w:sz w:val="24"/>
                <w:szCs w:val="24"/>
              </w:rPr>
              <m:t>i</m:t>
            </m:r>
          </m:sub>
        </m:sSub>
      </m:oMath>
      <w:r w:rsidR="002541CF">
        <w:rPr>
          <w:rFonts w:ascii="Times New Roman" w:hAnsi="Times New Roman" w:cs="Times New Roman"/>
          <w:noProof w:val="0"/>
          <w:sz w:val="24"/>
          <w:szCs w:val="24"/>
        </w:rPr>
        <w:t xml:space="preserve"> of a</w:t>
      </w:r>
      <w:r w:rsidR="0036297A">
        <w:rPr>
          <w:rFonts w:ascii="Times New Roman" w:hAnsi="Times New Roman" w:cs="Times New Roman"/>
          <w:noProof w:val="0"/>
          <w:sz w:val="24"/>
          <w:szCs w:val="24"/>
        </w:rPr>
        <w:t>n</w:t>
      </w:r>
      <w:r w:rsidR="002541CF">
        <w:rPr>
          <w:rFonts w:ascii="Times New Roman" w:hAnsi="Times New Roman" w:cs="Times New Roman"/>
          <w:noProof w:val="0"/>
          <w:sz w:val="24"/>
          <w:szCs w:val="24"/>
        </w:rPr>
        <w:t xml:space="preserve"> </w:t>
      </w:r>
      <w:r w:rsidR="0036297A">
        <w:rPr>
          <w:rFonts w:ascii="Times New Roman" w:hAnsi="Times New Roman" w:cs="Times New Roman"/>
          <w:noProof w:val="0"/>
          <w:sz w:val="24"/>
          <w:szCs w:val="24"/>
        </w:rPr>
        <w:t>in</w:t>
      </w:r>
      <w:r w:rsidR="0036297A" w:rsidRPr="00D902FA">
        <w:rPr>
          <w:rFonts w:ascii="Times New Roman" w:hAnsi="Times New Roman" w:cs="Times New Roman"/>
          <w:sz w:val="24"/>
          <w:szCs w:val="24"/>
        </w:rPr>
        <w:t>dividual</w:t>
      </w:r>
      <w:r w:rsidR="002541CF" w:rsidRPr="00D902FA">
        <w:rPr>
          <w:rFonts w:ascii="Times New Roman" w:hAnsi="Times New Roman" w:cs="Times New Roman"/>
          <w:sz w:val="24"/>
          <w:szCs w:val="24"/>
        </w:rPr>
        <w:t xml:space="preserve"> </w:t>
      </w:r>
      <m:oMath>
        <m:r>
          <w:rPr>
            <w:rFonts w:ascii="Cambria Math" w:hAnsi="Cambria Math" w:cs="Times New Roman"/>
            <w:sz w:val="24"/>
            <w:szCs w:val="24"/>
          </w:rPr>
          <m:t>i</m:t>
        </m:r>
      </m:oMath>
      <w:r w:rsidR="002541CF" w:rsidRPr="00D902FA">
        <w:rPr>
          <w:rFonts w:ascii="Times New Roman" w:hAnsi="Times New Roman" w:cs="Times New Roman"/>
          <w:noProof w:val="0"/>
          <w:sz w:val="24"/>
          <w:szCs w:val="24"/>
        </w:rPr>
        <w:t xml:space="preserve"> </w:t>
      </w:r>
      <w:r w:rsidR="002541CF">
        <w:rPr>
          <w:rFonts w:ascii="Times New Roman" w:hAnsi="Times New Roman" w:cs="Times New Roman"/>
          <w:noProof w:val="0"/>
          <w:sz w:val="24"/>
          <w:szCs w:val="24"/>
        </w:rPr>
        <w:t xml:space="preserve">is equal to </w:t>
      </w:r>
      <m:oMath>
        <m:nary>
          <m:naryPr>
            <m:chr m:val="∑"/>
            <m:limLoc m:val="undOvr"/>
            <m:supHide m:val="1"/>
            <m:ctrlPr>
              <w:rPr>
                <w:rFonts w:ascii="Cambria Math" w:hAnsi="Cambria Math" w:cs="Times New Roman"/>
                <w:i/>
                <w:noProof w:val="0"/>
                <w:sz w:val="24"/>
                <w:szCs w:val="24"/>
              </w:rPr>
            </m:ctrlPr>
          </m:naryPr>
          <m:sub>
            <m:r>
              <w:rPr>
                <w:rFonts w:ascii="Cambria Math" w:hAnsi="Cambria Math" w:cs="Times New Roman"/>
                <w:noProof w:val="0"/>
                <w:sz w:val="24"/>
                <w:szCs w:val="24"/>
              </w:rPr>
              <m:t>j≠i</m:t>
            </m:r>
          </m:sub>
          <m:sup/>
          <m:e>
            <m:sSub>
              <m:sSubPr>
                <m:ctrlPr>
                  <w:rPr>
                    <w:rFonts w:ascii="Cambria Math" w:hAnsi="Cambria Math" w:cs="Times New Roman"/>
                    <w:i/>
                    <w:noProof w:val="0"/>
                    <w:sz w:val="24"/>
                    <w:szCs w:val="24"/>
                  </w:rPr>
                </m:ctrlPr>
              </m:sSubPr>
              <m:e>
                <m:r>
                  <w:rPr>
                    <w:rFonts w:ascii="Cambria Math" w:hAnsi="Cambria Math" w:cs="Times New Roman"/>
                    <w:noProof w:val="0"/>
                    <w:sz w:val="24"/>
                    <w:szCs w:val="24"/>
                  </w:rPr>
                  <m:t>a</m:t>
                </m:r>
              </m:e>
              <m:sub>
                <m:r>
                  <w:rPr>
                    <w:rFonts w:ascii="Cambria Math" w:hAnsi="Cambria Math" w:cs="Times New Roman"/>
                    <w:noProof w:val="0"/>
                    <w:sz w:val="24"/>
                    <w:szCs w:val="24"/>
                  </w:rPr>
                  <m:t>ij</m:t>
                </m:r>
              </m:sub>
            </m:sSub>
          </m:e>
        </m:nary>
      </m:oMath>
      <w:r w:rsidR="002541CF">
        <w:rPr>
          <w:rFonts w:ascii="Times New Roman" w:hAnsi="Times New Roman" w:cs="Times New Roman"/>
          <w:noProof w:val="0"/>
          <w:sz w:val="24"/>
          <w:szCs w:val="24"/>
        </w:rPr>
        <w:t xml:space="preserve"> where </w:t>
      </w:r>
      <m:oMath>
        <m:r>
          <w:rPr>
            <w:rFonts w:ascii="Cambria Math" w:hAnsi="Cambria Math" w:cs="Times New Roman"/>
            <w:noProof w:val="0"/>
            <w:sz w:val="24"/>
            <w:szCs w:val="24"/>
          </w:rPr>
          <m:t>j</m:t>
        </m:r>
      </m:oMath>
      <w:r w:rsidR="002541CF">
        <w:rPr>
          <w:rFonts w:ascii="Times New Roman" w:hAnsi="Times New Roman" w:cs="Times New Roman"/>
          <w:noProof w:val="0"/>
          <w:sz w:val="24"/>
          <w:szCs w:val="24"/>
        </w:rPr>
        <w:t xml:space="preserve"> is a distinct node in the network from </w:t>
      </w:r>
      <m:oMath>
        <m:r>
          <w:rPr>
            <w:rFonts w:ascii="Cambria Math" w:hAnsi="Cambria Math" w:cs="Times New Roman"/>
            <w:noProof w:val="0"/>
            <w:sz w:val="24"/>
            <w:szCs w:val="24"/>
          </w:rPr>
          <m:t>i</m:t>
        </m:r>
      </m:oMath>
      <w:r w:rsidR="002541CF">
        <w:rPr>
          <w:rFonts w:ascii="Times New Roman" w:hAnsi="Times New Roman" w:cs="Times New Roman"/>
          <w:noProof w:val="0"/>
          <w:sz w:val="24"/>
          <w:szCs w:val="24"/>
        </w:rPr>
        <w:t xml:space="preserve">, and </w:t>
      </w:r>
      <m:oMath>
        <m:r>
          <m:rPr>
            <m:sty m:val="bi"/>
          </m:rPr>
          <w:rPr>
            <w:rFonts w:ascii="Cambria Math" w:hAnsi="Cambria Math" w:cs="Times New Roman"/>
            <w:noProof w:val="0"/>
            <w:sz w:val="24"/>
            <w:szCs w:val="24"/>
          </w:rPr>
          <m:t>A</m:t>
        </m:r>
        <m:r>
          <w:rPr>
            <w:rFonts w:ascii="Cambria Math" w:hAnsi="Cambria Math" w:cs="Times New Roman"/>
            <w:noProof w:val="0"/>
            <w:sz w:val="24"/>
            <w:szCs w:val="24"/>
          </w:rPr>
          <m:t>=[</m:t>
        </m:r>
        <m:sSub>
          <m:sSubPr>
            <m:ctrlPr>
              <w:rPr>
                <w:rFonts w:ascii="Cambria Math" w:hAnsi="Cambria Math" w:cs="Times New Roman"/>
                <w:i/>
                <w:noProof w:val="0"/>
                <w:sz w:val="24"/>
                <w:szCs w:val="24"/>
              </w:rPr>
            </m:ctrlPr>
          </m:sSubPr>
          <m:e>
            <m:r>
              <w:rPr>
                <w:rFonts w:ascii="Cambria Math" w:hAnsi="Cambria Math" w:cs="Times New Roman"/>
                <w:noProof w:val="0"/>
                <w:sz w:val="24"/>
                <w:szCs w:val="24"/>
              </w:rPr>
              <m:t>a</m:t>
            </m:r>
          </m:e>
          <m:sub>
            <m:r>
              <w:rPr>
                <w:rFonts w:ascii="Cambria Math" w:hAnsi="Cambria Math" w:cs="Times New Roman"/>
                <w:noProof w:val="0"/>
                <w:sz w:val="24"/>
                <w:szCs w:val="24"/>
              </w:rPr>
              <m:t>ij</m:t>
            </m:r>
          </m:sub>
        </m:sSub>
        <m:r>
          <w:rPr>
            <w:rFonts w:ascii="Cambria Math" w:hAnsi="Cambria Math" w:cs="Times New Roman"/>
            <w:noProof w:val="0"/>
            <w:sz w:val="24"/>
            <w:szCs w:val="24"/>
          </w:rPr>
          <m:t>]</m:t>
        </m:r>
      </m:oMath>
      <w:r w:rsidR="001C5F2E">
        <w:rPr>
          <w:rFonts w:ascii="Times New Roman" w:hAnsi="Times New Roman" w:cs="Times New Roman"/>
          <w:noProof w:val="0"/>
          <w:sz w:val="24"/>
          <w:szCs w:val="24"/>
        </w:rPr>
        <w:t xml:space="preserve"> is the adjacency matrix where </w:t>
      </w:r>
      <m:oMath>
        <m:sSub>
          <m:sSubPr>
            <m:ctrlPr>
              <w:rPr>
                <w:rFonts w:ascii="Cambria Math" w:hAnsi="Cambria Math" w:cs="Times New Roman"/>
                <w:i/>
                <w:noProof w:val="0"/>
                <w:sz w:val="24"/>
                <w:szCs w:val="24"/>
              </w:rPr>
            </m:ctrlPr>
          </m:sSubPr>
          <m:e>
            <m:r>
              <w:rPr>
                <w:rFonts w:ascii="Cambria Math" w:hAnsi="Cambria Math" w:cs="Times New Roman"/>
                <w:noProof w:val="0"/>
                <w:sz w:val="24"/>
                <w:szCs w:val="24"/>
              </w:rPr>
              <m:t>a</m:t>
            </m:r>
          </m:e>
          <m:sub>
            <m:r>
              <w:rPr>
                <w:rFonts w:ascii="Cambria Math" w:hAnsi="Cambria Math" w:cs="Times New Roman"/>
                <w:noProof w:val="0"/>
                <w:sz w:val="24"/>
                <w:szCs w:val="24"/>
              </w:rPr>
              <m:t>ij</m:t>
            </m:r>
          </m:sub>
        </m:sSub>
        <m:r>
          <w:rPr>
            <w:rFonts w:ascii="Cambria Math" w:hAnsi="Cambria Math" w:cs="Times New Roman"/>
            <w:noProof w:val="0"/>
            <w:sz w:val="24"/>
            <w:szCs w:val="24"/>
          </w:rPr>
          <m:t>=1</m:t>
        </m:r>
      </m:oMath>
      <w:r w:rsidR="00F9265D">
        <w:rPr>
          <w:rFonts w:ascii="Times New Roman" w:hAnsi="Times New Roman" w:cs="Times New Roman"/>
          <w:noProof w:val="0"/>
          <w:sz w:val="24"/>
          <w:szCs w:val="24"/>
        </w:rPr>
        <w:t xml:space="preserve"> if </w:t>
      </w:r>
      <m:oMath>
        <m:r>
          <w:rPr>
            <w:rFonts w:ascii="Cambria Math" w:hAnsi="Cambria Math" w:cs="Times New Roman"/>
            <w:noProof w:val="0"/>
            <w:sz w:val="24"/>
            <w:szCs w:val="24"/>
          </w:rPr>
          <m:t>i</m:t>
        </m:r>
      </m:oMath>
      <w:r w:rsidR="002541CF">
        <w:rPr>
          <w:rFonts w:ascii="Times New Roman" w:hAnsi="Times New Roman" w:cs="Times New Roman"/>
          <w:noProof w:val="0"/>
          <w:sz w:val="24"/>
          <w:szCs w:val="24"/>
        </w:rPr>
        <w:t xml:space="preserve"> </w:t>
      </w:r>
      <w:r w:rsidR="00F9265D">
        <w:rPr>
          <w:rFonts w:ascii="Times New Roman" w:hAnsi="Times New Roman" w:cs="Times New Roman"/>
          <w:noProof w:val="0"/>
          <w:sz w:val="24"/>
          <w:szCs w:val="24"/>
        </w:rPr>
        <w:t xml:space="preserve">and </w:t>
      </w:r>
      <m:oMath>
        <m:r>
          <w:rPr>
            <w:rFonts w:ascii="Cambria Math" w:hAnsi="Cambria Math" w:cs="Times New Roman"/>
            <w:noProof w:val="0"/>
            <w:sz w:val="24"/>
            <w:szCs w:val="24"/>
          </w:rPr>
          <m:t>j</m:t>
        </m:r>
      </m:oMath>
      <w:r w:rsidR="00F9265D">
        <w:rPr>
          <w:rFonts w:ascii="Times New Roman" w:hAnsi="Times New Roman" w:cs="Times New Roman"/>
          <w:noProof w:val="0"/>
          <w:sz w:val="24"/>
          <w:szCs w:val="24"/>
        </w:rPr>
        <w:t xml:space="preserve"> are connected by an edge, and </w:t>
      </w:r>
      <m:oMath>
        <m:sSub>
          <m:sSubPr>
            <m:ctrlPr>
              <w:rPr>
                <w:rFonts w:ascii="Cambria Math" w:hAnsi="Cambria Math" w:cs="Times New Roman"/>
                <w:i/>
                <w:noProof w:val="0"/>
                <w:sz w:val="24"/>
                <w:szCs w:val="24"/>
              </w:rPr>
            </m:ctrlPr>
          </m:sSubPr>
          <m:e>
            <m:r>
              <w:rPr>
                <w:rFonts w:ascii="Cambria Math" w:hAnsi="Cambria Math" w:cs="Times New Roman"/>
                <w:noProof w:val="0"/>
                <w:sz w:val="24"/>
                <w:szCs w:val="24"/>
              </w:rPr>
              <m:t>a</m:t>
            </m:r>
          </m:e>
          <m:sub>
            <m:r>
              <w:rPr>
                <w:rFonts w:ascii="Cambria Math" w:hAnsi="Cambria Math" w:cs="Times New Roman"/>
                <w:noProof w:val="0"/>
                <w:sz w:val="24"/>
                <w:szCs w:val="24"/>
              </w:rPr>
              <m:t>ij</m:t>
            </m:r>
          </m:sub>
        </m:sSub>
        <m:r>
          <w:rPr>
            <w:rFonts w:ascii="Cambria Math" w:hAnsi="Cambria Math" w:cs="Times New Roman"/>
            <w:noProof w:val="0"/>
            <w:sz w:val="24"/>
            <w:szCs w:val="24"/>
          </w:rPr>
          <m:t>=0</m:t>
        </m:r>
      </m:oMath>
      <w:r w:rsidR="00F9265D">
        <w:rPr>
          <w:rFonts w:ascii="Times New Roman" w:hAnsi="Times New Roman" w:cs="Times New Roman"/>
          <w:noProof w:val="0"/>
          <w:sz w:val="24"/>
          <w:szCs w:val="24"/>
        </w:rPr>
        <w:t xml:space="preserve"> otherwise</w:t>
      </w:r>
      <w:r w:rsidR="00853D5F">
        <w:rPr>
          <w:rFonts w:ascii="Times New Roman" w:hAnsi="Times New Roman" w:cs="Times New Roman"/>
          <w:noProof w:val="0"/>
          <w:sz w:val="24"/>
          <w:szCs w:val="24"/>
        </w:rPr>
        <w:t xml:space="preserve"> </w:t>
      </w:r>
      <w:r w:rsidR="00966BC5">
        <w:rPr>
          <w:rFonts w:ascii="Times New Roman" w:hAnsi="Times New Roman" w:cs="Times New Roman"/>
          <w:noProof w:val="0"/>
          <w:sz w:val="24"/>
          <w:szCs w:val="24"/>
        </w:rPr>
        <w:fldChar w:fldCharType="begin" w:fldLock="1"/>
      </w:r>
      <w:r w:rsidR="00A17324">
        <w:rPr>
          <w:rFonts w:ascii="Times New Roman" w:hAnsi="Times New Roman" w:cs="Times New Roman"/>
          <w:noProof w:val="0"/>
          <w:sz w:val="24"/>
          <w:szCs w:val="24"/>
        </w:rPr>
        <w:instrText>ADDIN CSL_CITATION {"citationItems":[{"id":"ITEM-1","itemData":{"DOI":"10.1016/j.socnet.2005.11.005","abstract":"The concept of centrality is often invoked in social network analysis, and diverse indices have been proposed to measure it. This paper develops a unified framework for the measurement of centrality. All measures of centrality assess a node's involvement in the walk structure of a network. Measures vary along four key dimensions: type of nodal involvement assessed, type of walk considered, property of walk assessed, and choice of summary measure. If we cross-classify measures by type of nodal involvement (radial versus medial) and property of walk assessed (volume versus length), we obtain a four-fold polychotomization with one cell empty which mirrors Freeman's 1979 categorization. At a more substantive level, measures of centrality summarize a node's involvement in or contribution to the cohesiveness of the network. Radial measures in particular are reductions of pair-wise proximities/cohesion to attributes of nodes or actors. The usefulness and interpretability of radial measures depend on the fit of the cohesion matrix to the one-dimensional model. In network terms, a network that is fit by a one-dimensional model has a core-periphery structure in which all nodes revolve more or less closely around a single core. This in turn implies that the network does not contain distinct cohesive subgroups. Thus, centrality is shown to be intimately connected with the cohesive subgroup structure of a network.","author":[{"dropping-particle":"","family":"Borgatti","given":"Stephen P","non-dropping-particle":"","parse-names":false,"suffix":""},{"dropping-particle":"","family":"Everett","given":"Martin G","non-dropping-particle":"","parse-names":false,"suffix":""}],"container-title":"Social Networks","id":"ITEM-1","issued":{"date-parts":[["2006"]]},"page":"466-484","title":"A Graph-theoretic perspective on centrality","type":"article-journal","volume":"28"},"uris":["http://www.mendeley.com/documents/?uuid=57c102e7-f88c-39c0-8f11-eea36110b180"]}],"mendeley":{"formattedCitation":"[50]","plainTextFormattedCitation":"[50]","previouslyFormattedCitation":"[50]"},"properties":{"noteIndex":0},"schema":"https://github.com/citation-style-language/schema/raw/master/csl-citation.json"}</w:instrText>
      </w:r>
      <w:r w:rsidR="00966BC5">
        <w:rPr>
          <w:rFonts w:ascii="Times New Roman" w:hAnsi="Times New Roman" w:cs="Times New Roman"/>
          <w:noProof w:val="0"/>
          <w:sz w:val="24"/>
          <w:szCs w:val="24"/>
        </w:rPr>
        <w:fldChar w:fldCharType="separate"/>
      </w:r>
      <w:r w:rsidR="00605EAA" w:rsidRPr="00605EAA">
        <w:rPr>
          <w:rFonts w:ascii="Times New Roman" w:hAnsi="Times New Roman" w:cs="Times New Roman"/>
          <w:sz w:val="24"/>
          <w:szCs w:val="24"/>
        </w:rPr>
        <w:t>[50]</w:t>
      </w:r>
      <w:r w:rsidR="00966BC5">
        <w:rPr>
          <w:rFonts w:ascii="Times New Roman" w:hAnsi="Times New Roman" w:cs="Times New Roman"/>
          <w:noProof w:val="0"/>
          <w:sz w:val="24"/>
          <w:szCs w:val="24"/>
        </w:rPr>
        <w:fldChar w:fldCharType="end"/>
      </w:r>
      <w:r w:rsidR="00F9265D">
        <w:rPr>
          <w:rFonts w:ascii="Times New Roman" w:hAnsi="Times New Roman" w:cs="Times New Roman"/>
          <w:noProof w:val="0"/>
          <w:sz w:val="24"/>
          <w:szCs w:val="24"/>
        </w:rPr>
        <w:t xml:space="preserve">. </w:t>
      </w:r>
      <w:r w:rsidR="00FB244C" w:rsidRPr="00FB244C">
        <w:rPr>
          <w:rFonts w:ascii="Times New Roman" w:hAnsi="Times New Roman" w:cs="Times New Roman"/>
          <w:noProof w:val="0"/>
          <w:sz w:val="24"/>
          <w:szCs w:val="24"/>
        </w:rPr>
        <w:t xml:space="preserve">The eigenvector centrality </w:t>
      </w:r>
      <w:r w:rsidR="00153DD1">
        <w:rPr>
          <w:rFonts w:ascii="Times New Roman" w:hAnsi="Times New Roman" w:cs="Times New Roman"/>
          <w:noProof w:val="0"/>
          <w:sz w:val="24"/>
          <w:szCs w:val="24"/>
        </w:rPr>
        <w:t xml:space="preserve">score </w:t>
      </w:r>
      <w:r w:rsidR="00FB244C" w:rsidRPr="00FB244C">
        <w:rPr>
          <w:rFonts w:ascii="Times New Roman" w:hAnsi="Times New Roman" w:cs="Times New Roman"/>
          <w:noProof w:val="0"/>
          <w:sz w:val="24"/>
          <w:szCs w:val="24"/>
        </w:rPr>
        <w:t xml:space="preserve">of a </w:t>
      </w:r>
      <w:r w:rsidR="00153DD1">
        <w:rPr>
          <w:rFonts w:ascii="Times New Roman" w:hAnsi="Times New Roman" w:cs="Times New Roman"/>
          <w:noProof w:val="0"/>
          <w:sz w:val="24"/>
          <w:szCs w:val="24"/>
        </w:rPr>
        <w:t xml:space="preserve">node in a </w:t>
      </w:r>
      <w:r w:rsidR="00FB244C" w:rsidRPr="00FB244C">
        <w:rPr>
          <w:rFonts w:ascii="Times New Roman" w:hAnsi="Times New Roman" w:cs="Times New Roman"/>
          <w:noProof w:val="0"/>
          <w:sz w:val="24"/>
          <w:szCs w:val="24"/>
        </w:rPr>
        <w:t xml:space="preserve">network is defined as the </w:t>
      </w:r>
      <w:r w:rsidR="00A30DEA">
        <w:rPr>
          <w:rFonts w:ascii="Times New Roman" w:hAnsi="Times New Roman" w:cs="Times New Roman"/>
          <w:noProof w:val="0"/>
          <w:sz w:val="24"/>
          <w:szCs w:val="24"/>
        </w:rPr>
        <w:t xml:space="preserve">eigenvalue corresponding to the </w:t>
      </w:r>
      <w:r w:rsidR="00FB244C" w:rsidRPr="00FB244C">
        <w:rPr>
          <w:rFonts w:ascii="Times New Roman" w:hAnsi="Times New Roman" w:cs="Times New Roman"/>
          <w:noProof w:val="0"/>
          <w:sz w:val="24"/>
          <w:szCs w:val="24"/>
        </w:rPr>
        <w:t xml:space="preserve">principal eigenvector of the adjacency matrix defining the network, as given by </w:t>
      </w:r>
      <m:oMath>
        <m:r>
          <w:rPr>
            <w:rFonts w:ascii="Cambria Math" w:hAnsi="Cambria Math" w:cs="Times New Roman"/>
            <w:noProof w:val="0"/>
            <w:sz w:val="24"/>
            <w:szCs w:val="24"/>
          </w:rPr>
          <m:t>λ</m:t>
        </m:r>
        <m:r>
          <m:rPr>
            <m:sty m:val="bi"/>
          </m:rPr>
          <w:rPr>
            <w:rFonts w:ascii="Cambria Math" w:hAnsi="Cambria Math" w:cs="Times New Roman"/>
            <w:noProof w:val="0"/>
            <w:sz w:val="24"/>
            <w:szCs w:val="24"/>
          </w:rPr>
          <m:t>ν</m:t>
        </m:r>
        <m:r>
          <w:rPr>
            <w:rFonts w:ascii="Cambria Math" w:hAnsi="Cambria Math" w:cs="Times New Roman"/>
            <w:noProof w:val="0"/>
            <w:sz w:val="24"/>
            <w:szCs w:val="24"/>
          </w:rPr>
          <m:t>=</m:t>
        </m:r>
        <m:r>
          <m:rPr>
            <m:sty m:val="bi"/>
          </m:rPr>
          <w:rPr>
            <w:rFonts w:ascii="Cambria Math" w:hAnsi="Cambria Math" w:cs="Times New Roman"/>
            <w:noProof w:val="0"/>
            <w:sz w:val="24"/>
            <w:szCs w:val="24"/>
          </w:rPr>
          <m:t>Aν,</m:t>
        </m:r>
      </m:oMath>
      <w:r w:rsidR="00FB244C" w:rsidRPr="00FB244C">
        <w:rPr>
          <w:rFonts w:ascii="Times New Roman" w:hAnsi="Times New Roman" w:cs="Times New Roman"/>
          <w:noProof w:val="0"/>
          <w:sz w:val="24"/>
          <w:szCs w:val="24"/>
        </w:rPr>
        <w:t xml:space="preserve"> where </w:t>
      </w:r>
      <m:oMath>
        <m:r>
          <m:rPr>
            <m:sty m:val="bi"/>
          </m:rPr>
          <w:rPr>
            <w:rFonts w:ascii="Cambria Math" w:hAnsi="Cambria Math" w:cs="Times New Roman"/>
            <w:noProof w:val="0"/>
            <w:sz w:val="24"/>
            <w:szCs w:val="24"/>
          </w:rPr>
          <m:t>A</m:t>
        </m:r>
      </m:oMath>
      <w:r w:rsidR="00FB244C" w:rsidRPr="00FB244C">
        <w:rPr>
          <w:rFonts w:ascii="Times New Roman" w:hAnsi="Times New Roman" w:cs="Times New Roman"/>
          <w:noProof w:val="0"/>
          <w:sz w:val="24"/>
          <w:szCs w:val="24"/>
        </w:rPr>
        <w:t xml:space="preserve"> is the adjacency matrix of the network, </w:t>
      </w:r>
      <m:oMath>
        <m:r>
          <w:rPr>
            <w:rFonts w:ascii="Cambria Math" w:hAnsi="Cambria Math" w:cs="Times New Roman"/>
            <w:noProof w:val="0"/>
            <w:sz w:val="24"/>
            <w:szCs w:val="24"/>
          </w:rPr>
          <m:t>λ</m:t>
        </m:r>
      </m:oMath>
      <w:r w:rsidR="00FB244C" w:rsidRPr="00FB244C">
        <w:rPr>
          <w:rFonts w:ascii="Times New Roman" w:hAnsi="Times New Roman" w:cs="Times New Roman"/>
          <w:noProof w:val="0"/>
          <w:sz w:val="24"/>
          <w:szCs w:val="24"/>
        </w:rPr>
        <w:t xml:space="preserve"> is the constant eigenvalue, and </w:t>
      </w:r>
      <m:oMath>
        <m:r>
          <m:rPr>
            <m:sty m:val="bi"/>
          </m:rPr>
          <w:rPr>
            <w:rFonts w:ascii="Cambria Math" w:hAnsi="Cambria Math" w:cs="Times New Roman"/>
            <w:noProof w:val="0"/>
            <w:sz w:val="24"/>
            <w:szCs w:val="24"/>
          </w:rPr>
          <m:t>ν</m:t>
        </m:r>
      </m:oMath>
      <w:r w:rsidR="00FB244C" w:rsidRPr="00FB244C">
        <w:rPr>
          <w:rFonts w:ascii="Times New Roman" w:hAnsi="Times New Roman" w:cs="Times New Roman"/>
          <w:b/>
          <w:noProof w:val="0"/>
          <w:sz w:val="24"/>
          <w:szCs w:val="24"/>
        </w:rPr>
        <w:t xml:space="preserve"> </w:t>
      </w:r>
      <w:r w:rsidR="00FB244C" w:rsidRPr="00FB244C">
        <w:rPr>
          <w:rFonts w:ascii="Times New Roman" w:hAnsi="Times New Roman" w:cs="Times New Roman"/>
          <w:noProof w:val="0"/>
          <w:sz w:val="24"/>
          <w:szCs w:val="24"/>
        </w:rPr>
        <w:t>is the</w:t>
      </w:r>
      <w:r w:rsidR="00FB244C" w:rsidRPr="00FB244C">
        <w:rPr>
          <w:rFonts w:ascii="Times New Roman" w:hAnsi="Times New Roman" w:cs="Times New Roman"/>
          <w:b/>
          <w:noProof w:val="0"/>
          <w:sz w:val="24"/>
          <w:szCs w:val="24"/>
        </w:rPr>
        <w:t xml:space="preserve"> </w:t>
      </w:r>
      <w:r w:rsidR="00FB244C" w:rsidRPr="00FB244C">
        <w:rPr>
          <w:rFonts w:ascii="Times New Roman" w:hAnsi="Times New Roman" w:cs="Times New Roman"/>
          <w:noProof w:val="0"/>
          <w:sz w:val="24"/>
          <w:szCs w:val="24"/>
        </w:rPr>
        <w:t xml:space="preserve">eigenvector </w:t>
      </w:r>
      <w:r w:rsidR="00FB244C" w:rsidRPr="00FB244C">
        <w:rPr>
          <w:rFonts w:ascii="Times New Roman" w:hAnsi="Times New Roman" w:cs="Times New Roman"/>
          <w:noProof w:val="0"/>
          <w:sz w:val="24"/>
          <w:szCs w:val="24"/>
        </w:rPr>
        <w:fldChar w:fldCharType="begin" w:fldLock="1"/>
      </w:r>
      <w:r w:rsidR="00A17324">
        <w:rPr>
          <w:rFonts w:ascii="Times New Roman" w:hAnsi="Times New Roman" w:cs="Times New Roman"/>
          <w:noProof w:val="0"/>
          <w:sz w:val="24"/>
          <w:szCs w:val="24"/>
        </w:rPr>
        <w:instrText>ADDIN CSL_CITATION {"citationItems":[{"id":"ITEM-1","itemData":{"DOI":"10.1086/228631","ISBN":"00029602","ISSN":"0002-9602","abstract":"Although network centrality is generally assumed to produce power, recent research show that this is not the case in exchange networks. This paper proposes a generalization of the concept of centrality that accounts for both the usual positive relationship between power and centrality and Cook et al.'s recent exceptional results.","author":[{"dropping-particle":"","family":"Bonacich","given":"Phillip","non-dropping-particle":"","parse-names":false,"suffix":""}],"container-title":"American Journal of Sociology","id":"ITEM-1","issue":"5","issued":{"date-parts":[["1987"]]},"page":"1170","title":"Power and Centrality: A Family of Measures","type":"article","volume":"92"},"uris":["http://www.mendeley.com/documents/?uuid=ad9f7dc0-6aa8-4704-8a14-2964f434181a"]}],"mendeley":{"formattedCitation":"[51]","plainTextFormattedCitation":"[51]","previouslyFormattedCitation":"[51]"},"properties":{"noteIndex":0},"schema":"https://github.com/citation-style-language/schema/raw/master/csl-citation.json"}</w:instrText>
      </w:r>
      <w:r w:rsidR="00FB244C" w:rsidRPr="00FB244C">
        <w:rPr>
          <w:rFonts w:ascii="Times New Roman" w:hAnsi="Times New Roman" w:cs="Times New Roman"/>
          <w:noProof w:val="0"/>
          <w:sz w:val="24"/>
          <w:szCs w:val="24"/>
        </w:rPr>
        <w:fldChar w:fldCharType="separate"/>
      </w:r>
      <w:r w:rsidR="00605EAA" w:rsidRPr="00605EAA">
        <w:rPr>
          <w:rFonts w:ascii="Times New Roman" w:hAnsi="Times New Roman" w:cs="Times New Roman"/>
          <w:sz w:val="24"/>
          <w:szCs w:val="24"/>
        </w:rPr>
        <w:t>[51]</w:t>
      </w:r>
      <w:r w:rsidR="00FB244C" w:rsidRPr="00FB244C">
        <w:rPr>
          <w:rFonts w:ascii="Times New Roman" w:hAnsi="Times New Roman" w:cs="Times New Roman"/>
          <w:noProof w:val="0"/>
          <w:sz w:val="24"/>
          <w:szCs w:val="24"/>
        </w:rPr>
        <w:fldChar w:fldCharType="end"/>
      </w:r>
      <w:r w:rsidR="00FB244C" w:rsidRPr="00FB244C">
        <w:rPr>
          <w:rFonts w:ascii="Times New Roman" w:hAnsi="Times New Roman" w:cs="Times New Roman"/>
          <w:noProof w:val="0"/>
          <w:sz w:val="24"/>
          <w:szCs w:val="24"/>
        </w:rPr>
        <w:t>.</w:t>
      </w:r>
      <w:r w:rsidR="00FB244C" w:rsidRPr="00FB244C">
        <w:rPr>
          <w:rFonts w:ascii="Times New Roman" w:hAnsi="Times New Roman" w:cs="Times New Roman"/>
          <w:b/>
          <w:noProof w:val="0"/>
          <w:sz w:val="24"/>
          <w:szCs w:val="24"/>
        </w:rPr>
        <w:t xml:space="preserve"> </w:t>
      </w:r>
      <w:r w:rsidR="00FB244C" w:rsidRPr="00FB244C">
        <w:rPr>
          <w:rFonts w:ascii="Times New Roman" w:hAnsi="Times New Roman" w:cs="Times New Roman"/>
          <w:noProof w:val="0"/>
          <w:sz w:val="24"/>
          <w:szCs w:val="24"/>
        </w:rPr>
        <w:t xml:space="preserve">Each </w:t>
      </w:r>
      <w:r w:rsidR="001230CF">
        <w:rPr>
          <w:rFonts w:ascii="Times New Roman" w:hAnsi="Times New Roman" w:cs="Times New Roman"/>
          <w:noProof w:val="0"/>
          <w:sz w:val="24"/>
          <w:szCs w:val="24"/>
        </w:rPr>
        <w:t>individual</w:t>
      </w:r>
      <w:r w:rsidR="00FB244C" w:rsidRPr="00FB244C">
        <w:rPr>
          <w:rFonts w:ascii="Times New Roman" w:hAnsi="Times New Roman" w:cs="Times New Roman"/>
          <w:noProof w:val="0"/>
          <w:sz w:val="24"/>
          <w:szCs w:val="24"/>
        </w:rPr>
        <w:t xml:space="preserve"> </w:t>
      </w:r>
      <m:oMath>
        <m:r>
          <w:rPr>
            <w:rFonts w:ascii="Cambria Math" w:hAnsi="Cambria Math" w:cs="Times New Roman"/>
            <w:noProof w:val="0"/>
            <w:sz w:val="24"/>
            <w:szCs w:val="24"/>
          </w:rPr>
          <m:t>i</m:t>
        </m:r>
      </m:oMath>
      <w:r w:rsidR="00FB244C" w:rsidRPr="00FB244C">
        <w:rPr>
          <w:rFonts w:ascii="Times New Roman" w:hAnsi="Times New Roman" w:cs="Times New Roman"/>
          <w:noProof w:val="0"/>
          <w:sz w:val="24"/>
          <w:szCs w:val="24"/>
        </w:rPr>
        <w:t xml:space="preserve"> receives a score that is equal to the </w:t>
      </w:r>
      <m:oMath>
        <m:r>
          <w:rPr>
            <w:rFonts w:ascii="Cambria Math" w:hAnsi="Cambria Math" w:cs="Times New Roman"/>
            <w:noProof w:val="0"/>
            <w:sz w:val="24"/>
            <w:szCs w:val="24"/>
          </w:rPr>
          <m:t>i</m:t>
        </m:r>
      </m:oMath>
      <w:r w:rsidR="00FB244C" w:rsidRPr="00FB244C">
        <w:rPr>
          <w:rFonts w:ascii="Times New Roman" w:hAnsi="Times New Roman" w:cs="Times New Roman"/>
          <w:noProof w:val="0"/>
          <w:sz w:val="24"/>
          <w:szCs w:val="24"/>
        </w:rPr>
        <w:t>th component of the principal eigenvector. High</w:t>
      </w:r>
      <w:r w:rsidR="00FB244C" w:rsidRPr="00FB244C">
        <w:rPr>
          <w:rFonts w:ascii="Times New Roman" w:hAnsi="Times New Roman" w:cs="Times New Roman"/>
          <w:b/>
          <w:noProof w:val="0"/>
          <w:sz w:val="24"/>
          <w:szCs w:val="24"/>
        </w:rPr>
        <w:t xml:space="preserve"> </w:t>
      </w:r>
      <w:r w:rsidR="00FB244C" w:rsidRPr="00FB244C">
        <w:rPr>
          <w:rFonts w:ascii="Times New Roman" w:hAnsi="Times New Roman" w:cs="Times New Roman"/>
          <w:noProof w:val="0"/>
          <w:sz w:val="24"/>
          <w:szCs w:val="24"/>
        </w:rPr>
        <w:t xml:space="preserve">scoring nodes are those that are connected to others that are themselves high scorers </w:t>
      </w:r>
      <w:r w:rsidR="00FB244C" w:rsidRPr="00FB244C">
        <w:rPr>
          <w:rFonts w:ascii="Times New Roman" w:hAnsi="Times New Roman" w:cs="Times New Roman"/>
          <w:noProof w:val="0"/>
          <w:sz w:val="24"/>
          <w:szCs w:val="24"/>
        </w:rPr>
        <w:fldChar w:fldCharType="begin" w:fldLock="1"/>
      </w:r>
      <w:r w:rsidR="00A17324">
        <w:rPr>
          <w:rFonts w:ascii="Times New Roman" w:hAnsi="Times New Roman" w:cs="Times New Roman"/>
          <w:noProof w:val="0"/>
          <w:sz w:val="24"/>
          <w:szCs w:val="24"/>
        </w:rPr>
        <w:instrText>ADDIN CSL_CITATION {"citationItems":[{"id":"ITEM-1","itemData":{"DOI":"10.1016/j.socnet.2004.11.008","ISBN":"0378-8733","ISSN":"03788733","PMID":"16271455","abstract":"Centrality measures, or at least popular interpretations of these measures, make implicit assumptions about the manner in which traffic flows through a network. For example, some measures count only geodesic paths, apparently assuming that whatever flows through the network only moves along the shortest possible paths. This paper lays out a typology of network flows based on two dimensions of variation, namely the kinds of trajectories that traffic may follow (geodesics, paths, trails, or walks) and the method of spread (broadcast, serial replication, or transfer). Measures of centrality are then matched to the kinds of flows that they are appropriate for. Simulations are used to examine the relationship between type of flow and the differential importance of nodes with respect to key measurements such as speed of reception of traffic and frequency of receiving traffic. It is shown that the off-the-shelf formulas for centrality measures are fully applicable only for the specific flow processes they are designed for, and that when they are applied to other flow processes they get the \"wrong\" answer. It is noted that the most commonly used centrality measures are not appropriate for most of the flows we are routinely interested in. A key claim made in this paper is that centrality measures can be regarded as generating expected values for certain kinds of node outcomes (such as speed and frequency of reception) given implicit models of how traffic flows, and that this provides a new and useful way of thinking about centrality. ?? 2004 Elsevier B.V. All rights reserved.","author":[{"dropping-particle":"","family":"Borgatti","given":"Stephen P.","non-dropping-particle":"","parse-names":false,"suffix":""}],"container-title":"Social Networks","id":"ITEM-1","issue":"1","issued":{"date-parts":[["2005"]]},"page":"55-71","title":"Centrality and network flow","type":"article-journal","volume":"27"},"uris":["http://www.mendeley.com/documents/?uuid=afd9b3ef-873b-4567-bb11-d537ed970ab5"]}],"mendeley":{"formattedCitation":"[52]","plainTextFormattedCitation":"[52]","previouslyFormattedCitation":"[52]"},"properties":{"noteIndex":0},"schema":"https://github.com/citation-style-language/schema/raw/master/csl-citation.json"}</w:instrText>
      </w:r>
      <w:r w:rsidR="00FB244C" w:rsidRPr="00FB244C">
        <w:rPr>
          <w:rFonts w:ascii="Times New Roman" w:hAnsi="Times New Roman" w:cs="Times New Roman"/>
          <w:noProof w:val="0"/>
          <w:sz w:val="24"/>
          <w:szCs w:val="24"/>
        </w:rPr>
        <w:fldChar w:fldCharType="separate"/>
      </w:r>
      <w:r w:rsidR="00605EAA" w:rsidRPr="00605EAA">
        <w:rPr>
          <w:rFonts w:ascii="Times New Roman" w:hAnsi="Times New Roman" w:cs="Times New Roman"/>
          <w:sz w:val="24"/>
          <w:szCs w:val="24"/>
        </w:rPr>
        <w:t>[52]</w:t>
      </w:r>
      <w:r w:rsidR="00FB244C" w:rsidRPr="00FB244C">
        <w:rPr>
          <w:rFonts w:ascii="Times New Roman" w:hAnsi="Times New Roman" w:cs="Times New Roman"/>
          <w:noProof w:val="0"/>
          <w:sz w:val="24"/>
          <w:szCs w:val="24"/>
        </w:rPr>
        <w:fldChar w:fldCharType="end"/>
      </w:r>
      <w:r w:rsidR="00FB244C" w:rsidRPr="00FB244C">
        <w:rPr>
          <w:rFonts w:ascii="Times New Roman" w:hAnsi="Times New Roman" w:cs="Times New Roman"/>
          <w:noProof w:val="0"/>
          <w:sz w:val="24"/>
          <w:szCs w:val="24"/>
        </w:rPr>
        <w:t xml:space="preserve">. </w:t>
      </w:r>
      <w:r w:rsidR="007047E4">
        <w:rPr>
          <w:rFonts w:ascii="Times New Roman" w:hAnsi="Times New Roman" w:cs="Times New Roman"/>
          <w:noProof w:val="0"/>
          <w:sz w:val="24"/>
          <w:szCs w:val="24"/>
        </w:rPr>
        <w:t>The e</w:t>
      </w:r>
      <w:r w:rsidR="00FB244C" w:rsidRPr="00FB244C">
        <w:rPr>
          <w:rFonts w:ascii="Times New Roman" w:hAnsi="Times New Roman" w:cs="Times New Roman"/>
          <w:noProof w:val="0"/>
          <w:sz w:val="24"/>
          <w:szCs w:val="24"/>
        </w:rPr>
        <w:t xml:space="preserve">igenvector </w:t>
      </w:r>
      <w:r w:rsidR="007047E4">
        <w:rPr>
          <w:rFonts w:ascii="Times New Roman" w:hAnsi="Times New Roman" w:cs="Times New Roman"/>
          <w:noProof w:val="0"/>
          <w:sz w:val="24"/>
          <w:szCs w:val="24"/>
        </w:rPr>
        <w:t xml:space="preserve">centrality score is based on the assumption </w:t>
      </w:r>
      <w:r w:rsidR="00FB244C" w:rsidRPr="00FB244C">
        <w:rPr>
          <w:rFonts w:ascii="Times New Roman" w:hAnsi="Times New Roman" w:cs="Times New Roman"/>
          <w:noProof w:val="0"/>
          <w:sz w:val="24"/>
          <w:szCs w:val="24"/>
        </w:rPr>
        <w:t xml:space="preserve">that the flow process of interest </w:t>
      </w:r>
      <w:r w:rsidR="00AB22C7">
        <w:rPr>
          <w:rFonts w:ascii="Times New Roman" w:hAnsi="Times New Roman" w:cs="Times New Roman"/>
          <w:noProof w:val="0"/>
          <w:sz w:val="24"/>
          <w:szCs w:val="24"/>
        </w:rPr>
        <w:t xml:space="preserve">on </w:t>
      </w:r>
      <w:r w:rsidR="00FB244C" w:rsidRPr="00FB244C">
        <w:rPr>
          <w:rFonts w:ascii="Times New Roman" w:hAnsi="Times New Roman" w:cs="Times New Roman"/>
          <w:noProof w:val="0"/>
          <w:sz w:val="24"/>
          <w:szCs w:val="24"/>
        </w:rPr>
        <w:t xml:space="preserve">the network </w:t>
      </w:r>
      <w:r w:rsidR="00301A7D">
        <w:rPr>
          <w:rFonts w:ascii="Times New Roman" w:hAnsi="Times New Roman" w:cs="Times New Roman"/>
          <w:noProof w:val="0"/>
          <w:sz w:val="24"/>
          <w:szCs w:val="24"/>
        </w:rPr>
        <w:t xml:space="preserve">diffuses </w:t>
      </w:r>
      <w:r w:rsidR="00FB244C" w:rsidRPr="00FB244C">
        <w:rPr>
          <w:rFonts w:ascii="Times New Roman" w:hAnsi="Times New Roman" w:cs="Times New Roman"/>
          <w:noProof w:val="0"/>
          <w:sz w:val="24"/>
          <w:szCs w:val="24"/>
        </w:rPr>
        <w:t xml:space="preserve">via unrestricted walks. </w:t>
      </w:r>
      <w:r w:rsidR="00862F6D">
        <w:rPr>
          <w:rFonts w:ascii="Times New Roman" w:hAnsi="Times New Roman" w:cs="Times New Roman"/>
          <w:noProof w:val="0"/>
          <w:sz w:val="24"/>
          <w:szCs w:val="24"/>
        </w:rPr>
        <w:t>T</w:t>
      </w:r>
      <w:r w:rsidR="009A553B">
        <w:rPr>
          <w:rFonts w:ascii="Times New Roman" w:hAnsi="Times New Roman" w:cs="Times New Roman"/>
          <w:noProof w:val="0"/>
          <w:sz w:val="24"/>
          <w:szCs w:val="24"/>
        </w:rPr>
        <w:t xml:space="preserve">his measure </w:t>
      </w:r>
      <w:r w:rsidR="00862F6D">
        <w:rPr>
          <w:rFonts w:ascii="Times New Roman" w:hAnsi="Times New Roman" w:cs="Times New Roman"/>
          <w:noProof w:val="0"/>
          <w:sz w:val="24"/>
          <w:szCs w:val="24"/>
        </w:rPr>
        <w:t xml:space="preserve">is best suited for </w:t>
      </w:r>
      <w:r w:rsidR="00FB244C" w:rsidRPr="00FB244C">
        <w:rPr>
          <w:rFonts w:ascii="Times New Roman" w:hAnsi="Times New Roman" w:cs="Times New Roman"/>
          <w:noProof w:val="0"/>
          <w:sz w:val="24"/>
          <w:szCs w:val="24"/>
        </w:rPr>
        <w:t>mechanism</w:t>
      </w:r>
      <w:r w:rsidR="00383B45">
        <w:rPr>
          <w:rFonts w:ascii="Times New Roman" w:hAnsi="Times New Roman" w:cs="Times New Roman"/>
          <w:noProof w:val="0"/>
          <w:sz w:val="24"/>
          <w:szCs w:val="24"/>
        </w:rPr>
        <w:t>s</w:t>
      </w:r>
      <w:r w:rsidR="00FB244C" w:rsidRPr="00FB244C">
        <w:rPr>
          <w:rFonts w:ascii="Times New Roman" w:hAnsi="Times New Roman" w:cs="Times New Roman"/>
          <w:noProof w:val="0"/>
          <w:sz w:val="24"/>
          <w:szCs w:val="24"/>
        </w:rPr>
        <w:t xml:space="preserve"> where one node can impact all of its neighbors simultaneously </w:t>
      </w:r>
      <w:r w:rsidR="00FB244C" w:rsidRPr="00FB244C">
        <w:rPr>
          <w:rFonts w:ascii="Times New Roman" w:hAnsi="Times New Roman" w:cs="Times New Roman"/>
          <w:noProof w:val="0"/>
          <w:sz w:val="24"/>
          <w:szCs w:val="24"/>
        </w:rPr>
        <w:fldChar w:fldCharType="begin" w:fldLock="1"/>
      </w:r>
      <w:r w:rsidR="00A17324">
        <w:rPr>
          <w:rFonts w:ascii="Times New Roman" w:hAnsi="Times New Roman" w:cs="Times New Roman"/>
          <w:noProof w:val="0"/>
          <w:sz w:val="24"/>
          <w:szCs w:val="24"/>
        </w:rPr>
        <w:instrText>ADDIN CSL_CITATION {"citationItems":[{"id":"ITEM-1","itemData":{"DOI":"10.1016/j.socnet.2004.11.008","ISBN":"0378-8733","ISSN":"03788733","PMID":"16271455","abstract":"Centrality measures, or at least popular interpretations of these measures, make implicit assumptions about the manner in which traffic flows through a network. For example, some measures count only geodesic paths, apparently assuming that whatever flows through the network only moves along the shortest possible paths. This paper lays out a typology of network flows based on two dimensions of variation, namely the kinds of trajectories that traffic may follow (geodesics, paths, trails, or walks) and the method of spread (broadcast, serial replication, or transfer). Measures of centrality are then matched to the kinds of flows that they are appropriate for. Simulations are used to examine the relationship between type of flow and the differential importance of nodes with respect to key measurements such as speed of reception of traffic and frequency of receiving traffic. It is shown that the off-the-shelf formulas for centrality measures are fully applicable only for the specific flow processes they are designed for, and that when they are applied to other flow processes they get the \"wrong\" answer. It is noted that the most commonly used centrality measures are not appropriate for most of the flows we are routinely interested in. A key claim made in this paper is that centrality measures can be regarded as generating expected values for certain kinds of node outcomes (such as speed and frequency of reception) given implicit models of how traffic flows, and that this provides a new and useful way of thinking about centrality. ?? 2004 Elsevier B.V. All rights reserved.","author":[{"dropping-particle":"","family":"Borgatti","given":"Stephen P.","non-dropping-particle":"","parse-names":false,"suffix":""}],"container-title":"Social Networks","id":"ITEM-1","issue":"1","issued":{"date-parts":[["2005"]]},"page":"55-71","title":"Centrality and network flow","type":"article-journal","volume":"27"},"uris":["http://www.mendeley.com/documents/?uuid=afd9b3ef-873b-4567-bb11-d537ed970ab5"]}],"mendeley":{"formattedCitation":"[52]","plainTextFormattedCitation":"[52]","previouslyFormattedCitation":"[52]"},"properties":{"noteIndex":0},"schema":"https://github.com/citation-style-language/schema/raw/master/csl-citation.json"}</w:instrText>
      </w:r>
      <w:r w:rsidR="00FB244C" w:rsidRPr="00FB244C">
        <w:rPr>
          <w:rFonts w:ascii="Times New Roman" w:hAnsi="Times New Roman" w:cs="Times New Roman"/>
          <w:noProof w:val="0"/>
          <w:sz w:val="24"/>
          <w:szCs w:val="24"/>
        </w:rPr>
        <w:fldChar w:fldCharType="separate"/>
      </w:r>
      <w:r w:rsidR="00605EAA" w:rsidRPr="00605EAA">
        <w:rPr>
          <w:rFonts w:ascii="Times New Roman" w:hAnsi="Times New Roman" w:cs="Times New Roman"/>
          <w:sz w:val="24"/>
          <w:szCs w:val="24"/>
        </w:rPr>
        <w:t>[52]</w:t>
      </w:r>
      <w:r w:rsidR="00FB244C" w:rsidRPr="00FB244C">
        <w:rPr>
          <w:rFonts w:ascii="Times New Roman" w:hAnsi="Times New Roman" w:cs="Times New Roman"/>
          <w:noProof w:val="0"/>
          <w:sz w:val="24"/>
          <w:szCs w:val="24"/>
        </w:rPr>
        <w:fldChar w:fldCharType="end"/>
      </w:r>
      <w:r w:rsidR="00FB244C" w:rsidRPr="00FB244C">
        <w:rPr>
          <w:rFonts w:ascii="Times New Roman" w:hAnsi="Times New Roman" w:cs="Times New Roman"/>
          <w:noProof w:val="0"/>
          <w:sz w:val="24"/>
          <w:szCs w:val="24"/>
        </w:rPr>
        <w:t xml:space="preserve">, and has therefore been used in public health applications that utilize peer influence </w:t>
      </w:r>
      <w:r w:rsidR="00FB244C" w:rsidRPr="00FB244C">
        <w:rPr>
          <w:rFonts w:ascii="Times New Roman" w:hAnsi="Times New Roman" w:cs="Times New Roman"/>
          <w:noProof w:val="0"/>
          <w:sz w:val="24"/>
          <w:szCs w:val="24"/>
        </w:rPr>
        <w:fldChar w:fldCharType="begin" w:fldLock="1"/>
      </w:r>
      <w:r w:rsidR="00A17324">
        <w:rPr>
          <w:rFonts w:ascii="Times New Roman" w:hAnsi="Times New Roman" w:cs="Times New Roman"/>
          <w:noProof w:val="0"/>
          <w:sz w:val="24"/>
          <w:szCs w:val="24"/>
        </w:rPr>
        <w:instrText>ADDIN CSL_CITATION {"citationItems":[{"id":"ITEM-1","itemData":{"DOI":"10.1007/s13142-015-0327-y","ISSN":"1869-6716","PMID":"26327931","abstract":"Understanding influence networks among substance abuse treatment clinics may speed the diffusion of innovations. The purpose of this study was to describe influence networks in Massachusetts, Michigan, New York, Oregon, and Washington and test two expectations, using social network analysis: (1) Social network measures can identify influential clinics; and (2) Within a network, some weakly connected clinics access out-of-network sources of innovative evidence-based practices and can spread these innovations through the network. A survey of 201 clinics in a parent study on quality improvement provided the data. Network measures and sociograms were obtained from adjacency matrixes created by UCINet. We used regression analysis to determine whether network status relates to clinics' adopting innovations. Findings suggest that influential clinics can be identified and that loosely linked clinics were likely to join the study sooner than more influential clinics but were not more likely to have improved outcomes than other organizations. Findings identify the structure of influence networks for SUD treatment organizations and have mixed results on how those structures impacted diffusion of the intervention under study. Further study is necessary to test whether use of knowledge of the network structure will have an effect on the pace and breadth of dissemination of innovations.","author":[{"dropping-particle":"","family":"Johnson","given":"Kimberly","non-dropping-particle":"","parse-names":false,"suffix":""},{"dropping-particle":"","family":"Quanbeck","given":"Andrew","non-dropping-particle":"","parse-names":false,"suffix":""},{"dropping-particle":"","family":"Maus","given":"Adam","non-dropping-particle":"","parse-names":false,"suffix":""},{"dropping-particle":"","family":"Gustafson","given":"David H","non-dropping-particle":"","parse-names":false,"suffix":""},{"dropping-particle":"","family":"Dearing","given":"James W","non-dropping-particle":"","parse-names":false,"suffix":""}],"container-title":"Translational behavioral medicine","id":"ITEM-1","issue":"3","issued":{"date-parts":[["2015","9","27"]]},"page":"260-8","title":"Influence networks among substance abuse treatment clinics: implications for the dissemination of innovations.","type":"article-journal","volume":"5"},"uris":["http://www.mendeley.com/documents/?uuid=245fe6bd-3619-3d33-a5f6-a0c24e526c32"]},{"id":"ITEM-2","itemData":{"DOI":"10.1097/MLR.0000000000000488","ISSN":"0025-7079","PMID":"26759979","abstract":"BACKGROUND Access to physicians is a major concern for Medicaid programs. However, little is known about relationships between physician participation in Medicaid and the individual-level and practice-level characteristics of physicians. METHODS We used the 2011 Massachusetts All Payer Claims Database, containing all commercial and Medicaid claims; we linked with data on physician characteristics. We measured Medicaid participation intensity (fraction of the physician's patient panel with Medicaid) for primary care physicians (PCPs) and medical specialists. We measured influence of physicians within a patient referral network using eigenvector centrality. We used regression models to associate Medicaid intensity with physician individual-level and practice-level characteristics. FINDINGS About 92.6% of physicians treated at least 1 Medicaid patient, but the median physician's panel contained only 5.7% Medicaid patients. Medicaid intensity was associated with physician training and influence for PCPs and specialists. For medical specialists, a 1 percentage point increase in Medicaid intensity was associated with a lower probability of being board certified (-0.22 percentage points; 95% CI, -0.30, -0.14), lower probability of attending a domestic medical school (-0.14 percentage points; 95% CI, -0.22, -0.05), having attended a less well-ranked domestic medical school (0.23 ranks; 95% CI, 0.15, 0.30), and having slightly less influence in the referral network. PCPs displayed similar results but high Medicaid intensity physicians had substantially less influence in the referral network. CONCLUSIONS Medicaid participation intensity shows substantial variation across physicians, indicating limits of binary participation measures. Physicians with more Medicaid patients had characteristics often perceived by patients to be of lower quality.","author":[{"dropping-particle":"","family":"Geissler","given":"Kimberley H.","non-dropping-particle":"","parse-names":false,"suffix":""},{"dropping-particle":"","family":"Lubin","given":"Benjamin","non-dropping-particle":"","parse-names":false,"suffix":""},{"dropping-particle":"","family":"Marzilli Ericson","given":"Keith M.","non-dropping-particle":"","parse-names":false,"suffix":""}],"container-title":"Medical Care","id":"ITEM-2","issue":"4","issued":{"date-parts":[["2016","4"]]},"page":"350-358","title":"Access is Not Enough: Characteristics of Physicians Who Treat Medicaid Patients","type":"article-journal","volume":"54"},"uris":["http://www.mendeley.com/documents/?uuid=eea41c93-9899-3937-a7e1-f41a44db1e72"]},{"id":"ITEM-3","itemData":{"DOI":"10.1007/s10461-014-0702-6","ISSN":"1573-3254","PMID":"24469223","abstract":"The aim of the study was to assess-while controlling for individual risk characteristics-how certain social network structural characteristics (degree, eigenvector, and betweenness centrality) are related to HIV infections. Injecting drug users (N = 299) in Vilnius, Lithuania were recruited using incentivized chain referral sampling for a cross-sectional study. Sociometric social links were established between participants, and UCINET was used to calculate network measures. HIV prevalence was 10 %, and all except two knew they were infected. Of the five variables that remained significant in the final multivariate model, one showed temporal cumulative infection risk (more years since first drug injecting), three reflected informed altruism (always using condoms, less distributive syringe sharing and having not more than one sex partner), and one pointed to the importance of social network structure (betweenness centrality, indicating bridge populations). Loess regression indicates that betweenness may have the highest impact on HIV prevalence (about 60 vs. 20 % estimated HIV prevalence for the highest betweenness centrality values vs. highest age values). This analysis contributes to existing evidence showing both potential informed altruism (or maybe social desirability bias) in connection with HIV infection, and a link between HIV infection risk and the role of bridges within the social network of injecting drug user populations. These findings suggest the importance of harm reduction activities, including confidential testing and counseling, and of social network interventions.","author":[{"dropping-particle":"","family":"Gyarmathy","given":"V Anna","non-dropping-particle":"","parse-names":false,"suffix":""},{"dropping-particle":"","family":"Caplinskiene","given":"Irma","non-dropping-particle":"","parse-names":false,"suffix":""},{"dropping-particle":"","family":"Caplinskas","given":"Saulius","non-dropping-particle":"","parse-names":false,"suffix":""},{"dropping-particle":"","family":"Latkin","given":"Carl A","non-dropping-particle":"","parse-names":false,"suffix":""}],"container-title":"AIDS and behavior","id":"ITEM-3","issue":"3","issued":{"date-parts":[["2014","3"]]},"page":"505-10","publisher":"NIH Public Access","title":"Social network structure and HIV infection among injecting drug users in Lithuania: gatekeepers as bridges of infection.","type":"article-journal","volume":"18"},"uris":["http://www.mendeley.com/documents/?uuid=f8632749-b873-364f-b960-2e8c1c3d1e8b"]}],"mendeley":{"formattedCitation":"[53–55]","plainTextFormattedCitation":"[53–55]","previouslyFormattedCitation":"[53–55]"},"properties":{"noteIndex":0},"schema":"https://github.com/citation-style-language/schema/raw/master/csl-citation.json"}</w:instrText>
      </w:r>
      <w:r w:rsidR="00FB244C" w:rsidRPr="00FB244C">
        <w:rPr>
          <w:rFonts w:ascii="Times New Roman" w:hAnsi="Times New Roman" w:cs="Times New Roman"/>
          <w:noProof w:val="0"/>
          <w:sz w:val="24"/>
          <w:szCs w:val="24"/>
        </w:rPr>
        <w:fldChar w:fldCharType="separate"/>
      </w:r>
      <w:r w:rsidR="00605EAA" w:rsidRPr="00605EAA">
        <w:rPr>
          <w:rFonts w:ascii="Times New Roman" w:hAnsi="Times New Roman" w:cs="Times New Roman"/>
          <w:sz w:val="24"/>
          <w:szCs w:val="24"/>
        </w:rPr>
        <w:t>[53–55]</w:t>
      </w:r>
      <w:r w:rsidR="00FB244C" w:rsidRPr="00FB244C">
        <w:rPr>
          <w:rFonts w:ascii="Times New Roman" w:hAnsi="Times New Roman" w:cs="Times New Roman"/>
          <w:noProof w:val="0"/>
          <w:sz w:val="24"/>
          <w:szCs w:val="24"/>
        </w:rPr>
        <w:fldChar w:fldCharType="end"/>
      </w:r>
      <w:r w:rsidR="00FB244C" w:rsidRPr="00FB244C">
        <w:rPr>
          <w:rFonts w:ascii="Times New Roman" w:hAnsi="Times New Roman" w:cs="Times New Roman"/>
          <w:noProof w:val="0"/>
          <w:sz w:val="24"/>
          <w:szCs w:val="24"/>
        </w:rPr>
        <w:t>.</w:t>
      </w:r>
    </w:p>
    <w:p w14:paraId="475E9B57" w14:textId="4E9D7E1F" w:rsidR="002F33AB" w:rsidRDefault="006B0B72" w:rsidP="0573D6D8">
      <w:pPr>
        <w:spacing w:line="480" w:lineRule="auto"/>
        <w:rPr>
          <w:rFonts w:ascii="Times New Roman" w:hAnsi="Times New Roman" w:cs="Times New Roman"/>
          <w:bCs/>
          <w:noProof w:val="0"/>
          <w:sz w:val="24"/>
          <w:szCs w:val="24"/>
        </w:rPr>
      </w:pPr>
      <w:bookmarkStart w:id="19" w:name="_Toc3377347"/>
      <w:r w:rsidRPr="000B44D1">
        <w:rPr>
          <w:rStyle w:val="Heading2Char"/>
        </w:rPr>
        <w:t>A.</w:t>
      </w:r>
      <w:r w:rsidR="00206F5E" w:rsidRPr="000B44D1">
        <w:rPr>
          <w:rStyle w:val="Heading2Char"/>
        </w:rPr>
        <w:t>7.</w:t>
      </w:r>
      <w:r w:rsidR="005D6D40" w:rsidRPr="000B44D1">
        <w:rPr>
          <w:rStyle w:val="Heading2Char"/>
        </w:rPr>
        <w:t xml:space="preserve">3 </w:t>
      </w:r>
      <w:r w:rsidR="00206F5E" w:rsidRPr="000B44D1">
        <w:rPr>
          <w:rStyle w:val="Heading2Char"/>
        </w:rPr>
        <w:t>Revisiting key assumptions behind the network position measures</w:t>
      </w:r>
      <w:bookmarkEnd w:id="19"/>
      <w:r w:rsidR="00206F5E">
        <w:rPr>
          <w:rFonts w:ascii="Times New Roman" w:hAnsi="Times New Roman" w:cs="Times New Roman"/>
          <w:noProof w:val="0"/>
          <w:sz w:val="24"/>
          <w:szCs w:val="24"/>
          <w:u w:val="single"/>
        </w:rPr>
        <w:t>:</w:t>
      </w:r>
      <w:r w:rsidR="00206F5E">
        <w:rPr>
          <w:rFonts w:ascii="Times New Roman" w:hAnsi="Times New Roman" w:cs="Times New Roman"/>
          <w:noProof w:val="0"/>
          <w:sz w:val="24"/>
          <w:szCs w:val="24"/>
        </w:rPr>
        <w:t xml:space="preserve"> The network interventions described in the main body were implemented under the assumption that target PrEP uptake was achieved by initiating the top 10% of the two network position scorers</w:t>
      </w:r>
      <w:r w:rsidR="000F6B4B">
        <w:rPr>
          <w:rFonts w:ascii="Times New Roman" w:hAnsi="Times New Roman" w:cs="Times New Roman"/>
          <w:noProof w:val="0"/>
          <w:sz w:val="24"/>
          <w:szCs w:val="24"/>
        </w:rPr>
        <w:t xml:space="preserve"> </w:t>
      </w:r>
      <w:r w:rsidR="00206F5E">
        <w:rPr>
          <w:rFonts w:ascii="Times New Roman" w:hAnsi="Times New Roman" w:cs="Times New Roman"/>
          <w:noProof w:val="0"/>
          <w:sz w:val="24"/>
          <w:szCs w:val="24"/>
        </w:rPr>
        <w:t xml:space="preserve">to </w:t>
      </w:r>
      <w:r w:rsidR="00090BB2">
        <w:rPr>
          <w:rFonts w:ascii="Times New Roman" w:hAnsi="Times New Roman" w:cs="Times New Roman"/>
          <w:noProof w:val="0"/>
          <w:sz w:val="24"/>
          <w:szCs w:val="24"/>
        </w:rPr>
        <w:t>make up the difference</w:t>
      </w:r>
      <w:r w:rsidR="00206F5E">
        <w:rPr>
          <w:rFonts w:ascii="Times New Roman" w:hAnsi="Times New Roman" w:cs="Times New Roman"/>
          <w:noProof w:val="0"/>
          <w:sz w:val="24"/>
          <w:szCs w:val="24"/>
        </w:rPr>
        <w:t xml:space="preserve"> between the base and target level</w:t>
      </w:r>
      <w:r w:rsidR="00926CF3">
        <w:rPr>
          <w:rFonts w:ascii="Times New Roman" w:hAnsi="Times New Roman" w:cs="Times New Roman"/>
          <w:noProof w:val="0"/>
          <w:sz w:val="24"/>
          <w:szCs w:val="24"/>
        </w:rPr>
        <w:t>s of PrEP uptake</w:t>
      </w:r>
      <w:r w:rsidR="00206F5E">
        <w:rPr>
          <w:rFonts w:ascii="Times New Roman" w:hAnsi="Times New Roman" w:cs="Times New Roman"/>
          <w:noProof w:val="0"/>
          <w:sz w:val="24"/>
          <w:szCs w:val="24"/>
        </w:rPr>
        <w:t xml:space="preserve">. </w:t>
      </w:r>
      <w:r w:rsidR="00D7729A" w:rsidRPr="00D7729A">
        <w:rPr>
          <w:rFonts w:ascii="Times New Roman" w:hAnsi="Times New Roman" w:cs="Times New Roman"/>
          <w:bCs/>
          <w:noProof w:val="0"/>
          <w:sz w:val="24"/>
          <w:szCs w:val="24"/>
        </w:rPr>
        <w:t>The proportion of HIV-negative individuals with the highest eigenvector centrality and degree centrality scores, which define</w:t>
      </w:r>
      <w:r w:rsidR="00431651">
        <w:rPr>
          <w:rFonts w:ascii="Times New Roman" w:hAnsi="Times New Roman" w:cs="Times New Roman"/>
          <w:bCs/>
          <w:noProof w:val="0"/>
          <w:sz w:val="24"/>
          <w:szCs w:val="24"/>
        </w:rPr>
        <w:t xml:space="preserve">d </w:t>
      </w:r>
      <w:r w:rsidR="00D7729A" w:rsidRPr="00D7729A">
        <w:rPr>
          <w:rFonts w:ascii="Times New Roman" w:hAnsi="Times New Roman" w:cs="Times New Roman"/>
          <w:bCs/>
          <w:noProof w:val="0"/>
          <w:sz w:val="24"/>
          <w:szCs w:val="24"/>
        </w:rPr>
        <w:t xml:space="preserve">the pool of </w:t>
      </w:r>
      <w:r w:rsidR="00E942FD">
        <w:rPr>
          <w:rFonts w:ascii="Times New Roman" w:hAnsi="Times New Roman" w:cs="Times New Roman"/>
          <w:bCs/>
          <w:noProof w:val="0"/>
          <w:sz w:val="24"/>
          <w:szCs w:val="24"/>
        </w:rPr>
        <w:t>eligible</w:t>
      </w:r>
      <w:r w:rsidR="003B6E46">
        <w:rPr>
          <w:rFonts w:ascii="Times New Roman" w:hAnsi="Times New Roman" w:cs="Times New Roman"/>
          <w:bCs/>
          <w:noProof w:val="0"/>
          <w:sz w:val="24"/>
          <w:szCs w:val="24"/>
        </w:rPr>
        <w:t xml:space="preserve"> </w:t>
      </w:r>
      <w:r w:rsidR="00D7729A" w:rsidRPr="00D7729A">
        <w:rPr>
          <w:rFonts w:ascii="Times New Roman" w:hAnsi="Times New Roman" w:cs="Times New Roman"/>
          <w:bCs/>
          <w:noProof w:val="0"/>
          <w:sz w:val="24"/>
          <w:szCs w:val="24"/>
        </w:rPr>
        <w:t xml:space="preserve">individuals from which new PrEP initiators </w:t>
      </w:r>
      <w:r w:rsidR="00177145">
        <w:rPr>
          <w:rFonts w:ascii="Times New Roman" w:hAnsi="Times New Roman" w:cs="Times New Roman"/>
          <w:bCs/>
          <w:noProof w:val="0"/>
          <w:sz w:val="24"/>
          <w:szCs w:val="24"/>
        </w:rPr>
        <w:t xml:space="preserve">could </w:t>
      </w:r>
      <w:r w:rsidR="00D7729A" w:rsidRPr="00D7729A">
        <w:rPr>
          <w:rFonts w:ascii="Times New Roman" w:hAnsi="Times New Roman" w:cs="Times New Roman"/>
          <w:bCs/>
          <w:noProof w:val="0"/>
          <w:sz w:val="24"/>
          <w:szCs w:val="24"/>
        </w:rPr>
        <w:t xml:space="preserve">be selected </w:t>
      </w:r>
      <w:r w:rsidR="00294B20">
        <w:rPr>
          <w:rFonts w:ascii="Times New Roman" w:hAnsi="Times New Roman" w:cs="Times New Roman"/>
          <w:bCs/>
          <w:noProof w:val="0"/>
          <w:sz w:val="24"/>
          <w:szCs w:val="24"/>
        </w:rPr>
        <w:t>beyond the baseline</w:t>
      </w:r>
      <w:r w:rsidR="00D7729A" w:rsidRPr="00D7729A">
        <w:rPr>
          <w:rFonts w:ascii="Times New Roman" w:hAnsi="Times New Roman" w:cs="Times New Roman"/>
          <w:bCs/>
          <w:noProof w:val="0"/>
          <w:sz w:val="24"/>
          <w:szCs w:val="24"/>
        </w:rPr>
        <w:t xml:space="preserve"> </w:t>
      </w:r>
      <w:r w:rsidR="00294B20">
        <w:rPr>
          <w:rFonts w:ascii="Times New Roman" w:hAnsi="Times New Roman" w:cs="Times New Roman"/>
          <w:bCs/>
          <w:noProof w:val="0"/>
          <w:sz w:val="24"/>
          <w:szCs w:val="24"/>
        </w:rPr>
        <w:t>uptake levels</w:t>
      </w:r>
      <w:r w:rsidR="009631A7">
        <w:rPr>
          <w:rFonts w:ascii="Times New Roman" w:hAnsi="Times New Roman" w:cs="Times New Roman"/>
          <w:bCs/>
          <w:noProof w:val="0"/>
          <w:sz w:val="24"/>
          <w:szCs w:val="24"/>
        </w:rPr>
        <w:t xml:space="preserve"> (called the “</w:t>
      </w:r>
      <w:proofErr w:type="spellStart"/>
      <w:r w:rsidR="009631A7" w:rsidRPr="00D902FA">
        <w:rPr>
          <w:rFonts w:ascii="Times New Roman" w:hAnsi="Times New Roman" w:cs="Times New Roman"/>
          <w:bCs/>
          <w:sz w:val="24"/>
          <w:szCs w:val="24"/>
        </w:rPr>
        <w:t>topn</w:t>
      </w:r>
      <w:proofErr w:type="spellEnd"/>
      <w:r w:rsidR="009631A7">
        <w:rPr>
          <w:rFonts w:ascii="Times New Roman" w:hAnsi="Times New Roman" w:cs="Times New Roman"/>
          <w:bCs/>
          <w:noProof w:val="0"/>
          <w:sz w:val="24"/>
          <w:szCs w:val="24"/>
        </w:rPr>
        <w:t xml:space="preserve">” parameter), was </w:t>
      </w:r>
      <w:r w:rsidR="00A80AAF">
        <w:rPr>
          <w:rFonts w:ascii="Times New Roman" w:hAnsi="Times New Roman" w:cs="Times New Roman"/>
          <w:bCs/>
          <w:noProof w:val="0"/>
          <w:sz w:val="24"/>
          <w:szCs w:val="24"/>
        </w:rPr>
        <w:t>varied in a sensitivity analysis</w:t>
      </w:r>
      <w:r w:rsidR="00294B20">
        <w:rPr>
          <w:rFonts w:ascii="Times New Roman" w:hAnsi="Times New Roman" w:cs="Times New Roman"/>
          <w:bCs/>
          <w:noProof w:val="0"/>
          <w:sz w:val="24"/>
          <w:szCs w:val="24"/>
        </w:rPr>
        <w:t xml:space="preserve">. </w:t>
      </w:r>
    </w:p>
    <w:p w14:paraId="6ED6735E" w14:textId="48636FA4" w:rsidR="00C11F0D" w:rsidRDefault="00085FC8" w:rsidP="002F33AB">
      <w:pPr>
        <w:spacing w:line="480" w:lineRule="auto"/>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Table A.6 </w:t>
      </w:r>
      <w:r w:rsidR="00D62F41">
        <w:rPr>
          <w:rFonts w:ascii="Times New Roman" w:hAnsi="Times New Roman" w:cs="Times New Roman"/>
          <w:noProof w:val="0"/>
          <w:sz w:val="24"/>
          <w:szCs w:val="24"/>
        </w:rPr>
        <w:t xml:space="preserve">below shows that only </w:t>
      </w:r>
      <w:r w:rsidR="00626EB9">
        <w:rPr>
          <w:rFonts w:ascii="Times New Roman" w:hAnsi="Times New Roman" w:cs="Times New Roman"/>
          <w:noProof w:val="0"/>
          <w:sz w:val="24"/>
          <w:szCs w:val="24"/>
        </w:rPr>
        <w:t>the smallest</w:t>
      </w:r>
      <w:r w:rsidR="00D62F41">
        <w:rPr>
          <w:rFonts w:ascii="Times New Roman" w:hAnsi="Times New Roman" w:cs="Times New Roman"/>
          <w:noProof w:val="0"/>
          <w:sz w:val="24"/>
          <w:szCs w:val="24"/>
        </w:rPr>
        <w:t xml:space="preserve"> </w:t>
      </w:r>
      <w:r w:rsidR="00D62F41" w:rsidRPr="00D902FA">
        <w:rPr>
          <w:rFonts w:ascii="Times New Roman" w:hAnsi="Times New Roman" w:cs="Times New Roman"/>
          <w:sz w:val="24"/>
          <w:szCs w:val="24"/>
        </w:rPr>
        <w:t>topn</w:t>
      </w:r>
      <w:r w:rsidR="00D62F41">
        <w:rPr>
          <w:rFonts w:ascii="Times New Roman" w:hAnsi="Times New Roman" w:cs="Times New Roman"/>
          <w:noProof w:val="0"/>
          <w:sz w:val="24"/>
          <w:szCs w:val="24"/>
        </w:rPr>
        <w:t xml:space="preserve"> value </w:t>
      </w:r>
      <w:r w:rsidR="00FA0FB0">
        <w:rPr>
          <w:rFonts w:ascii="Times New Roman" w:hAnsi="Times New Roman" w:cs="Times New Roman"/>
          <w:noProof w:val="0"/>
          <w:sz w:val="24"/>
          <w:szCs w:val="24"/>
        </w:rPr>
        <w:t xml:space="preserve">considered here </w:t>
      </w:r>
      <w:r w:rsidR="00D62F41">
        <w:rPr>
          <w:rFonts w:ascii="Times New Roman" w:hAnsi="Times New Roman" w:cs="Times New Roman"/>
          <w:noProof w:val="0"/>
          <w:sz w:val="24"/>
          <w:szCs w:val="24"/>
        </w:rPr>
        <w:t xml:space="preserve">prevents the target PrEP scaleup level from being achieved; any reasonable value of the </w:t>
      </w:r>
      <w:r w:rsidR="00D62F41" w:rsidRPr="00D902FA">
        <w:rPr>
          <w:rFonts w:ascii="Times New Roman" w:hAnsi="Times New Roman" w:cs="Times New Roman"/>
          <w:sz w:val="24"/>
          <w:szCs w:val="24"/>
        </w:rPr>
        <w:t>topn</w:t>
      </w:r>
      <w:r w:rsidR="00D62F41">
        <w:rPr>
          <w:rFonts w:ascii="Times New Roman" w:hAnsi="Times New Roman" w:cs="Times New Roman"/>
          <w:noProof w:val="0"/>
          <w:sz w:val="24"/>
          <w:szCs w:val="24"/>
        </w:rPr>
        <w:t xml:space="preserve"> parameter has no impact on the PrEP uptake level at the end of the simulation</w:t>
      </w:r>
      <w:r w:rsidR="000F6B4B">
        <w:rPr>
          <w:rFonts w:ascii="Times New Roman" w:hAnsi="Times New Roman" w:cs="Times New Roman"/>
          <w:noProof w:val="0"/>
          <w:sz w:val="24"/>
          <w:szCs w:val="24"/>
        </w:rPr>
        <w:t xml:space="preserve">. </w:t>
      </w:r>
      <w:r w:rsidR="004C22E0" w:rsidRPr="004C22E0">
        <w:rPr>
          <w:rFonts w:ascii="Times New Roman" w:hAnsi="Times New Roman" w:cs="Times New Roman"/>
          <w:bCs/>
          <w:noProof w:val="0"/>
          <w:sz w:val="24"/>
          <w:szCs w:val="24"/>
        </w:rPr>
        <w:t xml:space="preserve">This is because too few agents are </w:t>
      </w:r>
      <w:r w:rsidR="006E4501">
        <w:rPr>
          <w:rFonts w:ascii="Times New Roman" w:hAnsi="Times New Roman" w:cs="Times New Roman"/>
          <w:bCs/>
          <w:noProof w:val="0"/>
          <w:sz w:val="24"/>
          <w:szCs w:val="24"/>
        </w:rPr>
        <w:t xml:space="preserve">eligible to </w:t>
      </w:r>
      <w:r w:rsidR="00B125D0">
        <w:rPr>
          <w:rFonts w:ascii="Times New Roman" w:hAnsi="Times New Roman" w:cs="Times New Roman"/>
          <w:bCs/>
          <w:noProof w:val="0"/>
          <w:sz w:val="24"/>
          <w:szCs w:val="24"/>
        </w:rPr>
        <w:t>increase their PrEP initiation probability</w:t>
      </w:r>
      <w:r w:rsidR="004C22E0" w:rsidRPr="004C22E0">
        <w:rPr>
          <w:rFonts w:ascii="Times New Roman" w:hAnsi="Times New Roman" w:cs="Times New Roman"/>
          <w:bCs/>
          <w:noProof w:val="0"/>
          <w:sz w:val="24"/>
          <w:szCs w:val="24"/>
        </w:rPr>
        <w:t xml:space="preserve">. </w:t>
      </w:r>
      <w:r w:rsidR="006365F8">
        <w:rPr>
          <w:rFonts w:ascii="Times New Roman" w:hAnsi="Times New Roman" w:cs="Times New Roman"/>
          <w:bCs/>
          <w:noProof w:val="0"/>
          <w:sz w:val="24"/>
          <w:szCs w:val="24"/>
        </w:rPr>
        <w:t>B</w:t>
      </w:r>
      <w:r w:rsidR="006365F8" w:rsidRPr="003F50AE">
        <w:rPr>
          <w:rFonts w:ascii="Times New Roman" w:hAnsi="Times New Roman" w:cs="Times New Roman"/>
          <w:bCs/>
          <w:noProof w:val="0"/>
          <w:sz w:val="24"/>
          <w:szCs w:val="24"/>
        </w:rPr>
        <w:t xml:space="preserve">ecause of attrition of PrEP users due to </w:t>
      </w:r>
      <w:r w:rsidR="006365F8" w:rsidRPr="003F50AE">
        <w:rPr>
          <w:rFonts w:ascii="Times New Roman" w:hAnsi="Times New Roman" w:cs="Times New Roman"/>
          <w:bCs/>
          <w:noProof w:val="0"/>
          <w:sz w:val="24"/>
          <w:szCs w:val="24"/>
        </w:rPr>
        <w:lastRenderedPageBreak/>
        <w:t xml:space="preserve">age-specific mortality and imperfect PrEP adherence, </w:t>
      </w:r>
      <w:r w:rsidR="00317206">
        <w:rPr>
          <w:rFonts w:ascii="Times New Roman" w:hAnsi="Times New Roman" w:cs="Times New Roman"/>
          <w:bCs/>
          <w:noProof w:val="0"/>
          <w:sz w:val="24"/>
          <w:szCs w:val="24"/>
        </w:rPr>
        <w:t>a</w:t>
      </w:r>
      <w:r w:rsidR="003F50AE" w:rsidRPr="003F50AE">
        <w:rPr>
          <w:rFonts w:ascii="Times New Roman" w:hAnsi="Times New Roman" w:cs="Times New Roman"/>
          <w:bCs/>
          <w:noProof w:val="0"/>
          <w:sz w:val="24"/>
          <w:szCs w:val="24"/>
        </w:rPr>
        <w:t xml:space="preserve">s mentioned in the main body of the paper, the simulated PrEP uptake </w:t>
      </w:r>
      <w:r w:rsidR="0061186D">
        <w:rPr>
          <w:rFonts w:ascii="Times New Roman" w:hAnsi="Times New Roman" w:cs="Times New Roman"/>
          <w:bCs/>
          <w:noProof w:val="0"/>
          <w:sz w:val="24"/>
          <w:szCs w:val="24"/>
        </w:rPr>
        <w:t xml:space="preserve">is expected </w:t>
      </w:r>
      <w:r w:rsidR="003F50AE" w:rsidRPr="003F50AE">
        <w:rPr>
          <w:rFonts w:ascii="Times New Roman" w:hAnsi="Times New Roman" w:cs="Times New Roman"/>
          <w:bCs/>
          <w:noProof w:val="0"/>
          <w:sz w:val="24"/>
          <w:szCs w:val="24"/>
        </w:rPr>
        <w:t>to be close, but not equal, to uptake</w:t>
      </w:r>
      <w:r w:rsidR="00CF1D98">
        <w:rPr>
          <w:rFonts w:ascii="Times New Roman" w:hAnsi="Times New Roman" w:cs="Times New Roman"/>
          <w:bCs/>
          <w:noProof w:val="0"/>
          <w:sz w:val="24"/>
          <w:szCs w:val="24"/>
        </w:rPr>
        <w:t xml:space="preserve"> levels that the PrEP initiation probabilities were selected to achieve</w:t>
      </w:r>
      <w:r w:rsidR="009914CD">
        <w:rPr>
          <w:rFonts w:ascii="Times New Roman" w:hAnsi="Times New Roman" w:cs="Times New Roman"/>
          <w:bCs/>
          <w:noProof w:val="0"/>
          <w:sz w:val="24"/>
          <w:szCs w:val="24"/>
        </w:rPr>
        <w:t>.</w:t>
      </w:r>
      <w:r w:rsidR="003F50AE">
        <w:rPr>
          <w:rFonts w:ascii="Times New Roman" w:hAnsi="Times New Roman" w:cs="Times New Roman"/>
          <w:bCs/>
          <w:noProof w:val="0"/>
          <w:sz w:val="24"/>
          <w:szCs w:val="24"/>
        </w:rPr>
        <w:t xml:space="preserve"> </w:t>
      </w:r>
      <w:r w:rsidR="00D04987">
        <w:rPr>
          <w:rFonts w:ascii="Times New Roman" w:hAnsi="Times New Roman" w:cs="Times New Roman"/>
          <w:noProof w:val="0"/>
          <w:sz w:val="24"/>
          <w:szCs w:val="24"/>
        </w:rPr>
        <w:t xml:space="preserve">Figure A.1 below shows that the incidence rate trajectories show a large degree of overlap </w:t>
      </w:r>
      <w:r w:rsidR="00D04987" w:rsidRPr="00D52FAB">
        <w:rPr>
          <w:rFonts w:ascii="Times New Roman" w:hAnsi="Times New Roman" w:cs="Times New Roman"/>
          <w:noProof w:val="0"/>
          <w:sz w:val="24"/>
          <w:szCs w:val="24"/>
        </w:rPr>
        <w:t>(i.e., the uncertainty regions around the incidence curve trajectories for different scenarios</w:t>
      </w:r>
      <w:r w:rsidR="00D04987">
        <w:rPr>
          <w:rFonts w:ascii="Times New Roman" w:hAnsi="Times New Roman" w:cs="Times New Roman"/>
          <w:noProof w:val="0"/>
          <w:sz w:val="24"/>
          <w:szCs w:val="24"/>
        </w:rPr>
        <w:t>)</w:t>
      </w:r>
      <w:r w:rsidR="00D04987" w:rsidRPr="00D52FAB">
        <w:rPr>
          <w:rFonts w:ascii="Times New Roman" w:hAnsi="Times New Roman" w:cs="Times New Roman"/>
          <w:noProof w:val="0"/>
          <w:sz w:val="24"/>
          <w:szCs w:val="24"/>
        </w:rPr>
        <w:t xml:space="preserve"> intersect </w:t>
      </w:r>
      <w:r w:rsidR="00D04987">
        <w:rPr>
          <w:rFonts w:ascii="Times New Roman" w:hAnsi="Times New Roman" w:cs="Times New Roman"/>
          <w:noProof w:val="0"/>
          <w:sz w:val="24"/>
          <w:szCs w:val="24"/>
        </w:rPr>
        <w:t xml:space="preserve">for all reasonable </w:t>
      </w:r>
      <w:r w:rsidR="00D04987" w:rsidRPr="005165D7">
        <w:rPr>
          <w:rFonts w:ascii="Times New Roman" w:hAnsi="Times New Roman" w:cs="Times New Roman"/>
          <w:sz w:val="24"/>
          <w:szCs w:val="24"/>
        </w:rPr>
        <w:t>topn</w:t>
      </w:r>
      <w:r w:rsidR="00D04987">
        <w:rPr>
          <w:rFonts w:ascii="Times New Roman" w:hAnsi="Times New Roman" w:cs="Times New Roman"/>
          <w:noProof w:val="0"/>
          <w:sz w:val="24"/>
          <w:szCs w:val="24"/>
        </w:rPr>
        <w:t xml:space="preserve"> values, implying that the </w:t>
      </w:r>
      <w:r w:rsidR="00D04987" w:rsidRPr="005165D7">
        <w:rPr>
          <w:rFonts w:ascii="Times New Roman" w:hAnsi="Times New Roman" w:cs="Times New Roman"/>
          <w:sz w:val="24"/>
          <w:szCs w:val="24"/>
        </w:rPr>
        <w:t>topn</w:t>
      </w:r>
      <w:r w:rsidR="00D04987">
        <w:rPr>
          <w:rFonts w:ascii="Times New Roman" w:hAnsi="Times New Roman" w:cs="Times New Roman"/>
          <w:noProof w:val="0"/>
          <w:sz w:val="24"/>
          <w:szCs w:val="24"/>
        </w:rPr>
        <w:t xml:space="preserve"> parameter had little impact on the PrEP uptake levels achieved in the simulations.</w:t>
      </w:r>
    </w:p>
    <w:tbl>
      <w:tblPr>
        <w:tblW w:w="8423" w:type="dxa"/>
        <w:jc w:val="center"/>
        <w:tblLook w:val="04A0" w:firstRow="1" w:lastRow="0" w:firstColumn="1" w:lastColumn="0" w:noHBand="0" w:noVBand="1"/>
      </w:tblPr>
      <w:tblGrid>
        <w:gridCol w:w="1885"/>
        <w:gridCol w:w="1311"/>
        <w:gridCol w:w="1307"/>
        <w:gridCol w:w="1306"/>
        <w:gridCol w:w="1307"/>
        <w:gridCol w:w="762"/>
        <w:gridCol w:w="545"/>
      </w:tblGrid>
      <w:tr w:rsidR="00C11F0D" w:rsidRPr="0010554D" w14:paraId="022A9167" w14:textId="77777777" w:rsidTr="00C11F0D">
        <w:trPr>
          <w:gridAfter w:val="1"/>
          <w:wAfter w:w="545" w:type="dxa"/>
          <w:trHeight w:val="320"/>
          <w:jc w:val="center"/>
        </w:trPr>
        <w:tc>
          <w:tcPr>
            <w:tcW w:w="78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FE7FEE5" w14:textId="1ED071DA" w:rsidR="00C11F0D" w:rsidRPr="000E4774" w:rsidRDefault="00C11F0D" w:rsidP="00042B34">
            <w:pPr>
              <w:widowControl/>
              <w:autoSpaceDE/>
              <w:autoSpaceDN/>
              <w:adjustRightInd/>
              <w:rPr>
                <w:rFonts w:ascii="Times New Roman" w:eastAsia="Times New Roman" w:hAnsi="Times New Roman" w:cs="Times New Roman"/>
                <w:b/>
                <w:noProof w:val="0"/>
                <w:color w:val="000000"/>
              </w:rPr>
            </w:pPr>
            <w:r w:rsidRPr="001C53D0">
              <w:rPr>
                <w:rFonts w:ascii="Times New Roman" w:eastAsia="Times New Roman" w:hAnsi="Times New Roman" w:cs="Times New Roman"/>
                <w:b/>
                <w:noProof w:val="0"/>
                <w:color w:val="000000"/>
              </w:rPr>
              <w:t>Table A.</w:t>
            </w:r>
            <w:r w:rsidR="00042B34">
              <w:rPr>
                <w:rFonts w:ascii="Times New Roman" w:eastAsia="Times New Roman" w:hAnsi="Times New Roman" w:cs="Times New Roman"/>
                <w:b/>
                <w:noProof w:val="0"/>
                <w:color w:val="000000"/>
              </w:rPr>
              <w:t>8</w:t>
            </w:r>
            <w:r w:rsidRPr="001C53D0">
              <w:rPr>
                <w:rFonts w:ascii="Times New Roman" w:eastAsia="Times New Roman" w:hAnsi="Times New Roman" w:cs="Times New Roman"/>
                <w:b/>
                <w:noProof w:val="0"/>
                <w:color w:val="000000"/>
              </w:rPr>
              <w:t xml:space="preserve">: PrEP </w:t>
            </w:r>
            <w:r>
              <w:rPr>
                <w:rFonts w:ascii="Times New Roman" w:eastAsia="Times New Roman" w:hAnsi="Times New Roman" w:cs="Times New Roman"/>
                <w:b/>
                <w:noProof w:val="0"/>
                <w:color w:val="000000"/>
              </w:rPr>
              <w:t>u</w:t>
            </w:r>
            <w:r w:rsidR="00527E4C">
              <w:rPr>
                <w:rFonts w:ascii="Times New Roman" w:eastAsia="Times New Roman" w:hAnsi="Times New Roman" w:cs="Times New Roman"/>
                <w:b/>
                <w:noProof w:val="0"/>
                <w:color w:val="000000"/>
              </w:rPr>
              <w:t>ptake</w:t>
            </w:r>
            <w:r>
              <w:rPr>
                <w:rFonts w:ascii="Times New Roman" w:eastAsia="Times New Roman" w:hAnsi="Times New Roman" w:cs="Times New Roman"/>
                <w:b/>
                <w:noProof w:val="0"/>
                <w:color w:val="000000"/>
              </w:rPr>
              <w:t xml:space="preserve"> levels </w:t>
            </w:r>
            <w:r w:rsidR="00527E4C">
              <w:rPr>
                <w:rFonts w:ascii="Times New Roman" w:eastAsia="Times New Roman" w:hAnsi="Times New Roman" w:cs="Times New Roman"/>
                <w:b/>
                <w:noProof w:val="0"/>
                <w:color w:val="000000"/>
              </w:rPr>
              <w:t>achi</w:t>
            </w:r>
            <w:r w:rsidR="00F34CF4">
              <w:rPr>
                <w:rFonts w:ascii="Times New Roman" w:eastAsia="Times New Roman" w:hAnsi="Times New Roman" w:cs="Times New Roman"/>
                <w:b/>
                <w:noProof w:val="0"/>
                <w:color w:val="000000"/>
              </w:rPr>
              <w:t>e</w:t>
            </w:r>
            <w:r w:rsidR="00527E4C">
              <w:rPr>
                <w:rFonts w:ascii="Times New Roman" w:eastAsia="Times New Roman" w:hAnsi="Times New Roman" w:cs="Times New Roman"/>
                <w:b/>
                <w:noProof w:val="0"/>
                <w:color w:val="000000"/>
              </w:rPr>
              <w:t xml:space="preserve">ved </w:t>
            </w:r>
            <w:r w:rsidRPr="001C53D0">
              <w:rPr>
                <w:rFonts w:ascii="Times New Roman" w:eastAsia="Times New Roman" w:hAnsi="Times New Roman" w:cs="Times New Roman"/>
                <w:b/>
                <w:noProof w:val="0"/>
                <w:color w:val="000000"/>
              </w:rPr>
              <w:t xml:space="preserve">at the end of the 10-year intervention run when different values of the top </w:t>
            </w:r>
            <w:r>
              <w:rPr>
                <w:rFonts w:ascii="Times New Roman" w:eastAsia="Times New Roman" w:hAnsi="Times New Roman" w:cs="Times New Roman"/>
                <w:b/>
                <w:noProof w:val="0"/>
                <w:color w:val="000000"/>
              </w:rPr>
              <w:t>d</w:t>
            </w:r>
            <w:r w:rsidRPr="003A5D2C">
              <w:rPr>
                <w:rFonts w:ascii="Times New Roman" w:eastAsia="Times New Roman" w:hAnsi="Times New Roman" w:cs="Times New Roman"/>
                <w:b/>
                <w:noProof w:val="0"/>
                <w:color w:val="000000"/>
              </w:rPr>
              <w:t xml:space="preserve">egree </w:t>
            </w:r>
            <w:r>
              <w:rPr>
                <w:rFonts w:ascii="Times New Roman" w:eastAsia="Times New Roman" w:hAnsi="Times New Roman" w:cs="Times New Roman"/>
                <w:b/>
                <w:noProof w:val="0"/>
                <w:color w:val="000000"/>
              </w:rPr>
              <w:t>centrality and eigenvector c</w:t>
            </w:r>
            <w:r w:rsidRPr="003A5D2C">
              <w:rPr>
                <w:rFonts w:ascii="Times New Roman" w:eastAsia="Times New Roman" w:hAnsi="Times New Roman" w:cs="Times New Roman"/>
                <w:b/>
                <w:noProof w:val="0"/>
                <w:color w:val="000000"/>
              </w:rPr>
              <w:t>entrality</w:t>
            </w:r>
            <w:r w:rsidRPr="001C53D0">
              <w:rPr>
                <w:rFonts w:ascii="Times New Roman" w:eastAsia="Times New Roman" w:hAnsi="Times New Roman" w:cs="Times New Roman"/>
                <w:b/>
                <w:noProof w:val="0"/>
                <w:color w:val="000000"/>
              </w:rPr>
              <w:t xml:space="preserve"> position scorers (“</w:t>
            </w:r>
            <w:proofErr w:type="spellStart"/>
            <w:r w:rsidRPr="005165D7">
              <w:rPr>
                <w:rFonts w:ascii="Times New Roman" w:eastAsia="Times New Roman" w:hAnsi="Times New Roman" w:cs="Times New Roman"/>
                <w:b/>
                <w:color w:val="000000"/>
              </w:rPr>
              <w:t>topn</w:t>
            </w:r>
            <w:proofErr w:type="spellEnd"/>
            <w:r w:rsidRPr="001C53D0">
              <w:rPr>
                <w:rFonts w:ascii="Times New Roman" w:eastAsia="Times New Roman" w:hAnsi="Times New Roman" w:cs="Times New Roman"/>
                <w:b/>
                <w:noProof w:val="0"/>
                <w:color w:val="000000"/>
              </w:rPr>
              <w:t xml:space="preserve">” parameter) were </w:t>
            </w:r>
            <w:r w:rsidR="00382E6D">
              <w:rPr>
                <w:rFonts w:ascii="Times New Roman" w:eastAsia="Times New Roman" w:hAnsi="Times New Roman" w:cs="Times New Roman"/>
                <w:b/>
                <w:noProof w:val="0"/>
                <w:color w:val="000000"/>
              </w:rPr>
              <w:t xml:space="preserve">eligible for PrEP </w:t>
            </w:r>
            <w:r w:rsidR="00B854D9">
              <w:rPr>
                <w:rFonts w:ascii="Times New Roman" w:eastAsia="Times New Roman" w:hAnsi="Times New Roman" w:cs="Times New Roman"/>
                <w:b/>
                <w:noProof w:val="0"/>
                <w:color w:val="000000"/>
              </w:rPr>
              <w:t>initiation</w:t>
            </w:r>
            <w:r w:rsidR="00BF2A8A">
              <w:rPr>
                <w:rFonts w:ascii="Times New Roman" w:eastAsia="Times New Roman" w:hAnsi="Times New Roman" w:cs="Times New Roman"/>
                <w:b/>
                <w:noProof w:val="0"/>
                <w:color w:val="000000"/>
              </w:rPr>
              <w:t xml:space="preserve"> beyond the baseline </w:t>
            </w:r>
            <w:r w:rsidR="00D04987">
              <w:rPr>
                <w:rFonts w:ascii="Times New Roman" w:eastAsia="Times New Roman" w:hAnsi="Times New Roman" w:cs="Times New Roman"/>
                <w:b/>
                <w:noProof w:val="0"/>
                <w:color w:val="000000"/>
              </w:rPr>
              <w:t xml:space="preserve">PrEP </w:t>
            </w:r>
            <w:r w:rsidR="0061226D">
              <w:rPr>
                <w:rFonts w:ascii="Times New Roman" w:eastAsia="Times New Roman" w:hAnsi="Times New Roman" w:cs="Times New Roman"/>
                <w:b/>
                <w:noProof w:val="0"/>
                <w:color w:val="000000"/>
              </w:rPr>
              <w:t>uptake levels</w:t>
            </w:r>
            <w:r>
              <w:rPr>
                <w:rFonts w:ascii="Times New Roman" w:eastAsia="Times New Roman" w:hAnsi="Times New Roman" w:cs="Times New Roman"/>
                <w:b/>
                <w:noProof w:val="0"/>
                <w:color w:val="000000"/>
              </w:rPr>
              <w:t xml:space="preserve">. </w:t>
            </w:r>
          </w:p>
        </w:tc>
      </w:tr>
      <w:tr w:rsidR="00C11F0D" w:rsidRPr="0010554D" w14:paraId="11F58940" w14:textId="77777777" w:rsidTr="00C11F0D">
        <w:trPr>
          <w:trHeight w:val="32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8D9C9" w14:textId="77777777" w:rsidR="00C11F0D" w:rsidRPr="003A5D2C" w:rsidRDefault="00C11F0D" w:rsidP="006F2C9A">
            <w:pPr>
              <w:widowControl/>
              <w:autoSpaceDE/>
              <w:autoSpaceDN/>
              <w:adjustRightInd/>
              <w:rPr>
                <w:rFonts w:ascii="Times New Roman" w:eastAsia="Times New Roman" w:hAnsi="Times New Roman" w:cs="Times New Roman"/>
                <w:b/>
                <w:noProof w:val="0"/>
                <w:color w:val="000000"/>
              </w:rPr>
            </w:pPr>
          </w:p>
        </w:tc>
        <w:tc>
          <w:tcPr>
            <w:tcW w:w="6538" w:type="dxa"/>
            <w:gridSpan w:val="6"/>
            <w:tcBorders>
              <w:top w:val="single" w:sz="4" w:space="0" w:color="auto"/>
              <w:left w:val="nil"/>
              <w:bottom w:val="single" w:sz="18" w:space="0" w:color="auto"/>
              <w:right w:val="single" w:sz="4" w:space="0" w:color="auto"/>
            </w:tcBorders>
            <w:shd w:val="clear" w:color="auto" w:fill="auto"/>
            <w:noWrap/>
            <w:vAlign w:val="bottom"/>
          </w:tcPr>
          <w:p w14:paraId="7267C4CB" w14:textId="77777777" w:rsidR="00C11F0D" w:rsidRPr="0010554D" w:rsidRDefault="00C11F0D" w:rsidP="006F2C9A">
            <w:pPr>
              <w:widowControl/>
              <w:autoSpaceDE/>
              <w:autoSpaceDN/>
              <w:adjustRightInd/>
              <w:rPr>
                <w:rFonts w:ascii="Times New Roman" w:eastAsia="Times New Roman" w:hAnsi="Times New Roman" w:cs="Times New Roman"/>
                <w:noProof w:val="0"/>
                <w:color w:val="000000"/>
              </w:rPr>
            </w:pPr>
            <w:r w:rsidRPr="005165D7">
              <w:rPr>
                <w:rFonts w:ascii="Times New Roman" w:eastAsia="Times New Roman" w:hAnsi="Times New Roman" w:cs="Times New Roman"/>
                <w:color w:val="000000"/>
              </w:rPr>
              <w:t>topn</w:t>
            </w:r>
            <w:r w:rsidRPr="0010554D">
              <w:rPr>
                <w:rFonts w:ascii="Times New Roman" w:eastAsia="Times New Roman" w:hAnsi="Times New Roman" w:cs="Times New Roman"/>
                <w:noProof w:val="0"/>
                <w:color w:val="000000"/>
              </w:rPr>
              <w:t>: Proportion of top network position scorers prioritized for PrEP initiation.</w:t>
            </w:r>
          </w:p>
        </w:tc>
      </w:tr>
      <w:tr w:rsidR="00C11F0D" w:rsidRPr="0010554D" w14:paraId="2C649DA4" w14:textId="77777777" w:rsidTr="00C11F0D">
        <w:trPr>
          <w:trHeight w:val="320"/>
          <w:jc w:val="center"/>
        </w:trPr>
        <w:tc>
          <w:tcPr>
            <w:tcW w:w="1885" w:type="dxa"/>
            <w:tcBorders>
              <w:top w:val="single" w:sz="4" w:space="0" w:color="auto"/>
              <w:left w:val="single" w:sz="4" w:space="0" w:color="auto"/>
              <w:bottom w:val="single" w:sz="18" w:space="0" w:color="auto"/>
              <w:right w:val="single" w:sz="18" w:space="0" w:color="auto"/>
            </w:tcBorders>
            <w:shd w:val="clear" w:color="auto" w:fill="auto"/>
            <w:noWrap/>
            <w:vAlign w:val="bottom"/>
            <w:hideMark/>
          </w:tcPr>
          <w:p w14:paraId="139F0623" w14:textId="77777777" w:rsidR="00C11F0D" w:rsidRPr="0010554D" w:rsidRDefault="00C11F0D" w:rsidP="006F2C9A">
            <w:pPr>
              <w:widowControl/>
              <w:autoSpaceDE/>
              <w:autoSpaceDN/>
              <w:adjustRightInd/>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 Target PrEP uptake</w:t>
            </w:r>
            <w:r>
              <w:rPr>
                <w:rFonts w:ascii="Times New Roman" w:eastAsia="Times New Roman" w:hAnsi="Times New Roman" w:cs="Times New Roman"/>
                <w:noProof w:val="0"/>
                <w:color w:val="000000"/>
              </w:rPr>
              <w:t xml:space="preserve"> </w:t>
            </w:r>
          </w:p>
        </w:tc>
        <w:tc>
          <w:tcPr>
            <w:tcW w:w="1311"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56BB34CB"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0.1%</w:t>
            </w:r>
          </w:p>
        </w:tc>
        <w:tc>
          <w:tcPr>
            <w:tcW w:w="1307" w:type="dxa"/>
            <w:tcBorders>
              <w:top w:val="single" w:sz="18" w:space="0" w:color="auto"/>
              <w:left w:val="nil"/>
              <w:bottom w:val="single" w:sz="18" w:space="0" w:color="auto"/>
              <w:right w:val="single" w:sz="4" w:space="0" w:color="auto"/>
            </w:tcBorders>
            <w:shd w:val="clear" w:color="auto" w:fill="auto"/>
            <w:noWrap/>
            <w:vAlign w:val="bottom"/>
            <w:hideMark/>
          </w:tcPr>
          <w:p w14:paraId="66E545E8"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1%</w:t>
            </w:r>
          </w:p>
        </w:tc>
        <w:tc>
          <w:tcPr>
            <w:tcW w:w="1306" w:type="dxa"/>
            <w:tcBorders>
              <w:top w:val="single" w:sz="18" w:space="0" w:color="auto"/>
              <w:left w:val="nil"/>
              <w:bottom w:val="single" w:sz="18" w:space="0" w:color="auto"/>
              <w:right w:val="single" w:sz="4" w:space="0" w:color="auto"/>
            </w:tcBorders>
            <w:shd w:val="clear" w:color="auto" w:fill="auto"/>
            <w:noWrap/>
            <w:vAlign w:val="bottom"/>
            <w:hideMark/>
          </w:tcPr>
          <w:p w14:paraId="04B7C048"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10%</w:t>
            </w:r>
          </w:p>
        </w:tc>
        <w:tc>
          <w:tcPr>
            <w:tcW w:w="1307" w:type="dxa"/>
            <w:tcBorders>
              <w:top w:val="single" w:sz="18" w:space="0" w:color="auto"/>
              <w:left w:val="nil"/>
              <w:bottom w:val="single" w:sz="18" w:space="0" w:color="auto"/>
              <w:right w:val="single" w:sz="4" w:space="0" w:color="auto"/>
            </w:tcBorders>
            <w:shd w:val="clear" w:color="auto" w:fill="auto"/>
            <w:noWrap/>
            <w:vAlign w:val="bottom"/>
            <w:hideMark/>
          </w:tcPr>
          <w:p w14:paraId="18584C52"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25%</w:t>
            </w:r>
          </w:p>
        </w:tc>
        <w:tc>
          <w:tcPr>
            <w:tcW w:w="1307" w:type="dxa"/>
            <w:gridSpan w:val="2"/>
            <w:tcBorders>
              <w:top w:val="single" w:sz="18" w:space="0" w:color="auto"/>
              <w:left w:val="nil"/>
              <w:bottom w:val="single" w:sz="18" w:space="0" w:color="auto"/>
              <w:right w:val="single" w:sz="18" w:space="0" w:color="auto"/>
            </w:tcBorders>
            <w:shd w:val="clear" w:color="auto" w:fill="auto"/>
            <w:noWrap/>
            <w:vAlign w:val="bottom"/>
            <w:hideMark/>
          </w:tcPr>
          <w:p w14:paraId="0E74A82E"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50%</w:t>
            </w:r>
          </w:p>
        </w:tc>
      </w:tr>
      <w:tr w:rsidR="00C11F0D" w:rsidRPr="0010554D" w14:paraId="5B8B29F5" w14:textId="77777777" w:rsidTr="00C11F0D">
        <w:trPr>
          <w:trHeight w:val="320"/>
          <w:jc w:val="center"/>
        </w:trPr>
        <w:tc>
          <w:tcPr>
            <w:tcW w:w="1885"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2B006782"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20%</w:t>
            </w:r>
          </w:p>
        </w:tc>
        <w:tc>
          <w:tcPr>
            <w:tcW w:w="1311"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14:paraId="498FB247"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18</w:t>
            </w:r>
            <w:r>
              <w:rPr>
                <w:rFonts w:ascii="Times New Roman" w:eastAsia="Times New Roman" w:hAnsi="Times New Roman" w:cs="Times New Roman"/>
                <w:noProof w:val="0"/>
                <w:color w:val="000000"/>
              </w:rPr>
              <w:t xml:space="preserve">% </w:t>
            </w:r>
          </w:p>
        </w:tc>
        <w:tc>
          <w:tcPr>
            <w:tcW w:w="1307" w:type="dxa"/>
            <w:tcBorders>
              <w:top w:val="single" w:sz="18" w:space="0" w:color="auto"/>
              <w:left w:val="nil"/>
              <w:bottom w:val="single" w:sz="4" w:space="0" w:color="auto"/>
              <w:right w:val="single" w:sz="4" w:space="0" w:color="auto"/>
            </w:tcBorders>
            <w:shd w:val="clear" w:color="auto" w:fill="auto"/>
            <w:noWrap/>
            <w:vAlign w:val="bottom"/>
            <w:hideMark/>
          </w:tcPr>
          <w:p w14:paraId="28B735A5"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19</w:t>
            </w:r>
            <w:r>
              <w:rPr>
                <w:rFonts w:ascii="Times New Roman" w:eastAsia="Times New Roman" w:hAnsi="Times New Roman" w:cs="Times New Roman"/>
                <w:noProof w:val="0"/>
                <w:color w:val="000000"/>
              </w:rPr>
              <w:t>%</w:t>
            </w:r>
          </w:p>
        </w:tc>
        <w:tc>
          <w:tcPr>
            <w:tcW w:w="1306" w:type="dxa"/>
            <w:tcBorders>
              <w:top w:val="single" w:sz="18" w:space="0" w:color="auto"/>
              <w:left w:val="nil"/>
              <w:bottom w:val="single" w:sz="4" w:space="0" w:color="auto"/>
              <w:right w:val="single" w:sz="4" w:space="0" w:color="auto"/>
            </w:tcBorders>
            <w:shd w:val="clear" w:color="auto" w:fill="auto"/>
            <w:noWrap/>
            <w:vAlign w:val="bottom"/>
            <w:hideMark/>
          </w:tcPr>
          <w:p w14:paraId="1791CB58"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19</w:t>
            </w:r>
            <w:r>
              <w:rPr>
                <w:rFonts w:ascii="Times New Roman" w:eastAsia="Times New Roman" w:hAnsi="Times New Roman" w:cs="Times New Roman"/>
                <w:noProof w:val="0"/>
                <w:color w:val="000000"/>
              </w:rPr>
              <w:t>%</w:t>
            </w:r>
          </w:p>
        </w:tc>
        <w:tc>
          <w:tcPr>
            <w:tcW w:w="1307" w:type="dxa"/>
            <w:tcBorders>
              <w:top w:val="single" w:sz="18" w:space="0" w:color="auto"/>
              <w:left w:val="nil"/>
              <w:bottom w:val="single" w:sz="4" w:space="0" w:color="auto"/>
              <w:right w:val="single" w:sz="4" w:space="0" w:color="auto"/>
            </w:tcBorders>
            <w:shd w:val="clear" w:color="auto" w:fill="auto"/>
            <w:noWrap/>
            <w:vAlign w:val="bottom"/>
            <w:hideMark/>
          </w:tcPr>
          <w:p w14:paraId="4F329E9F"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19</w:t>
            </w:r>
            <w:r>
              <w:rPr>
                <w:rFonts w:ascii="Times New Roman" w:eastAsia="Times New Roman" w:hAnsi="Times New Roman" w:cs="Times New Roman"/>
                <w:noProof w:val="0"/>
                <w:color w:val="000000"/>
              </w:rPr>
              <w:t>%</w:t>
            </w:r>
          </w:p>
        </w:tc>
        <w:tc>
          <w:tcPr>
            <w:tcW w:w="1307" w:type="dxa"/>
            <w:gridSpan w:val="2"/>
            <w:tcBorders>
              <w:top w:val="single" w:sz="18" w:space="0" w:color="auto"/>
              <w:left w:val="nil"/>
              <w:bottom w:val="single" w:sz="4" w:space="0" w:color="auto"/>
              <w:right w:val="single" w:sz="4" w:space="0" w:color="auto"/>
            </w:tcBorders>
            <w:shd w:val="clear" w:color="auto" w:fill="auto"/>
            <w:noWrap/>
            <w:vAlign w:val="bottom"/>
            <w:hideMark/>
          </w:tcPr>
          <w:p w14:paraId="63FC27AE"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19</w:t>
            </w:r>
            <w:r>
              <w:rPr>
                <w:rFonts w:ascii="Times New Roman" w:eastAsia="Times New Roman" w:hAnsi="Times New Roman" w:cs="Times New Roman"/>
                <w:noProof w:val="0"/>
                <w:color w:val="000000"/>
              </w:rPr>
              <w:t>%</w:t>
            </w:r>
          </w:p>
        </w:tc>
      </w:tr>
      <w:tr w:rsidR="00C11F0D" w:rsidRPr="0010554D" w14:paraId="77E79A18" w14:textId="77777777" w:rsidTr="00C11F0D">
        <w:trPr>
          <w:trHeight w:val="320"/>
          <w:jc w:val="center"/>
        </w:trPr>
        <w:tc>
          <w:tcPr>
            <w:tcW w:w="188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04D57D7D"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30%</w:t>
            </w:r>
          </w:p>
        </w:tc>
        <w:tc>
          <w:tcPr>
            <w:tcW w:w="1311" w:type="dxa"/>
            <w:tcBorders>
              <w:top w:val="nil"/>
              <w:left w:val="single" w:sz="18" w:space="0" w:color="auto"/>
              <w:bottom w:val="single" w:sz="4" w:space="0" w:color="auto"/>
              <w:right w:val="single" w:sz="4" w:space="0" w:color="auto"/>
            </w:tcBorders>
            <w:shd w:val="clear" w:color="auto" w:fill="auto"/>
            <w:noWrap/>
            <w:vAlign w:val="bottom"/>
            <w:hideMark/>
          </w:tcPr>
          <w:p w14:paraId="0D3BE3F4"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2</w:t>
            </w:r>
            <w:r>
              <w:rPr>
                <w:rFonts w:ascii="Times New Roman" w:eastAsia="Times New Roman" w:hAnsi="Times New Roman" w:cs="Times New Roman"/>
                <w:noProof w:val="0"/>
                <w:color w:val="000000"/>
              </w:rPr>
              <w:t>5%</w:t>
            </w:r>
          </w:p>
        </w:tc>
        <w:tc>
          <w:tcPr>
            <w:tcW w:w="1307" w:type="dxa"/>
            <w:tcBorders>
              <w:top w:val="nil"/>
              <w:left w:val="nil"/>
              <w:bottom w:val="single" w:sz="4" w:space="0" w:color="auto"/>
              <w:right w:val="single" w:sz="4" w:space="0" w:color="auto"/>
            </w:tcBorders>
            <w:shd w:val="clear" w:color="auto" w:fill="auto"/>
            <w:noWrap/>
            <w:vAlign w:val="bottom"/>
            <w:hideMark/>
          </w:tcPr>
          <w:p w14:paraId="4DA4BC51"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29</w:t>
            </w:r>
            <w:r>
              <w:rPr>
                <w:rFonts w:ascii="Times New Roman" w:eastAsia="Times New Roman" w:hAnsi="Times New Roman" w:cs="Times New Roman"/>
                <w:noProof w:val="0"/>
                <w:color w:val="000000"/>
              </w:rPr>
              <w:t>%</w:t>
            </w:r>
          </w:p>
        </w:tc>
        <w:tc>
          <w:tcPr>
            <w:tcW w:w="1306" w:type="dxa"/>
            <w:tcBorders>
              <w:top w:val="nil"/>
              <w:left w:val="nil"/>
              <w:bottom w:val="single" w:sz="4" w:space="0" w:color="auto"/>
              <w:right w:val="single" w:sz="4" w:space="0" w:color="auto"/>
            </w:tcBorders>
            <w:shd w:val="clear" w:color="auto" w:fill="auto"/>
            <w:noWrap/>
            <w:vAlign w:val="bottom"/>
            <w:hideMark/>
          </w:tcPr>
          <w:p w14:paraId="43D93D80"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29</w:t>
            </w:r>
            <w:r>
              <w:rPr>
                <w:rFonts w:ascii="Times New Roman" w:eastAsia="Times New Roman" w:hAnsi="Times New Roman" w:cs="Times New Roman"/>
                <w:noProof w:val="0"/>
                <w:color w:val="000000"/>
              </w:rPr>
              <w:t>%</w:t>
            </w:r>
          </w:p>
        </w:tc>
        <w:tc>
          <w:tcPr>
            <w:tcW w:w="1307" w:type="dxa"/>
            <w:tcBorders>
              <w:top w:val="nil"/>
              <w:left w:val="nil"/>
              <w:bottom w:val="single" w:sz="4" w:space="0" w:color="auto"/>
              <w:right w:val="single" w:sz="4" w:space="0" w:color="auto"/>
            </w:tcBorders>
            <w:shd w:val="clear" w:color="auto" w:fill="auto"/>
            <w:noWrap/>
            <w:vAlign w:val="bottom"/>
            <w:hideMark/>
          </w:tcPr>
          <w:p w14:paraId="00193BAF"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29</w:t>
            </w:r>
            <w:r>
              <w:rPr>
                <w:rFonts w:ascii="Times New Roman" w:eastAsia="Times New Roman" w:hAnsi="Times New Roman" w:cs="Times New Roman"/>
                <w:noProof w:val="0"/>
                <w:color w:val="000000"/>
              </w:rPr>
              <w:t>%</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6313566E"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29</w:t>
            </w:r>
            <w:r>
              <w:rPr>
                <w:rFonts w:ascii="Times New Roman" w:eastAsia="Times New Roman" w:hAnsi="Times New Roman" w:cs="Times New Roman"/>
                <w:noProof w:val="0"/>
                <w:color w:val="000000"/>
              </w:rPr>
              <w:t>%</w:t>
            </w:r>
          </w:p>
        </w:tc>
      </w:tr>
      <w:tr w:rsidR="00C11F0D" w:rsidRPr="0010554D" w14:paraId="0763622D" w14:textId="77777777" w:rsidTr="00C11F0D">
        <w:trPr>
          <w:trHeight w:val="320"/>
          <w:jc w:val="center"/>
        </w:trPr>
        <w:tc>
          <w:tcPr>
            <w:tcW w:w="188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0B0F73EC"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40%</w:t>
            </w:r>
          </w:p>
        </w:tc>
        <w:tc>
          <w:tcPr>
            <w:tcW w:w="1311" w:type="dxa"/>
            <w:tcBorders>
              <w:top w:val="nil"/>
              <w:left w:val="single" w:sz="18" w:space="0" w:color="auto"/>
              <w:bottom w:val="single" w:sz="4" w:space="0" w:color="auto"/>
              <w:right w:val="single" w:sz="4" w:space="0" w:color="auto"/>
            </w:tcBorders>
            <w:shd w:val="clear" w:color="auto" w:fill="auto"/>
            <w:noWrap/>
            <w:vAlign w:val="bottom"/>
            <w:hideMark/>
          </w:tcPr>
          <w:p w14:paraId="6ADED91B"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31</w:t>
            </w:r>
            <w:r>
              <w:rPr>
                <w:rFonts w:ascii="Times New Roman" w:eastAsia="Times New Roman" w:hAnsi="Times New Roman" w:cs="Times New Roman"/>
                <w:noProof w:val="0"/>
                <w:color w:val="000000"/>
              </w:rPr>
              <w:t>%</w:t>
            </w:r>
          </w:p>
        </w:tc>
        <w:tc>
          <w:tcPr>
            <w:tcW w:w="1307" w:type="dxa"/>
            <w:tcBorders>
              <w:top w:val="nil"/>
              <w:left w:val="nil"/>
              <w:bottom w:val="single" w:sz="4" w:space="0" w:color="auto"/>
              <w:right w:val="single" w:sz="4" w:space="0" w:color="auto"/>
            </w:tcBorders>
            <w:shd w:val="clear" w:color="auto" w:fill="auto"/>
            <w:noWrap/>
            <w:vAlign w:val="bottom"/>
            <w:hideMark/>
          </w:tcPr>
          <w:p w14:paraId="023BDFBE"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38</w:t>
            </w:r>
            <w:r>
              <w:rPr>
                <w:rFonts w:ascii="Times New Roman" w:eastAsia="Times New Roman" w:hAnsi="Times New Roman" w:cs="Times New Roman"/>
                <w:noProof w:val="0"/>
                <w:color w:val="000000"/>
              </w:rPr>
              <w:t>%</w:t>
            </w:r>
          </w:p>
        </w:tc>
        <w:tc>
          <w:tcPr>
            <w:tcW w:w="1306" w:type="dxa"/>
            <w:tcBorders>
              <w:top w:val="nil"/>
              <w:left w:val="nil"/>
              <w:bottom w:val="single" w:sz="4" w:space="0" w:color="auto"/>
              <w:right w:val="single" w:sz="4" w:space="0" w:color="auto"/>
            </w:tcBorders>
            <w:shd w:val="clear" w:color="auto" w:fill="auto"/>
            <w:noWrap/>
            <w:vAlign w:val="bottom"/>
            <w:hideMark/>
          </w:tcPr>
          <w:p w14:paraId="4E0323F6"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39</w:t>
            </w:r>
            <w:r>
              <w:rPr>
                <w:rFonts w:ascii="Times New Roman" w:eastAsia="Times New Roman" w:hAnsi="Times New Roman" w:cs="Times New Roman"/>
                <w:noProof w:val="0"/>
                <w:color w:val="000000"/>
              </w:rPr>
              <w:t>%</w:t>
            </w:r>
          </w:p>
        </w:tc>
        <w:tc>
          <w:tcPr>
            <w:tcW w:w="1307" w:type="dxa"/>
            <w:tcBorders>
              <w:top w:val="nil"/>
              <w:left w:val="nil"/>
              <w:bottom w:val="single" w:sz="4" w:space="0" w:color="auto"/>
              <w:right w:val="single" w:sz="4" w:space="0" w:color="auto"/>
            </w:tcBorders>
            <w:shd w:val="clear" w:color="auto" w:fill="auto"/>
            <w:noWrap/>
            <w:vAlign w:val="bottom"/>
            <w:hideMark/>
          </w:tcPr>
          <w:p w14:paraId="69876717"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39</w:t>
            </w:r>
            <w:r>
              <w:rPr>
                <w:rFonts w:ascii="Times New Roman" w:eastAsia="Times New Roman" w:hAnsi="Times New Roman" w:cs="Times New Roman"/>
                <w:noProof w:val="0"/>
                <w:color w:val="000000"/>
              </w:rPr>
              <w:t>%</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0A8ABC38"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39</w:t>
            </w:r>
            <w:r>
              <w:rPr>
                <w:rFonts w:ascii="Times New Roman" w:eastAsia="Times New Roman" w:hAnsi="Times New Roman" w:cs="Times New Roman"/>
                <w:noProof w:val="0"/>
                <w:color w:val="000000"/>
              </w:rPr>
              <w:t>%</w:t>
            </w:r>
          </w:p>
        </w:tc>
      </w:tr>
      <w:tr w:rsidR="00C11F0D" w:rsidRPr="0010554D" w14:paraId="26D2B937" w14:textId="77777777" w:rsidTr="00C11F0D">
        <w:trPr>
          <w:trHeight w:val="320"/>
          <w:jc w:val="center"/>
        </w:trPr>
        <w:tc>
          <w:tcPr>
            <w:tcW w:w="1885"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0ABA03CF"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50%</w:t>
            </w:r>
          </w:p>
        </w:tc>
        <w:tc>
          <w:tcPr>
            <w:tcW w:w="1311" w:type="dxa"/>
            <w:tcBorders>
              <w:top w:val="nil"/>
              <w:left w:val="single" w:sz="18" w:space="0" w:color="auto"/>
              <w:bottom w:val="single" w:sz="4" w:space="0" w:color="auto"/>
              <w:right w:val="single" w:sz="4" w:space="0" w:color="auto"/>
            </w:tcBorders>
            <w:shd w:val="clear" w:color="auto" w:fill="auto"/>
            <w:noWrap/>
            <w:vAlign w:val="bottom"/>
          </w:tcPr>
          <w:p w14:paraId="1D30DD2A"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31%</w:t>
            </w:r>
          </w:p>
        </w:tc>
        <w:tc>
          <w:tcPr>
            <w:tcW w:w="1307" w:type="dxa"/>
            <w:tcBorders>
              <w:top w:val="nil"/>
              <w:left w:val="nil"/>
              <w:bottom w:val="single" w:sz="4" w:space="0" w:color="auto"/>
              <w:right w:val="single" w:sz="4" w:space="0" w:color="auto"/>
            </w:tcBorders>
            <w:shd w:val="clear" w:color="auto" w:fill="auto"/>
            <w:noWrap/>
            <w:vAlign w:val="bottom"/>
          </w:tcPr>
          <w:p w14:paraId="76A15A3D"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48%</w:t>
            </w:r>
          </w:p>
        </w:tc>
        <w:tc>
          <w:tcPr>
            <w:tcW w:w="1306" w:type="dxa"/>
            <w:tcBorders>
              <w:top w:val="nil"/>
              <w:left w:val="nil"/>
              <w:bottom w:val="single" w:sz="4" w:space="0" w:color="auto"/>
              <w:right w:val="single" w:sz="4" w:space="0" w:color="auto"/>
            </w:tcBorders>
            <w:shd w:val="clear" w:color="auto" w:fill="auto"/>
            <w:noWrap/>
            <w:vAlign w:val="bottom"/>
          </w:tcPr>
          <w:p w14:paraId="270FC907"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49%</w:t>
            </w:r>
          </w:p>
        </w:tc>
        <w:tc>
          <w:tcPr>
            <w:tcW w:w="1307" w:type="dxa"/>
            <w:tcBorders>
              <w:top w:val="nil"/>
              <w:left w:val="nil"/>
              <w:bottom w:val="single" w:sz="4" w:space="0" w:color="auto"/>
              <w:right w:val="single" w:sz="4" w:space="0" w:color="auto"/>
            </w:tcBorders>
            <w:shd w:val="clear" w:color="auto" w:fill="auto"/>
            <w:noWrap/>
            <w:vAlign w:val="bottom"/>
          </w:tcPr>
          <w:p w14:paraId="239FD68E"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49%</w:t>
            </w:r>
          </w:p>
        </w:tc>
        <w:tc>
          <w:tcPr>
            <w:tcW w:w="1307" w:type="dxa"/>
            <w:gridSpan w:val="2"/>
            <w:tcBorders>
              <w:top w:val="nil"/>
              <w:left w:val="nil"/>
              <w:bottom w:val="single" w:sz="4" w:space="0" w:color="auto"/>
              <w:right w:val="single" w:sz="4" w:space="0" w:color="auto"/>
            </w:tcBorders>
            <w:shd w:val="clear" w:color="auto" w:fill="auto"/>
            <w:noWrap/>
            <w:vAlign w:val="bottom"/>
          </w:tcPr>
          <w:p w14:paraId="45F6C43A"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48%</w:t>
            </w:r>
          </w:p>
        </w:tc>
      </w:tr>
      <w:tr w:rsidR="00C11F0D" w:rsidRPr="0010554D" w14:paraId="159D3EBC" w14:textId="77777777" w:rsidTr="00C11F0D">
        <w:trPr>
          <w:trHeight w:val="320"/>
          <w:jc w:val="center"/>
        </w:trPr>
        <w:tc>
          <w:tcPr>
            <w:tcW w:w="1885" w:type="dxa"/>
            <w:tcBorders>
              <w:top w:val="single" w:sz="4" w:space="0" w:color="auto"/>
              <w:left w:val="single" w:sz="18" w:space="0" w:color="auto"/>
              <w:bottom w:val="single" w:sz="18" w:space="0" w:color="auto"/>
              <w:right w:val="single" w:sz="18" w:space="0" w:color="auto"/>
            </w:tcBorders>
            <w:shd w:val="clear" w:color="auto" w:fill="auto"/>
            <w:noWrap/>
            <w:vAlign w:val="bottom"/>
            <w:hideMark/>
          </w:tcPr>
          <w:p w14:paraId="7D184C24"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60%</w:t>
            </w:r>
          </w:p>
        </w:tc>
        <w:tc>
          <w:tcPr>
            <w:tcW w:w="1311" w:type="dxa"/>
            <w:tcBorders>
              <w:top w:val="nil"/>
              <w:left w:val="single" w:sz="18" w:space="0" w:color="auto"/>
              <w:bottom w:val="single" w:sz="4" w:space="0" w:color="auto"/>
              <w:right w:val="single" w:sz="4" w:space="0" w:color="auto"/>
            </w:tcBorders>
            <w:shd w:val="clear" w:color="auto" w:fill="auto"/>
            <w:noWrap/>
            <w:vAlign w:val="bottom"/>
            <w:hideMark/>
          </w:tcPr>
          <w:p w14:paraId="282E0720"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31</w:t>
            </w:r>
            <w:r>
              <w:rPr>
                <w:rFonts w:ascii="Times New Roman" w:eastAsia="Times New Roman" w:hAnsi="Times New Roman" w:cs="Times New Roman"/>
                <w:noProof w:val="0"/>
                <w:color w:val="000000"/>
              </w:rPr>
              <w:t>%</w:t>
            </w:r>
          </w:p>
        </w:tc>
        <w:tc>
          <w:tcPr>
            <w:tcW w:w="1307" w:type="dxa"/>
            <w:tcBorders>
              <w:top w:val="nil"/>
              <w:left w:val="nil"/>
              <w:bottom w:val="single" w:sz="4" w:space="0" w:color="auto"/>
              <w:right w:val="single" w:sz="4" w:space="0" w:color="auto"/>
            </w:tcBorders>
            <w:shd w:val="clear" w:color="auto" w:fill="auto"/>
            <w:noWrap/>
            <w:vAlign w:val="bottom"/>
            <w:hideMark/>
          </w:tcPr>
          <w:p w14:paraId="08D42ED2"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57</w:t>
            </w:r>
            <w:r>
              <w:rPr>
                <w:rFonts w:ascii="Times New Roman" w:eastAsia="Times New Roman" w:hAnsi="Times New Roman" w:cs="Times New Roman"/>
                <w:noProof w:val="0"/>
                <w:color w:val="000000"/>
              </w:rPr>
              <w:t>%</w:t>
            </w:r>
          </w:p>
        </w:tc>
        <w:tc>
          <w:tcPr>
            <w:tcW w:w="1306" w:type="dxa"/>
            <w:tcBorders>
              <w:top w:val="nil"/>
              <w:left w:val="nil"/>
              <w:bottom w:val="single" w:sz="4" w:space="0" w:color="auto"/>
              <w:right w:val="single" w:sz="4" w:space="0" w:color="auto"/>
            </w:tcBorders>
            <w:shd w:val="clear" w:color="auto" w:fill="auto"/>
            <w:noWrap/>
            <w:vAlign w:val="bottom"/>
            <w:hideMark/>
          </w:tcPr>
          <w:p w14:paraId="4F14D9BF"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58</w:t>
            </w:r>
            <w:r>
              <w:rPr>
                <w:rFonts w:ascii="Times New Roman" w:eastAsia="Times New Roman" w:hAnsi="Times New Roman" w:cs="Times New Roman"/>
                <w:noProof w:val="0"/>
                <w:color w:val="000000"/>
              </w:rPr>
              <w:t>%</w:t>
            </w:r>
          </w:p>
        </w:tc>
        <w:tc>
          <w:tcPr>
            <w:tcW w:w="1307" w:type="dxa"/>
            <w:tcBorders>
              <w:top w:val="nil"/>
              <w:left w:val="nil"/>
              <w:bottom w:val="single" w:sz="4" w:space="0" w:color="auto"/>
              <w:right w:val="single" w:sz="4" w:space="0" w:color="auto"/>
            </w:tcBorders>
            <w:shd w:val="clear" w:color="auto" w:fill="auto"/>
            <w:noWrap/>
            <w:vAlign w:val="bottom"/>
            <w:hideMark/>
          </w:tcPr>
          <w:p w14:paraId="6DF25BB6"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58</w:t>
            </w:r>
            <w:r>
              <w:rPr>
                <w:rFonts w:ascii="Times New Roman" w:eastAsia="Times New Roman" w:hAnsi="Times New Roman" w:cs="Times New Roman"/>
                <w:noProof w:val="0"/>
                <w:color w:val="000000"/>
              </w:rPr>
              <w:t>%</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05B54178" w14:textId="77777777" w:rsidR="00C11F0D" w:rsidRPr="0010554D" w:rsidRDefault="00C11F0D" w:rsidP="006F2C9A">
            <w:pPr>
              <w:widowControl/>
              <w:autoSpaceDE/>
              <w:autoSpaceDN/>
              <w:adjustRightInd/>
              <w:jc w:val="right"/>
              <w:rPr>
                <w:rFonts w:ascii="Times New Roman" w:eastAsia="Times New Roman" w:hAnsi="Times New Roman" w:cs="Times New Roman"/>
                <w:noProof w:val="0"/>
                <w:color w:val="000000"/>
              </w:rPr>
            </w:pPr>
            <w:r w:rsidRPr="0010554D">
              <w:rPr>
                <w:rFonts w:ascii="Times New Roman" w:eastAsia="Times New Roman" w:hAnsi="Times New Roman" w:cs="Times New Roman"/>
                <w:noProof w:val="0"/>
                <w:color w:val="000000"/>
              </w:rPr>
              <w:t>58</w:t>
            </w:r>
            <w:r>
              <w:rPr>
                <w:rFonts w:ascii="Times New Roman" w:eastAsia="Times New Roman" w:hAnsi="Times New Roman" w:cs="Times New Roman"/>
                <w:noProof w:val="0"/>
                <w:color w:val="000000"/>
              </w:rPr>
              <w:t>%</w:t>
            </w:r>
          </w:p>
        </w:tc>
      </w:tr>
    </w:tbl>
    <w:p w14:paraId="74E8B870" w14:textId="77777777" w:rsidR="00716E00" w:rsidRDefault="00716E00" w:rsidP="00716E00">
      <w:pPr>
        <w:rPr>
          <w:rFonts w:ascii="Times New Roman" w:hAnsi="Times New Roman" w:cs="Times New Roman"/>
          <w:b/>
          <w:bCs/>
          <w:noProof w:val="0"/>
          <w:sz w:val="24"/>
          <w:szCs w:val="24"/>
        </w:rPr>
      </w:pPr>
    </w:p>
    <w:p w14:paraId="09320E6F" w14:textId="79607A1E" w:rsidR="00716E00" w:rsidRDefault="00D322E9" w:rsidP="00716E00">
      <w:pPr>
        <w:rPr>
          <w:rFonts w:ascii="Times New Roman" w:hAnsi="Times New Roman" w:cs="Times New Roman"/>
          <w:b/>
          <w:bCs/>
          <w:noProof w:val="0"/>
          <w:sz w:val="24"/>
          <w:szCs w:val="24"/>
        </w:rPr>
      </w:pPr>
      <w:r>
        <w:rPr>
          <w:rFonts w:ascii="Times New Roman" w:hAnsi="Times New Roman" w:cs="Times New Roman"/>
          <w:b/>
          <w:bCs/>
          <w:noProof w:val="0"/>
          <w:sz w:val="24"/>
          <w:szCs w:val="24"/>
        </w:rPr>
        <w:t>Figure</w:t>
      </w:r>
      <w:r w:rsidR="00A86AF4">
        <w:rPr>
          <w:rFonts w:ascii="Times New Roman" w:hAnsi="Times New Roman" w:cs="Times New Roman"/>
          <w:b/>
          <w:bCs/>
          <w:noProof w:val="0"/>
          <w:sz w:val="24"/>
          <w:szCs w:val="24"/>
        </w:rPr>
        <w:t xml:space="preserve"> A.</w:t>
      </w:r>
      <w:r w:rsidR="00B037A6">
        <w:rPr>
          <w:rFonts w:ascii="Times New Roman" w:hAnsi="Times New Roman" w:cs="Times New Roman"/>
          <w:b/>
          <w:bCs/>
          <w:noProof w:val="0"/>
          <w:sz w:val="24"/>
          <w:szCs w:val="24"/>
        </w:rPr>
        <w:t>3</w:t>
      </w:r>
      <w:r>
        <w:rPr>
          <w:rFonts w:ascii="Times New Roman" w:hAnsi="Times New Roman" w:cs="Times New Roman"/>
          <w:b/>
          <w:bCs/>
          <w:noProof w:val="0"/>
          <w:sz w:val="24"/>
          <w:szCs w:val="24"/>
        </w:rPr>
        <w:t xml:space="preserve">: Incidence trajectories for cases </w:t>
      </w:r>
      <w:r w:rsidRPr="00D322E9">
        <w:rPr>
          <w:rFonts w:ascii="Times New Roman" w:hAnsi="Times New Roman" w:cs="Times New Roman"/>
          <w:b/>
          <w:bCs/>
          <w:noProof w:val="0"/>
          <w:sz w:val="24"/>
          <w:szCs w:val="24"/>
        </w:rPr>
        <w:t>when different values of the top network position scorers (“</w:t>
      </w:r>
      <w:proofErr w:type="spellStart"/>
      <w:r w:rsidRPr="005165D7">
        <w:rPr>
          <w:rFonts w:ascii="Times New Roman" w:hAnsi="Times New Roman" w:cs="Times New Roman"/>
          <w:b/>
          <w:bCs/>
          <w:sz w:val="24"/>
          <w:szCs w:val="24"/>
        </w:rPr>
        <w:t>topn</w:t>
      </w:r>
      <w:proofErr w:type="spellEnd"/>
      <w:r w:rsidRPr="00D322E9">
        <w:rPr>
          <w:rFonts w:ascii="Times New Roman" w:hAnsi="Times New Roman" w:cs="Times New Roman"/>
          <w:b/>
          <w:bCs/>
          <w:noProof w:val="0"/>
          <w:sz w:val="24"/>
          <w:szCs w:val="24"/>
        </w:rPr>
        <w:t xml:space="preserve">” parameter) were </w:t>
      </w:r>
      <w:r w:rsidR="00D564CD">
        <w:rPr>
          <w:rFonts w:ascii="Times New Roman" w:hAnsi="Times New Roman" w:cs="Times New Roman"/>
          <w:b/>
          <w:bCs/>
          <w:noProof w:val="0"/>
          <w:sz w:val="24"/>
          <w:szCs w:val="24"/>
        </w:rPr>
        <w:t xml:space="preserve">eligible to initiate </w:t>
      </w:r>
      <w:proofErr w:type="gramStart"/>
      <w:r w:rsidR="00D564CD">
        <w:rPr>
          <w:rFonts w:ascii="Times New Roman" w:hAnsi="Times New Roman" w:cs="Times New Roman"/>
          <w:b/>
          <w:bCs/>
          <w:noProof w:val="0"/>
          <w:sz w:val="24"/>
          <w:szCs w:val="24"/>
        </w:rPr>
        <w:t>PrEP</w:t>
      </w:r>
      <w:r w:rsidR="00471349">
        <w:rPr>
          <w:rFonts w:ascii="Times New Roman" w:hAnsi="Times New Roman" w:cs="Times New Roman"/>
          <w:b/>
          <w:bCs/>
          <w:noProof w:val="0"/>
          <w:sz w:val="24"/>
          <w:szCs w:val="24"/>
        </w:rPr>
        <w:t>.</w:t>
      </w:r>
      <w:r w:rsidR="007612A5">
        <w:rPr>
          <w:rFonts w:ascii="Times New Roman" w:hAnsi="Times New Roman" w:cs="Times New Roman"/>
          <w:b/>
          <w:bCs/>
          <w:noProof w:val="0"/>
          <w:sz w:val="24"/>
          <w:szCs w:val="24"/>
        </w:rPr>
        <w:t>*</w:t>
      </w:r>
      <w:proofErr w:type="gramEnd"/>
    </w:p>
    <w:p w14:paraId="6CAD304D" w14:textId="77777777" w:rsidR="00716E00" w:rsidRDefault="00716E00" w:rsidP="00716E00">
      <w:pPr>
        <w:rPr>
          <w:rFonts w:ascii="Times New Roman" w:hAnsi="Times New Roman" w:cs="Times New Roman"/>
          <w:b/>
          <w:bCs/>
          <w:noProof w:val="0"/>
          <w:sz w:val="24"/>
          <w:szCs w:val="24"/>
        </w:rPr>
      </w:pPr>
    </w:p>
    <w:p w14:paraId="21D09630" w14:textId="73765C0F" w:rsidR="00D515E4" w:rsidRPr="006E30D1" w:rsidRDefault="00D515E4" w:rsidP="006E30D1">
      <w:pPr>
        <w:pStyle w:val="ListParagraph"/>
        <w:widowControl/>
        <w:numPr>
          <w:ilvl w:val="0"/>
          <w:numId w:val="11"/>
        </w:numPr>
        <w:autoSpaceDE/>
        <w:autoSpaceDN/>
        <w:adjustRightInd/>
        <w:spacing w:after="200" w:line="276" w:lineRule="auto"/>
        <w:jc w:val="center"/>
        <w:rPr>
          <w:rFonts w:ascii="Times New Roman" w:hAnsi="Times New Roman" w:cs="Times New Roman"/>
          <w:b/>
          <w:bCs/>
          <w:noProof w:val="0"/>
          <w:sz w:val="24"/>
          <w:szCs w:val="24"/>
        </w:rPr>
      </w:pPr>
      <w:r w:rsidRPr="006E30D1">
        <w:rPr>
          <w:rFonts w:ascii="Times New Roman" w:hAnsi="Times New Roman" w:cs="Times New Roman"/>
          <w:b/>
          <w:bCs/>
          <w:noProof w:val="0"/>
          <w:sz w:val="24"/>
          <w:szCs w:val="24"/>
        </w:rPr>
        <w:t>Degree centrality</w:t>
      </w:r>
    </w:p>
    <w:p w14:paraId="306175DB" w14:textId="2BF8F1A6" w:rsidR="00D322E9" w:rsidRDefault="00D515E4" w:rsidP="00D322E9">
      <w:pPr>
        <w:widowControl/>
        <w:autoSpaceDE/>
        <w:autoSpaceDN/>
        <w:adjustRightInd/>
        <w:spacing w:after="200" w:line="276" w:lineRule="auto"/>
        <w:jc w:val="center"/>
        <w:rPr>
          <w:rFonts w:ascii="Times New Roman" w:hAnsi="Times New Roman" w:cs="Times New Roman"/>
          <w:b/>
          <w:bCs/>
          <w:noProof w:val="0"/>
          <w:sz w:val="24"/>
          <w:szCs w:val="24"/>
        </w:rPr>
      </w:pPr>
      <w:r>
        <w:rPr>
          <w:lang w:val="en-GB" w:eastAsia="en-GB"/>
        </w:rPr>
        <w:drawing>
          <wp:inline distT="0" distB="0" distL="0" distR="0" wp14:anchorId="403F4963" wp14:editId="3F13AE73">
            <wp:extent cx="4490357" cy="229411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gree-topn-incidence.png"/>
                    <pic:cNvPicPr/>
                  </pic:nvPicPr>
                  <pic:blipFill>
                    <a:blip r:embed="rId11">
                      <a:extLst>
                        <a:ext uri="{28A0092B-C50C-407E-A947-70E740481C1C}">
                          <a14:useLocalDpi xmlns:a14="http://schemas.microsoft.com/office/drawing/2010/main" val="0"/>
                        </a:ext>
                      </a:extLst>
                    </a:blip>
                    <a:stretch>
                      <a:fillRect/>
                    </a:stretch>
                  </pic:blipFill>
                  <pic:spPr>
                    <a:xfrm>
                      <a:off x="0" y="0"/>
                      <a:ext cx="4502777" cy="2300457"/>
                    </a:xfrm>
                    <a:prstGeom prst="rect">
                      <a:avLst/>
                    </a:prstGeom>
                  </pic:spPr>
                </pic:pic>
              </a:graphicData>
            </a:graphic>
          </wp:inline>
        </w:drawing>
      </w:r>
    </w:p>
    <w:p w14:paraId="7D7EB119" w14:textId="77777777" w:rsidR="002F7A53" w:rsidRDefault="002F7A53">
      <w:pPr>
        <w:widowControl/>
        <w:autoSpaceDE/>
        <w:autoSpaceDN/>
        <w:adjustRightInd/>
        <w:spacing w:after="200" w:line="276" w:lineRule="auto"/>
        <w:rPr>
          <w:rFonts w:ascii="Times New Roman" w:hAnsi="Times New Roman" w:cs="Times New Roman"/>
          <w:b/>
          <w:bCs/>
          <w:noProof w:val="0"/>
          <w:sz w:val="24"/>
          <w:szCs w:val="24"/>
        </w:rPr>
      </w:pPr>
      <w:r>
        <w:rPr>
          <w:rFonts w:ascii="Times New Roman" w:hAnsi="Times New Roman" w:cs="Times New Roman"/>
          <w:b/>
          <w:bCs/>
          <w:noProof w:val="0"/>
          <w:sz w:val="24"/>
          <w:szCs w:val="24"/>
        </w:rPr>
        <w:br w:type="page"/>
      </w:r>
    </w:p>
    <w:p w14:paraId="05F7AE46" w14:textId="3CD2C93B" w:rsidR="00634908" w:rsidRPr="00052EF1" w:rsidRDefault="00DC5CAA" w:rsidP="00052EF1">
      <w:pPr>
        <w:pStyle w:val="ListParagraph"/>
        <w:widowControl/>
        <w:numPr>
          <w:ilvl w:val="0"/>
          <w:numId w:val="11"/>
        </w:numPr>
        <w:autoSpaceDE/>
        <w:autoSpaceDN/>
        <w:adjustRightInd/>
        <w:spacing w:after="200" w:line="276" w:lineRule="auto"/>
        <w:jc w:val="center"/>
        <w:rPr>
          <w:rFonts w:ascii="Times New Roman" w:hAnsi="Times New Roman" w:cs="Times New Roman"/>
          <w:b/>
          <w:bCs/>
          <w:noProof w:val="0"/>
          <w:sz w:val="24"/>
          <w:szCs w:val="24"/>
        </w:rPr>
      </w:pPr>
      <w:r w:rsidRPr="00052EF1">
        <w:rPr>
          <w:rFonts w:ascii="Times New Roman" w:hAnsi="Times New Roman" w:cs="Times New Roman"/>
          <w:b/>
          <w:bCs/>
          <w:noProof w:val="0"/>
          <w:sz w:val="24"/>
          <w:szCs w:val="24"/>
        </w:rPr>
        <w:lastRenderedPageBreak/>
        <w:t>Eigenvector centrality</w:t>
      </w:r>
    </w:p>
    <w:p w14:paraId="32350386" w14:textId="42666FB2" w:rsidR="000E141C" w:rsidRDefault="009303D0" w:rsidP="00D322E9">
      <w:pPr>
        <w:widowControl/>
        <w:autoSpaceDE/>
        <w:autoSpaceDN/>
        <w:adjustRightInd/>
        <w:spacing w:after="200" w:line="276" w:lineRule="auto"/>
        <w:jc w:val="center"/>
        <w:rPr>
          <w:rFonts w:ascii="Times New Roman" w:hAnsi="Times New Roman" w:cs="Times New Roman"/>
          <w:b/>
          <w:bCs/>
          <w:noProof w:val="0"/>
          <w:sz w:val="24"/>
          <w:szCs w:val="24"/>
        </w:rPr>
      </w:pPr>
      <w:r>
        <w:rPr>
          <w:lang w:val="en-GB" w:eastAsia="en-GB"/>
        </w:rPr>
        <w:drawing>
          <wp:inline distT="0" distB="0" distL="0" distR="0" wp14:anchorId="6ED7E869" wp14:editId="6BFC01CC">
            <wp:extent cx="4509135" cy="3034032"/>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gen-topn-incidence.png"/>
                    <pic:cNvPicPr/>
                  </pic:nvPicPr>
                  <pic:blipFill>
                    <a:blip r:embed="rId12">
                      <a:extLst>
                        <a:ext uri="{28A0092B-C50C-407E-A947-70E740481C1C}">
                          <a14:useLocalDpi xmlns:a14="http://schemas.microsoft.com/office/drawing/2010/main" val="0"/>
                        </a:ext>
                      </a:extLst>
                    </a:blip>
                    <a:stretch>
                      <a:fillRect/>
                    </a:stretch>
                  </pic:blipFill>
                  <pic:spPr>
                    <a:xfrm>
                      <a:off x="0" y="0"/>
                      <a:ext cx="4554168" cy="3064333"/>
                    </a:xfrm>
                    <a:prstGeom prst="rect">
                      <a:avLst/>
                    </a:prstGeom>
                  </pic:spPr>
                </pic:pic>
              </a:graphicData>
            </a:graphic>
          </wp:inline>
        </w:drawing>
      </w:r>
    </w:p>
    <w:p w14:paraId="30AA46C2" w14:textId="72BCB998" w:rsidR="000E7629" w:rsidRPr="00D04987" w:rsidRDefault="00BC62C7" w:rsidP="00D322E9">
      <w:pPr>
        <w:widowControl/>
        <w:autoSpaceDE/>
        <w:autoSpaceDN/>
        <w:adjustRightInd/>
        <w:spacing w:after="200" w:line="276" w:lineRule="auto"/>
        <w:jc w:val="center"/>
        <w:rPr>
          <w:rFonts w:ascii="Times New Roman" w:hAnsi="Times New Roman" w:cs="Times New Roman"/>
          <w:bCs/>
          <w:noProof w:val="0"/>
          <w:sz w:val="24"/>
          <w:szCs w:val="24"/>
        </w:rPr>
      </w:pPr>
      <w:r w:rsidRPr="00D04987">
        <w:rPr>
          <w:rFonts w:ascii="Times New Roman" w:hAnsi="Times New Roman" w:cs="Times New Roman"/>
          <w:bCs/>
          <w:noProof w:val="0"/>
          <w:sz w:val="24"/>
          <w:szCs w:val="24"/>
        </w:rPr>
        <w:t xml:space="preserve">* The </w:t>
      </w:r>
      <w:r w:rsidR="009E68FF">
        <w:rPr>
          <w:rFonts w:ascii="Times New Roman" w:hAnsi="Times New Roman" w:cs="Times New Roman"/>
          <w:bCs/>
          <w:noProof w:val="0"/>
          <w:sz w:val="24"/>
          <w:szCs w:val="24"/>
        </w:rPr>
        <w:t>y-</w:t>
      </w:r>
      <w:r>
        <w:rPr>
          <w:rFonts w:ascii="Times New Roman" w:hAnsi="Times New Roman" w:cs="Times New Roman"/>
          <w:bCs/>
          <w:noProof w:val="0"/>
          <w:sz w:val="24"/>
          <w:szCs w:val="24"/>
        </w:rPr>
        <w:t xml:space="preserve">axis shows </w:t>
      </w:r>
      <w:r w:rsidR="009E68FF">
        <w:rPr>
          <w:rFonts w:ascii="Times New Roman" w:hAnsi="Times New Roman" w:cs="Times New Roman"/>
          <w:bCs/>
          <w:noProof w:val="0"/>
          <w:sz w:val="24"/>
          <w:szCs w:val="24"/>
        </w:rPr>
        <w:t xml:space="preserve">annual HIV incidence (per 100 </w:t>
      </w:r>
      <w:r w:rsidR="009E68FF" w:rsidRPr="005165D7">
        <w:rPr>
          <w:rFonts w:ascii="Times New Roman" w:hAnsi="Times New Roman" w:cs="Times New Roman"/>
          <w:bCs/>
          <w:sz w:val="24"/>
          <w:szCs w:val="24"/>
        </w:rPr>
        <w:t>person</w:t>
      </w:r>
      <w:r w:rsidR="009E68FF" w:rsidRPr="00D805CC">
        <w:rPr>
          <w:rFonts w:ascii="Times New Roman" w:hAnsi="Times New Roman" w:cs="Times New Roman"/>
          <w:bCs/>
          <w:sz w:val="24"/>
          <w:szCs w:val="24"/>
        </w:rPr>
        <w:t xml:space="preserve"> years</w:t>
      </w:r>
      <w:r w:rsidR="009E68FF">
        <w:rPr>
          <w:rFonts w:ascii="Times New Roman" w:hAnsi="Times New Roman" w:cs="Times New Roman"/>
          <w:bCs/>
          <w:noProof w:val="0"/>
          <w:sz w:val="24"/>
          <w:szCs w:val="24"/>
        </w:rPr>
        <w:t xml:space="preserve">) and the x-axis represents intervention year. Each curve corresponds to a </w:t>
      </w:r>
      <w:r w:rsidR="00FB46B9">
        <w:rPr>
          <w:rFonts w:ascii="Times New Roman" w:hAnsi="Times New Roman" w:cs="Times New Roman"/>
          <w:bCs/>
          <w:noProof w:val="0"/>
          <w:sz w:val="24"/>
          <w:szCs w:val="24"/>
        </w:rPr>
        <w:t xml:space="preserve">scenario with a different </w:t>
      </w:r>
      <w:r w:rsidR="00FB46B9" w:rsidRPr="00FB46B9">
        <w:rPr>
          <w:rFonts w:ascii="Times New Roman" w:hAnsi="Times New Roman" w:cs="Times New Roman"/>
          <w:bCs/>
          <w:noProof w:val="0"/>
          <w:sz w:val="24"/>
          <w:szCs w:val="24"/>
        </w:rPr>
        <w:t>proportion of highest scoring HIV-negative individuals</w:t>
      </w:r>
      <w:r w:rsidR="00FB46B9">
        <w:rPr>
          <w:rFonts w:ascii="Times New Roman" w:hAnsi="Times New Roman" w:cs="Times New Roman"/>
          <w:bCs/>
          <w:noProof w:val="0"/>
          <w:sz w:val="24"/>
          <w:szCs w:val="24"/>
        </w:rPr>
        <w:t xml:space="preserve">. </w:t>
      </w:r>
    </w:p>
    <w:p w14:paraId="124F59DD" w14:textId="2D5509CA" w:rsidR="006D74B9" w:rsidRDefault="00634908" w:rsidP="006D74B9">
      <w:pPr>
        <w:widowControl/>
        <w:autoSpaceDE/>
        <w:autoSpaceDN/>
        <w:adjustRightInd/>
        <w:spacing w:line="480" w:lineRule="auto"/>
        <w:rPr>
          <w:rFonts w:ascii="Times New Roman" w:hAnsi="Times New Roman" w:cs="Times New Roman"/>
          <w:noProof w:val="0"/>
          <w:sz w:val="24"/>
          <w:szCs w:val="24"/>
        </w:rPr>
      </w:pPr>
      <w:bookmarkStart w:id="20" w:name="_Toc3377348"/>
      <w:r w:rsidRPr="000B44D1">
        <w:rPr>
          <w:rStyle w:val="Heading2Char"/>
        </w:rPr>
        <w:t>A.7.</w:t>
      </w:r>
      <w:r w:rsidR="009B61E2" w:rsidRPr="000B44D1">
        <w:rPr>
          <w:rStyle w:val="Heading2Char"/>
        </w:rPr>
        <w:t xml:space="preserve">4 </w:t>
      </w:r>
      <w:r w:rsidR="00996C6B" w:rsidRPr="000B44D1">
        <w:rPr>
          <w:rStyle w:val="Heading2Char"/>
        </w:rPr>
        <w:t>Data from combination interventions</w:t>
      </w:r>
      <w:bookmarkEnd w:id="20"/>
      <w:r w:rsidR="00996C6B" w:rsidRPr="00996C6B">
        <w:rPr>
          <w:rFonts w:ascii="Times New Roman" w:hAnsi="Times New Roman" w:cs="Times New Roman"/>
          <w:noProof w:val="0"/>
          <w:sz w:val="24"/>
          <w:szCs w:val="24"/>
          <w:u w:val="single"/>
        </w:rPr>
        <w:t>:</w:t>
      </w:r>
      <w:r w:rsidR="00996C6B">
        <w:rPr>
          <w:rFonts w:ascii="Times New Roman" w:hAnsi="Times New Roman" w:cs="Times New Roman"/>
          <w:noProof w:val="0"/>
          <w:sz w:val="24"/>
          <w:szCs w:val="24"/>
        </w:rPr>
        <w:t xml:space="preserve"> As</w:t>
      </w:r>
      <w:r>
        <w:rPr>
          <w:rFonts w:ascii="Times New Roman" w:hAnsi="Times New Roman" w:cs="Times New Roman"/>
          <w:noProof w:val="0"/>
          <w:sz w:val="24"/>
          <w:szCs w:val="24"/>
        </w:rPr>
        <w:t xml:space="preserve"> </w:t>
      </w:r>
      <w:r w:rsidR="00D13E0E">
        <w:rPr>
          <w:rFonts w:ascii="Times New Roman" w:hAnsi="Times New Roman" w:cs="Times New Roman"/>
          <w:noProof w:val="0"/>
          <w:sz w:val="24"/>
          <w:szCs w:val="24"/>
        </w:rPr>
        <w:t xml:space="preserve">mentioned </w:t>
      </w:r>
      <w:r w:rsidR="00996C6B">
        <w:rPr>
          <w:rFonts w:ascii="Times New Roman" w:hAnsi="Times New Roman" w:cs="Times New Roman"/>
          <w:noProof w:val="0"/>
          <w:sz w:val="24"/>
          <w:szCs w:val="24"/>
        </w:rPr>
        <w:t xml:space="preserve">in the main body of the manuscript, </w:t>
      </w:r>
      <w:r w:rsidR="00CD2B21">
        <w:rPr>
          <w:rFonts w:ascii="Times New Roman" w:hAnsi="Times New Roman" w:cs="Times New Roman"/>
          <w:noProof w:val="0"/>
          <w:sz w:val="24"/>
          <w:szCs w:val="24"/>
        </w:rPr>
        <w:t>at</w:t>
      </w:r>
      <w:r w:rsidR="00EA6FBD">
        <w:rPr>
          <w:rFonts w:ascii="Times New Roman" w:hAnsi="Times New Roman" w:cs="Times New Roman"/>
          <w:noProof w:val="0"/>
          <w:sz w:val="24"/>
          <w:szCs w:val="24"/>
        </w:rPr>
        <w:t xml:space="preserve"> a</w:t>
      </w:r>
      <w:r w:rsidR="00CD2B21" w:rsidRPr="00CD2B21">
        <w:rPr>
          <w:rFonts w:ascii="Times New Roman" w:hAnsi="Times New Roman" w:cs="Times New Roman"/>
          <w:noProof w:val="0"/>
          <w:sz w:val="24"/>
          <w:szCs w:val="24"/>
        </w:rPr>
        <w:t xml:space="preserve"> given level of achieved PrEP uptake</w:t>
      </w:r>
      <w:r w:rsidR="00496982">
        <w:rPr>
          <w:rFonts w:ascii="Times New Roman" w:hAnsi="Times New Roman" w:cs="Times New Roman"/>
          <w:noProof w:val="0"/>
          <w:sz w:val="24"/>
          <w:szCs w:val="24"/>
        </w:rPr>
        <w:t>,</w:t>
      </w:r>
      <w:r w:rsidR="00CD2B21" w:rsidRPr="00CD2B21">
        <w:rPr>
          <w:rFonts w:ascii="Times New Roman" w:hAnsi="Times New Roman" w:cs="Times New Roman"/>
          <w:noProof w:val="0"/>
          <w:sz w:val="24"/>
          <w:szCs w:val="24"/>
        </w:rPr>
        <w:t xml:space="preserve"> </w:t>
      </w:r>
      <w:r w:rsidR="00996C6B" w:rsidRPr="00996C6B">
        <w:rPr>
          <w:rFonts w:ascii="Times New Roman" w:hAnsi="Times New Roman" w:cs="Times New Roman"/>
          <w:noProof w:val="0"/>
          <w:sz w:val="24"/>
          <w:szCs w:val="24"/>
        </w:rPr>
        <w:t>increasing PrEP initiation and retention in combination produced a</w:t>
      </w:r>
      <w:r w:rsidR="00757F07">
        <w:rPr>
          <w:rFonts w:ascii="Times New Roman" w:hAnsi="Times New Roman" w:cs="Times New Roman"/>
          <w:noProof w:val="0"/>
          <w:sz w:val="24"/>
          <w:szCs w:val="24"/>
        </w:rPr>
        <w:t xml:space="preserve"> similar</w:t>
      </w:r>
      <w:r w:rsidR="00996C6B" w:rsidRPr="00996C6B">
        <w:rPr>
          <w:rFonts w:ascii="Times New Roman" w:hAnsi="Times New Roman" w:cs="Times New Roman"/>
          <w:noProof w:val="0"/>
          <w:sz w:val="24"/>
          <w:szCs w:val="24"/>
        </w:rPr>
        <w:t xml:space="preserve"> incidence decline </w:t>
      </w:r>
      <w:r w:rsidR="00B62BC1">
        <w:rPr>
          <w:rFonts w:ascii="Times New Roman" w:hAnsi="Times New Roman" w:cs="Times New Roman"/>
          <w:noProof w:val="0"/>
          <w:sz w:val="24"/>
          <w:szCs w:val="24"/>
        </w:rPr>
        <w:t xml:space="preserve">as </w:t>
      </w:r>
      <w:r w:rsidR="00996C6B" w:rsidRPr="00996C6B">
        <w:rPr>
          <w:rFonts w:ascii="Times New Roman" w:hAnsi="Times New Roman" w:cs="Times New Roman"/>
          <w:noProof w:val="0"/>
          <w:sz w:val="24"/>
          <w:szCs w:val="24"/>
        </w:rPr>
        <w:t>increasing either</w:t>
      </w:r>
      <w:r w:rsidR="00041878">
        <w:rPr>
          <w:rFonts w:ascii="Times New Roman" w:hAnsi="Times New Roman" w:cs="Times New Roman"/>
          <w:noProof w:val="0"/>
          <w:sz w:val="24"/>
          <w:szCs w:val="24"/>
        </w:rPr>
        <w:t xml:space="preserve"> initiation or retention</w:t>
      </w:r>
      <w:r w:rsidR="00996C6B" w:rsidRPr="00996C6B">
        <w:rPr>
          <w:rFonts w:ascii="Times New Roman" w:hAnsi="Times New Roman" w:cs="Times New Roman"/>
          <w:noProof w:val="0"/>
          <w:sz w:val="24"/>
          <w:szCs w:val="24"/>
        </w:rPr>
        <w:t xml:space="preserve"> alone. </w:t>
      </w:r>
      <w:r w:rsidR="007B7265">
        <w:rPr>
          <w:rFonts w:ascii="Times New Roman" w:hAnsi="Times New Roman" w:cs="Times New Roman"/>
          <w:noProof w:val="0"/>
          <w:sz w:val="24"/>
          <w:szCs w:val="24"/>
        </w:rPr>
        <w:t>Data supporting this c</w:t>
      </w:r>
      <w:r w:rsidR="00DF053B">
        <w:rPr>
          <w:rFonts w:ascii="Times New Roman" w:hAnsi="Times New Roman" w:cs="Times New Roman"/>
          <w:noProof w:val="0"/>
          <w:sz w:val="24"/>
          <w:szCs w:val="24"/>
        </w:rPr>
        <w:t>onclusion</w:t>
      </w:r>
      <w:r w:rsidR="007B7265">
        <w:rPr>
          <w:rFonts w:ascii="Times New Roman" w:hAnsi="Times New Roman" w:cs="Times New Roman"/>
          <w:noProof w:val="0"/>
          <w:sz w:val="24"/>
          <w:szCs w:val="24"/>
        </w:rPr>
        <w:t xml:space="preserve"> are provided in Table A.</w:t>
      </w:r>
      <w:r w:rsidR="009A7DE0">
        <w:rPr>
          <w:rFonts w:ascii="Times New Roman" w:hAnsi="Times New Roman" w:cs="Times New Roman"/>
          <w:noProof w:val="0"/>
          <w:sz w:val="24"/>
          <w:szCs w:val="24"/>
        </w:rPr>
        <w:t xml:space="preserve">9 </w:t>
      </w:r>
      <w:r w:rsidR="007B7265">
        <w:rPr>
          <w:rFonts w:ascii="Times New Roman" w:hAnsi="Times New Roman" w:cs="Times New Roman"/>
          <w:noProof w:val="0"/>
          <w:sz w:val="24"/>
          <w:szCs w:val="24"/>
        </w:rPr>
        <w:t xml:space="preserve">and Figure A.4. </w:t>
      </w:r>
    </w:p>
    <w:p w14:paraId="713AF065" w14:textId="509CA652" w:rsidR="000838B7" w:rsidRDefault="007C32A4" w:rsidP="00800D59">
      <w:pPr>
        <w:widowControl/>
        <w:autoSpaceDE/>
        <w:autoSpaceDN/>
        <w:adjustRightInd/>
        <w:spacing w:line="480" w:lineRule="auto"/>
        <w:ind w:firstLine="720"/>
        <w:rPr>
          <w:rFonts w:ascii="Times New Roman" w:hAnsi="Times New Roman" w:cs="Times New Roman"/>
          <w:bCs/>
          <w:noProof w:val="0"/>
          <w:sz w:val="24"/>
          <w:szCs w:val="24"/>
        </w:rPr>
      </w:pPr>
      <w:r>
        <w:rPr>
          <w:rFonts w:ascii="Times New Roman" w:hAnsi="Times New Roman" w:cs="Times New Roman"/>
          <w:bCs/>
          <w:noProof w:val="0"/>
          <w:sz w:val="24"/>
          <w:szCs w:val="24"/>
        </w:rPr>
        <w:t xml:space="preserve">In Table </w:t>
      </w:r>
      <w:r w:rsidR="00F644FE">
        <w:rPr>
          <w:rFonts w:ascii="Times New Roman" w:hAnsi="Times New Roman" w:cs="Times New Roman"/>
          <w:bCs/>
          <w:noProof w:val="0"/>
          <w:sz w:val="24"/>
          <w:szCs w:val="24"/>
        </w:rPr>
        <w:t>A.</w:t>
      </w:r>
      <w:r w:rsidR="00BF6703">
        <w:rPr>
          <w:rFonts w:ascii="Times New Roman" w:hAnsi="Times New Roman" w:cs="Times New Roman"/>
          <w:bCs/>
          <w:noProof w:val="0"/>
          <w:sz w:val="24"/>
          <w:szCs w:val="24"/>
        </w:rPr>
        <w:t>9</w:t>
      </w:r>
      <w:r w:rsidR="00F644FE">
        <w:rPr>
          <w:rFonts w:ascii="Times New Roman" w:hAnsi="Times New Roman" w:cs="Times New Roman"/>
          <w:bCs/>
          <w:noProof w:val="0"/>
          <w:sz w:val="24"/>
          <w:szCs w:val="24"/>
        </w:rPr>
        <w:t>,</w:t>
      </w:r>
      <w:r w:rsidR="00704146">
        <w:rPr>
          <w:rFonts w:ascii="Times New Roman" w:hAnsi="Times New Roman" w:cs="Times New Roman"/>
          <w:bCs/>
          <w:noProof w:val="0"/>
          <w:sz w:val="24"/>
          <w:szCs w:val="24"/>
        </w:rPr>
        <w:t xml:space="preserve"> t</w:t>
      </w:r>
      <w:r w:rsidR="00BD713C" w:rsidRPr="00BD713C">
        <w:rPr>
          <w:rFonts w:ascii="Times New Roman" w:hAnsi="Times New Roman" w:cs="Times New Roman"/>
          <w:bCs/>
          <w:noProof w:val="0"/>
          <w:sz w:val="24"/>
          <w:szCs w:val="24"/>
        </w:rPr>
        <w:t>he “PrEP initiation” scenario represents the six unique target PrEP uptake scenarios that were considered in the main analyses. To model a combination intervention, we combined the six</w:t>
      </w:r>
      <w:r w:rsidR="002D528B">
        <w:rPr>
          <w:rFonts w:ascii="Times New Roman" w:hAnsi="Times New Roman" w:cs="Times New Roman"/>
          <w:bCs/>
          <w:noProof w:val="0"/>
          <w:sz w:val="24"/>
          <w:szCs w:val="24"/>
        </w:rPr>
        <w:t xml:space="preserve"> PrEP initiation scenarios and </w:t>
      </w:r>
      <w:r w:rsidR="00BD713C" w:rsidRPr="00BD713C">
        <w:rPr>
          <w:rFonts w:ascii="Times New Roman" w:hAnsi="Times New Roman" w:cs="Times New Roman"/>
          <w:bCs/>
          <w:noProof w:val="0"/>
          <w:sz w:val="24"/>
          <w:szCs w:val="24"/>
        </w:rPr>
        <w:t>seven retention periods</w:t>
      </w:r>
      <w:r w:rsidR="002D528B">
        <w:rPr>
          <w:rFonts w:ascii="Times New Roman" w:hAnsi="Times New Roman" w:cs="Times New Roman"/>
          <w:bCs/>
          <w:noProof w:val="0"/>
          <w:sz w:val="24"/>
          <w:szCs w:val="24"/>
        </w:rPr>
        <w:t xml:space="preserve"> described in the main body of the manuscript</w:t>
      </w:r>
      <w:r w:rsidR="00BD713C" w:rsidRPr="00BD713C">
        <w:rPr>
          <w:rFonts w:ascii="Times New Roman" w:hAnsi="Times New Roman" w:cs="Times New Roman"/>
          <w:bCs/>
          <w:noProof w:val="0"/>
          <w:sz w:val="24"/>
          <w:szCs w:val="24"/>
        </w:rPr>
        <w:t xml:space="preserve">. Thus, a total of 42 unique combination scenarios </w:t>
      </w:r>
      <w:r w:rsidR="00472CA4">
        <w:rPr>
          <w:rFonts w:ascii="Times New Roman" w:hAnsi="Times New Roman" w:cs="Times New Roman"/>
          <w:bCs/>
          <w:noProof w:val="0"/>
          <w:sz w:val="24"/>
          <w:szCs w:val="24"/>
        </w:rPr>
        <w:t>we</w:t>
      </w:r>
      <w:r w:rsidR="00BD713C" w:rsidRPr="00BD713C">
        <w:rPr>
          <w:rFonts w:ascii="Times New Roman" w:hAnsi="Times New Roman" w:cs="Times New Roman"/>
          <w:bCs/>
          <w:noProof w:val="0"/>
          <w:sz w:val="24"/>
          <w:szCs w:val="24"/>
        </w:rPr>
        <w:t xml:space="preserve">re considered. </w:t>
      </w:r>
      <w:r w:rsidR="00BD713C">
        <w:rPr>
          <w:rFonts w:ascii="Times New Roman" w:hAnsi="Times New Roman" w:cs="Times New Roman"/>
          <w:bCs/>
          <w:noProof w:val="0"/>
          <w:sz w:val="24"/>
          <w:szCs w:val="24"/>
        </w:rPr>
        <w:t xml:space="preserve">The </w:t>
      </w:r>
      <w:r w:rsidR="00903551">
        <w:rPr>
          <w:rFonts w:ascii="Times New Roman" w:hAnsi="Times New Roman" w:cs="Times New Roman"/>
          <w:bCs/>
          <w:noProof w:val="0"/>
          <w:sz w:val="24"/>
          <w:szCs w:val="24"/>
        </w:rPr>
        <w:t>“</w:t>
      </w:r>
      <w:r w:rsidR="00BD713C">
        <w:rPr>
          <w:rFonts w:ascii="Times New Roman" w:hAnsi="Times New Roman" w:cs="Times New Roman"/>
          <w:bCs/>
          <w:noProof w:val="0"/>
          <w:sz w:val="24"/>
          <w:szCs w:val="24"/>
        </w:rPr>
        <w:t>achieved PrEP uptake</w:t>
      </w:r>
      <w:r w:rsidR="00903551">
        <w:rPr>
          <w:rFonts w:ascii="Times New Roman" w:hAnsi="Times New Roman" w:cs="Times New Roman"/>
          <w:bCs/>
          <w:noProof w:val="0"/>
          <w:sz w:val="24"/>
          <w:szCs w:val="24"/>
        </w:rPr>
        <w:t>” column shows data</w:t>
      </w:r>
      <w:r w:rsidR="00BD713C">
        <w:rPr>
          <w:rFonts w:ascii="Times New Roman" w:hAnsi="Times New Roman" w:cs="Times New Roman"/>
          <w:bCs/>
          <w:noProof w:val="0"/>
          <w:sz w:val="24"/>
          <w:szCs w:val="24"/>
        </w:rPr>
        <w:t xml:space="preserve"> </w:t>
      </w:r>
      <w:r w:rsidR="00903551">
        <w:rPr>
          <w:rFonts w:ascii="Times New Roman" w:hAnsi="Times New Roman" w:cs="Times New Roman"/>
          <w:bCs/>
          <w:noProof w:val="0"/>
          <w:sz w:val="24"/>
          <w:szCs w:val="24"/>
        </w:rPr>
        <w:t xml:space="preserve">for </w:t>
      </w:r>
      <w:r w:rsidR="00BD713C">
        <w:rPr>
          <w:rFonts w:ascii="Times New Roman" w:hAnsi="Times New Roman" w:cs="Times New Roman"/>
          <w:bCs/>
          <w:noProof w:val="0"/>
          <w:sz w:val="24"/>
          <w:szCs w:val="24"/>
        </w:rPr>
        <w:t xml:space="preserve">the </w:t>
      </w:r>
      <w:r w:rsidR="00A10497">
        <w:rPr>
          <w:rFonts w:ascii="Times New Roman" w:hAnsi="Times New Roman" w:cs="Times New Roman"/>
          <w:bCs/>
          <w:noProof w:val="0"/>
          <w:sz w:val="24"/>
          <w:szCs w:val="24"/>
        </w:rPr>
        <w:t>mean</w:t>
      </w:r>
      <w:r w:rsidR="00BD713C">
        <w:rPr>
          <w:rFonts w:ascii="Times New Roman" w:hAnsi="Times New Roman" w:cs="Times New Roman"/>
          <w:bCs/>
          <w:noProof w:val="0"/>
          <w:sz w:val="24"/>
          <w:szCs w:val="24"/>
        </w:rPr>
        <w:t xml:space="preserve"> PrEP uptake </w:t>
      </w:r>
      <w:r w:rsidR="00A10497">
        <w:rPr>
          <w:rFonts w:ascii="Times New Roman" w:hAnsi="Times New Roman" w:cs="Times New Roman"/>
          <w:bCs/>
          <w:noProof w:val="0"/>
          <w:sz w:val="24"/>
          <w:szCs w:val="24"/>
        </w:rPr>
        <w:t xml:space="preserve">(averaged over 30 simulations) </w:t>
      </w:r>
      <w:r w:rsidR="00BD713C">
        <w:rPr>
          <w:rFonts w:ascii="Times New Roman" w:hAnsi="Times New Roman" w:cs="Times New Roman"/>
          <w:bCs/>
          <w:noProof w:val="0"/>
          <w:sz w:val="24"/>
          <w:szCs w:val="24"/>
        </w:rPr>
        <w:t xml:space="preserve">that was </w:t>
      </w:r>
      <w:r w:rsidR="002A7D3C">
        <w:rPr>
          <w:rFonts w:ascii="Times New Roman" w:hAnsi="Times New Roman" w:cs="Times New Roman"/>
          <w:bCs/>
          <w:noProof w:val="0"/>
          <w:sz w:val="24"/>
          <w:szCs w:val="24"/>
        </w:rPr>
        <w:t xml:space="preserve">achieved </w:t>
      </w:r>
      <w:r w:rsidR="00BD713C">
        <w:rPr>
          <w:rFonts w:ascii="Times New Roman" w:hAnsi="Times New Roman" w:cs="Times New Roman"/>
          <w:bCs/>
          <w:noProof w:val="0"/>
          <w:sz w:val="24"/>
          <w:szCs w:val="24"/>
        </w:rPr>
        <w:t>in a given combination scenario.</w:t>
      </w:r>
      <w:r w:rsidR="006E6D6B">
        <w:rPr>
          <w:rFonts w:ascii="Times New Roman" w:hAnsi="Times New Roman" w:cs="Times New Roman"/>
          <w:bCs/>
          <w:noProof w:val="0"/>
          <w:sz w:val="24"/>
          <w:szCs w:val="24"/>
        </w:rPr>
        <w:t xml:space="preserve"> The </w:t>
      </w:r>
      <w:r w:rsidR="00835223">
        <w:rPr>
          <w:rFonts w:ascii="Times New Roman" w:hAnsi="Times New Roman" w:cs="Times New Roman"/>
          <w:bCs/>
          <w:noProof w:val="0"/>
          <w:sz w:val="24"/>
          <w:szCs w:val="24"/>
        </w:rPr>
        <w:t xml:space="preserve">primary </w:t>
      </w:r>
      <w:r w:rsidR="006E6D6B">
        <w:rPr>
          <w:rFonts w:ascii="Times New Roman" w:hAnsi="Times New Roman" w:cs="Times New Roman"/>
          <w:bCs/>
          <w:noProof w:val="0"/>
          <w:sz w:val="24"/>
          <w:szCs w:val="24"/>
        </w:rPr>
        <w:t xml:space="preserve">outcome is the </w:t>
      </w:r>
      <w:r w:rsidR="002E0722">
        <w:rPr>
          <w:rFonts w:ascii="Times New Roman" w:hAnsi="Times New Roman" w:cs="Times New Roman"/>
          <w:bCs/>
          <w:noProof w:val="0"/>
          <w:sz w:val="24"/>
          <w:szCs w:val="24"/>
        </w:rPr>
        <w:lastRenderedPageBreak/>
        <w:t xml:space="preserve">mean </w:t>
      </w:r>
      <w:r w:rsidR="009A312F">
        <w:rPr>
          <w:rFonts w:ascii="Times New Roman" w:hAnsi="Times New Roman" w:cs="Times New Roman"/>
          <w:bCs/>
          <w:noProof w:val="0"/>
          <w:sz w:val="24"/>
          <w:szCs w:val="24"/>
        </w:rPr>
        <w:t>HIV incidence in the tenth year in each of these 42 scenarios</w:t>
      </w:r>
      <w:r w:rsidR="009A716E">
        <w:rPr>
          <w:rFonts w:ascii="Times New Roman" w:hAnsi="Times New Roman" w:cs="Times New Roman"/>
          <w:bCs/>
          <w:noProof w:val="0"/>
          <w:sz w:val="24"/>
          <w:szCs w:val="24"/>
        </w:rPr>
        <w:t>, summarized in “</w:t>
      </w:r>
      <w:r w:rsidR="00041E9A">
        <w:rPr>
          <w:rFonts w:ascii="Times New Roman" w:hAnsi="Times New Roman" w:cs="Times New Roman"/>
          <w:bCs/>
          <w:noProof w:val="0"/>
          <w:sz w:val="24"/>
          <w:szCs w:val="24"/>
        </w:rPr>
        <w:t>m</w:t>
      </w:r>
      <w:r w:rsidR="009A716E" w:rsidRPr="009A716E">
        <w:rPr>
          <w:rFonts w:ascii="Times New Roman" w:hAnsi="Times New Roman" w:cs="Times New Roman"/>
          <w:bCs/>
          <w:noProof w:val="0"/>
          <w:sz w:val="24"/>
          <w:szCs w:val="24"/>
        </w:rPr>
        <w:t>ean 10th year population incidence</w:t>
      </w:r>
      <w:r w:rsidR="009A716E">
        <w:rPr>
          <w:rFonts w:ascii="Times New Roman" w:hAnsi="Times New Roman" w:cs="Times New Roman"/>
          <w:bCs/>
          <w:noProof w:val="0"/>
          <w:sz w:val="24"/>
          <w:szCs w:val="24"/>
        </w:rPr>
        <w:t>”</w:t>
      </w:r>
      <w:r w:rsidR="009A312F">
        <w:rPr>
          <w:rFonts w:ascii="Times New Roman" w:hAnsi="Times New Roman" w:cs="Times New Roman"/>
          <w:bCs/>
          <w:noProof w:val="0"/>
          <w:sz w:val="24"/>
          <w:szCs w:val="24"/>
        </w:rPr>
        <w:t>.</w:t>
      </w:r>
      <w:bookmarkStart w:id="21" w:name="_GoBack"/>
      <w:bookmarkEnd w:id="21"/>
    </w:p>
    <w:tbl>
      <w:tblPr>
        <w:tblW w:w="9355" w:type="dxa"/>
        <w:tblInd w:w="113" w:type="dxa"/>
        <w:tblLayout w:type="fixed"/>
        <w:tblLook w:val="04A0" w:firstRow="1" w:lastRow="0" w:firstColumn="1" w:lastColumn="0" w:noHBand="0" w:noVBand="1"/>
      </w:tblPr>
      <w:tblGrid>
        <w:gridCol w:w="1559"/>
        <w:gridCol w:w="1559"/>
        <w:gridCol w:w="1559"/>
        <w:gridCol w:w="1559"/>
        <w:gridCol w:w="1559"/>
        <w:gridCol w:w="1560"/>
      </w:tblGrid>
      <w:tr w:rsidR="000838B7" w:rsidRPr="001B60DE" w14:paraId="35F172C5" w14:textId="77777777" w:rsidTr="00175B33">
        <w:trPr>
          <w:trHeight w:val="300"/>
        </w:trPr>
        <w:tc>
          <w:tcPr>
            <w:tcW w:w="93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61D4A602" w14:textId="22D39685" w:rsidR="000838B7" w:rsidRPr="001B60DE" w:rsidRDefault="000838B7" w:rsidP="000838B7">
            <w:pPr>
              <w:widowControl/>
              <w:autoSpaceDE/>
              <w:autoSpaceDN/>
              <w:adjustRightInd/>
              <w:rPr>
                <w:rFonts w:ascii="Times New Roman" w:eastAsia="Times New Roman" w:hAnsi="Times New Roman" w:cs="Times New Roman"/>
                <w:b/>
                <w:bCs/>
                <w:noProof w:val="0"/>
                <w:color w:val="000000"/>
              </w:rPr>
            </w:pPr>
            <w:r w:rsidRPr="001B60DE">
              <w:rPr>
                <w:rFonts w:ascii="Times New Roman" w:eastAsia="Times New Roman" w:hAnsi="Times New Roman" w:cs="Times New Roman"/>
                <w:b/>
                <w:bCs/>
                <w:noProof w:val="0"/>
                <w:color w:val="000000"/>
              </w:rPr>
              <w:t>Table A.</w:t>
            </w:r>
            <w:r>
              <w:rPr>
                <w:rFonts w:ascii="Times New Roman" w:eastAsia="Times New Roman" w:hAnsi="Times New Roman" w:cs="Times New Roman"/>
                <w:b/>
                <w:bCs/>
                <w:noProof w:val="0"/>
                <w:color w:val="000000"/>
              </w:rPr>
              <w:t>9</w:t>
            </w:r>
            <w:r w:rsidRPr="001B60DE">
              <w:rPr>
                <w:rFonts w:ascii="Times New Roman" w:eastAsia="Times New Roman" w:hAnsi="Times New Roman" w:cs="Times New Roman"/>
                <w:b/>
                <w:bCs/>
                <w:noProof w:val="0"/>
                <w:color w:val="000000"/>
              </w:rPr>
              <w:t>: 10</w:t>
            </w:r>
            <w:r w:rsidRPr="001B60DE">
              <w:rPr>
                <w:rFonts w:ascii="Times New Roman" w:eastAsia="Times New Roman" w:hAnsi="Times New Roman" w:cs="Times New Roman"/>
                <w:b/>
                <w:bCs/>
                <w:noProof w:val="0"/>
                <w:color w:val="000000"/>
                <w:vertAlign w:val="superscript"/>
              </w:rPr>
              <w:t>th</w:t>
            </w:r>
            <w:r w:rsidRPr="001B60DE">
              <w:rPr>
                <w:rFonts w:ascii="Times New Roman" w:eastAsia="Times New Roman" w:hAnsi="Times New Roman" w:cs="Times New Roman"/>
                <w:b/>
                <w:bCs/>
                <w:noProof w:val="0"/>
                <w:color w:val="000000"/>
              </w:rPr>
              <w:t xml:space="preserve"> year incidence rates produced when a combination PrEP initiation and retention interventions are considered</w:t>
            </w:r>
            <w:r>
              <w:rPr>
                <w:rFonts w:ascii="Times New Roman" w:eastAsia="Times New Roman" w:hAnsi="Times New Roman" w:cs="Times New Roman"/>
                <w:b/>
                <w:bCs/>
                <w:noProof w:val="0"/>
                <w:color w:val="000000"/>
              </w:rPr>
              <w:t xml:space="preserve"> simultaneously</w:t>
            </w:r>
            <w:r w:rsidRPr="001B60DE">
              <w:rPr>
                <w:rFonts w:ascii="Times New Roman" w:eastAsia="Times New Roman" w:hAnsi="Times New Roman" w:cs="Times New Roman"/>
                <w:b/>
                <w:bCs/>
                <w:noProof w:val="0"/>
                <w:color w:val="000000"/>
              </w:rPr>
              <w:t>.</w:t>
            </w:r>
            <w:r>
              <w:rPr>
                <w:rFonts w:ascii="Times New Roman" w:eastAsia="Times New Roman" w:hAnsi="Times New Roman" w:cs="Times New Roman"/>
                <w:b/>
                <w:bCs/>
                <w:noProof w:val="0"/>
                <w:color w:val="000000"/>
              </w:rPr>
              <w:t xml:space="preserve"> Colors are used to group similar Archived PrEP uptake % values in the same range intervals: </w:t>
            </w:r>
            <w:r w:rsidRPr="000838B7">
              <w:rPr>
                <w:rFonts w:ascii="Times New Roman" w:eastAsia="Times New Roman" w:hAnsi="Times New Roman" w:cs="Times New Roman"/>
                <w:noProof w:val="0"/>
                <w:color w:val="76923C" w:themeColor="accent3" w:themeShade="BF"/>
                <w:sz w:val="18"/>
              </w:rPr>
              <w:t>10-19%</w:t>
            </w:r>
            <w:r w:rsidRPr="000838B7">
              <w:rPr>
                <w:rFonts w:ascii="Times New Roman" w:eastAsia="Times New Roman" w:hAnsi="Times New Roman" w:cs="Times New Roman"/>
                <w:noProof w:val="0"/>
                <w:sz w:val="18"/>
              </w:rPr>
              <w:t>,</w:t>
            </w:r>
            <w:r w:rsidRPr="000838B7">
              <w:rPr>
                <w:rFonts w:ascii="Times New Roman" w:eastAsia="Times New Roman" w:hAnsi="Times New Roman" w:cs="Times New Roman"/>
                <w:b/>
                <w:bCs/>
                <w:noProof w:val="0"/>
                <w:color w:val="000000"/>
                <w:sz w:val="18"/>
              </w:rPr>
              <w:t xml:space="preserve"> </w:t>
            </w:r>
            <w:r w:rsidRPr="000838B7">
              <w:rPr>
                <w:rFonts w:ascii="Times New Roman" w:eastAsia="Times New Roman" w:hAnsi="Times New Roman" w:cs="Times New Roman"/>
                <w:noProof w:val="0"/>
                <w:color w:val="00B050"/>
                <w:sz w:val="18"/>
              </w:rPr>
              <w:t>20-29%</w:t>
            </w:r>
            <w:r w:rsidRPr="000838B7">
              <w:rPr>
                <w:rFonts w:ascii="Times New Roman" w:eastAsia="Times New Roman" w:hAnsi="Times New Roman" w:cs="Times New Roman"/>
                <w:b/>
                <w:bCs/>
                <w:noProof w:val="0"/>
                <w:color w:val="000000"/>
                <w:sz w:val="18"/>
              </w:rPr>
              <w:t xml:space="preserve">, </w:t>
            </w:r>
            <w:r w:rsidRPr="000838B7">
              <w:rPr>
                <w:rFonts w:ascii="Times New Roman" w:eastAsia="Times New Roman" w:hAnsi="Times New Roman" w:cs="Times New Roman"/>
                <w:noProof w:val="0"/>
                <w:color w:val="E36C0A" w:themeColor="accent6" w:themeShade="BF"/>
                <w:sz w:val="18"/>
              </w:rPr>
              <w:t>30-39%</w:t>
            </w:r>
            <w:r w:rsidRPr="000838B7">
              <w:rPr>
                <w:rFonts w:ascii="Times New Roman" w:eastAsia="Times New Roman" w:hAnsi="Times New Roman" w:cs="Times New Roman"/>
                <w:b/>
                <w:bCs/>
                <w:noProof w:val="0"/>
                <w:color w:val="000000"/>
                <w:sz w:val="18"/>
              </w:rPr>
              <w:t xml:space="preserve">, </w:t>
            </w:r>
            <w:r w:rsidRPr="000838B7">
              <w:rPr>
                <w:rFonts w:ascii="Times New Roman" w:eastAsia="Times New Roman" w:hAnsi="Times New Roman" w:cs="Times New Roman"/>
                <w:noProof w:val="0"/>
                <w:color w:val="943634" w:themeColor="accent2" w:themeShade="BF"/>
                <w:sz w:val="18"/>
              </w:rPr>
              <w:t>40-49%</w:t>
            </w:r>
            <w:r w:rsidRPr="000838B7">
              <w:rPr>
                <w:rFonts w:ascii="Times New Roman" w:eastAsia="Times New Roman" w:hAnsi="Times New Roman" w:cs="Times New Roman"/>
                <w:b/>
                <w:bCs/>
                <w:noProof w:val="0"/>
                <w:color w:val="000000"/>
                <w:sz w:val="18"/>
              </w:rPr>
              <w:t xml:space="preserve">, </w:t>
            </w:r>
            <w:r w:rsidRPr="000838B7">
              <w:rPr>
                <w:rFonts w:ascii="Times New Roman" w:eastAsia="Times New Roman" w:hAnsi="Times New Roman" w:cs="Times New Roman"/>
                <w:noProof w:val="0"/>
                <w:color w:val="31849B" w:themeColor="accent5" w:themeShade="BF"/>
                <w:sz w:val="18"/>
              </w:rPr>
              <w:t>50-59%</w:t>
            </w:r>
            <w:r w:rsidRPr="000838B7">
              <w:rPr>
                <w:rFonts w:ascii="Times New Roman" w:eastAsia="Times New Roman" w:hAnsi="Times New Roman" w:cs="Times New Roman"/>
                <w:b/>
                <w:bCs/>
                <w:noProof w:val="0"/>
                <w:color w:val="000000"/>
                <w:sz w:val="18"/>
              </w:rPr>
              <w:t xml:space="preserve">, </w:t>
            </w:r>
            <w:r w:rsidRPr="000838B7">
              <w:rPr>
                <w:rFonts w:ascii="Times New Roman" w:eastAsia="Times New Roman" w:hAnsi="Times New Roman" w:cs="Times New Roman"/>
                <w:noProof w:val="0"/>
                <w:color w:val="FFC000"/>
                <w:sz w:val="18"/>
              </w:rPr>
              <w:t>60-69%</w:t>
            </w:r>
            <w:r w:rsidRPr="000838B7">
              <w:rPr>
                <w:rFonts w:ascii="Times New Roman" w:eastAsia="Times New Roman" w:hAnsi="Times New Roman" w:cs="Times New Roman"/>
                <w:b/>
                <w:bCs/>
                <w:noProof w:val="0"/>
                <w:color w:val="000000"/>
                <w:sz w:val="18"/>
              </w:rPr>
              <w:t xml:space="preserve">, </w:t>
            </w:r>
            <w:r w:rsidRPr="000838B7">
              <w:rPr>
                <w:rFonts w:ascii="Times New Roman" w:eastAsia="Times New Roman" w:hAnsi="Times New Roman" w:cs="Times New Roman"/>
                <w:noProof w:val="0"/>
                <w:color w:val="B2A1C7" w:themeColor="accent4" w:themeTint="99"/>
                <w:sz w:val="18"/>
              </w:rPr>
              <w:t>70-79%</w:t>
            </w:r>
            <w:r w:rsidRPr="000838B7">
              <w:rPr>
                <w:rFonts w:ascii="Times New Roman" w:eastAsia="Times New Roman" w:hAnsi="Times New Roman" w:cs="Times New Roman"/>
                <w:b/>
                <w:bCs/>
                <w:noProof w:val="0"/>
                <w:color w:val="000000"/>
                <w:sz w:val="18"/>
              </w:rPr>
              <w:t xml:space="preserve">, </w:t>
            </w:r>
            <w:r w:rsidRPr="000838B7">
              <w:rPr>
                <w:rFonts w:ascii="Times New Roman" w:eastAsia="Times New Roman" w:hAnsi="Times New Roman" w:cs="Times New Roman"/>
                <w:noProof w:val="0"/>
                <w:color w:val="7030A0"/>
                <w:sz w:val="18"/>
              </w:rPr>
              <w:t>80-89%</w:t>
            </w:r>
            <w:r w:rsidRPr="000838B7">
              <w:rPr>
                <w:rFonts w:ascii="Times New Roman" w:eastAsia="Times New Roman" w:hAnsi="Times New Roman" w:cs="Times New Roman"/>
                <w:b/>
                <w:bCs/>
                <w:noProof w:val="0"/>
                <w:color w:val="000000"/>
                <w:sz w:val="18"/>
              </w:rPr>
              <w:t xml:space="preserve">, </w:t>
            </w:r>
            <w:r w:rsidRPr="000838B7">
              <w:rPr>
                <w:rFonts w:ascii="Times New Roman" w:eastAsia="Times New Roman" w:hAnsi="Times New Roman" w:cs="Times New Roman"/>
                <w:noProof w:val="0"/>
                <w:color w:val="FF0000"/>
                <w:sz w:val="18"/>
              </w:rPr>
              <w:t>90-100%</w:t>
            </w:r>
          </w:p>
        </w:tc>
      </w:tr>
      <w:tr w:rsidR="000838B7" w:rsidRPr="001B60DE" w14:paraId="41BF4625" w14:textId="77777777" w:rsidTr="00175B33">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CB374" w14:textId="77777777" w:rsidR="000838B7" w:rsidRPr="001B60DE" w:rsidRDefault="000838B7" w:rsidP="00175B33">
            <w:pPr>
              <w:widowControl/>
              <w:autoSpaceDE/>
              <w:autoSpaceDN/>
              <w:adjustRightInd/>
              <w:rPr>
                <w:rFonts w:ascii="Times New Roman" w:eastAsia="Times New Roman" w:hAnsi="Times New Roman" w:cs="Times New Roman"/>
                <w:b/>
                <w:bCs/>
                <w:noProof w:val="0"/>
                <w:color w:val="000000"/>
              </w:rPr>
            </w:pPr>
            <w:r w:rsidRPr="001B60DE">
              <w:rPr>
                <w:rFonts w:ascii="Times New Roman" w:eastAsia="Times New Roman" w:hAnsi="Times New Roman" w:cs="Times New Roman"/>
                <w:b/>
                <w:bCs/>
                <w:noProof w:val="0"/>
                <w:color w:val="000000"/>
              </w:rPr>
              <w:t>Parameter set ID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0D3258" w14:textId="77777777" w:rsidR="000838B7" w:rsidRPr="001B60DE" w:rsidRDefault="000838B7" w:rsidP="00175B33">
            <w:pPr>
              <w:widowControl/>
              <w:autoSpaceDE/>
              <w:autoSpaceDN/>
              <w:adjustRightInd/>
              <w:rPr>
                <w:rFonts w:ascii="Times New Roman" w:eastAsia="Times New Roman" w:hAnsi="Times New Roman" w:cs="Times New Roman"/>
                <w:b/>
                <w:bCs/>
                <w:noProof w:val="0"/>
                <w:color w:val="000000"/>
              </w:rPr>
            </w:pPr>
            <w:r w:rsidRPr="001B60DE">
              <w:rPr>
                <w:rFonts w:ascii="Times New Roman" w:eastAsia="Times New Roman" w:hAnsi="Times New Roman" w:cs="Times New Roman"/>
                <w:b/>
                <w:bCs/>
                <w:noProof w:val="0"/>
                <w:color w:val="000000"/>
              </w:rPr>
              <w:t xml:space="preserve">PrEP </w:t>
            </w:r>
            <w:r>
              <w:rPr>
                <w:rFonts w:ascii="Times New Roman" w:eastAsia="Times New Roman" w:hAnsi="Times New Roman" w:cs="Times New Roman"/>
                <w:b/>
                <w:bCs/>
                <w:noProof w:val="0"/>
                <w:color w:val="000000"/>
              </w:rPr>
              <w:t>initiation scenarios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514592" w14:textId="77777777" w:rsidR="000838B7" w:rsidRPr="001B60DE" w:rsidRDefault="000838B7" w:rsidP="00175B33">
            <w:pPr>
              <w:widowControl/>
              <w:autoSpaceDE/>
              <w:autoSpaceDN/>
              <w:adjustRightInd/>
              <w:rPr>
                <w:rFonts w:ascii="Times New Roman" w:eastAsia="Times New Roman" w:hAnsi="Times New Roman" w:cs="Times New Roman"/>
                <w:b/>
                <w:bCs/>
                <w:noProof w:val="0"/>
                <w:color w:val="000000"/>
              </w:rPr>
            </w:pPr>
            <w:r w:rsidRPr="001B60DE">
              <w:rPr>
                <w:rFonts w:ascii="Times New Roman" w:eastAsia="Times New Roman" w:hAnsi="Times New Roman" w:cs="Times New Roman"/>
                <w:b/>
                <w:bCs/>
                <w:noProof w:val="0"/>
                <w:color w:val="000000"/>
              </w:rPr>
              <w:t>Mean PrEP retention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E69F39" w14:textId="77777777" w:rsidR="000838B7" w:rsidRPr="001B60DE" w:rsidRDefault="000838B7" w:rsidP="00175B33">
            <w:pPr>
              <w:widowControl/>
              <w:autoSpaceDE/>
              <w:autoSpaceDN/>
              <w:adjustRightInd/>
              <w:rPr>
                <w:rFonts w:ascii="Times New Roman" w:eastAsia="Times New Roman" w:hAnsi="Times New Roman" w:cs="Times New Roman"/>
                <w:b/>
                <w:bCs/>
                <w:noProof w:val="0"/>
                <w:color w:val="000000"/>
              </w:rPr>
            </w:pPr>
            <w:r>
              <w:rPr>
                <w:rFonts w:ascii="Times New Roman" w:eastAsia="Times New Roman" w:hAnsi="Times New Roman" w:cs="Times New Roman"/>
                <w:b/>
                <w:bCs/>
                <w:noProof w:val="0"/>
                <w:color w:val="000000"/>
              </w:rPr>
              <w:t>Achieved</w:t>
            </w:r>
            <w:r w:rsidRPr="001B60DE">
              <w:rPr>
                <w:rFonts w:ascii="Times New Roman" w:eastAsia="Times New Roman" w:hAnsi="Times New Roman" w:cs="Times New Roman"/>
                <w:b/>
                <w:bCs/>
                <w:noProof w:val="0"/>
                <w:color w:val="000000"/>
              </w:rPr>
              <w:t xml:space="preserve"> PrEP uptake</w:t>
            </w:r>
            <w:r>
              <w:rPr>
                <w:rFonts w:ascii="Times New Roman" w:eastAsia="Times New Roman" w:hAnsi="Times New Roman" w:cs="Times New Roman"/>
                <w:b/>
                <w:bCs/>
                <w:noProof w:val="0"/>
                <w:color w:val="00000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77157D" w14:textId="77777777" w:rsidR="000838B7" w:rsidRPr="001B60DE" w:rsidRDefault="000838B7" w:rsidP="00175B33">
            <w:pPr>
              <w:widowControl/>
              <w:autoSpaceDE/>
              <w:autoSpaceDN/>
              <w:adjustRightInd/>
              <w:rPr>
                <w:rFonts w:ascii="Times New Roman" w:eastAsia="Times New Roman" w:hAnsi="Times New Roman" w:cs="Times New Roman"/>
                <w:b/>
                <w:bCs/>
                <w:noProof w:val="0"/>
                <w:color w:val="000000"/>
              </w:rPr>
            </w:pPr>
            <w:r>
              <w:rPr>
                <w:rFonts w:ascii="Times New Roman" w:eastAsia="Times New Roman" w:hAnsi="Times New Roman" w:cs="Times New Roman"/>
                <w:b/>
                <w:bCs/>
                <w:noProof w:val="0"/>
                <w:color w:val="000000"/>
              </w:rPr>
              <w:t>Mean 10</w:t>
            </w:r>
            <w:r w:rsidRPr="00DF053B">
              <w:rPr>
                <w:rFonts w:ascii="Times New Roman" w:eastAsia="Times New Roman" w:hAnsi="Times New Roman" w:cs="Times New Roman"/>
                <w:b/>
                <w:bCs/>
                <w:noProof w:val="0"/>
                <w:color w:val="000000"/>
                <w:vertAlign w:val="superscript"/>
              </w:rPr>
              <w:t>th</w:t>
            </w:r>
            <w:r>
              <w:rPr>
                <w:rFonts w:ascii="Times New Roman" w:eastAsia="Times New Roman" w:hAnsi="Times New Roman" w:cs="Times New Roman"/>
                <w:b/>
                <w:bCs/>
                <w:noProof w:val="0"/>
                <w:color w:val="000000"/>
              </w:rPr>
              <w:t xml:space="preserve"> year p</w:t>
            </w:r>
            <w:r w:rsidRPr="001B60DE">
              <w:rPr>
                <w:rFonts w:ascii="Times New Roman" w:eastAsia="Times New Roman" w:hAnsi="Times New Roman" w:cs="Times New Roman"/>
                <w:b/>
                <w:bCs/>
                <w:noProof w:val="0"/>
                <w:color w:val="000000"/>
              </w:rPr>
              <w:t>opulation incidence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08036B3" w14:textId="77777777" w:rsidR="000838B7" w:rsidRPr="001B60DE" w:rsidRDefault="000838B7" w:rsidP="00175B33">
            <w:pPr>
              <w:widowControl/>
              <w:autoSpaceDE/>
              <w:autoSpaceDN/>
              <w:adjustRightInd/>
              <w:rPr>
                <w:rFonts w:ascii="Times New Roman" w:eastAsia="Times New Roman" w:hAnsi="Times New Roman" w:cs="Times New Roman"/>
                <w:b/>
                <w:bCs/>
                <w:noProof w:val="0"/>
                <w:color w:val="000000"/>
              </w:rPr>
            </w:pPr>
            <w:r w:rsidRPr="001B60DE">
              <w:rPr>
                <w:rFonts w:ascii="Times New Roman" w:eastAsia="Times New Roman" w:hAnsi="Times New Roman" w:cs="Times New Roman"/>
                <w:b/>
                <w:bCs/>
                <w:noProof w:val="0"/>
                <w:color w:val="000000"/>
              </w:rPr>
              <w:t>Std. error</w:t>
            </w:r>
          </w:p>
        </w:tc>
      </w:tr>
      <w:tr w:rsidR="000838B7" w:rsidRPr="001B60DE" w14:paraId="4AE04576"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1F2E077"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6923C" w:themeColor="accent3" w:themeShade="BF"/>
              </w:rPr>
            </w:pPr>
            <w:r w:rsidRPr="00175B33">
              <w:rPr>
                <w:rFonts w:ascii="Times New Roman" w:eastAsia="Times New Roman" w:hAnsi="Times New Roman" w:cs="Times New Roman"/>
                <w:noProof w:val="0"/>
                <w:color w:val="76923C" w:themeColor="accent3" w:themeShade="BF"/>
              </w:rPr>
              <w:t>1</w:t>
            </w:r>
          </w:p>
        </w:tc>
        <w:tc>
          <w:tcPr>
            <w:tcW w:w="1559" w:type="dxa"/>
            <w:tcBorders>
              <w:top w:val="nil"/>
              <w:left w:val="nil"/>
              <w:bottom w:val="single" w:sz="4" w:space="0" w:color="auto"/>
              <w:right w:val="single" w:sz="4" w:space="0" w:color="auto"/>
            </w:tcBorders>
            <w:shd w:val="clear" w:color="auto" w:fill="auto"/>
            <w:noWrap/>
            <w:vAlign w:val="bottom"/>
            <w:hideMark/>
          </w:tcPr>
          <w:p w14:paraId="3D9A2C11" w14:textId="77777777" w:rsidR="000838B7" w:rsidRPr="00175B33" w:rsidRDefault="000838B7" w:rsidP="00175B33">
            <w:pPr>
              <w:widowControl/>
              <w:autoSpaceDE/>
              <w:autoSpaceDN/>
              <w:adjustRightInd/>
              <w:rPr>
                <w:rFonts w:ascii="Times New Roman" w:eastAsia="Times New Roman" w:hAnsi="Times New Roman" w:cs="Times New Roman"/>
                <w:noProof w:val="0"/>
                <w:color w:val="76923C" w:themeColor="accent3" w:themeShade="BF"/>
              </w:rPr>
            </w:pPr>
            <w:r w:rsidRPr="00175B33">
              <w:rPr>
                <w:rFonts w:ascii="Times New Roman" w:eastAsia="Times New Roman" w:hAnsi="Times New Roman" w:cs="Times New Roman"/>
                <w:noProof w:val="0"/>
                <w:color w:val="76923C" w:themeColor="accent3" w:themeShade="BF"/>
              </w:rPr>
              <w:t>Base</w:t>
            </w:r>
          </w:p>
        </w:tc>
        <w:tc>
          <w:tcPr>
            <w:tcW w:w="1559" w:type="dxa"/>
            <w:tcBorders>
              <w:top w:val="nil"/>
              <w:left w:val="nil"/>
              <w:bottom w:val="single" w:sz="4" w:space="0" w:color="auto"/>
              <w:right w:val="single" w:sz="4" w:space="0" w:color="auto"/>
            </w:tcBorders>
            <w:shd w:val="clear" w:color="auto" w:fill="auto"/>
            <w:noWrap/>
            <w:vAlign w:val="bottom"/>
            <w:hideMark/>
          </w:tcPr>
          <w:p w14:paraId="5E996529" w14:textId="77777777" w:rsidR="000838B7" w:rsidRPr="00175B33" w:rsidRDefault="000838B7" w:rsidP="00175B33">
            <w:pPr>
              <w:widowControl/>
              <w:autoSpaceDE/>
              <w:autoSpaceDN/>
              <w:adjustRightInd/>
              <w:rPr>
                <w:rFonts w:ascii="Times New Roman" w:eastAsia="Times New Roman" w:hAnsi="Times New Roman" w:cs="Times New Roman"/>
                <w:noProof w:val="0"/>
                <w:color w:val="76923C" w:themeColor="accent3" w:themeShade="BF"/>
              </w:rPr>
            </w:pPr>
            <w:r w:rsidRPr="00175B33">
              <w:rPr>
                <w:rFonts w:ascii="Times New Roman" w:eastAsia="Times New Roman" w:hAnsi="Times New Roman" w:cs="Times New Roman"/>
                <w:noProof w:val="0"/>
                <w:color w:val="76923C" w:themeColor="accent3" w:themeShade="BF"/>
              </w:rPr>
              <w:t>12 months</w:t>
            </w:r>
          </w:p>
        </w:tc>
        <w:tc>
          <w:tcPr>
            <w:tcW w:w="1559" w:type="dxa"/>
            <w:tcBorders>
              <w:top w:val="nil"/>
              <w:left w:val="nil"/>
              <w:bottom w:val="single" w:sz="4" w:space="0" w:color="auto"/>
              <w:right w:val="single" w:sz="4" w:space="0" w:color="auto"/>
            </w:tcBorders>
            <w:shd w:val="clear" w:color="auto" w:fill="auto"/>
            <w:noWrap/>
            <w:vAlign w:val="bottom"/>
            <w:hideMark/>
          </w:tcPr>
          <w:p w14:paraId="3DCABFB2"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6923C" w:themeColor="accent3" w:themeShade="BF"/>
              </w:rPr>
            </w:pPr>
            <w:r w:rsidRPr="00175B33">
              <w:rPr>
                <w:rFonts w:ascii="Times New Roman" w:eastAsia="Times New Roman" w:hAnsi="Times New Roman" w:cs="Times New Roman"/>
                <w:noProof w:val="0"/>
                <w:color w:val="76923C" w:themeColor="accent3" w:themeShade="BF"/>
              </w:rPr>
              <w:t>13</w:t>
            </w:r>
          </w:p>
        </w:tc>
        <w:tc>
          <w:tcPr>
            <w:tcW w:w="1559" w:type="dxa"/>
            <w:tcBorders>
              <w:top w:val="nil"/>
              <w:left w:val="nil"/>
              <w:bottom w:val="single" w:sz="4" w:space="0" w:color="auto"/>
              <w:right w:val="single" w:sz="4" w:space="0" w:color="auto"/>
            </w:tcBorders>
            <w:shd w:val="clear" w:color="auto" w:fill="auto"/>
            <w:noWrap/>
            <w:vAlign w:val="bottom"/>
            <w:hideMark/>
          </w:tcPr>
          <w:p w14:paraId="2628D56D"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6923C" w:themeColor="accent3" w:themeShade="BF"/>
              </w:rPr>
            </w:pPr>
            <w:r w:rsidRPr="00175B33">
              <w:rPr>
                <w:rFonts w:ascii="Times New Roman" w:hAnsi="Times New Roman" w:cs="Times New Roman"/>
                <w:color w:val="76923C" w:themeColor="accent3" w:themeShade="BF"/>
              </w:rPr>
              <w:t>6.03</w:t>
            </w:r>
          </w:p>
        </w:tc>
        <w:tc>
          <w:tcPr>
            <w:tcW w:w="1560" w:type="dxa"/>
            <w:tcBorders>
              <w:top w:val="nil"/>
              <w:left w:val="nil"/>
              <w:bottom w:val="single" w:sz="4" w:space="0" w:color="auto"/>
              <w:right w:val="single" w:sz="4" w:space="0" w:color="auto"/>
            </w:tcBorders>
            <w:shd w:val="clear" w:color="auto" w:fill="auto"/>
            <w:noWrap/>
            <w:vAlign w:val="bottom"/>
            <w:hideMark/>
          </w:tcPr>
          <w:p w14:paraId="07906E33"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6923C" w:themeColor="accent3" w:themeShade="BF"/>
              </w:rPr>
            </w:pPr>
            <w:r w:rsidRPr="00175B33">
              <w:rPr>
                <w:rFonts w:ascii="Times New Roman" w:hAnsi="Times New Roman" w:cs="Times New Roman"/>
                <w:color w:val="76923C" w:themeColor="accent3" w:themeShade="BF"/>
              </w:rPr>
              <w:t>0.08</w:t>
            </w:r>
          </w:p>
        </w:tc>
      </w:tr>
      <w:tr w:rsidR="000838B7" w:rsidRPr="001B60DE" w14:paraId="72EDE154"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8D59CC8"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6923C" w:themeColor="accent3" w:themeShade="BF"/>
              </w:rPr>
            </w:pPr>
            <w:r w:rsidRPr="00175B33">
              <w:rPr>
                <w:rFonts w:ascii="Times New Roman" w:eastAsia="Times New Roman" w:hAnsi="Times New Roman" w:cs="Times New Roman"/>
                <w:noProof w:val="0"/>
                <w:color w:val="76923C" w:themeColor="accent3" w:themeShade="BF"/>
              </w:rPr>
              <w:t>2</w:t>
            </w:r>
          </w:p>
        </w:tc>
        <w:tc>
          <w:tcPr>
            <w:tcW w:w="1559" w:type="dxa"/>
            <w:tcBorders>
              <w:top w:val="nil"/>
              <w:left w:val="nil"/>
              <w:bottom w:val="single" w:sz="4" w:space="0" w:color="auto"/>
              <w:right w:val="single" w:sz="4" w:space="0" w:color="auto"/>
            </w:tcBorders>
            <w:shd w:val="clear" w:color="auto" w:fill="auto"/>
            <w:noWrap/>
            <w:vAlign w:val="bottom"/>
            <w:hideMark/>
          </w:tcPr>
          <w:p w14:paraId="55EC611F"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6923C" w:themeColor="accent3" w:themeShade="BF"/>
              </w:rPr>
            </w:pPr>
            <w:r w:rsidRPr="00175B33">
              <w:rPr>
                <w:rFonts w:ascii="Times New Roman" w:eastAsia="Times New Roman" w:hAnsi="Times New Roman" w:cs="Times New Roman"/>
                <w:noProof w:val="0"/>
                <w:color w:val="76923C" w:themeColor="accent3" w:themeShade="BF"/>
              </w:rPr>
              <w:t>20%</w:t>
            </w:r>
          </w:p>
        </w:tc>
        <w:tc>
          <w:tcPr>
            <w:tcW w:w="1559" w:type="dxa"/>
            <w:tcBorders>
              <w:top w:val="nil"/>
              <w:left w:val="nil"/>
              <w:bottom w:val="single" w:sz="4" w:space="0" w:color="auto"/>
              <w:right w:val="single" w:sz="4" w:space="0" w:color="auto"/>
            </w:tcBorders>
            <w:shd w:val="clear" w:color="auto" w:fill="auto"/>
            <w:noWrap/>
            <w:vAlign w:val="bottom"/>
            <w:hideMark/>
          </w:tcPr>
          <w:p w14:paraId="6856D281" w14:textId="77777777" w:rsidR="000838B7" w:rsidRPr="00175B33" w:rsidRDefault="000838B7" w:rsidP="00175B33">
            <w:pPr>
              <w:widowControl/>
              <w:autoSpaceDE/>
              <w:autoSpaceDN/>
              <w:adjustRightInd/>
              <w:rPr>
                <w:rFonts w:ascii="Times New Roman" w:eastAsia="Times New Roman" w:hAnsi="Times New Roman" w:cs="Times New Roman"/>
                <w:noProof w:val="0"/>
                <w:color w:val="76923C" w:themeColor="accent3" w:themeShade="BF"/>
              </w:rPr>
            </w:pPr>
            <w:r w:rsidRPr="00175B33">
              <w:rPr>
                <w:rFonts w:ascii="Times New Roman" w:eastAsia="Times New Roman" w:hAnsi="Times New Roman" w:cs="Times New Roman"/>
                <w:noProof w:val="0"/>
                <w:color w:val="76923C" w:themeColor="accent3" w:themeShade="BF"/>
              </w:rPr>
              <w:t>12 months</w:t>
            </w:r>
          </w:p>
        </w:tc>
        <w:tc>
          <w:tcPr>
            <w:tcW w:w="1559" w:type="dxa"/>
            <w:tcBorders>
              <w:top w:val="nil"/>
              <w:left w:val="nil"/>
              <w:bottom w:val="single" w:sz="4" w:space="0" w:color="auto"/>
              <w:right w:val="single" w:sz="4" w:space="0" w:color="auto"/>
            </w:tcBorders>
            <w:shd w:val="clear" w:color="auto" w:fill="auto"/>
            <w:noWrap/>
            <w:vAlign w:val="bottom"/>
            <w:hideMark/>
          </w:tcPr>
          <w:p w14:paraId="65D67C72"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6923C" w:themeColor="accent3" w:themeShade="BF"/>
              </w:rPr>
            </w:pPr>
            <w:r w:rsidRPr="00175B33">
              <w:rPr>
                <w:rFonts w:ascii="Times New Roman" w:eastAsia="Times New Roman" w:hAnsi="Times New Roman" w:cs="Times New Roman"/>
                <w:noProof w:val="0"/>
                <w:color w:val="76923C" w:themeColor="accent3" w:themeShade="BF"/>
              </w:rPr>
              <w:t>19</w:t>
            </w:r>
          </w:p>
        </w:tc>
        <w:tc>
          <w:tcPr>
            <w:tcW w:w="1559" w:type="dxa"/>
            <w:tcBorders>
              <w:top w:val="nil"/>
              <w:left w:val="nil"/>
              <w:bottom w:val="single" w:sz="4" w:space="0" w:color="auto"/>
              <w:right w:val="single" w:sz="4" w:space="0" w:color="auto"/>
            </w:tcBorders>
            <w:shd w:val="clear" w:color="auto" w:fill="auto"/>
            <w:noWrap/>
            <w:vAlign w:val="bottom"/>
            <w:hideMark/>
          </w:tcPr>
          <w:p w14:paraId="70711C98"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6923C" w:themeColor="accent3" w:themeShade="BF"/>
              </w:rPr>
            </w:pPr>
            <w:r w:rsidRPr="00175B33">
              <w:rPr>
                <w:rFonts w:ascii="Times New Roman" w:hAnsi="Times New Roman" w:cs="Times New Roman"/>
                <w:color w:val="76923C" w:themeColor="accent3" w:themeShade="BF"/>
              </w:rPr>
              <w:t>5.62</w:t>
            </w:r>
          </w:p>
        </w:tc>
        <w:tc>
          <w:tcPr>
            <w:tcW w:w="1560" w:type="dxa"/>
            <w:tcBorders>
              <w:top w:val="nil"/>
              <w:left w:val="nil"/>
              <w:bottom w:val="single" w:sz="4" w:space="0" w:color="auto"/>
              <w:right w:val="single" w:sz="4" w:space="0" w:color="auto"/>
            </w:tcBorders>
            <w:shd w:val="clear" w:color="auto" w:fill="auto"/>
            <w:noWrap/>
            <w:vAlign w:val="bottom"/>
            <w:hideMark/>
          </w:tcPr>
          <w:p w14:paraId="3E62E4BC"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6923C" w:themeColor="accent3" w:themeShade="BF"/>
              </w:rPr>
            </w:pPr>
            <w:r w:rsidRPr="00175B33">
              <w:rPr>
                <w:rFonts w:ascii="Times New Roman" w:hAnsi="Times New Roman" w:cs="Times New Roman"/>
                <w:color w:val="76923C" w:themeColor="accent3" w:themeShade="BF"/>
              </w:rPr>
              <w:t>0.06</w:t>
            </w:r>
          </w:p>
        </w:tc>
      </w:tr>
      <w:tr w:rsidR="000838B7" w:rsidRPr="001B60DE" w14:paraId="1789DE1E"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AEA35F9"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00B050"/>
              </w:rPr>
            </w:pPr>
            <w:r w:rsidRPr="00175B33">
              <w:rPr>
                <w:rFonts w:ascii="Times New Roman" w:eastAsia="Times New Roman" w:hAnsi="Times New Roman" w:cs="Times New Roman"/>
                <w:noProof w:val="0"/>
                <w:color w:val="00B050"/>
              </w:rPr>
              <w:t>3</w:t>
            </w:r>
          </w:p>
        </w:tc>
        <w:tc>
          <w:tcPr>
            <w:tcW w:w="1559" w:type="dxa"/>
            <w:tcBorders>
              <w:top w:val="nil"/>
              <w:left w:val="nil"/>
              <w:bottom w:val="single" w:sz="4" w:space="0" w:color="auto"/>
              <w:right w:val="single" w:sz="4" w:space="0" w:color="auto"/>
            </w:tcBorders>
            <w:shd w:val="clear" w:color="auto" w:fill="auto"/>
            <w:noWrap/>
            <w:vAlign w:val="bottom"/>
            <w:hideMark/>
          </w:tcPr>
          <w:p w14:paraId="76255F01"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00B050"/>
              </w:rPr>
            </w:pPr>
            <w:r w:rsidRPr="00175B33">
              <w:rPr>
                <w:rFonts w:ascii="Times New Roman" w:eastAsia="Times New Roman" w:hAnsi="Times New Roman" w:cs="Times New Roman"/>
                <w:noProof w:val="0"/>
                <w:color w:val="00B05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12BAA97E" w14:textId="77777777" w:rsidR="000838B7" w:rsidRPr="00175B33" w:rsidRDefault="000838B7" w:rsidP="00175B33">
            <w:pPr>
              <w:widowControl/>
              <w:autoSpaceDE/>
              <w:autoSpaceDN/>
              <w:adjustRightInd/>
              <w:rPr>
                <w:rFonts w:ascii="Times New Roman" w:eastAsia="Times New Roman" w:hAnsi="Times New Roman" w:cs="Times New Roman"/>
                <w:noProof w:val="0"/>
                <w:color w:val="00B050"/>
              </w:rPr>
            </w:pPr>
            <w:r w:rsidRPr="00175B33">
              <w:rPr>
                <w:rFonts w:ascii="Times New Roman" w:eastAsia="Times New Roman" w:hAnsi="Times New Roman" w:cs="Times New Roman"/>
                <w:noProof w:val="0"/>
                <w:color w:val="00B050"/>
              </w:rPr>
              <w:t>12 months</w:t>
            </w:r>
          </w:p>
        </w:tc>
        <w:tc>
          <w:tcPr>
            <w:tcW w:w="1559" w:type="dxa"/>
            <w:tcBorders>
              <w:top w:val="nil"/>
              <w:left w:val="nil"/>
              <w:bottom w:val="single" w:sz="4" w:space="0" w:color="auto"/>
              <w:right w:val="single" w:sz="4" w:space="0" w:color="auto"/>
            </w:tcBorders>
            <w:shd w:val="clear" w:color="auto" w:fill="auto"/>
            <w:noWrap/>
            <w:vAlign w:val="bottom"/>
            <w:hideMark/>
          </w:tcPr>
          <w:p w14:paraId="1E0511A1"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00B050"/>
              </w:rPr>
            </w:pPr>
            <w:r w:rsidRPr="00175B33">
              <w:rPr>
                <w:rFonts w:ascii="Times New Roman" w:eastAsia="Times New Roman" w:hAnsi="Times New Roman" w:cs="Times New Roman"/>
                <w:noProof w:val="0"/>
                <w:color w:val="00B050"/>
              </w:rPr>
              <w:t>29</w:t>
            </w:r>
          </w:p>
        </w:tc>
        <w:tc>
          <w:tcPr>
            <w:tcW w:w="1559" w:type="dxa"/>
            <w:tcBorders>
              <w:top w:val="nil"/>
              <w:left w:val="nil"/>
              <w:bottom w:val="single" w:sz="4" w:space="0" w:color="auto"/>
              <w:right w:val="single" w:sz="4" w:space="0" w:color="auto"/>
            </w:tcBorders>
            <w:shd w:val="clear" w:color="auto" w:fill="auto"/>
            <w:noWrap/>
            <w:vAlign w:val="bottom"/>
            <w:hideMark/>
          </w:tcPr>
          <w:p w14:paraId="43821293"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00B050"/>
              </w:rPr>
            </w:pPr>
            <w:r w:rsidRPr="00175B33">
              <w:rPr>
                <w:rFonts w:ascii="Times New Roman" w:hAnsi="Times New Roman" w:cs="Times New Roman"/>
                <w:color w:val="00B050"/>
              </w:rPr>
              <w:t>4.85</w:t>
            </w:r>
          </w:p>
        </w:tc>
        <w:tc>
          <w:tcPr>
            <w:tcW w:w="1560" w:type="dxa"/>
            <w:tcBorders>
              <w:top w:val="nil"/>
              <w:left w:val="nil"/>
              <w:bottom w:val="single" w:sz="4" w:space="0" w:color="auto"/>
              <w:right w:val="single" w:sz="4" w:space="0" w:color="auto"/>
            </w:tcBorders>
            <w:shd w:val="clear" w:color="auto" w:fill="auto"/>
            <w:noWrap/>
            <w:vAlign w:val="bottom"/>
            <w:hideMark/>
          </w:tcPr>
          <w:p w14:paraId="700F5702"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00B050"/>
              </w:rPr>
            </w:pPr>
            <w:r w:rsidRPr="00175B33">
              <w:rPr>
                <w:rFonts w:ascii="Times New Roman" w:hAnsi="Times New Roman" w:cs="Times New Roman"/>
                <w:color w:val="00B050"/>
              </w:rPr>
              <w:t>0.07</w:t>
            </w:r>
          </w:p>
        </w:tc>
      </w:tr>
      <w:tr w:rsidR="000838B7" w:rsidRPr="001B60DE" w14:paraId="02CD2928"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F1AD814"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eastAsia="Times New Roman" w:hAnsi="Times New Roman" w:cs="Times New Roman"/>
                <w:noProof w:val="0"/>
                <w:color w:val="E36C0A" w:themeColor="accent6" w:themeShade="BF"/>
              </w:rPr>
              <w:t>4</w:t>
            </w:r>
          </w:p>
        </w:tc>
        <w:tc>
          <w:tcPr>
            <w:tcW w:w="1559" w:type="dxa"/>
            <w:tcBorders>
              <w:top w:val="nil"/>
              <w:left w:val="nil"/>
              <w:bottom w:val="single" w:sz="4" w:space="0" w:color="auto"/>
              <w:right w:val="single" w:sz="4" w:space="0" w:color="auto"/>
            </w:tcBorders>
            <w:shd w:val="clear" w:color="auto" w:fill="auto"/>
            <w:noWrap/>
            <w:vAlign w:val="bottom"/>
            <w:hideMark/>
          </w:tcPr>
          <w:p w14:paraId="63E02D10"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eastAsia="Times New Roman" w:hAnsi="Times New Roman" w:cs="Times New Roman"/>
                <w:noProof w:val="0"/>
                <w:color w:val="E36C0A" w:themeColor="accent6" w:themeShade="BF"/>
              </w:rPr>
              <w:t>40%</w:t>
            </w:r>
          </w:p>
        </w:tc>
        <w:tc>
          <w:tcPr>
            <w:tcW w:w="1559" w:type="dxa"/>
            <w:tcBorders>
              <w:top w:val="nil"/>
              <w:left w:val="nil"/>
              <w:bottom w:val="single" w:sz="4" w:space="0" w:color="auto"/>
              <w:right w:val="single" w:sz="4" w:space="0" w:color="auto"/>
            </w:tcBorders>
            <w:shd w:val="clear" w:color="auto" w:fill="auto"/>
            <w:noWrap/>
            <w:vAlign w:val="bottom"/>
            <w:hideMark/>
          </w:tcPr>
          <w:p w14:paraId="2A2DA8B0" w14:textId="77777777" w:rsidR="000838B7" w:rsidRPr="00175B33" w:rsidRDefault="000838B7" w:rsidP="00175B33">
            <w:pPr>
              <w:widowControl/>
              <w:autoSpaceDE/>
              <w:autoSpaceDN/>
              <w:adjustRightInd/>
              <w:rPr>
                <w:rFonts w:ascii="Times New Roman" w:eastAsia="Times New Roman" w:hAnsi="Times New Roman" w:cs="Times New Roman"/>
                <w:noProof w:val="0"/>
                <w:color w:val="E36C0A" w:themeColor="accent6" w:themeShade="BF"/>
              </w:rPr>
            </w:pPr>
            <w:r w:rsidRPr="00175B33">
              <w:rPr>
                <w:rFonts w:ascii="Times New Roman" w:eastAsia="Times New Roman" w:hAnsi="Times New Roman" w:cs="Times New Roman"/>
                <w:noProof w:val="0"/>
                <w:color w:val="E36C0A" w:themeColor="accent6" w:themeShade="BF"/>
              </w:rPr>
              <w:t>12 months</w:t>
            </w:r>
          </w:p>
        </w:tc>
        <w:tc>
          <w:tcPr>
            <w:tcW w:w="1559" w:type="dxa"/>
            <w:tcBorders>
              <w:top w:val="nil"/>
              <w:left w:val="nil"/>
              <w:bottom w:val="single" w:sz="4" w:space="0" w:color="auto"/>
              <w:right w:val="single" w:sz="4" w:space="0" w:color="auto"/>
            </w:tcBorders>
            <w:shd w:val="clear" w:color="auto" w:fill="auto"/>
            <w:noWrap/>
            <w:vAlign w:val="bottom"/>
            <w:hideMark/>
          </w:tcPr>
          <w:p w14:paraId="34AD34AA"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eastAsia="Times New Roman" w:hAnsi="Times New Roman" w:cs="Times New Roman"/>
                <w:noProof w:val="0"/>
                <w:color w:val="E36C0A" w:themeColor="accent6" w:themeShade="BF"/>
              </w:rPr>
              <w:t>39</w:t>
            </w:r>
          </w:p>
        </w:tc>
        <w:tc>
          <w:tcPr>
            <w:tcW w:w="1559" w:type="dxa"/>
            <w:tcBorders>
              <w:top w:val="nil"/>
              <w:left w:val="nil"/>
              <w:bottom w:val="single" w:sz="4" w:space="0" w:color="auto"/>
              <w:right w:val="single" w:sz="4" w:space="0" w:color="auto"/>
            </w:tcBorders>
            <w:shd w:val="clear" w:color="auto" w:fill="auto"/>
            <w:noWrap/>
            <w:vAlign w:val="bottom"/>
            <w:hideMark/>
          </w:tcPr>
          <w:p w14:paraId="73CA3798"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hAnsi="Times New Roman" w:cs="Times New Roman"/>
                <w:color w:val="E36C0A" w:themeColor="accent6" w:themeShade="BF"/>
              </w:rPr>
              <w:t>4.21</w:t>
            </w:r>
          </w:p>
        </w:tc>
        <w:tc>
          <w:tcPr>
            <w:tcW w:w="1560" w:type="dxa"/>
            <w:tcBorders>
              <w:top w:val="nil"/>
              <w:left w:val="nil"/>
              <w:bottom w:val="single" w:sz="4" w:space="0" w:color="auto"/>
              <w:right w:val="single" w:sz="4" w:space="0" w:color="auto"/>
            </w:tcBorders>
            <w:shd w:val="clear" w:color="auto" w:fill="auto"/>
            <w:noWrap/>
            <w:vAlign w:val="bottom"/>
            <w:hideMark/>
          </w:tcPr>
          <w:p w14:paraId="2FC3BA41"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hAnsi="Times New Roman" w:cs="Times New Roman"/>
                <w:color w:val="E36C0A" w:themeColor="accent6" w:themeShade="BF"/>
              </w:rPr>
              <w:t>0.05</w:t>
            </w:r>
          </w:p>
        </w:tc>
      </w:tr>
      <w:tr w:rsidR="000838B7" w:rsidRPr="001B60DE" w14:paraId="7C7F42B6"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3B09955"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943634" w:themeColor="accent2" w:themeShade="BF"/>
              </w:rPr>
            </w:pPr>
            <w:r w:rsidRPr="00175B33">
              <w:rPr>
                <w:rFonts w:ascii="Times New Roman" w:eastAsia="Times New Roman" w:hAnsi="Times New Roman" w:cs="Times New Roman"/>
                <w:noProof w:val="0"/>
                <w:color w:val="943634" w:themeColor="accent2" w:themeShade="BF"/>
              </w:rPr>
              <w:t>5</w:t>
            </w:r>
          </w:p>
        </w:tc>
        <w:tc>
          <w:tcPr>
            <w:tcW w:w="1559" w:type="dxa"/>
            <w:tcBorders>
              <w:top w:val="nil"/>
              <w:left w:val="nil"/>
              <w:bottom w:val="single" w:sz="4" w:space="0" w:color="auto"/>
              <w:right w:val="single" w:sz="4" w:space="0" w:color="auto"/>
            </w:tcBorders>
            <w:shd w:val="clear" w:color="auto" w:fill="auto"/>
            <w:noWrap/>
            <w:vAlign w:val="bottom"/>
            <w:hideMark/>
          </w:tcPr>
          <w:p w14:paraId="78F71563"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943634" w:themeColor="accent2" w:themeShade="BF"/>
              </w:rPr>
            </w:pPr>
            <w:r w:rsidRPr="00175B33">
              <w:rPr>
                <w:rFonts w:ascii="Times New Roman" w:eastAsia="Times New Roman" w:hAnsi="Times New Roman" w:cs="Times New Roman"/>
                <w:noProof w:val="0"/>
                <w:color w:val="943634" w:themeColor="accent2" w:themeShade="BF"/>
              </w:rPr>
              <w:t>50%</w:t>
            </w:r>
          </w:p>
        </w:tc>
        <w:tc>
          <w:tcPr>
            <w:tcW w:w="1559" w:type="dxa"/>
            <w:tcBorders>
              <w:top w:val="nil"/>
              <w:left w:val="nil"/>
              <w:bottom w:val="single" w:sz="4" w:space="0" w:color="auto"/>
              <w:right w:val="single" w:sz="4" w:space="0" w:color="auto"/>
            </w:tcBorders>
            <w:shd w:val="clear" w:color="auto" w:fill="auto"/>
            <w:noWrap/>
            <w:vAlign w:val="bottom"/>
            <w:hideMark/>
          </w:tcPr>
          <w:p w14:paraId="39FC810F" w14:textId="77777777" w:rsidR="000838B7" w:rsidRPr="00175B33" w:rsidRDefault="000838B7" w:rsidP="00175B33">
            <w:pPr>
              <w:widowControl/>
              <w:autoSpaceDE/>
              <w:autoSpaceDN/>
              <w:adjustRightInd/>
              <w:rPr>
                <w:rFonts w:ascii="Times New Roman" w:eastAsia="Times New Roman" w:hAnsi="Times New Roman" w:cs="Times New Roman"/>
                <w:noProof w:val="0"/>
                <w:color w:val="943634" w:themeColor="accent2" w:themeShade="BF"/>
              </w:rPr>
            </w:pPr>
            <w:r w:rsidRPr="00175B33">
              <w:rPr>
                <w:rFonts w:ascii="Times New Roman" w:eastAsia="Times New Roman" w:hAnsi="Times New Roman" w:cs="Times New Roman"/>
                <w:noProof w:val="0"/>
                <w:color w:val="943634" w:themeColor="accent2" w:themeShade="BF"/>
              </w:rPr>
              <w:t>12 months</w:t>
            </w:r>
          </w:p>
        </w:tc>
        <w:tc>
          <w:tcPr>
            <w:tcW w:w="1559" w:type="dxa"/>
            <w:tcBorders>
              <w:top w:val="nil"/>
              <w:left w:val="nil"/>
              <w:bottom w:val="single" w:sz="4" w:space="0" w:color="auto"/>
              <w:right w:val="single" w:sz="4" w:space="0" w:color="auto"/>
            </w:tcBorders>
            <w:shd w:val="clear" w:color="auto" w:fill="auto"/>
            <w:noWrap/>
            <w:vAlign w:val="bottom"/>
            <w:hideMark/>
          </w:tcPr>
          <w:p w14:paraId="26EFED4C"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943634" w:themeColor="accent2" w:themeShade="BF"/>
              </w:rPr>
            </w:pPr>
            <w:r w:rsidRPr="00175B33">
              <w:rPr>
                <w:rFonts w:ascii="Times New Roman" w:eastAsia="Times New Roman" w:hAnsi="Times New Roman" w:cs="Times New Roman"/>
                <w:noProof w:val="0"/>
                <w:color w:val="943634" w:themeColor="accent2" w:themeShade="BF"/>
              </w:rPr>
              <w:t>48</w:t>
            </w:r>
          </w:p>
        </w:tc>
        <w:tc>
          <w:tcPr>
            <w:tcW w:w="1559" w:type="dxa"/>
            <w:tcBorders>
              <w:top w:val="nil"/>
              <w:left w:val="nil"/>
              <w:bottom w:val="single" w:sz="4" w:space="0" w:color="auto"/>
              <w:right w:val="single" w:sz="4" w:space="0" w:color="auto"/>
            </w:tcBorders>
            <w:shd w:val="clear" w:color="auto" w:fill="auto"/>
            <w:noWrap/>
            <w:vAlign w:val="bottom"/>
            <w:hideMark/>
          </w:tcPr>
          <w:p w14:paraId="5D6F5613"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943634" w:themeColor="accent2" w:themeShade="BF"/>
              </w:rPr>
            </w:pPr>
            <w:r w:rsidRPr="00175B33">
              <w:rPr>
                <w:rFonts w:ascii="Times New Roman" w:hAnsi="Times New Roman" w:cs="Times New Roman"/>
                <w:color w:val="943634" w:themeColor="accent2" w:themeShade="BF"/>
              </w:rPr>
              <w:t>3.6</w:t>
            </w:r>
          </w:p>
        </w:tc>
        <w:tc>
          <w:tcPr>
            <w:tcW w:w="1560" w:type="dxa"/>
            <w:tcBorders>
              <w:top w:val="nil"/>
              <w:left w:val="nil"/>
              <w:bottom w:val="single" w:sz="4" w:space="0" w:color="auto"/>
              <w:right w:val="single" w:sz="4" w:space="0" w:color="auto"/>
            </w:tcBorders>
            <w:shd w:val="clear" w:color="auto" w:fill="auto"/>
            <w:noWrap/>
            <w:vAlign w:val="bottom"/>
            <w:hideMark/>
          </w:tcPr>
          <w:p w14:paraId="1345EC19"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943634" w:themeColor="accent2" w:themeShade="BF"/>
              </w:rPr>
            </w:pPr>
            <w:r w:rsidRPr="00175B33">
              <w:rPr>
                <w:rFonts w:ascii="Times New Roman" w:hAnsi="Times New Roman" w:cs="Times New Roman"/>
                <w:color w:val="943634" w:themeColor="accent2" w:themeShade="BF"/>
              </w:rPr>
              <w:t>0.05</w:t>
            </w:r>
          </w:p>
        </w:tc>
      </w:tr>
      <w:tr w:rsidR="000838B7" w:rsidRPr="001B60DE" w14:paraId="261C175C"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92F32D5"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eastAsia="Times New Roman" w:hAnsi="Times New Roman" w:cs="Times New Roman"/>
                <w:noProof w:val="0"/>
                <w:color w:val="31849B" w:themeColor="accent5" w:themeShade="BF"/>
              </w:rPr>
              <w:t>6</w:t>
            </w:r>
          </w:p>
        </w:tc>
        <w:tc>
          <w:tcPr>
            <w:tcW w:w="1559" w:type="dxa"/>
            <w:tcBorders>
              <w:top w:val="nil"/>
              <w:left w:val="nil"/>
              <w:bottom w:val="single" w:sz="4" w:space="0" w:color="auto"/>
              <w:right w:val="single" w:sz="4" w:space="0" w:color="auto"/>
            </w:tcBorders>
            <w:shd w:val="clear" w:color="auto" w:fill="auto"/>
            <w:noWrap/>
            <w:vAlign w:val="bottom"/>
            <w:hideMark/>
          </w:tcPr>
          <w:p w14:paraId="62BDF2D0"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eastAsia="Times New Roman" w:hAnsi="Times New Roman" w:cs="Times New Roman"/>
                <w:noProof w:val="0"/>
                <w:color w:val="31849B" w:themeColor="accent5" w:themeShade="BF"/>
              </w:rPr>
              <w:t>60%</w:t>
            </w:r>
          </w:p>
        </w:tc>
        <w:tc>
          <w:tcPr>
            <w:tcW w:w="1559" w:type="dxa"/>
            <w:tcBorders>
              <w:top w:val="nil"/>
              <w:left w:val="nil"/>
              <w:bottom w:val="single" w:sz="4" w:space="0" w:color="auto"/>
              <w:right w:val="single" w:sz="4" w:space="0" w:color="auto"/>
            </w:tcBorders>
            <w:shd w:val="clear" w:color="auto" w:fill="auto"/>
            <w:noWrap/>
            <w:vAlign w:val="bottom"/>
            <w:hideMark/>
          </w:tcPr>
          <w:p w14:paraId="2C1902CF" w14:textId="77777777" w:rsidR="000838B7" w:rsidRPr="00175B33" w:rsidRDefault="000838B7" w:rsidP="00175B33">
            <w:pPr>
              <w:widowControl/>
              <w:autoSpaceDE/>
              <w:autoSpaceDN/>
              <w:adjustRightInd/>
              <w:rPr>
                <w:rFonts w:ascii="Times New Roman" w:eastAsia="Times New Roman" w:hAnsi="Times New Roman" w:cs="Times New Roman"/>
                <w:noProof w:val="0"/>
                <w:color w:val="31849B" w:themeColor="accent5" w:themeShade="BF"/>
              </w:rPr>
            </w:pPr>
            <w:r w:rsidRPr="00175B33">
              <w:rPr>
                <w:rFonts w:ascii="Times New Roman" w:eastAsia="Times New Roman" w:hAnsi="Times New Roman" w:cs="Times New Roman"/>
                <w:noProof w:val="0"/>
                <w:color w:val="31849B" w:themeColor="accent5" w:themeShade="BF"/>
              </w:rPr>
              <w:t>12 months</w:t>
            </w:r>
          </w:p>
        </w:tc>
        <w:tc>
          <w:tcPr>
            <w:tcW w:w="1559" w:type="dxa"/>
            <w:tcBorders>
              <w:top w:val="nil"/>
              <w:left w:val="nil"/>
              <w:bottom w:val="single" w:sz="4" w:space="0" w:color="auto"/>
              <w:right w:val="single" w:sz="4" w:space="0" w:color="auto"/>
            </w:tcBorders>
            <w:shd w:val="clear" w:color="auto" w:fill="auto"/>
            <w:noWrap/>
            <w:vAlign w:val="bottom"/>
            <w:hideMark/>
          </w:tcPr>
          <w:p w14:paraId="568D9298"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eastAsia="Times New Roman" w:hAnsi="Times New Roman" w:cs="Times New Roman"/>
                <w:noProof w:val="0"/>
                <w:color w:val="31849B" w:themeColor="accent5" w:themeShade="BF"/>
              </w:rPr>
              <w:t>58</w:t>
            </w:r>
          </w:p>
        </w:tc>
        <w:tc>
          <w:tcPr>
            <w:tcW w:w="1559" w:type="dxa"/>
            <w:tcBorders>
              <w:top w:val="nil"/>
              <w:left w:val="nil"/>
              <w:bottom w:val="single" w:sz="4" w:space="0" w:color="auto"/>
              <w:right w:val="single" w:sz="4" w:space="0" w:color="auto"/>
            </w:tcBorders>
            <w:shd w:val="clear" w:color="auto" w:fill="auto"/>
            <w:noWrap/>
            <w:vAlign w:val="bottom"/>
            <w:hideMark/>
          </w:tcPr>
          <w:p w14:paraId="103DB16E"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hAnsi="Times New Roman" w:cs="Times New Roman"/>
                <w:color w:val="31849B" w:themeColor="accent5" w:themeShade="BF"/>
              </w:rPr>
              <w:t>3.12</w:t>
            </w:r>
          </w:p>
        </w:tc>
        <w:tc>
          <w:tcPr>
            <w:tcW w:w="1560" w:type="dxa"/>
            <w:tcBorders>
              <w:top w:val="nil"/>
              <w:left w:val="nil"/>
              <w:bottom w:val="single" w:sz="4" w:space="0" w:color="auto"/>
              <w:right w:val="single" w:sz="4" w:space="0" w:color="auto"/>
            </w:tcBorders>
            <w:shd w:val="clear" w:color="auto" w:fill="auto"/>
            <w:noWrap/>
            <w:vAlign w:val="bottom"/>
            <w:hideMark/>
          </w:tcPr>
          <w:p w14:paraId="29CC8521"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hAnsi="Times New Roman" w:cs="Times New Roman"/>
                <w:color w:val="31849B" w:themeColor="accent5" w:themeShade="BF"/>
              </w:rPr>
              <w:t>0.03</w:t>
            </w:r>
          </w:p>
        </w:tc>
      </w:tr>
      <w:tr w:rsidR="000838B7" w:rsidRPr="001B60DE" w14:paraId="1DABA76A"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EB8EC21"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6923C" w:themeColor="accent3" w:themeShade="BF"/>
              </w:rPr>
            </w:pPr>
            <w:r w:rsidRPr="00175B33">
              <w:rPr>
                <w:rFonts w:ascii="Times New Roman" w:eastAsia="Times New Roman" w:hAnsi="Times New Roman" w:cs="Times New Roman"/>
                <w:noProof w:val="0"/>
                <w:color w:val="76923C" w:themeColor="accent3" w:themeShade="BF"/>
              </w:rPr>
              <w:t>7</w:t>
            </w:r>
          </w:p>
        </w:tc>
        <w:tc>
          <w:tcPr>
            <w:tcW w:w="1559" w:type="dxa"/>
            <w:tcBorders>
              <w:top w:val="nil"/>
              <w:left w:val="nil"/>
              <w:bottom w:val="single" w:sz="4" w:space="0" w:color="auto"/>
              <w:right w:val="single" w:sz="4" w:space="0" w:color="auto"/>
            </w:tcBorders>
            <w:shd w:val="clear" w:color="auto" w:fill="auto"/>
            <w:noWrap/>
            <w:vAlign w:val="bottom"/>
            <w:hideMark/>
          </w:tcPr>
          <w:p w14:paraId="3747814F" w14:textId="77777777" w:rsidR="000838B7" w:rsidRPr="00175B33" w:rsidRDefault="000838B7" w:rsidP="00175B33">
            <w:pPr>
              <w:widowControl/>
              <w:autoSpaceDE/>
              <w:autoSpaceDN/>
              <w:adjustRightInd/>
              <w:rPr>
                <w:rFonts w:ascii="Times New Roman" w:eastAsia="Times New Roman" w:hAnsi="Times New Roman" w:cs="Times New Roman"/>
                <w:noProof w:val="0"/>
                <w:color w:val="76923C" w:themeColor="accent3" w:themeShade="BF"/>
              </w:rPr>
            </w:pPr>
            <w:r w:rsidRPr="00175B33">
              <w:rPr>
                <w:rFonts w:ascii="Times New Roman" w:eastAsia="Times New Roman" w:hAnsi="Times New Roman" w:cs="Times New Roman"/>
                <w:noProof w:val="0"/>
                <w:color w:val="76923C" w:themeColor="accent3" w:themeShade="BF"/>
              </w:rPr>
              <w:t>Base</w:t>
            </w:r>
          </w:p>
        </w:tc>
        <w:tc>
          <w:tcPr>
            <w:tcW w:w="1559" w:type="dxa"/>
            <w:tcBorders>
              <w:top w:val="nil"/>
              <w:left w:val="nil"/>
              <w:bottom w:val="single" w:sz="4" w:space="0" w:color="auto"/>
              <w:right w:val="single" w:sz="4" w:space="0" w:color="auto"/>
            </w:tcBorders>
            <w:shd w:val="clear" w:color="auto" w:fill="auto"/>
            <w:noWrap/>
            <w:vAlign w:val="bottom"/>
            <w:hideMark/>
          </w:tcPr>
          <w:p w14:paraId="4D388CF0" w14:textId="77777777" w:rsidR="000838B7" w:rsidRPr="00175B33" w:rsidRDefault="000838B7" w:rsidP="00175B33">
            <w:pPr>
              <w:widowControl/>
              <w:autoSpaceDE/>
              <w:autoSpaceDN/>
              <w:adjustRightInd/>
              <w:rPr>
                <w:rFonts w:ascii="Times New Roman" w:eastAsia="Times New Roman" w:hAnsi="Times New Roman" w:cs="Times New Roman"/>
                <w:noProof w:val="0"/>
                <w:color w:val="76923C" w:themeColor="accent3" w:themeShade="BF"/>
              </w:rPr>
            </w:pPr>
            <w:r w:rsidRPr="00175B33">
              <w:rPr>
                <w:rFonts w:ascii="Times New Roman" w:eastAsia="Times New Roman" w:hAnsi="Times New Roman" w:cs="Times New Roman"/>
                <w:noProof w:val="0"/>
                <w:color w:val="76923C" w:themeColor="accent3" w:themeShade="BF"/>
              </w:rPr>
              <w:t>18 months</w:t>
            </w:r>
          </w:p>
        </w:tc>
        <w:tc>
          <w:tcPr>
            <w:tcW w:w="1559" w:type="dxa"/>
            <w:tcBorders>
              <w:top w:val="nil"/>
              <w:left w:val="nil"/>
              <w:bottom w:val="single" w:sz="4" w:space="0" w:color="auto"/>
              <w:right w:val="single" w:sz="4" w:space="0" w:color="auto"/>
            </w:tcBorders>
            <w:shd w:val="clear" w:color="auto" w:fill="auto"/>
            <w:noWrap/>
            <w:vAlign w:val="bottom"/>
            <w:hideMark/>
          </w:tcPr>
          <w:p w14:paraId="0D83B9D8"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6923C" w:themeColor="accent3" w:themeShade="BF"/>
              </w:rPr>
            </w:pPr>
            <w:r w:rsidRPr="00175B33">
              <w:rPr>
                <w:rFonts w:ascii="Times New Roman" w:eastAsia="Times New Roman" w:hAnsi="Times New Roman" w:cs="Times New Roman"/>
                <w:noProof w:val="0"/>
                <w:color w:val="76923C" w:themeColor="accent3" w:themeShade="BF"/>
              </w:rPr>
              <w:t>18</w:t>
            </w:r>
          </w:p>
        </w:tc>
        <w:tc>
          <w:tcPr>
            <w:tcW w:w="1559" w:type="dxa"/>
            <w:tcBorders>
              <w:top w:val="nil"/>
              <w:left w:val="nil"/>
              <w:bottom w:val="single" w:sz="4" w:space="0" w:color="auto"/>
              <w:right w:val="single" w:sz="4" w:space="0" w:color="auto"/>
            </w:tcBorders>
            <w:shd w:val="clear" w:color="auto" w:fill="auto"/>
            <w:noWrap/>
            <w:vAlign w:val="bottom"/>
            <w:hideMark/>
          </w:tcPr>
          <w:p w14:paraId="117D411A"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6923C" w:themeColor="accent3" w:themeShade="BF"/>
              </w:rPr>
            </w:pPr>
            <w:r w:rsidRPr="00175B33">
              <w:rPr>
                <w:rFonts w:ascii="Times New Roman" w:hAnsi="Times New Roman" w:cs="Times New Roman"/>
                <w:color w:val="76923C" w:themeColor="accent3" w:themeShade="BF"/>
              </w:rPr>
              <w:t>5.7</w:t>
            </w:r>
          </w:p>
        </w:tc>
        <w:tc>
          <w:tcPr>
            <w:tcW w:w="1560" w:type="dxa"/>
            <w:tcBorders>
              <w:top w:val="nil"/>
              <w:left w:val="nil"/>
              <w:bottom w:val="single" w:sz="4" w:space="0" w:color="auto"/>
              <w:right w:val="single" w:sz="4" w:space="0" w:color="auto"/>
            </w:tcBorders>
            <w:shd w:val="clear" w:color="auto" w:fill="auto"/>
            <w:noWrap/>
            <w:vAlign w:val="bottom"/>
            <w:hideMark/>
          </w:tcPr>
          <w:p w14:paraId="0D374DAD"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6923C" w:themeColor="accent3" w:themeShade="BF"/>
              </w:rPr>
            </w:pPr>
            <w:r w:rsidRPr="00175B33">
              <w:rPr>
                <w:rFonts w:ascii="Times New Roman" w:hAnsi="Times New Roman" w:cs="Times New Roman"/>
                <w:color w:val="76923C" w:themeColor="accent3" w:themeShade="BF"/>
              </w:rPr>
              <w:t>0.06</w:t>
            </w:r>
          </w:p>
        </w:tc>
      </w:tr>
      <w:tr w:rsidR="000838B7" w:rsidRPr="001B60DE" w14:paraId="51575BC2"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D423E82"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00B050"/>
              </w:rPr>
            </w:pPr>
            <w:r w:rsidRPr="00175B33">
              <w:rPr>
                <w:rFonts w:ascii="Times New Roman" w:eastAsia="Times New Roman" w:hAnsi="Times New Roman" w:cs="Times New Roman"/>
                <w:noProof w:val="0"/>
                <w:color w:val="00B050"/>
              </w:rPr>
              <w:t>8</w:t>
            </w:r>
          </w:p>
        </w:tc>
        <w:tc>
          <w:tcPr>
            <w:tcW w:w="1559" w:type="dxa"/>
            <w:tcBorders>
              <w:top w:val="nil"/>
              <w:left w:val="nil"/>
              <w:bottom w:val="single" w:sz="4" w:space="0" w:color="auto"/>
              <w:right w:val="single" w:sz="4" w:space="0" w:color="auto"/>
            </w:tcBorders>
            <w:shd w:val="clear" w:color="auto" w:fill="auto"/>
            <w:noWrap/>
            <w:vAlign w:val="bottom"/>
            <w:hideMark/>
          </w:tcPr>
          <w:p w14:paraId="5164F97C"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00B050"/>
              </w:rPr>
            </w:pPr>
            <w:r w:rsidRPr="00175B33">
              <w:rPr>
                <w:rFonts w:ascii="Times New Roman" w:eastAsia="Times New Roman" w:hAnsi="Times New Roman" w:cs="Times New Roman"/>
                <w:noProof w:val="0"/>
                <w:color w:val="00B050"/>
              </w:rPr>
              <w:t>20%</w:t>
            </w:r>
          </w:p>
        </w:tc>
        <w:tc>
          <w:tcPr>
            <w:tcW w:w="1559" w:type="dxa"/>
            <w:tcBorders>
              <w:top w:val="nil"/>
              <w:left w:val="nil"/>
              <w:bottom w:val="single" w:sz="4" w:space="0" w:color="auto"/>
              <w:right w:val="single" w:sz="4" w:space="0" w:color="auto"/>
            </w:tcBorders>
            <w:shd w:val="clear" w:color="auto" w:fill="auto"/>
            <w:noWrap/>
            <w:vAlign w:val="bottom"/>
            <w:hideMark/>
          </w:tcPr>
          <w:p w14:paraId="29C3F858" w14:textId="77777777" w:rsidR="000838B7" w:rsidRPr="00175B33" w:rsidRDefault="000838B7" w:rsidP="00175B33">
            <w:pPr>
              <w:widowControl/>
              <w:autoSpaceDE/>
              <w:autoSpaceDN/>
              <w:adjustRightInd/>
              <w:rPr>
                <w:rFonts w:ascii="Times New Roman" w:eastAsia="Times New Roman" w:hAnsi="Times New Roman" w:cs="Times New Roman"/>
                <w:noProof w:val="0"/>
                <w:color w:val="00B050"/>
              </w:rPr>
            </w:pPr>
            <w:r w:rsidRPr="00175B33">
              <w:rPr>
                <w:rFonts w:ascii="Times New Roman" w:eastAsia="Times New Roman" w:hAnsi="Times New Roman" w:cs="Times New Roman"/>
                <w:noProof w:val="0"/>
                <w:color w:val="00B050"/>
              </w:rPr>
              <w:t>18 months</w:t>
            </w:r>
          </w:p>
        </w:tc>
        <w:tc>
          <w:tcPr>
            <w:tcW w:w="1559" w:type="dxa"/>
            <w:tcBorders>
              <w:top w:val="nil"/>
              <w:left w:val="nil"/>
              <w:bottom w:val="single" w:sz="4" w:space="0" w:color="auto"/>
              <w:right w:val="single" w:sz="4" w:space="0" w:color="auto"/>
            </w:tcBorders>
            <w:shd w:val="clear" w:color="auto" w:fill="auto"/>
            <w:noWrap/>
            <w:vAlign w:val="bottom"/>
            <w:hideMark/>
          </w:tcPr>
          <w:p w14:paraId="5E1B09D4"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00B050"/>
              </w:rPr>
            </w:pPr>
            <w:r w:rsidRPr="00175B33">
              <w:rPr>
                <w:rFonts w:ascii="Times New Roman" w:eastAsia="Times New Roman" w:hAnsi="Times New Roman" w:cs="Times New Roman"/>
                <w:noProof w:val="0"/>
                <w:color w:val="00B050"/>
              </w:rPr>
              <w:t>27</w:t>
            </w:r>
          </w:p>
        </w:tc>
        <w:tc>
          <w:tcPr>
            <w:tcW w:w="1559" w:type="dxa"/>
            <w:tcBorders>
              <w:top w:val="nil"/>
              <w:left w:val="nil"/>
              <w:bottom w:val="single" w:sz="4" w:space="0" w:color="auto"/>
              <w:right w:val="single" w:sz="4" w:space="0" w:color="auto"/>
            </w:tcBorders>
            <w:shd w:val="clear" w:color="auto" w:fill="auto"/>
            <w:noWrap/>
            <w:vAlign w:val="bottom"/>
            <w:hideMark/>
          </w:tcPr>
          <w:p w14:paraId="4E54FD41"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00B050"/>
              </w:rPr>
            </w:pPr>
            <w:r w:rsidRPr="00175B33">
              <w:rPr>
                <w:rFonts w:ascii="Times New Roman" w:hAnsi="Times New Roman" w:cs="Times New Roman"/>
                <w:color w:val="00B050"/>
              </w:rPr>
              <w:t>4.84</w:t>
            </w:r>
          </w:p>
        </w:tc>
        <w:tc>
          <w:tcPr>
            <w:tcW w:w="1560" w:type="dxa"/>
            <w:tcBorders>
              <w:top w:val="nil"/>
              <w:left w:val="nil"/>
              <w:bottom w:val="single" w:sz="4" w:space="0" w:color="auto"/>
              <w:right w:val="single" w:sz="4" w:space="0" w:color="auto"/>
            </w:tcBorders>
            <w:shd w:val="clear" w:color="auto" w:fill="auto"/>
            <w:noWrap/>
            <w:vAlign w:val="bottom"/>
            <w:hideMark/>
          </w:tcPr>
          <w:p w14:paraId="2D848E64"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00B050"/>
              </w:rPr>
            </w:pPr>
            <w:r w:rsidRPr="00175B33">
              <w:rPr>
                <w:rFonts w:ascii="Times New Roman" w:hAnsi="Times New Roman" w:cs="Times New Roman"/>
                <w:color w:val="00B050"/>
              </w:rPr>
              <w:t>0.06</w:t>
            </w:r>
          </w:p>
        </w:tc>
      </w:tr>
      <w:tr w:rsidR="000838B7" w:rsidRPr="001B60DE" w14:paraId="45E0B3FA"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F67FB9E"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943634" w:themeColor="accent2" w:themeShade="BF"/>
              </w:rPr>
            </w:pPr>
            <w:r w:rsidRPr="00175B33">
              <w:rPr>
                <w:rFonts w:ascii="Times New Roman" w:eastAsia="Times New Roman" w:hAnsi="Times New Roman" w:cs="Times New Roman"/>
                <w:noProof w:val="0"/>
                <w:color w:val="943634" w:themeColor="accent2" w:themeShade="BF"/>
              </w:rPr>
              <w:t>9</w:t>
            </w:r>
          </w:p>
        </w:tc>
        <w:tc>
          <w:tcPr>
            <w:tcW w:w="1559" w:type="dxa"/>
            <w:tcBorders>
              <w:top w:val="nil"/>
              <w:left w:val="nil"/>
              <w:bottom w:val="single" w:sz="4" w:space="0" w:color="auto"/>
              <w:right w:val="single" w:sz="4" w:space="0" w:color="auto"/>
            </w:tcBorders>
            <w:shd w:val="clear" w:color="auto" w:fill="auto"/>
            <w:noWrap/>
            <w:vAlign w:val="bottom"/>
            <w:hideMark/>
          </w:tcPr>
          <w:p w14:paraId="732CA394"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943634" w:themeColor="accent2" w:themeShade="BF"/>
              </w:rPr>
            </w:pPr>
            <w:r w:rsidRPr="00175B33">
              <w:rPr>
                <w:rFonts w:ascii="Times New Roman" w:eastAsia="Times New Roman" w:hAnsi="Times New Roman" w:cs="Times New Roman"/>
                <w:noProof w:val="0"/>
                <w:color w:val="943634" w:themeColor="accent2" w:themeShade="BF"/>
              </w:rPr>
              <w:t>30%</w:t>
            </w:r>
          </w:p>
        </w:tc>
        <w:tc>
          <w:tcPr>
            <w:tcW w:w="1559" w:type="dxa"/>
            <w:tcBorders>
              <w:top w:val="nil"/>
              <w:left w:val="nil"/>
              <w:bottom w:val="single" w:sz="4" w:space="0" w:color="auto"/>
              <w:right w:val="single" w:sz="4" w:space="0" w:color="auto"/>
            </w:tcBorders>
            <w:shd w:val="clear" w:color="auto" w:fill="auto"/>
            <w:noWrap/>
            <w:vAlign w:val="bottom"/>
            <w:hideMark/>
          </w:tcPr>
          <w:p w14:paraId="128C540A" w14:textId="77777777" w:rsidR="000838B7" w:rsidRPr="00175B33" w:rsidRDefault="000838B7" w:rsidP="00175B33">
            <w:pPr>
              <w:widowControl/>
              <w:autoSpaceDE/>
              <w:autoSpaceDN/>
              <w:adjustRightInd/>
              <w:rPr>
                <w:rFonts w:ascii="Times New Roman" w:eastAsia="Times New Roman" w:hAnsi="Times New Roman" w:cs="Times New Roman"/>
                <w:noProof w:val="0"/>
                <w:color w:val="943634" w:themeColor="accent2" w:themeShade="BF"/>
              </w:rPr>
            </w:pPr>
            <w:r w:rsidRPr="00175B33">
              <w:rPr>
                <w:rFonts w:ascii="Times New Roman" w:eastAsia="Times New Roman" w:hAnsi="Times New Roman" w:cs="Times New Roman"/>
                <w:noProof w:val="0"/>
                <w:color w:val="943634" w:themeColor="accent2" w:themeShade="BF"/>
              </w:rPr>
              <w:t>18 months</w:t>
            </w:r>
          </w:p>
        </w:tc>
        <w:tc>
          <w:tcPr>
            <w:tcW w:w="1559" w:type="dxa"/>
            <w:tcBorders>
              <w:top w:val="nil"/>
              <w:left w:val="nil"/>
              <w:bottom w:val="single" w:sz="4" w:space="0" w:color="auto"/>
              <w:right w:val="single" w:sz="4" w:space="0" w:color="auto"/>
            </w:tcBorders>
            <w:shd w:val="clear" w:color="auto" w:fill="auto"/>
            <w:noWrap/>
            <w:vAlign w:val="bottom"/>
            <w:hideMark/>
          </w:tcPr>
          <w:p w14:paraId="2C80AD12"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943634" w:themeColor="accent2" w:themeShade="BF"/>
              </w:rPr>
            </w:pPr>
            <w:r w:rsidRPr="00175B33">
              <w:rPr>
                <w:rFonts w:ascii="Times New Roman" w:eastAsia="Times New Roman" w:hAnsi="Times New Roman" w:cs="Times New Roman"/>
                <w:noProof w:val="0"/>
                <w:color w:val="943634" w:themeColor="accent2" w:themeShade="BF"/>
              </w:rPr>
              <w:t>41</w:t>
            </w:r>
          </w:p>
        </w:tc>
        <w:tc>
          <w:tcPr>
            <w:tcW w:w="1559" w:type="dxa"/>
            <w:tcBorders>
              <w:top w:val="nil"/>
              <w:left w:val="nil"/>
              <w:bottom w:val="single" w:sz="4" w:space="0" w:color="auto"/>
              <w:right w:val="single" w:sz="4" w:space="0" w:color="auto"/>
            </w:tcBorders>
            <w:shd w:val="clear" w:color="auto" w:fill="auto"/>
            <w:noWrap/>
            <w:vAlign w:val="bottom"/>
            <w:hideMark/>
          </w:tcPr>
          <w:p w14:paraId="5F7C502C"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943634" w:themeColor="accent2" w:themeShade="BF"/>
              </w:rPr>
            </w:pPr>
            <w:r w:rsidRPr="00175B33">
              <w:rPr>
                <w:rFonts w:ascii="Times New Roman" w:hAnsi="Times New Roman" w:cs="Times New Roman"/>
                <w:color w:val="943634" w:themeColor="accent2" w:themeShade="BF"/>
              </w:rPr>
              <w:t>3.94</w:t>
            </w:r>
          </w:p>
        </w:tc>
        <w:tc>
          <w:tcPr>
            <w:tcW w:w="1560" w:type="dxa"/>
            <w:tcBorders>
              <w:top w:val="nil"/>
              <w:left w:val="nil"/>
              <w:bottom w:val="single" w:sz="4" w:space="0" w:color="auto"/>
              <w:right w:val="single" w:sz="4" w:space="0" w:color="auto"/>
            </w:tcBorders>
            <w:shd w:val="clear" w:color="auto" w:fill="auto"/>
            <w:noWrap/>
            <w:vAlign w:val="bottom"/>
            <w:hideMark/>
          </w:tcPr>
          <w:p w14:paraId="3F1C9082"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943634" w:themeColor="accent2" w:themeShade="BF"/>
              </w:rPr>
            </w:pPr>
            <w:r w:rsidRPr="00175B33">
              <w:rPr>
                <w:rFonts w:ascii="Times New Roman" w:hAnsi="Times New Roman" w:cs="Times New Roman"/>
                <w:color w:val="943634" w:themeColor="accent2" w:themeShade="BF"/>
              </w:rPr>
              <w:t>0.05</w:t>
            </w:r>
          </w:p>
        </w:tc>
      </w:tr>
      <w:tr w:rsidR="000838B7" w:rsidRPr="001B60DE" w14:paraId="0300425F"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865551C"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eastAsia="Times New Roman" w:hAnsi="Times New Roman" w:cs="Times New Roman"/>
                <w:noProof w:val="0"/>
                <w:color w:val="31849B" w:themeColor="accent5" w:themeShade="BF"/>
              </w:rPr>
              <w:t>10</w:t>
            </w:r>
          </w:p>
        </w:tc>
        <w:tc>
          <w:tcPr>
            <w:tcW w:w="1559" w:type="dxa"/>
            <w:tcBorders>
              <w:top w:val="nil"/>
              <w:left w:val="nil"/>
              <w:bottom w:val="single" w:sz="4" w:space="0" w:color="auto"/>
              <w:right w:val="single" w:sz="4" w:space="0" w:color="auto"/>
            </w:tcBorders>
            <w:shd w:val="clear" w:color="auto" w:fill="auto"/>
            <w:noWrap/>
            <w:vAlign w:val="bottom"/>
            <w:hideMark/>
          </w:tcPr>
          <w:p w14:paraId="427F0477"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eastAsia="Times New Roman" w:hAnsi="Times New Roman" w:cs="Times New Roman"/>
                <w:noProof w:val="0"/>
                <w:color w:val="31849B" w:themeColor="accent5" w:themeShade="BF"/>
              </w:rPr>
              <w:t>40%</w:t>
            </w:r>
          </w:p>
        </w:tc>
        <w:tc>
          <w:tcPr>
            <w:tcW w:w="1559" w:type="dxa"/>
            <w:tcBorders>
              <w:top w:val="nil"/>
              <w:left w:val="nil"/>
              <w:bottom w:val="single" w:sz="4" w:space="0" w:color="auto"/>
              <w:right w:val="single" w:sz="4" w:space="0" w:color="auto"/>
            </w:tcBorders>
            <w:shd w:val="clear" w:color="auto" w:fill="auto"/>
            <w:noWrap/>
            <w:vAlign w:val="bottom"/>
            <w:hideMark/>
          </w:tcPr>
          <w:p w14:paraId="1DDB1549" w14:textId="77777777" w:rsidR="000838B7" w:rsidRPr="00175B33" w:rsidRDefault="000838B7" w:rsidP="00175B33">
            <w:pPr>
              <w:widowControl/>
              <w:autoSpaceDE/>
              <w:autoSpaceDN/>
              <w:adjustRightInd/>
              <w:rPr>
                <w:rFonts w:ascii="Times New Roman" w:eastAsia="Times New Roman" w:hAnsi="Times New Roman" w:cs="Times New Roman"/>
                <w:noProof w:val="0"/>
                <w:color w:val="31849B" w:themeColor="accent5" w:themeShade="BF"/>
              </w:rPr>
            </w:pPr>
            <w:r w:rsidRPr="00175B33">
              <w:rPr>
                <w:rFonts w:ascii="Times New Roman" w:eastAsia="Times New Roman" w:hAnsi="Times New Roman" w:cs="Times New Roman"/>
                <w:noProof w:val="0"/>
                <w:color w:val="31849B" w:themeColor="accent5" w:themeShade="BF"/>
              </w:rPr>
              <w:t>18 months</w:t>
            </w:r>
          </w:p>
        </w:tc>
        <w:tc>
          <w:tcPr>
            <w:tcW w:w="1559" w:type="dxa"/>
            <w:tcBorders>
              <w:top w:val="nil"/>
              <w:left w:val="nil"/>
              <w:bottom w:val="single" w:sz="4" w:space="0" w:color="auto"/>
              <w:right w:val="single" w:sz="4" w:space="0" w:color="auto"/>
            </w:tcBorders>
            <w:shd w:val="clear" w:color="auto" w:fill="auto"/>
            <w:noWrap/>
            <w:vAlign w:val="bottom"/>
            <w:hideMark/>
          </w:tcPr>
          <w:p w14:paraId="78CC5301"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eastAsia="Times New Roman" w:hAnsi="Times New Roman" w:cs="Times New Roman"/>
                <w:noProof w:val="0"/>
                <w:color w:val="31849B" w:themeColor="accent5" w:themeShade="BF"/>
              </w:rPr>
              <w:t>55</w:t>
            </w:r>
          </w:p>
        </w:tc>
        <w:tc>
          <w:tcPr>
            <w:tcW w:w="1559" w:type="dxa"/>
            <w:tcBorders>
              <w:top w:val="nil"/>
              <w:left w:val="nil"/>
              <w:bottom w:val="single" w:sz="4" w:space="0" w:color="auto"/>
              <w:right w:val="single" w:sz="4" w:space="0" w:color="auto"/>
            </w:tcBorders>
            <w:shd w:val="clear" w:color="auto" w:fill="auto"/>
            <w:noWrap/>
            <w:vAlign w:val="bottom"/>
            <w:hideMark/>
          </w:tcPr>
          <w:p w14:paraId="51994420"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hAnsi="Times New Roman" w:cs="Times New Roman"/>
                <w:color w:val="31849B" w:themeColor="accent5" w:themeShade="BF"/>
              </w:rPr>
              <w:t>3.31</w:t>
            </w:r>
          </w:p>
        </w:tc>
        <w:tc>
          <w:tcPr>
            <w:tcW w:w="1560" w:type="dxa"/>
            <w:tcBorders>
              <w:top w:val="nil"/>
              <w:left w:val="nil"/>
              <w:bottom w:val="single" w:sz="4" w:space="0" w:color="auto"/>
              <w:right w:val="single" w:sz="4" w:space="0" w:color="auto"/>
            </w:tcBorders>
            <w:shd w:val="clear" w:color="auto" w:fill="auto"/>
            <w:noWrap/>
            <w:vAlign w:val="bottom"/>
            <w:hideMark/>
          </w:tcPr>
          <w:p w14:paraId="7FD755B7"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hAnsi="Times New Roman" w:cs="Times New Roman"/>
                <w:color w:val="31849B" w:themeColor="accent5" w:themeShade="BF"/>
              </w:rPr>
              <w:t>0.04</w:t>
            </w:r>
          </w:p>
        </w:tc>
      </w:tr>
      <w:tr w:rsidR="000838B7" w:rsidRPr="001B60DE" w14:paraId="2A593E8C"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BFEF7C6"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C000"/>
              </w:rPr>
            </w:pPr>
            <w:r w:rsidRPr="00175B33">
              <w:rPr>
                <w:rFonts w:ascii="Times New Roman" w:eastAsia="Times New Roman" w:hAnsi="Times New Roman" w:cs="Times New Roman"/>
                <w:noProof w:val="0"/>
                <w:color w:val="FFC000"/>
              </w:rPr>
              <w:t>11</w:t>
            </w:r>
          </w:p>
        </w:tc>
        <w:tc>
          <w:tcPr>
            <w:tcW w:w="1559" w:type="dxa"/>
            <w:tcBorders>
              <w:top w:val="nil"/>
              <w:left w:val="nil"/>
              <w:bottom w:val="single" w:sz="4" w:space="0" w:color="auto"/>
              <w:right w:val="single" w:sz="4" w:space="0" w:color="auto"/>
            </w:tcBorders>
            <w:shd w:val="clear" w:color="auto" w:fill="auto"/>
            <w:noWrap/>
            <w:vAlign w:val="bottom"/>
            <w:hideMark/>
          </w:tcPr>
          <w:p w14:paraId="3F7448CA"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C000"/>
              </w:rPr>
            </w:pPr>
            <w:r w:rsidRPr="00175B33">
              <w:rPr>
                <w:rFonts w:ascii="Times New Roman" w:eastAsia="Times New Roman" w:hAnsi="Times New Roman" w:cs="Times New Roman"/>
                <w:noProof w:val="0"/>
                <w:color w:val="FFC000"/>
              </w:rPr>
              <w:t>50%</w:t>
            </w:r>
          </w:p>
        </w:tc>
        <w:tc>
          <w:tcPr>
            <w:tcW w:w="1559" w:type="dxa"/>
            <w:tcBorders>
              <w:top w:val="nil"/>
              <w:left w:val="nil"/>
              <w:bottom w:val="single" w:sz="4" w:space="0" w:color="auto"/>
              <w:right w:val="single" w:sz="4" w:space="0" w:color="auto"/>
            </w:tcBorders>
            <w:shd w:val="clear" w:color="auto" w:fill="auto"/>
            <w:noWrap/>
            <w:vAlign w:val="bottom"/>
            <w:hideMark/>
          </w:tcPr>
          <w:p w14:paraId="6B194067" w14:textId="77777777" w:rsidR="000838B7" w:rsidRPr="00175B33" w:rsidRDefault="000838B7" w:rsidP="00175B33">
            <w:pPr>
              <w:widowControl/>
              <w:autoSpaceDE/>
              <w:autoSpaceDN/>
              <w:adjustRightInd/>
              <w:rPr>
                <w:rFonts w:ascii="Times New Roman" w:eastAsia="Times New Roman" w:hAnsi="Times New Roman" w:cs="Times New Roman"/>
                <w:noProof w:val="0"/>
                <w:color w:val="FFC000"/>
              </w:rPr>
            </w:pPr>
            <w:r w:rsidRPr="00175B33">
              <w:rPr>
                <w:rFonts w:ascii="Times New Roman" w:eastAsia="Times New Roman" w:hAnsi="Times New Roman" w:cs="Times New Roman"/>
                <w:noProof w:val="0"/>
                <w:color w:val="FFC000"/>
              </w:rPr>
              <w:t>18 months</w:t>
            </w:r>
          </w:p>
        </w:tc>
        <w:tc>
          <w:tcPr>
            <w:tcW w:w="1559" w:type="dxa"/>
            <w:tcBorders>
              <w:top w:val="nil"/>
              <w:left w:val="nil"/>
              <w:bottom w:val="single" w:sz="4" w:space="0" w:color="auto"/>
              <w:right w:val="single" w:sz="4" w:space="0" w:color="auto"/>
            </w:tcBorders>
            <w:shd w:val="clear" w:color="auto" w:fill="auto"/>
            <w:noWrap/>
            <w:vAlign w:val="bottom"/>
            <w:hideMark/>
          </w:tcPr>
          <w:p w14:paraId="42C89326"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C000"/>
              </w:rPr>
            </w:pPr>
            <w:r w:rsidRPr="00175B33">
              <w:rPr>
                <w:rFonts w:ascii="Times New Roman" w:eastAsia="Times New Roman" w:hAnsi="Times New Roman" w:cs="Times New Roman"/>
                <w:noProof w:val="0"/>
                <w:color w:val="FFC000"/>
              </w:rPr>
              <w:t>68</w:t>
            </w:r>
          </w:p>
        </w:tc>
        <w:tc>
          <w:tcPr>
            <w:tcW w:w="1559" w:type="dxa"/>
            <w:tcBorders>
              <w:top w:val="nil"/>
              <w:left w:val="nil"/>
              <w:bottom w:val="single" w:sz="4" w:space="0" w:color="auto"/>
              <w:right w:val="single" w:sz="4" w:space="0" w:color="auto"/>
            </w:tcBorders>
            <w:shd w:val="clear" w:color="auto" w:fill="auto"/>
            <w:noWrap/>
            <w:vAlign w:val="bottom"/>
            <w:hideMark/>
          </w:tcPr>
          <w:p w14:paraId="23C1E9A8"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C000"/>
              </w:rPr>
            </w:pPr>
            <w:r w:rsidRPr="00175B33">
              <w:rPr>
                <w:rFonts w:ascii="Times New Roman" w:hAnsi="Times New Roman" w:cs="Times New Roman"/>
                <w:color w:val="FFC000"/>
              </w:rPr>
              <w:t>2.54</w:t>
            </w:r>
          </w:p>
        </w:tc>
        <w:tc>
          <w:tcPr>
            <w:tcW w:w="1560" w:type="dxa"/>
            <w:tcBorders>
              <w:top w:val="nil"/>
              <w:left w:val="nil"/>
              <w:bottom w:val="single" w:sz="4" w:space="0" w:color="auto"/>
              <w:right w:val="single" w:sz="4" w:space="0" w:color="auto"/>
            </w:tcBorders>
            <w:shd w:val="clear" w:color="auto" w:fill="auto"/>
            <w:noWrap/>
            <w:vAlign w:val="bottom"/>
            <w:hideMark/>
          </w:tcPr>
          <w:p w14:paraId="612D8521"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C000"/>
              </w:rPr>
            </w:pPr>
            <w:r w:rsidRPr="00175B33">
              <w:rPr>
                <w:rFonts w:ascii="Times New Roman" w:hAnsi="Times New Roman" w:cs="Times New Roman"/>
                <w:color w:val="FFC000"/>
              </w:rPr>
              <w:t>0.04</w:t>
            </w:r>
          </w:p>
        </w:tc>
      </w:tr>
      <w:tr w:rsidR="000838B7" w:rsidRPr="001B60DE" w14:paraId="22B2EE32"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CC1487E"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eastAsia="Times New Roman" w:hAnsi="Times New Roman" w:cs="Times New Roman"/>
                <w:noProof w:val="0"/>
                <w:color w:val="7030A0"/>
              </w:rPr>
              <w:t>12</w:t>
            </w:r>
          </w:p>
        </w:tc>
        <w:tc>
          <w:tcPr>
            <w:tcW w:w="1559" w:type="dxa"/>
            <w:tcBorders>
              <w:top w:val="nil"/>
              <w:left w:val="nil"/>
              <w:bottom w:val="single" w:sz="4" w:space="0" w:color="auto"/>
              <w:right w:val="single" w:sz="4" w:space="0" w:color="auto"/>
            </w:tcBorders>
            <w:shd w:val="clear" w:color="auto" w:fill="auto"/>
            <w:noWrap/>
            <w:vAlign w:val="bottom"/>
            <w:hideMark/>
          </w:tcPr>
          <w:p w14:paraId="5E06D620"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eastAsia="Times New Roman" w:hAnsi="Times New Roman" w:cs="Times New Roman"/>
                <w:noProof w:val="0"/>
                <w:color w:val="7030A0"/>
              </w:rPr>
              <w:t>60%</w:t>
            </w:r>
          </w:p>
        </w:tc>
        <w:tc>
          <w:tcPr>
            <w:tcW w:w="1559" w:type="dxa"/>
            <w:tcBorders>
              <w:top w:val="nil"/>
              <w:left w:val="nil"/>
              <w:bottom w:val="single" w:sz="4" w:space="0" w:color="auto"/>
              <w:right w:val="single" w:sz="4" w:space="0" w:color="auto"/>
            </w:tcBorders>
            <w:shd w:val="clear" w:color="auto" w:fill="auto"/>
            <w:noWrap/>
            <w:vAlign w:val="bottom"/>
            <w:hideMark/>
          </w:tcPr>
          <w:p w14:paraId="475166FC" w14:textId="77777777" w:rsidR="000838B7" w:rsidRPr="00175B33" w:rsidRDefault="000838B7" w:rsidP="00175B33">
            <w:pPr>
              <w:widowControl/>
              <w:autoSpaceDE/>
              <w:autoSpaceDN/>
              <w:adjustRightInd/>
              <w:rPr>
                <w:rFonts w:ascii="Times New Roman" w:eastAsia="Times New Roman" w:hAnsi="Times New Roman" w:cs="Times New Roman"/>
                <w:noProof w:val="0"/>
                <w:color w:val="7030A0"/>
              </w:rPr>
            </w:pPr>
            <w:r w:rsidRPr="00175B33">
              <w:rPr>
                <w:rFonts w:ascii="Times New Roman" w:eastAsia="Times New Roman" w:hAnsi="Times New Roman" w:cs="Times New Roman"/>
                <w:noProof w:val="0"/>
                <w:color w:val="7030A0"/>
              </w:rPr>
              <w:t>18 months</w:t>
            </w:r>
          </w:p>
        </w:tc>
        <w:tc>
          <w:tcPr>
            <w:tcW w:w="1559" w:type="dxa"/>
            <w:tcBorders>
              <w:top w:val="nil"/>
              <w:left w:val="nil"/>
              <w:bottom w:val="single" w:sz="4" w:space="0" w:color="auto"/>
              <w:right w:val="single" w:sz="4" w:space="0" w:color="auto"/>
            </w:tcBorders>
            <w:shd w:val="clear" w:color="auto" w:fill="auto"/>
            <w:noWrap/>
            <w:vAlign w:val="bottom"/>
            <w:hideMark/>
          </w:tcPr>
          <w:p w14:paraId="18E8B7D4"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eastAsia="Times New Roman" w:hAnsi="Times New Roman" w:cs="Times New Roman"/>
                <w:noProof w:val="0"/>
                <w:color w:val="7030A0"/>
              </w:rPr>
              <w:t>82</w:t>
            </w:r>
          </w:p>
        </w:tc>
        <w:tc>
          <w:tcPr>
            <w:tcW w:w="1559" w:type="dxa"/>
            <w:tcBorders>
              <w:top w:val="nil"/>
              <w:left w:val="nil"/>
              <w:bottom w:val="single" w:sz="4" w:space="0" w:color="auto"/>
              <w:right w:val="single" w:sz="4" w:space="0" w:color="auto"/>
            </w:tcBorders>
            <w:shd w:val="clear" w:color="auto" w:fill="auto"/>
            <w:noWrap/>
            <w:vAlign w:val="bottom"/>
            <w:hideMark/>
          </w:tcPr>
          <w:p w14:paraId="32E0F12B"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hAnsi="Times New Roman" w:cs="Times New Roman"/>
                <w:color w:val="7030A0"/>
              </w:rPr>
              <w:t>1.87</w:t>
            </w:r>
          </w:p>
        </w:tc>
        <w:tc>
          <w:tcPr>
            <w:tcW w:w="1560" w:type="dxa"/>
            <w:tcBorders>
              <w:top w:val="nil"/>
              <w:left w:val="nil"/>
              <w:bottom w:val="single" w:sz="4" w:space="0" w:color="auto"/>
              <w:right w:val="single" w:sz="4" w:space="0" w:color="auto"/>
            </w:tcBorders>
            <w:shd w:val="clear" w:color="auto" w:fill="auto"/>
            <w:noWrap/>
            <w:vAlign w:val="bottom"/>
            <w:hideMark/>
          </w:tcPr>
          <w:p w14:paraId="7A90DE73"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hAnsi="Times New Roman" w:cs="Times New Roman"/>
                <w:color w:val="7030A0"/>
              </w:rPr>
              <w:t>0.04</w:t>
            </w:r>
          </w:p>
        </w:tc>
      </w:tr>
      <w:tr w:rsidR="000838B7" w:rsidRPr="001B60DE" w14:paraId="5800A6A4"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568B6ED"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00B050"/>
              </w:rPr>
            </w:pPr>
            <w:r w:rsidRPr="00175B33">
              <w:rPr>
                <w:rFonts w:ascii="Times New Roman" w:eastAsia="Times New Roman" w:hAnsi="Times New Roman" w:cs="Times New Roman"/>
                <w:noProof w:val="0"/>
                <w:color w:val="00B050"/>
              </w:rPr>
              <w:t>13</w:t>
            </w:r>
          </w:p>
        </w:tc>
        <w:tc>
          <w:tcPr>
            <w:tcW w:w="1559" w:type="dxa"/>
            <w:tcBorders>
              <w:top w:val="nil"/>
              <w:left w:val="nil"/>
              <w:bottom w:val="single" w:sz="4" w:space="0" w:color="auto"/>
              <w:right w:val="single" w:sz="4" w:space="0" w:color="auto"/>
            </w:tcBorders>
            <w:shd w:val="clear" w:color="auto" w:fill="auto"/>
            <w:noWrap/>
            <w:vAlign w:val="bottom"/>
            <w:hideMark/>
          </w:tcPr>
          <w:p w14:paraId="5D3E75DE" w14:textId="77777777" w:rsidR="000838B7" w:rsidRPr="00175B33" w:rsidRDefault="000838B7" w:rsidP="00175B33">
            <w:pPr>
              <w:widowControl/>
              <w:autoSpaceDE/>
              <w:autoSpaceDN/>
              <w:adjustRightInd/>
              <w:rPr>
                <w:rFonts w:ascii="Times New Roman" w:eastAsia="Times New Roman" w:hAnsi="Times New Roman" w:cs="Times New Roman"/>
                <w:noProof w:val="0"/>
                <w:color w:val="00B050"/>
              </w:rPr>
            </w:pPr>
            <w:r w:rsidRPr="00175B33">
              <w:rPr>
                <w:rFonts w:ascii="Times New Roman" w:eastAsia="Times New Roman" w:hAnsi="Times New Roman" w:cs="Times New Roman"/>
                <w:noProof w:val="0"/>
                <w:color w:val="00B050"/>
              </w:rPr>
              <w:t>Base</w:t>
            </w:r>
          </w:p>
        </w:tc>
        <w:tc>
          <w:tcPr>
            <w:tcW w:w="1559" w:type="dxa"/>
            <w:tcBorders>
              <w:top w:val="nil"/>
              <w:left w:val="nil"/>
              <w:bottom w:val="single" w:sz="4" w:space="0" w:color="auto"/>
              <w:right w:val="single" w:sz="4" w:space="0" w:color="auto"/>
            </w:tcBorders>
            <w:shd w:val="clear" w:color="auto" w:fill="auto"/>
            <w:noWrap/>
            <w:vAlign w:val="bottom"/>
            <w:hideMark/>
          </w:tcPr>
          <w:p w14:paraId="403CA256" w14:textId="77777777" w:rsidR="000838B7" w:rsidRPr="00175B33" w:rsidRDefault="000838B7" w:rsidP="00175B33">
            <w:pPr>
              <w:widowControl/>
              <w:autoSpaceDE/>
              <w:autoSpaceDN/>
              <w:adjustRightInd/>
              <w:rPr>
                <w:rFonts w:ascii="Times New Roman" w:eastAsia="Times New Roman" w:hAnsi="Times New Roman" w:cs="Times New Roman"/>
                <w:noProof w:val="0"/>
                <w:color w:val="00B050"/>
              </w:rPr>
            </w:pPr>
            <w:r w:rsidRPr="00175B33">
              <w:rPr>
                <w:rFonts w:ascii="Times New Roman" w:eastAsia="Times New Roman" w:hAnsi="Times New Roman" w:cs="Times New Roman"/>
                <w:noProof w:val="0"/>
                <w:color w:val="00B050"/>
              </w:rPr>
              <w:t>24 months</w:t>
            </w:r>
          </w:p>
        </w:tc>
        <w:tc>
          <w:tcPr>
            <w:tcW w:w="1559" w:type="dxa"/>
            <w:tcBorders>
              <w:top w:val="nil"/>
              <w:left w:val="nil"/>
              <w:bottom w:val="single" w:sz="4" w:space="0" w:color="auto"/>
              <w:right w:val="single" w:sz="4" w:space="0" w:color="auto"/>
            </w:tcBorders>
            <w:shd w:val="clear" w:color="auto" w:fill="auto"/>
            <w:noWrap/>
            <w:vAlign w:val="bottom"/>
            <w:hideMark/>
          </w:tcPr>
          <w:p w14:paraId="712C8B2A"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00B050"/>
              </w:rPr>
            </w:pPr>
            <w:r w:rsidRPr="00175B33">
              <w:rPr>
                <w:rFonts w:ascii="Times New Roman" w:eastAsia="Times New Roman" w:hAnsi="Times New Roman" w:cs="Times New Roman"/>
                <w:noProof w:val="0"/>
                <w:color w:val="00B050"/>
              </w:rPr>
              <w:t>24</w:t>
            </w:r>
          </w:p>
        </w:tc>
        <w:tc>
          <w:tcPr>
            <w:tcW w:w="1559" w:type="dxa"/>
            <w:tcBorders>
              <w:top w:val="nil"/>
              <w:left w:val="nil"/>
              <w:bottom w:val="single" w:sz="4" w:space="0" w:color="auto"/>
              <w:right w:val="single" w:sz="4" w:space="0" w:color="auto"/>
            </w:tcBorders>
            <w:shd w:val="clear" w:color="auto" w:fill="auto"/>
            <w:noWrap/>
            <w:vAlign w:val="bottom"/>
            <w:hideMark/>
          </w:tcPr>
          <w:p w14:paraId="54E3C6DD"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00B050"/>
              </w:rPr>
            </w:pPr>
            <w:r w:rsidRPr="00175B33">
              <w:rPr>
                <w:rFonts w:ascii="Times New Roman" w:hAnsi="Times New Roman" w:cs="Times New Roman"/>
                <w:color w:val="00B050"/>
              </w:rPr>
              <w:t>5.02</w:t>
            </w:r>
          </w:p>
        </w:tc>
        <w:tc>
          <w:tcPr>
            <w:tcW w:w="1560" w:type="dxa"/>
            <w:tcBorders>
              <w:top w:val="nil"/>
              <w:left w:val="nil"/>
              <w:bottom w:val="single" w:sz="4" w:space="0" w:color="auto"/>
              <w:right w:val="single" w:sz="4" w:space="0" w:color="auto"/>
            </w:tcBorders>
            <w:shd w:val="clear" w:color="auto" w:fill="auto"/>
            <w:noWrap/>
            <w:vAlign w:val="bottom"/>
            <w:hideMark/>
          </w:tcPr>
          <w:p w14:paraId="4150E8D2"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00B050"/>
              </w:rPr>
            </w:pPr>
            <w:r w:rsidRPr="00175B33">
              <w:rPr>
                <w:rFonts w:ascii="Times New Roman" w:hAnsi="Times New Roman" w:cs="Times New Roman"/>
                <w:color w:val="00B050"/>
              </w:rPr>
              <w:t>0.05</w:t>
            </w:r>
          </w:p>
        </w:tc>
      </w:tr>
      <w:tr w:rsidR="000838B7" w:rsidRPr="001B60DE" w14:paraId="1598DF38"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C05C010"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eastAsia="Times New Roman" w:hAnsi="Times New Roman" w:cs="Times New Roman"/>
                <w:noProof w:val="0"/>
                <w:color w:val="E36C0A" w:themeColor="accent6" w:themeShade="BF"/>
              </w:rPr>
              <w:t>14</w:t>
            </w:r>
          </w:p>
        </w:tc>
        <w:tc>
          <w:tcPr>
            <w:tcW w:w="1559" w:type="dxa"/>
            <w:tcBorders>
              <w:top w:val="nil"/>
              <w:left w:val="nil"/>
              <w:bottom w:val="single" w:sz="4" w:space="0" w:color="auto"/>
              <w:right w:val="single" w:sz="4" w:space="0" w:color="auto"/>
            </w:tcBorders>
            <w:shd w:val="clear" w:color="auto" w:fill="auto"/>
            <w:noWrap/>
            <w:vAlign w:val="bottom"/>
            <w:hideMark/>
          </w:tcPr>
          <w:p w14:paraId="73A60186"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eastAsia="Times New Roman" w:hAnsi="Times New Roman" w:cs="Times New Roman"/>
                <w:noProof w:val="0"/>
                <w:color w:val="E36C0A" w:themeColor="accent6" w:themeShade="BF"/>
              </w:rPr>
              <w:t>20%</w:t>
            </w:r>
          </w:p>
        </w:tc>
        <w:tc>
          <w:tcPr>
            <w:tcW w:w="1559" w:type="dxa"/>
            <w:tcBorders>
              <w:top w:val="nil"/>
              <w:left w:val="nil"/>
              <w:bottom w:val="single" w:sz="4" w:space="0" w:color="auto"/>
              <w:right w:val="single" w:sz="4" w:space="0" w:color="auto"/>
            </w:tcBorders>
            <w:shd w:val="clear" w:color="auto" w:fill="auto"/>
            <w:noWrap/>
            <w:vAlign w:val="bottom"/>
            <w:hideMark/>
          </w:tcPr>
          <w:p w14:paraId="4295581B" w14:textId="77777777" w:rsidR="000838B7" w:rsidRPr="00175B33" w:rsidRDefault="000838B7" w:rsidP="00175B33">
            <w:pPr>
              <w:widowControl/>
              <w:autoSpaceDE/>
              <w:autoSpaceDN/>
              <w:adjustRightInd/>
              <w:rPr>
                <w:rFonts w:ascii="Times New Roman" w:eastAsia="Times New Roman" w:hAnsi="Times New Roman" w:cs="Times New Roman"/>
                <w:noProof w:val="0"/>
                <w:color w:val="E36C0A" w:themeColor="accent6" w:themeShade="BF"/>
              </w:rPr>
            </w:pPr>
            <w:r w:rsidRPr="00175B33">
              <w:rPr>
                <w:rFonts w:ascii="Times New Roman" w:eastAsia="Times New Roman" w:hAnsi="Times New Roman" w:cs="Times New Roman"/>
                <w:noProof w:val="0"/>
                <w:color w:val="E36C0A" w:themeColor="accent6" w:themeShade="BF"/>
              </w:rPr>
              <w:t>24 months</w:t>
            </w:r>
          </w:p>
        </w:tc>
        <w:tc>
          <w:tcPr>
            <w:tcW w:w="1559" w:type="dxa"/>
            <w:tcBorders>
              <w:top w:val="nil"/>
              <w:left w:val="nil"/>
              <w:bottom w:val="single" w:sz="4" w:space="0" w:color="auto"/>
              <w:right w:val="single" w:sz="4" w:space="0" w:color="auto"/>
            </w:tcBorders>
            <w:shd w:val="clear" w:color="auto" w:fill="auto"/>
            <w:noWrap/>
            <w:vAlign w:val="bottom"/>
            <w:hideMark/>
          </w:tcPr>
          <w:p w14:paraId="7661E955"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eastAsia="Times New Roman" w:hAnsi="Times New Roman" w:cs="Times New Roman"/>
                <w:noProof w:val="0"/>
                <w:color w:val="E36C0A" w:themeColor="accent6" w:themeShade="BF"/>
              </w:rPr>
              <w:t>36</w:t>
            </w:r>
          </w:p>
        </w:tc>
        <w:tc>
          <w:tcPr>
            <w:tcW w:w="1559" w:type="dxa"/>
            <w:tcBorders>
              <w:top w:val="nil"/>
              <w:left w:val="nil"/>
              <w:bottom w:val="single" w:sz="4" w:space="0" w:color="auto"/>
              <w:right w:val="single" w:sz="4" w:space="0" w:color="auto"/>
            </w:tcBorders>
            <w:shd w:val="clear" w:color="auto" w:fill="auto"/>
            <w:noWrap/>
            <w:vAlign w:val="bottom"/>
            <w:hideMark/>
          </w:tcPr>
          <w:p w14:paraId="254166CE"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hAnsi="Times New Roman" w:cs="Times New Roman"/>
                <w:color w:val="E36C0A" w:themeColor="accent6" w:themeShade="BF"/>
              </w:rPr>
              <w:t>4.47</w:t>
            </w:r>
          </w:p>
        </w:tc>
        <w:tc>
          <w:tcPr>
            <w:tcW w:w="1560" w:type="dxa"/>
            <w:tcBorders>
              <w:top w:val="nil"/>
              <w:left w:val="nil"/>
              <w:bottom w:val="single" w:sz="4" w:space="0" w:color="auto"/>
              <w:right w:val="single" w:sz="4" w:space="0" w:color="auto"/>
            </w:tcBorders>
            <w:shd w:val="clear" w:color="auto" w:fill="auto"/>
            <w:noWrap/>
            <w:vAlign w:val="bottom"/>
            <w:hideMark/>
          </w:tcPr>
          <w:p w14:paraId="5911A94D"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hAnsi="Times New Roman" w:cs="Times New Roman"/>
                <w:color w:val="E36C0A" w:themeColor="accent6" w:themeShade="BF"/>
              </w:rPr>
              <w:t>0.04</w:t>
            </w:r>
          </w:p>
        </w:tc>
      </w:tr>
      <w:tr w:rsidR="000838B7" w:rsidRPr="001B60DE" w14:paraId="28C2AE6C"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4B81E91"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eastAsia="Times New Roman" w:hAnsi="Times New Roman" w:cs="Times New Roman"/>
                <w:noProof w:val="0"/>
                <w:color w:val="31849B" w:themeColor="accent5" w:themeShade="BF"/>
              </w:rPr>
              <w:t>15</w:t>
            </w:r>
          </w:p>
        </w:tc>
        <w:tc>
          <w:tcPr>
            <w:tcW w:w="1559" w:type="dxa"/>
            <w:tcBorders>
              <w:top w:val="nil"/>
              <w:left w:val="nil"/>
              <w:bottom w:val="single" w:sz="4" w:space="0" w:color="auto"/>
              <w:right w:val="single" w:sz="4" w:space="0" w:color="auto"/>
            </w:tcBorders>
            <w:shd w:val="clear" w:color="auto" w:fill="auto"/>
            <w:noWrap/>
            <w:vAlign w:val="bottom"/>
            <w:hideMark/>
          </w:tcPr>
          <w:p w14:paraId="4679757F"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eastAsia="Times New Roman" w:hAnsi="Times New Roman" w:cs="Times New Roman"/>
                <w:noProof w:val="0"/>
                <w:color w:val="31849B" w:themeColor="accent5" w:themeShade="BF"/>
              </w:rPr>
              <w:t>30%</w:t>
            </w:r>
          </w:p>
        </w:tc>
        <w:tc>
          <w:tcPr>
            <w:tcW w:w="1559" w:type="dxa"/>
            <w:tcBorders>
              <w:top w:val="nil"/>
              <w:left w:val="nil"/>
              <w:bottom w:val="single" w:sz="4" w:space="0" w:color="auto"/>
              <w:right w:val="single" w:sz="4" w:space="0" w:color="auto"/>
            </w:tcBorders>
            <w:shd w:val="clear" w:color="auto" w:fill="auto"/>
            <w:noWrap/>
            <w:vAlign w:val="bottom"/>
            <w:hideMark/>
          </w:tcPr>
          <w:p w14:paraId="3C9D544A" w14:textId="77777777" w:rsidR="000838B7" w:rsidRPr="00175B33" w:rsidRDefault="000838B7" w:rsidP="00175B33">
            <w:pPr>
              <w:widowControl/>
              <w:autoSpaceDE/>
              <w:autoSpaceDN/>
              <w:adjustRightInd/>
              <w:rPr>
                <w:rFonts w:ascii="Times New Roman" w:eastAsia="Times New Roman" w:hAnsi="Times New Roman" w:cs="Times New Roman"/>
                <w:noProof w:val="0"/>
                <w:color w:val="31849B" w:themeColor="accent5" w:themeShade="BF"/>
              </w:rPr>
            </w:pPr>
            <w:r w:rsidRPr="00175B33">
              <w:rPr>
                <w:rFonts w:ascii="Times New Roman" w:eastAsia="Times New Roman" w:hAnsi="Times New Roman" w:cs="Times New Roman"/>
                <w:noProof w:val="0"/>
                <w:color w:val="31849B" w:themeColor="accent5" w:themeShade="BF"/>
              </w:rPr>
              <w:t>24 months</w:t>
            </w:r>
          </w:p>
        </w:tc>
        <w:tc>
          <w:tcPr>
            <w:tcW w:w="1559" w:type="dxa"/>
            <w:tcBorders>
              <w:top w:val="nil"/>
              <w:left w:val="nil"/>
              <w:bottom w:val="single" w:sz="4" w:space="0" w:color="auto"/>
              <w:right w:val="single" w:sz="4" w:space="0" w:color="auto"/>
            </w:tcBorders>
            <w:shd w:val="clear" w:color="auto" w:fill="auto"/>
            <w:noWrap/>
            <w:vAlign w:val="bottom"/>
            <w:hideMark/>
          </w:tcPr>
          <w:p w14:paraId="7AB77BD6"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eastAsia="Times New Roman" w:hAnsi="Times New Roman" w:cs="Times New Roman"/>
                <w:noProof w:val="0"/>
                <w:color w:val="31849B" w:themeColor="accent5" w:themeShade="BF"/>
              </w:rPr>
              <w:t>53</w:t>
            </w:r>
          </w:p>
        </w:tc>
        <w:tc>
          <w:tcPr>
            <w:tcW w:w="1559" w:type="dxa"/>
            <w:tcBorders>
              <w:top w:val="nil"/>
              <w:left w:val="nil"/>
              <w:bottom w:val="single" w:sz="4" w:space="0" w:color="auto"/>
              <w:right w:val="single" w:sz="4" w:space="0" w:color="auto"/>
            </w:tcBorders>
            <w:shd w:val="clear" w:color="auto" w:fill="auto"/>
            <w:noWrap/>
            <w:vAlign w:val="bottom"/>
            <w:hideMark/>
          </w:tcPr>
          <w:p w14:paraId="6C16C297"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hAnsi="Times New Roman" w:cs="Times New Roman"/>
                <w:color w:val="31849B" w:themeColor="accent5" w:themeShade="BF"/>
              </w:rPr>
              <w:t>3.33</w:t>
            </w:r>
          </w:p>
        </w:tc>
        <w:tc>
          <w:tcPr>
            <w:tcW w:w="1560" w:type="dxa"/>
            <w:tcBorders>
              <w:top w:val="nil"/>
              <w:left w:val="nil"/>
              <w:bottom w:val="single" w:sz="4" w:space="0" w:color="auto"/>
              <w:right w:val="single" w:sz="4" w:space="0" w:color="auto"/>
            </w:tcBorders>
            <w:shd w:val="clear" w:color="auto" w:fill="auto"/>
            <w:noWrap/>
            <w:vAlign w:val="bottom"/>
            <w:hideMark/>
          </w:tcPr>
          <w:p w14:paraId="403412D1"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hAnsi="Times New Roman" w:cs="Times New Roman"/>
                <w:color w:val="31849B" w:themeColor="accent5" w:themeShade="BF"/>
              </w:rPr>
              <w:t>0.05</w:t>
            </w:r>
          </w:p>
        </w:tc>
      </w:tr>
      <w:tr w:rsidR="000838B7" w:rsidRPr="001B60DE" w14:paraId="4046C9E9"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FAA3E8C"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B2A1C7" w:themeColor="accent4" w:themeTint="99"/>
              </w:rPr>
            </w:pPr>
            <w:r w:rsidRPr="00175B33">
              <w:rPr>
                <w:rFonts w:ascii="Times New Roman" w:eastAsia="Times New Roman" w:hAnsi="Times New Roman" w:cs="Times New Roman"/>
                <w:noProof w:val="0"/>
                <w:color w:val="B2A1C7" w:themeColor="accent4" w:themeTint="99"/>
              </w:rPr>
              <w:t>16</w:t>
            </w:r>
          </w:p>
        </w:tc>
        <w:tc>
          <w:tcPr>
            <w:tcW w:w="1559" w:type="dxa"/>
            <w:tcBorders>
              <w:top w:val="nil"/>
              <w:left w:val="nil"/>
              <w:bottom w:val="single" w:sz="4" w:space="0" w:color="auto"/>
              <w:right w:val="single" w:sz="4" w:space="0" w:color="auto"/>
            </w:tcBorders>
            <w:shd w:val="clear" w:color="auto" w:fill="auto"/>
            <w:noWrap/>
            <w:vAlign w:val="bottom"/>
            <w:hideMark/>
          </w:tcPr>
          <w:p w14:paraId="512E6E7B"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B2A1C7" w:themeColor="accent4" w:themeTint="99"/>
              </w:rPr>
            </w:pPr>
            <w:r w:rsidRPr="00175B33">
              <w:rPr>
                <w:rFonts w:ascii="Times New Roman" w:eastAsia="Times New Roman" w:hAnsi="Times New Roman" w:cs="Times New Roman"/>
                <w:noProof w:val="0"/>
                <w:color w:val="B2A1C7" w:themeColor="accent4" w:themeTint="99"/>
              </w:rPr>
              <w:t>40%</w:t>
            </w:r>
          </w:p>
        </w:tc>
        <w:tc>
          <w:tcPr>
            <w:tcW w:w="1559" w:type="dxa"/>
            <w:tcBorders>
              <w:top w:val="nil"/>
              <w:left w:val="nil"/>
              <w:bottom w:val="single" w:sz="4" w:space="0" w:color="auto"/>
              <w:right w:val="single" w:sz="4" w:space="0" w:color="auto"/>
            </w:tcBorders>
            <w:shd w:val="clear" w:color="auto" w:fill="auto"/>
            <w:noWrap/>
            <w:vAlign w:val="bottom"/>
            <w:hideMark/>
          </w:tcPr>
          <w:p w14:paraId="7D51348E" w14:textId="77777777" w:rsidR="000838B7" w:rsidRPr="00175B33" w:rsidRDefault="000838B7" w:rsidP="00175B33">
            <w:pPr>
              <w:widowControl/>
              <w:autoSpaceDE/>
              <w:autoSpaceDN/>
              <w:adjustRightInd/>
              <w:rPr>
                <w:rFonts w:ascii="Times New Roman" w:eastAsia="Times New Roman" w:hAnsi="Times New Roman" w:cs="Times New Roman"/>
                <w:noProof w:val="0"/>
                <w:color w:val="B2A1C7" w:themeColor="accent4" w:themeTint="99"/>
              </w:rPr>
            </w:pPr>
            <w:r w:rsidRPr="00175B33">
              <w:rPr>
                <w:rFonts w:ascii="Times New Roman" w:eastAsia="Times New Roman" w:hAnsi="Times New Roman" w:cs="Times New Roman"/>
                <w:noProof w:val="0"/>
                <w:color w:val="B2A1C7" w:themeColor="accent4" w:themeTint="99"/>
              </w:rPr>
              <w:t>24 months</w:t>
            </w:r>
          </w:p>
        </w:tc>
        <w:tc>
          <w:tcPr>
            <w:tcW w:w="1559" w:type="dxa"/>
            <w:tcBorders>
              <w:top w:val="nil"/>
              <w:left w:val="nil"/>
              <w:bottom w:val="single" w:sz="4" w:space="0" w:color="auto"/>
              <w:right w:val="single" w:sz="4" w:space="0" w:color="auto"/>
            </w:tcBorders>
            <w:shd w:val="clear" w:color="auto" w:fill="auto"/>
            <w:noWrap/>
            <w:vAlign w:val="bottom"/>
            <w:hideMark/>
          </w:tcPr>
          <w:p w14:paraId="2F5A1D8E"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B2A1C7" w:themeColor="accent4" w:themeTint="99"/>
              </w:rPr>
            </w:pPr>
            <w:r w:rsidRPr="00175B33">
              <w:rPr>
                <w:rFonts w:ascii="Times New Roman" w:eastAsia="Times New Roman" w:hAnsi="Times New Roman" w:cs="Times New Roman"/>
                <w:noProof w:val="0"/>
                <w:color w:val="B2A1C7" w:themeColor="accent4" w:themeTint="99"/>
              </w:rPr>
              <w:t>70</w:t>
            </w:r>
          </w:p>
        </w:tc>
        <w:tc>
          <w:tcPr>
            <w:tcW w:w="1559" w:type="dxa"/>
            <w:tcBorders>
              <w:top w:val="nil"/>
              <w:left w:val="nil"/>
              <w:bottom w:val="single" w:sz="4" w:space="0" w:color="auto"/>
              <w:right w:val="single" w:sz="4" w:space="0" w:color="auto"/>
            </w:tcBorders>
            <w:shd w:val="clear" w:color="auto" w:fill="auto"/>
            <w:noWrap/>
            <w:vAlign w:val="bottom"/>
            <w:hideMark/>
          </w:tcPr>
          <w:p w14:paraId="2F2C8EB4"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B2A1C7" w:themeColor="accent4" w:themeTint="99"/>
              </w:rPr>
            </w:pPr>
            <w:r w:rsidRPr="00175B33">
              <w:rPr>
                <w:rFonts w:ascii="Times New Roman" w:hAnsi="Times New Roman" w:cs="Times New Roman"/>
                <w:color w:val="B2A1C7" w:themeColor="accent4" w:themeTint="99"/>
              </w:rPr>
              <w:t>2.38</w:t>
            </w:r>
          </w:p>
        </w:tc>
        <w:tc>
          <w:tcPr>
            <w:tcW w:w="1560" w:type="dxa"/>
            <w:tcBorders>
              <w:top w:val="nil"/>
              <w:left w:val="nil"/>
              <w:bottom w:val="single" w:sz="4" w:space="0" w:color="auto"/>
              <w:right w:val="single" w:sz="4" w:space="0" w:color="auto"/>
            </w:tcBorders>
            <w:shd w:val="clear" w:color="auto" w:fill="auto"/>
            <w:noWrap/>
            <w:vAlign w:val="bottom"/>
            <w:hideMark/>
          </w:tcPr>
          <w:p w14:paraId="5B6B591E"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B2A1C7" w:themeColor="accent4" w:themeTint="99"/>
              </w:rPr>
            </w:pPr>
            <w:r w:rsidRPr="00175B33">
              <w:rPr>
                <w:rFonts w:ascii="Times New Roman" w:hAnsi="Times New Roman" w:cs="Times New Roman"/>
                <w:color w:val="B2A1C7" w:themeColor="accent4" w:themeTint="99"/>
              </w:rPr>
              <w:t>0.03</w:t>
            </w:r>
          </w:p>
        </w:tc>
      </w:tr>
      <w:tr w:rsidR="000838B7" w:rsidRPr="001B60DE" w14:paraId="5880935D"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6BCCCB4"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eastAsia="Times New Roman" w:hAnsi="Times New Roman" w:cs="Times New Roman"/>
                <w:noProof w:val="0"/>
                <w:color w:val="7030A0"/>
              </w:rPr>
              <w:t>17</w:t>
            </w:r>
          </w:p>
        </w:tc>
        <w:tc>
          <w:tcPr>
            <w:tcW w:w="1559" w:type="dxa"/>
            <w:tcBorders>
              <w:top w:val="nil"/>
              <w:left w:val="nil"/>
              <w:bottom w:val="single" w:sz="4" w:space="0" w:color="auto"/>
              <w:right w:val="single" w:sz="4" w:space="0" w:color="auto"/>
            </w:tcBorders>
            <w:shd w:val="clear" w:color="auto" w:fill="auto"/>
            <w:noWrap/>
            <w:vAlign w:val="bottom"/>
            <w:hideMark/>
          </w:tcPr>
          <w:p w14:paraId="44060628"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eastAsia="Times New Roman" w:hAnsi="Times New Roman" w:cs="Times New Roman"/>
                <w:noProof w:val="0"/>
                <w:color w:val="7030A0"/>
              </w:rPr>
              <w:t>50%</w:t>
            </w:r>
          </w:p>
        </w:tc>
        <w:tc>
          <w:tcPr>
            <w:tcW w:w="1559" w:type="dxa"/>
            <w:tcBorders>
              <w:top w:val="nil"/>
              <w:left w:val="nil"/>
              <w:bottom w:val="single" w:sz="4" w:space="0" w:color="auto"/>
              <w:right w:val="single" w:sz="4" w:space="0" w:color="auto"/>
            </w:tcBorders>
            <w:shd w:val="clear" w:color="auto" w:fill="auto"/>
            <w:noWrap/>
            <w:vAlign w:val="bottom"/>
            <w:hideMark/>
          </w:tcPr>
          <w:p w14:paraId="3627149C" w14:textId="77777777" w:rsidR="000838B7" w:rsidRPr="00175B33" w:rsidRDefault="000838B7" w:rsidP="00175B33">
            <w:pPr>
              <w:widowControl/>
              <w:autoSpaceDE/>
              <w:autoSpaceDN/>
              <w:adjustRightInd/>
              <w:rPr>
                <w:rFonts w:ascii="Times New Roman" w:eastAsia="Times New Roman" w:hAnsi="Times New Roman" w:cs="Times New Roman"/>
                <w:noProof w:val="0"/>
                <w:color w:val="7030A0"/>
              </w:rPr>
            </w:pPr>
            <w:r w:rsidRPr="00175B33">
              <w:rPr>
                <w:rFonts w:ascii="Times New Roman" w:eastAsia="Times New Roman" w:hAnsi="Times New Roman" w:cs="Times New Roman"/>
                <w:noProof w:val="0"/>
                <w:color w:val="7030A0"/>
              </w:rPr>
              <w:t>24 months</w:t>
            </w:r>
          </w:p>
        </w:tc>
        <w:tc>
          <w:tcPr>
            <w:tcW w:w="1559" w:type="dxa"/>
            <w:tcBorders>
              <w:top w:val="nil"/>
              <w:left w:val="nil"/>
              <w:bottom w:val="single" w:sz="4" w:space="0" w:color="auto"/>
              <w:right w:val="single" w:sz="4" w:space="0" w:color="auto"/>
            </w:tcBorders>
            <w:shd w:val="clear" w:color="auto" w:fill="auto"/>
            <w:noWrap/>
            <w:vAlign w:val="bottom"/>
            <w:hideMark/>
          </w:tcPr>
          <w:p w14:paraId="144E639D"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eastAsia="Times New Roman" w:hAnsi="Times New Roman" w:cs="Times New Roman"/>
                <w:noProof w:val="0"/>
                <w:color w:val="7030A0"/>
              </w:rPr>
              <w:t>86</w:t>
            </w:r>
          </w:p>
        </w:tc>
        <w:tc>
          <w:tcPr>
            <w:tcW w:w="1559" w:type="dxa"/>
            <w:tcBorders>
              <w:top w:val="nil"/>
              <w:left w:val="nil"/>
              <w:bottom w:val="single" w:sz="4" w:space="0" w:color="auto"/>
              <w:right w:val="single" w:sz="4" w:space="0" w:color="auto"/>
            </w:tcBorders>
            <w:shd w:val="clear" w:color="auto" w:fill="auto"/>
            <w:noWrap/>
            <w:vAlign w:val="bottom"/>
            <w:hideMark/>
          </w:tcPr>
          <w:p w14:paraId="1E5047B1"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hAnsi="Times New Roman" w:cs="Times New Roman"/>
                <w:color w:val="7030A0"/>
              </w:rPr>
              <w:t>1.68</w:t>
            </w:r>
          </w:p>
        </w:tc>
        <w:tc>
          <w:tcPr>
            <w:tcW w:w="1560" w:type="dxa"/>
            <w:tcBorders>
              <w:top w:val="nil"/>
              <w:left w:val="nil"/>
              <w:bottom w:val="single" w:sz="4" w:space="0" w:color="auto"/>
              <w:right w:val="single" w:sz="4" w:space="0" w:color="auto"/>
            </w:tcBorders>
            <w:shd w:val="clear" w:color="auto" w:fill="auto"/>
            <w:noWrap/>
            <w:vAlign w:val="bottom"/>
            <w:hideMark/>
          </w:tcPr>
          <w:p w14:paraId="08DB19FC"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hAnsi="Times New Roman" w:cs="Times New Roman"/>
                <w:color w:val="7030A0"/>
              </w:rPr>
              <w:t>0.03</w:t>
            </w:r>
          </w:p>
        </w:tc>
      </w:tr>
      <w:tr w:rsidR="000838B7" w:rsidRPr="001B60DE" w14:paraId="6AF82040"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7A2472D"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0000"/>
              </w:rPr>
            </w:pPr>
            <w:r w:rsidRPr="00175B33">
              <w:rPr>
                <w:rFonts w:ascii="Times New Roman" w:eastAsia="Times New Roman" w:hAnsi="Times New Roman" w:cs="Times New Roman"/>
                <w:noProof w:val="0"/>
                <w:color w:val="FF0000"/>
              </w:rPr>
              <w:t>18</w:t>
            </w:r>
          </w:p>
        </w:tc>
        <w:tc>
          <w:tcPr>
            <w:tcW w:w="1559" w:type="dxa"/>
            <w:tcBorders>
              <w:top w:val="nil"/>
              <w:left w:val="nil"/>
              <w:bottom w:val="single" w:sz="4" w:space="0" w:color="auto"/>
              <w:right w:val="single" w:sz="4" w:space="0" w:color="auto"/>
            </w:tcBorders>
            <w:shd w:val="clear" w:color="auto" w:fill="auto"/>
            <w:noWrap/>
            <w:vAlign w:val="bottom"/>
            <w:hideMark/>
          </w:tcPr>
          <w:p w14:paraId="079174E0"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0000"/>
              </w:rPr>
            </w:pPr>
            <w:r w:rsidRPr="00175B33">
              <w:rPr>
                <w:rFonts w:ascii="Times New Roman" w:eastAsia="Times New Roman" w:hAnsi="Times New Roman" w:cs="Times New Roman"/>
                <w:noProof w:val="0"/>
                <w:color w:val="FF0000"/>
              </w:rPr>
              <w:t>60%</w:t>
            </w:r>
          </w:p>
        </w:tc>
        <w:tc>
          <w:tcPr>
            <w:tcW w:w="1559" w:type="dxa"/>
            <w:tcBorders>
              <w:top w:val="nil"/>
              <w:left w:val="nil"/>
              <w:bottom w:val="single" w:sz="4" w:space="0" w:color="auto"/>
              <w:right w:val="single" w:sz="4" w:space="0" w:color="auto"/>
            </w:tcBorders>
            <w:shd w:val="clear" w:color="auto" w:fill="auto"/>
            <w:noWrap/>
            <w:vAlign w:val="bottom"/>
            <w:hideMark/>
          </w:tcPr>
          <w:p w14:paraId="723D5B96" w14:textId="77777777" w:rsidR="000838B7" w:rsidRPr="00175B33" w:rsidRDefault="000838B7" w:rsidP="00175B33">
            <w:pPr>
              <w:widowControl/>
              <w:autoSpaceDE/>
              <w:autoSpaceDN/>
              <w:adjustRightInd/>
              <w:rPr>
                <w:rFonts w:ascii="Times New Roman" w:eastAsia="Times New Roman" w:hAnsi="Times New Roman" w:cs="Times New Roman"/>
                <w:noProof w:val="0"/>
                <w:color w:val="FF0000"/>
              </w:rPr>
            </w:pPr>
            <w:r w:rsidRPr="00175B33">
              <w:rPr>
                <w:rFonts w:ascii="Times New Roman" w:eastAsia="Times New Roman" w:hAnsi="Times New Roman" w:cs="Times New Roman"/>
                <w:noProof w:val="0"/>
                <w:color w:val="FF0000"/>
              </w:rPr>
              <w:t>24 months</w:t>
            </w:r>
          </w:p>
        </w:tc>
        <w:tc>
          <w:tcPr>
            <w:tcW w:w="1559" w:type="dxa"/>
            <w:tcBorders>
              <w:top w:val="nil"/>
              <w:left w:val="nil"/>
              <w:bottom w:val="single" w:sz="4" w:space="0" w:color="auto"/>
              <w:right w:val="single" w:sz="4" w:space="0" w:color="auto"/>
            </w:tcBorders>
            <w:shd w:val="clear" w:color="auto" w:fill="auto"/>
            <w:noWrap/>
            <w:vAlign w:val="bottom"/>
            <w:hideMark/>
          </w:tcPr>
          <w:p w14:paraId="36EF7BC2"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0000"/>
              </w:rPr>
            </w:pPr>
            <w:r w:rsidRPr="00175B33">
              <w:rPr>
                <w:rFonts w:ascii="Times New Roman" w:eastAsia="Times New Roman" w:hAnsi="Times New Roman" w:cs="Times New Roman"/>
                <w:noProof w:val="0"/>
                <w:color w:val="FF0000"/>
              </w:rPr>
              <w:t>96</w:t>
            </w:r>
          </w:p>
        </w:tc>
        <w:tc>
          <w:tcPr>
            <w:tcW w:w="1559" w:type="dxa"/>
            <w:tcBorders>
              <w:top w:val="nil"/>
              <w:left w:val="nil"/>
              <w:bottom w:val="single" w:sz="4" w:space="0" w:color="auto"/>
              <w:right w:val="single" w:sz="4" w:space="0" w:color="auto"/>
            </w:tcBorders>
            <w:shd w:val="clear" w:color="auto" w:fill="auto"/>
            <w:noWrap/>
            <w:vAlign w:val="bottom"/>
            <w:hideMark/>
          </w:tcPr>
          <w:p w14:paraId="1C6B9B78"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0000"/>
              </w:rPr>
            </w:pPr>
            <w:r w:rsidRPr="00175B33">
              <w:rPr>
                <w:rFonts w:ascii="Times New Roman" w:hAnsi="Times New Roman" w:cs="Times New Roman"/>
                <w:color w:val="FF0000"/>
              </w:rPr>
              <w:t>1.34</w:t>
            </w:r>
          </w:p>
        </w:tc>
        <w:tc>
          <w:tcPr>
            <w:tcW w:w="1560" w:type="dxa"/>
            <w:tcBorders>
              <w:top w:val="nil"/>
              <w:left w:val="nil"/>
              <w:bottom w:val="single" w:sz="4" w:space="0" w:color="auto"/>
              <w:right w:val="single" w:sz="4" w:space="0" w:color="auto"/>
            </w:tcBorders>
            <w:shd w:val="clear" w:color="auto" w:fill="auto"/>
            <w:noWrap/>
            <w:vAlign w:val="bottom"/>
            <w:hideMark/>
          </w:tcPr>
          <w:p w14:paraId="673803D6"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0000"/>
              </w:rPr>
            </w:pPr>
            <w:r w:rsidRPr="00175B33">
              <w:rPr>
                <w:rFonts w:ascii="Times New Roman" w:hAnsi="Times New Roman" w:cs="Times New Roman"/>
                <w:color w:val="FF0000"/>
              </w:rPr>
              <w:t>0.03</w:t>
            </w:r>
          </w:p>
        </w:tc>
      </w:tr>
      <w:tr w:rsidR="000838B7" w:rsidRPr="001B60DE" w14:paraId="7DA061FD"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BFA2C96"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00B050"/>
              </w:rPr>
            </w:pPr>
            <w:r w:rsidRPr="00175B33">
              <w:rPr>
                <w:rFonts w:ascii="Times New Roman" w:eastAsia="Times New Roman" w:hAnsi="Times New Roman" w:cs="Times New Roman"/>
                <w:noProof w:val="0"/>
                <w:color w:val="00B050"/>
              </w:rPr>
              <w:t>19</w:t>
            </w:r>
          </w:p>
        </w:tc>
        <w:tc>
          <w:tcPr>
            <w:tcW w:w="1559" w:type="dxa"/>
            <w:tcBorders>
              <w:top w:val="nil"/>
              <w:left w:val="nil"/>
              <w:bottom w:val="single" w:sz="4" w:space="0" w:color="auto"/>
              <w:right w:val="single" w:sz="4" w:space="0" w:color="auto"/>
            </w:tcBorders>
            <w:shd w:val="clear" w:color="auto" w:fill="auto"/>
            <w:noWrap/>
            <w:vAlign w:val="bottom"/>
            <w:hideMark/>
          </w:tcPr>
          <w:p w14:paraId="578D61B7" w14:textId="77777777" w:rsidR="000838B7" w:rsidRPr="00175B33" w:rsidRDefault="000838B7" w:rsidP="00175B33">
            <w:pPr>
              <w:widowControl/>
              <w:autoSpaceDE/>
              <w:autoSpaceDN/>
              <w:adjustRightInd/>
              <w:rPr>
                <w:rFonts w:ascii="Times New Roman" w:eastAsia="Times New Roman" w:hAnsi="Times New Roman" w:cs="Times New Roman"/>
                <w:noProof w:val="0"/>
                <w:color w:val="00B050"/>
              </w:rPr>
            </w:pPr>
            <w:r w:rsidRPr="00175B33">
              <w:rPr>
                <w:rFonts w:ascii="Times New Roman" w:eastAsia="Times New Roman" w:hAnsi="Times New Roman" w:cs="Times New Roman"/>
                <w:noProof w:val="0"/>
                <w:color w:val="00B050"/>
              </w:rPr>
              <w:t>Base</w:t>
            </w:r>
          </w:p>
        </w:tc>
        <w:tc>
          <w:tcPr>
            <w:tcW w:w="1559" w:type="dxa"/>
            <w:tcBorders>
              <w:top w:val="nil"/>
              <w:left w:val="nil"/>
              <w:bottom w:val="single" w:sz="4" w:space="0" w:color="auto"/>
              <w:right w:val="single" w:sz="4" w:space="0" w:color="auto"/>
            </w:tcBorders>
            <w:shd w:val="clear" w:color="auto" w:fill="auto"/>
            <w:noWrap/>
            <w:vAlign w:val="bottom"/>
            <w:hideMark/>
          </w:tcPr>
          <w:p w14:paraId="65EA808C" w14:textId="77777777" w:rsidR="000838B7" w:rsidRPr="00175B33" w:rsidRDefault="000838B7" w:rsidP="00175B33">
            <w:pPr>
              <w:widowControl/>
              <w:autoSpaceDE/>
              <w:autoSpaceDN/>
              <w:adjustRightInd/>
              <w:rPr>
                <w:rFonts w:ascii="Times New Roman" w:eastAsia="Times New Roman" w:hAnsi="Times New Roman" w:cs="Times New Roman"/>
                <w:noProof w:val="0"/>
                <w:color w:val="00B050"/>
              </w:rPr>
            </w:pPr>
            <w:r w:rsidRPr="00175B33">
              <w:rPr>
                <w:rFonts w:ascii="Times New Roman" w:eastAsia="Times New Roman" w:hAnsi="Times New Roman" w:cs="Times New Roman"/>
                <w:noProof w:val="0"/>
                <w:color w:val="00B050"/>
              </w:rPr>
              <w:t>30 months</w:t>
            </w:r>
          </w:p>
        </w:tc>
        <w:tc>
          <w:tcPr>
            <w:tcW w:w="1559" w:type="dxa"/>
            <w:tcBorders>
              <w:top w:val="nil"/>
              <w:left w:val="nil"/>
              <w:bottom w:val="single" w:sz="4" w:space="0" w:color="auto"/>
              <w:right w:val="single" w:sz="4" w:space="0" w:color="auto"/>
            </w:tcBorders>
            <w:shd w:val="clear" w:color="auto" w:fill="auto"/>
            <w:noWrap/>
            <w:vAlign w:val="bottom"/>
            <w:hideMark/>
          </w:tcPr>
          <w:p w14:paraId="7052573E"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00B050"/>
              </w:rPr>
            </w:pPr>
            <w:r w:rsidRPr="00175B33">
              <w:rPr>
                <w:rFonts w:ascii="Times New Roman" w:eastAsia="Times New Roman" w:hAnsi="Times New Roman" w:cs="Times New Roman"/>
                <w:noProof w:val="0"/>
                <w:color w:val="00B050"/>
              </w:rPr>
              <w:t>28</w:t>
            </w:r>
          </w:p>
        </w:tc>
        <w:tc>
          <w:tcPr>
            <w:tcW w:w="1559" w:type="dxa"/>
            <w:tcBorders>
              <w:top w:val="nil"/>
              <w:left w:val="nil"/>
              <w:bottom w:val="single" w:sz="4" w:space="0" w:color="auto"/>
              <w:right w:val="single" w:sz="4" w:space="0" w:color="auto"/>
            </w:tcBorders>
            <w:shd w:val="clear" w:color="auto" w:fill="auto"/>
            <w:noWrap/>
            <w:vAlign w:val="bottom"/>
            <w:hideMark/>
          </w:tcPr>
          <w:p w14:paraId="21E9E44E"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00B050"/>
              </w:rPr>
            </w:pPr>
            <w:r w:rsidRPr="00175B33">
              <w:rPr>
                <w:rFonts w:ascii="Times New Roman" w:hAnsi="Times New Roman" w:cs="Times New Roman"/>
                <w:color w:val="00B050"/>
              </w:rPr>
              <w:t>4.71</w:t>
            </w:r>
          </w:p>
        </w:tc>
        <w:tc>
          <w:tcPr>
            <w:tcW w:w="1560" w:type="dxa"/>
            <w:tcBorders>
              <w:top w:val="nil"/>
              <w:left w:val="nil"/>
              <w:bottom w:val="single" w:sz="4" w:space="0" w:color="auto"/>
              <w:right w:val="single" w:sz="4" w:space="0" w:color="auto"/>
            </w:tcBorders>
            <w:shd w:val="clear" w:color="auto" w:fill="auto"/>
            <w:noWrap/>
            <w:vAlign w:val="bottom"/>
            <w:hideMark/>
          </w:tcPr>
          <w:p w14:paraId="24E844B4"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00B050"/>
              </w:rPr>
            </w:pPr>
            <w:r w:rsidRPr="00175B33">
              <w:rPr>
                <w:rFonts w:ascii="Times New Roman" w:hAnsi="Times New Roman" w:cs="Times New Roman"/>
                <w:color w:val="00B050"/>
              </w:rPr>
              <w:t>0.05</w:t>
            </w:r>
          </w:p>
        </w:tc>
      </w:tr>
      <w:tr w:rsidR="000838B7" w:rsidRPr="001B60DE" w14:paraId="514E065E"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CDC1462"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943634" w:themeColor="accent2" w:themeShade="BF"/>
              </w:rPr>
            </w:pPr>
            <w:r w:rsidRPr="00175B33">
              <w:rPr>
                <w:rFonts w:ascii="Times New Roman" w:eastAsia="Times New Roman" w:hAnsi="Times New Roman" w:cs="Times New Roman"/>
                <w:noProof w:val="0"/>
                <w:color w:val="943634" w:themeColor="accent2" w:themeShade="BF"/>
              </w:rPr>
              <w:t>20</w:t>
            </w:r>
          </w:p>
        </w:tc>
        <w:tc>
          <w:tcPr>
            <w:tcW w:w="1559" w:type="dxa"/>
            <w:tcBorders>
              <w:top w:val="nil"/>
              <w:left w:val="nil"/>
              <w:bottom w:val="single" w:sz="4" w:space="0" w:color="auto"/>
              <w:right w:val="single" w:sz="4" w:space="0" w:color="auto"/>
            </w:tcBorders>
            <w:shd w:val="clear" w:color="auto" w:fill="auto"/>
            <w:noWrap/>
            <w:vAlign w:val="bottom"/>
            <w:hideMark/>
          </w:tcPr>
          <w:p w14:paraId="7206B59C"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943634" w:themeColor="accent2" w:themeShade="BF"/>
              </w:rPr>
            </w:pPr>
            <w:r w:rsidRPr="00175B33">
              <w:rPr>
                <w:rFonts w:ascii="Times New Roman" w:eastAsia="Times New Roman" w:hAnsi="Times New Roman" w:cs="Times New Roman"/>
                <w:noProof w:val="0"/>
                <w:color w:val="943634" w:themeColor="accent2" w:themeShade="BF"/>
              </w:rPr>
              <w:t>20%</w:t>
            </w:r>
          </w:p>
        </w:tc>
        <w:tc>
          <w:tcPr>
            <w:tcW w:w="1559" w:type="dxa"/>
            <w:tcBorders>
              <w:top w:val="nil"/>
              <w:left w:val="nil"/>
              <w:bottom w:val="single" w:sz="4" w:space="0" w:color="auto"/>
              <w:right w:val="single" w:sz="4" w:space="0" w:color="auto"/>
            </w:tcBorders>
            <w:shd w:val="clear" w:color="auto" w:fill="auto"/>
            <w:noWrap/>
            <w:vAlign w:val="bottom"/>
            <w:hideMark/>
          </w:tcPr>
          <w:p w14:paraId="067222DA" w14:textId="77777777" w:rsidR="000838B7" w:rsidRPr="00175B33" w:rsidRDefault="000838B7" w:rsidP="00175B33">
            <w:pPr>
              <w:widowControl/>
              <w:autoSpaceDE/>
              <w:autoSpaceDN/>
              <w:adjustRightInd/>
              <w:rPr>
                <w:rFonts w:ascii="Times New Roman" w:eastAsia="Times New Roman" w:hAnsi="Times New Roman" w:cs="Times New Roman"/>
                <w:noProof w:val="0"/>
                <w:color w:val="943634" w:themeColor="accent2" w:themeShade="BF"/>
              </w:rPr>
            </w:pPr>
            <w:r w:rsidRPr="00175B33">
              <w:rPr>
                <w:rFonts w:ascii="Times New Roman" w:eastAsia="Times New Roman" w:hAnsi="Times New Roman" w:cs="Times New Roman"/>
                <w:noProof w:val="0"/>
                <w:color w:val="943634" w:themeColor="accent2" w:themeShade="BF"/>
              </w:rPr>
              <w:t>30 months</w:t>
            </w:r>
          </w:p>
        </w:tc>
        <w:tc>
          <w:tcPr>
            <w:tcW w:w="1559" w:type="dxa"/>
            <w:tcBorders>
              <w:top w:val="nil"/>
              <w:left w:val="nil"/>
              <w:bottom w:val="single" w:sz="4" w:space="0" w:color="auto"/>
              <w:right w:val="single" w:sz="4" w:space="0" w:color="auto"/>
            </w:tcBorders>
            <w:shd w:val="clear" w:color="auto" w:fill="auto"/>
            <w:noWrap/>
            <w:vAlign w:val="bottom"/>
            <w:hideMark/>
          </w:tcPr>
          <w:p w14:paraId="63AFBE5D"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943634" w:themeColor="accent2" w:themeShade="BF"/>
              </w:rPr>
            </w:pPr>
            <w:r w:rsidRPr="00175B33">
              <w:rPr>
                <w:rFonts w:ascii="Times New Roman" w:eastAsia="Times New Roman" w:hAnsi="Times New Roman" w:cs="Times New Roman"/>
                <w:noProof w:val="0"/>
                <w:color w:val="943634" w:themeColor="accent2" w:themeShade="BF"/>
              </w:rPr>
              <w:t>42</w:t>
            </w:r>
          </w:p>
        </w:tc>
        <w:tc>
          <w:tcPr>
            <w:tcW w:w="1559" w:type="dxa"/>
            <w:tcBorders>
              <w:top w:val="nil"/>
              <w:left w:val="nil"/>
              <w:bottom w:val="single" w:sz="4" w:space="0" w:color="auto"/>
              <w:right w:val="single" w:sz="4" w:space="0" w:color="auto"/>
            </w:tcBorders>
            <w:shd w:val="clear" w:color="auto" w:fill="auto"/>
            <w:noWrap/>
            <w:vAlign w:val="bottom"/>
            <w:hideMark/>
          </w:tcPr>
          <w:p w14:paraId="6826E653"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943634" w:themeColor="accent2" w:themeShade="BF"/>
              </w:rPr>
            </w:pPr>
            <w:r w:rsidRPr="00175B33">
              <w:rPr>
                <w:rFonts w:ascii="Times New Roman" w:hAnsi="Times New Roman" w:cs="Times New Roman"/>
                <w:color w:val="943634" w:themeColor="accent2" w:themeShade="BF"/>
              </w:rPr>
              <w:t>3.89</w:t>
            </w:r>
          </w:p>
        </w:tc>
        <w:tc>
          <w:tcPr>
            <w:tcW w:w="1560" w:type="dxa"/>
            <w:tcBorders>
              <w:top w:val="nil"/>
              <w:left w:val="nil"/>
              <w:bottom w:val="single" w:sz="4" w:space="0" w:color="auto"/>
              <w:right w:val="single" w:sz="4" w:space="0" w:color="auto"/>
            </w:tcBorders>
            <w:shd w:val="clear" w:color="auto" w:fill="auto"/>
            <w:noWrap/>
            <w:vAlign w:val="bottom"/>
            <w:hideMark/>
          </w:tcPr>
          <w:p w14:paraId="375EF79D"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943634" w:themeColor="accent2" w:themeShade="BF"/>
              </w:rPr>
            </w:pPr>
            <w:r w:rsidRPr="00175B33">
              <w:rPr>
                <w:rFonts w:ascii="Times New Roman" w:hAnsi="Times New Roman" w:cs="Times New Roman"/>
                <w:color w:val="943634" w:themeColor="accent2" w:themeShade="BF"/>
              </w:rPr>
              <w:t>0.06</w:t>
            </w:r>
          </w:p>
        </w:tc>
      </w:tr>
      <w:tr w:rsidR="000838B7" w:rsidRPr="001B60DE" w14:paraId="496299B8"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957372A"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C000"/>
              </w:rPr>
            </w:pPr>
            <w:r w:rsidRPr="00175B33">
              <w:rPr>
                <w:rFonts w:ascii="Times New Roman" w:eastAsia="Times New Roman" w:hAnsi="Times New Roman" w:cs="Times New Roman"/>
                <w:noProof w:val="0"/>
                <w:color w:val="FFC000"/>
              </w:rPr>
              <w:t>21</w:t>
            </w:r>
          </w:p>
        </w:tc>
        <w:tc>
          <w:tcPr>
            <w:tcW w:w="1559" w:type="dxa"/>
            <w:tcBorders>
              <w:top w:val="nil"/>
              <w:left w:val="nil"/>
              <w:bottom w:val="single" w:sz="4" w:space="0" w:color="auto"/>
              <w:right w:val="single" w:sz="4" w:space="0" w:color="auto"/>
            </w:tcBorders>
            <w:shd w:val="clear" w:color="auto" w:fill="auto"/>
            <w:noWrap/>
            <w:vAlign w:val="bottom"/>
            <w:hideMark/>
          </w:tcPr>
          <w:p w14:paraId="61EC1920"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C000"/>
              </w:rPr>
            </w:pPr>
            <w:r w:rsidRPr="00175B33">
              <w:rPr>
                <w:rFonts w:ascii="Times New Roman" w:eastAsia="Times New Roman" w:hAnsi="Times New Roman" w:cs="Times New Roman"/>
                <w:noProof w:val="0"/>
                <w:color w:val="FFC00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398CDCC8" w14:textId="77777777" w:rsidR="000838B7" w:rsidRPr="00175B33" w:rsidRDefault="000838B7" w:rsidP="00175B33">
            <w:pPr>
              <w:widowControl/>
              <w:autoSpaceDE/>
              <w:autoSpaceDN/>
              <w:adjustRightInd/>
              <w:rPr>
                <w:rFonts w:ascii="Times New Roman" w:eastAsia="Times New Roman" w:hAnsi="Times New Roman" w:cs="Times New Roman"/>
                <w:noProof w:val="0"/>
                <w:color w:val="FFC000"/>
              </w:rPr>
            </w:pPr>
            <w:r w:rsidRPr="00175B33">
              <w:rPr>
                <w:rFonts w:ascii="Times New Roman" w:eastAsia="Times New Roman" w:hAnsi="Times New Roman" w:cs="Times New Roman"/>
                <w:noProof w:val="0"/>
                <w:color w:val="FFC000"/>
              </w:rPr>
              <w:t>30 months</w:t>
            </w:r>
          </w:p>
        </w:tc>
        <w:tc>
          <w:tcPr>
            <w:tcW w:w="1559" w:type="dxa"/>
            <w:tcBorders>
              <w:top w:val="nil"/>
              <w:left w:val="nil"/>
              <w:bottom w:val="single" w:sz="4" w:space="0" w:color="auto"/>
              <w:right w:val="single" w:sz="4" w:space="0" w:color="auto"/>
            </w:tcBorders>
            <w:shd w:val="clear" w:color="auto" w:fill="auto"/>
            <w:noWrap/>
            <w:vAlign w:val="bottom"/>
            <w:hideMark/>
          </w:tcPr>
          <w:p w14:paraId="6BFEBDAB"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C000"/>
              </w:rPr>
            </w:pPr>
            <w:r w:rsidRPr="00175B33">
              <w:rPr>
                <w:rFonts w:ascii="Times New Roman" w:eastAsia="Times New Roman" w:hAnsi="Times New Roman" w:cs="Times New Roman"/>
                <w:noProof w:val="0"/>
                <w:color w:val="FFC000"/>
              </w:rPr>
              <w:t>62</w:t>
            </w:r>
          </w:p>
        </w:tc>
        <w:tc>
          <w:tcPr>
            <w:tcW w:w="1559" w:type="dxa"/>
            <w:tcBorders>
              <w:top w:val="nil"/>
              <w:left w:val="nil"/>
              <w:bottom w:val="single" w:sz="4" w:space="0" w:color="auto"/>
              <w:right w:val="single" w:sz="4" w:space="0" w:color="auto"/>
            </w:tcBorders>
            <w:shd w:val="clear" w:color="auto" w:fill="auto"/>
            <w:noWrap/>
            <w:vAlign w:val="bottom"/>
            <w:hideMark/>
          </w:tcPr>
          <w:p w14:paraId="26BF413C"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C000"/>
              </w:rPr>
            </w:pPr>
            <w:r w:rsidRPr="00175B33">
              <w:rPr>
                <w:rFonts w:ascii="Times New Roman" w:hAnsi="Times New Roman" w:cs="Times New Roman"/>
                <w:color w:val="FFC000"/>
              </w:rPr>
              <w:t>2.74</w:t>
            </w:r>
          </w:p>
        </w:tc>
        <w:tc>
          <w:tcPr>
            <w:tcW w:w="1560" w:type="dxa"/>
            <w:tcBorders>
              <w:top w:val="nil"/>
              <w:left w:val="nil"/>
              <w:bottom w:val="single" w:sz="4" w:space="0" w:color="auto"/>
              <w:right w:val="single" w:sz="4" w:space="0" w:color="auto"/>
            </w:tcBorders>
            <w:shd w:val="clear" w:color="auto" w:fill="auto"/>
            <w:noWrap/>
            <w:vAlign w:val="bottom"/>
            <w:hideMark/>
          </w:tcPr>
          <w:p w14:paraId="123654DF"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C000"/>
              </w:rPr>
            </w:pPr>
            <w:r w:rsidRPr="00175B33">
              <w:rPr>
                <w:rFonts w:ascii="Times New Roman" w:hAnsi="Times New Roman" w:cs="Times New Roman"/>
                <w:color w:val="FFC000"/>
              </w:rPr>
              <w:t>0.04</w:t>
            </w:r>
          </w:p>
        </w:tc>
      </w:tr>
      <w:tr w:rsidR="000838B7" w:rsidRPr="001B60DE" w14:paraId="4484EC87"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6B01636"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eastAsia="Times New Roman" w:hAnsi="Times New Roman" w:cs="Times New Roman"/>
                <w:noProof w:val="0"/>
                <w:color w:val="7030A0"/>
              </w:rPr>
              <w:t>22</w:t>
            </w:r>
          </w:p>
        </w:tc>
        <w:tc>
          <w:tcPr>
            <w:tcW w:w="1559" w:type="dxa"/>
            <w:tcBorders>
              <w:top w:val="nil"/>
              <w:left w:val="nil"/>
              <w:bottom w:val="single" w:sz="4" w:space="0" w:color="auto"/>
              <w:right w:val="single" w:sz="4" w:space="0" w:color="auto"/>
            </w:tcBorders>
            <w:shd w:val="clear" w:color="auto" w:fill="auto"/>
            <w:noWrap/>
            <w:vAlign w:val="bottom"/>
            <w:hideMark/>
          </w:tcPr>
          <w:p w14:paraId="0C5104D0"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eastAsia="Times New Roman" w:hAnsi="Times New Roman" w:cs="Times New Roman"/>
                <w:noProof w:val="0"/>
                <w:color w:val="7030A0"/>
              </w:rPr>
              <w:t>40%</w:t>
            </w:r>
          </w:p>
        </w:tc>
        <w:tc>
          <w:tcPr>
            <w:tcW w:w="1559" w:type="dxa"/>
            <w:tcBorders>
              <w:top w:val="nil"/>
              <w:left w:val="nil"/>
              <w:bottom w:val="single" w:sz="4" w:space="0" w:color="auto"/>
              <w:right w:val="single" w:sz="4" w:space="0" w:color="auto"/>
            </w:tcBorders>
            <w:shd w:val="clear" w:color="auto" w:fill="auto"/>
            <w:noWrap/>
            <w:vAlign w:val="bottom"/>
            <w:hideMark/>
          </w:tcPr>
          <w:p w14:paraId="1B326852" w14:textId="77777777" w:rsidR="000838B7" w:rsidRPr="00175B33" w:rsidRDefault="000838B7" w:rsidP="00175B33">
            <w:pPr>
              <w:widowControl/>
              <w:autoSpaceDE/>
              <w:autoSpaceDN/>
              <w:adjustRightInd/>
              <w:rPr>
                <w:rFonts w:ascii="Times New Roman" w:eastAsia="Times New Roman" w:hAnsi="Times New Roman" w:cs="Times New Roman"/>
                <w:noProof w:val="0"/>
                <w:color w:val="7030A0"/>
              </w:rPr>
            </w:pPr>
            <w:r w:rsidRPr="00175B33">
              <w:rPr>
                <w:rFonts w:ascii="Times New Roman" w:eastAsia="Times New Roman" w:hAnsi="Times New Roman" w:cs="Times New Roman"/>
                <w:noProof w:val="0"/>
                <w:color w:val="7030A0"/>
              </w:rPr>
              <w:t>30 months</w:t>
            </w:r>
          </w:p>
        </w:tc>
        <w:tc>
          <w:tcPr>
            <w:tcW w:w="1559" w:type="dxa"/>
            <w:tcBorders>
              <w:top w:val="nil"/>
              <w:left w:val="nil"/>
              <w:bottom w:val="single" w:sz="4" w:space="0" w:color="auto"/>
              <w:right w:val="single" w:sz="4" w:space="0" w:color="auto"/>
            </w:tcBorders>
            <w:shd w:val="clear" w:color="auto" w:fill="auto"/>
            <w:noWrap/>
            <w:vAlign w:val="bottom"/>
            <w:hideMark/>
          </w:tcPr>
          <w:p w14:paraId="77D8D393"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eastAsia="Times New Roman" w:hAnsi="Times New Roman" w:cs="Times New Roman"/>
                <w:noProof w:val="0"/>
                <w:color w:val="7030A0"/>
              </w:rPr>
              <w:t>82</w:t>
            </w:r>
          </w:p>
        </w:tc>
        <w:tc>
          <w:tcPr>
            <w:tcW w:w="1559" w:type="dxa"/>
            <w:tcBorders>
              <w:top w:val="nil"/>
              <w:left w:val="nil"/>
              <w:bottom w:val="single" w:sz="4" w:space="0" w:color="auto"/>
              <w:right w:val="single" w:sz="4" w:space="0" w:color="auto"/>
            </w:tcBorders>
            <w:shd w:val="clear" w:color="auto" w:fill="auto"/>
            <w:noWrap/>
            <w:vAlign w:val="bottom"/>
            <w:hideMark/>
          </w:tcPr>
          <w:p w14:paraId="54399AAC"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hAnsi="Times New Roman" w:cs="Times New Roman"/>
                <w:color w:val="7030A0"/>
              </w:rPr>
              <w:t>1.75</w:t>
            </w:r>
          </w:p>
        </w:tc>
        <w:tc>
          <w:tcPr>
            <w:tcW w:w="1560" w:type="dxa"/>
            <w:tcBorders>
              <w:top w:val="nil"/>
              <w:left w:val="nil"/>
              <w:bottom w:val="single" w:sz="4" w:space="0" w:color="auto"/>
              <w:right w:val="single" w:sz="4" w:space="0" w:color="auto"/>
            </w:tcBorders>
            <w:shd w:val="clear" w:color="auto" w:fill="auto"/>
            <w:noWrap/>
            <w:vAlign w:val="bottom"/>
            <w:hideMark/>
          </w:tcPr>
          <w:p w14:paraId="40EFA475"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hAnsi="Times New Roman" w:cs="Times New Roman"/>
                <w:color w:val="7030A0"/>
              </w:rPr>
              <w:t>0.04</w:t>
            </w:r>
          </w:p>
        </w:tc>
      </w:tr>
      <w:tr w:rsidR="000838B7" w:rsidRPr="001B60DE" w14:paraId="5BD80DB2"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A72D095"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0000"/>
              </w:rPr>
            </w:pPr>
            <w:r w:rsidRPr="00175B33">
              <w:rPr>
                <w:rFonts w:ascii="Times New Roman" w:eastAsia="Times New Roman" w:hAnsi="Times New Roman" w:cs="Times New Roman"/>
                <w:noProof w:val="0"/>
                <w:color w:val="FF0000"/>
              </w:rPr>
              <w:t>23</w:t>
            </w:r>
          </w:p>
        </w:tc>
        <w:tc>
          <w:tcPr>
            <w:tcW w:w="1559" w:type="dxa"/>
            <w:tcBorders>
              <w:top w:val="nil"/>
              <w:left w:val="nil"/>
              <w:bottom w:val="single" w:sz="4" w:space="0" w:color="auto"/>
              <w:right w:val="single" w:sz="4" w:space="0" w:color="auto"/>
            </w:tcBorders>
            <w:shd w:val="clear" w:color="auto" w:fill="auto"/>
            <w:noWrap/>
            <w:vAlign w:val="bottom"/>
            <w:hideMark/>
          </w:tcPr>
          <w:p w14:paraId="61B8C04A"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0000"/>
              </w:rPr>
            </w:pPr>
            <w:r w:rsidRPr="00175B33">
              <w:rPr>
                <w:rFonts w:ascii="Times New Roman" w:eastAsia="Times New Roman" w:hAnsi="Times New Roman" w:cs="Times New Roman"/>
                <w:noProof w:val="0"/>
                <w:color w:val="FF0000"/>
              </w:rPr>
              <w:t>50%</w:t>
            </w:r>
          </w:p>
        </w:tc>
        <w:tc>
          <w:tcPr>
            <w:tcW w:w="1559" w:type="dxa"/>
            <w:tcBorders>
              <w:top w:val="nil"/>
              <w:left w:val="nil"/>
              <w:bottom w:val="single" w:sz="4" w:space="0" w:color="auto"/>
              <w:right w:val="single" w:sz="4" w:space="0" w:color="auto"/>
            </w:tcBorders>
            <w:shd w:val="clear" w:color="auto" w:fill="auto"/>
            <w:noWrap/>
            <w:vAlign w:val="bottom"/>
            <w:hideMark/>
          </w:tcPr>
          <w:p w14:paraId="07B5C0C3" w14:textId="77777777" w:rsidR="000838B7" w:rsidRPr="00175B33" w:rsidRDefault="000838B7" w:rsidP="00175B33">
            <w:pPr>
              <w:widowControl/>
              <w:autoSpaceDE/>
              <w:autoSpaceDN/>
              <w:adjustRightInd/>
              <w:rPr>
                <w:rFonts w:ascii="Times New Roman" w:eastAsia="Times New Roman" w:hAnsi="Times New Roman" w:cs="Times New Roman"/>
                <w:noProof w:val="0"/>
                <w:color w:val="FF0000"/>
              </w:rPr>
            </w:pPr>
            <w:r w:rsidRPr="00175B33">
              <w:rPr>
                <w:rFonts w:ascii="Times New Roman" w:eastAsia="Times New Roman" w:hAnsi="Times New Roman" w:cs="Times New Roman"/>
                <w:noProof w:val="0"/>
                <w:color w:val="FF0000"/>
              </w:rPr>
              <w:t>30 months</w:t>
            </w:r>
          </w:p>
        </w:tc>
        <w:tc>
          <w:tcPr>
            <w:tcW w:w="1559" w:type="dxa"/>
            <w:tcBorders>
              <w:top w:val="nil"/>
              <w:left w:val="nil"/>
              <w:bottom w:val="single" w:sz="4" w:space="0" w:color="auto"/>
              <w:right w:val="single" w:sz="4" w:space="0" w:color="auto"/>
            </w:tcBorders>
            <w:shd w:val="clear" w:color="auto" w:fill="auto"/>
            <w:noWrap/>
            <w:vAlign w:val="bottom"/>
            <w:hideMark/>
          </w:tcPr>
          <w:p w14:paraId="62B09F34"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0000"/>
              </w:rPr>
            </w:pPr>
            <w:r w:rsidRPr="00175B33">
              <w:rPr>
                <w:rFonts w:ascii="Times New Roman" w:eastAsia="Times New Roman" w:hAnsi="Times New Roman" w:cs="Times New Roman"/>
                <w:noProof w:val="0"/>
                <w:color w:val="FF0000"/>
              </w:rPr>
              <w:t>94</w:t>
            </w:r>
          </w:p>
        </w:tc>
        <w:tc>
          <w:tcPr>
            <w:tcW w:w="1559" w:type="dxa"/>
            <w:tcBorders>
              <w:top w:val="nil"/>
              <w:left w:val="nil"/>
              <w:bottom w:val="single" w:sz="4" w:space="0" w:color="auto"/>
              <w:right w:val="single" w:sz="4" w:space="0" w:color="auto"/>
            </w:tcBorders>
            <w:shd w:val="clear" w:color="auto" w:fill="auto"/>
            <w:noWrap/>
            <w:vAlign w:val="bottom"/>
            <w:hideMark/>
          </w:tcPr>
          <w:p w14:paraId="2CD867BB"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0000"/>
              </w:rPr>
            </w:pPr>
            <w:r w:rsidRPr="00175B33">
              <w:rPr>
                <w:rFonts w:ascii="Times New Roman" w:hAnsi="Times New Roman" w:cs="Times New Roman"/>
                <w:color w:val="FF0000"/>
              </w:rPr>
              <w:t>1.42</w:t>
            </w:r>
          </w:p>
        </w:tc>
        <w:tc>
          <w:tcPr>
            <w:tcW w:w="1560" w:type="dxa"/>
            <w:tcBorders>
              <w:top w:val="nil"/>
              <w:left w:val="nil"/>
              <w:bottom w:val="single" w:sz="4" w:space="0" w:color="auto"/>
              <w:right w:val="single" w:sz="4" w:space="0" w:color="auto"/>
            </w:tcBorders>
            <w:shd w:val="clear" w:color="auto" w:fill="auto"/>
            <w:noWrap/>
            <w:vAlign w:val="bottom"/>
            <w:hideMark/>
          </w:tcPr>
          <w:p w14:paraId="0510429C"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0000"/>
              </w:rPr>
            </w:pPr>
            <w:r w:rsidRPr="00175B33">
              <w:rPr>
                <w:rFonts w:ascii="Times New Roman" w:hAnsi="Times New Roman" w:cs="Times New Roman"/>
                <w:color w:val="FF0000"/>
              </w:rPr>
              <w:t>0.02</w:t>
            </w:r>
          </w:p>
        </w:tc>
      </w:tr>
      <w:tr w:rsidR="000838B7" w:rsidRPr="001B60DE" w14:paraId="75A902FB"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A925A42"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24</w:t>
            </w:r>
          </w:p>
        </w:tc>
        <w:tc>
          <w:tcPr>
            <w:tcW w:w="1559" w:type="dxa"/>
            <w:tcBorders>
              <w:top w:val="nil"/>
              <w:left w:val="nil"/>
              <w:bottom w:val="single" w:sz="4" w:space="0" w:color="auto"/>
              <w:right w:val="single" w:sz="4" w:space="0" w:color="auto"/>
            </w:tcBorders>
            <w:shd w:val="clear" w:color="auto" w:fill="auto"/>
            <w:noWrap/>
            <w:vAlign w:val="bottom"/>
            <w:hideMark/>
          </w:tcPr>
          <w:p w14:paraId="2B9D3B5E"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60%</w:t>
            </w:r>
          </w:p>
        </w:tc>
        <w:tc>
          <w:tcPr>
            <w:tcW w:w="1559" w:type="dxa"/>
            <w:tcBorders>
              <w:top w:val="nil"/>
              <w:left w:val="nil"/>
              <w:bottom w:val="single" w:sz="4" w:space="0" w:color="auto"/>
              <w:right w:val="single" w:sz="4" w:space="0" w:color="auto"/>
            </w:tcBorders>
            <w:shd w:val="clear" w:color="auto" w:fill="auto"/>
            <w:noWrap/>
            <w:vAlign w:val="bottom"/>
            <w:hideMark/>
          </w:tcPr>
          <w:p w14:paraId="49FB5120" w14:textId="77777777" w:rsidR="000838B7" w:rsidRPr="000838B7" w:rsidRDefault="000838B7" w:rsidP="00175B33">
            <w:pPr>
              <w:widowControl/>
              <w:autoSpaceDE/>
              <w:autoSpaceDN/>
              <w:adjustRightInd/>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30 months</w:t>
            </w:r>
          </w:p>
        </w:tc>
        <w:tc>
          <w:tcPr>
            <w:tcW w:w="1559" w:type="dxa"/>
            <w:tcBorders>
              <w:top w:val="nil"/>
              <w:left w:val="nil"/>
              <w:bottom w:val="single" w:sz="4" w:space="0" w:color="auto"/>
              <w:right w:val="single" w:sz="4" w:space="0" w:color="auto"/>
            </w:tcBorders>
            <w:shd w:val="clear" w:color="auto" w:fill="auto"/>
            <w:noWrap/>
            <w:vAlign w:val="bottom"/>
            <w:hideMark/>
          </w:tcPr>
          <w:p w14:paraId="49641982"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203364BF"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1.2</w:t>
            </w:r>
          </w:p>
        </w:tc>
        <w:tc>
          <w:tcPr>
            <w:tcW w:w="1560" w:type="dxa"/>
            <w:tcBorders>
              <w:top w:val="nil"/>
              <w:left w:val="nil"/>
              <w:bottom w:val="single" w:sz="4" w:space="0" w:color="auto"/>
              <w:right w:val="single" w:sz="4" w:space="0" w:color="auto"/>
            </w:tcBorders>
            <w:shd w:val="clear" w:color="auto" w:fill="auto"/>
            <w:noWrap/>
            <w:vAlign w:val="bottom"/>
            <w:hideMark/>
          </w:tcPr>
          <w:p w14:paraId="6EACC907"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0.02</w:t>
            </w:r>
          </w:p>
        </w:tc>
      </w:tr>
      <w:tr w:rsidR="000838B7" w:rsidRPr="001B60DE" w14:paraId="25E91BCF"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FE457AF"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eastAsia="Times New Roman" w:hAnsi="Times New Roman" w:cs="Times New Roman"/>
                <w:noProof w:val="0"/>
                <w:color w:val="E36C0A" w:themeColor="accent6" w:themeShade="BF"/>
              </w:rPr>
              <w:t>25</w:t>
            </w:r>
          </w:p>
        </w:tc>
        <w:tc>
          <w:tcPr>
            <w:tcW w:w="1559" w:type="dxa"/>
            <w:tcBorders>
              <w:top w:val="nil"/>
              <w:left w:val="nil"/>
              <w:bottom w:val="single" w:sz="4" w:space="0" w:color="auto"/>
              <w:right w:val="single" w:sz="4" w:space="0" w:color="auto"/>
            </w:tcBorders>
            <w:shd w:val="clear" w:color="auto" w:fill="auto"/>
            <w:noWrap/>
            <w:vAlign w:val="bottom"/>
            <w:hideMark/>
          </w:tcPr>
          <w:p w14:paraId="2604C232" w14:textId="77777777" w:rsidR="000838B7" w:rsidRPr="00175B33" w:rsidRDefault="000838B7" w:rsidP="00175B33">
            <w:pPr>
              <w:widowControl/>
              <w:autoSpaceDE/>
              <w:autoSpaceDN/>
              <w:adjustRightInd/>
              <w:rPr>
                <w:rFonts w:ascii="Times New Roman" w:eastAsia="Times New Roman" w:hAnsi="Times New Roman" w:cs="Times New Roman"/>
                <w:noProof w:val="0"/>
                <w:color w:val="E36C0A" w:themeColor="accent6" w:themeShade="BF"/>
              </w:rPr>
            </w:pPr>
            <w:r w:rsidRPr="00175B33">
              <w:rPr>
                <w:rFonts w:ascii="Times New Roman" w:eastAsia="Times New Roman" w:hAnsi="Times New Roman" w:cs="Times New Roman"/>
                <w:noProof w:val="0"/>
                <w:color w:val="E36C0A" w:themeColor="accent6" w:themeShade="BF"/>
              </w:rPr>
              <w:t>Base</w:t>
            </w:r>
          </w:p>
        </w:tc>
        <w:tc>
          <w:tcPr>
            <w:tcW w:w="1559" w:type="dxa"/>
            <w:tcBorders>
              <w:top w:val="nil"/>
              <w:left w:val="nil"/>
              <w:bottom w:val="single" w:sz="4" w:space="0" w:color="auto"/>
              <w:right w:val="single" w:sz="4" w:space="0" w:color="auto"/>
            </w:tcBorders>
            <w:shd w:val="clear" w:color="auto" w:fill="auto"/>
            <w:noWrap/>
            <w:vAlign w:val="bottom"/>
            <w:hideMark/>
          </w:tcPr>
          <w:p w14:paraId="1F9AC81D" w14:textId="77777777" w:rsidR="000838B7" w:rsidRPr="00175B33" w:rsidRDefault="000838B7" w:rsidP="00175B33">
            <w:pPr>
              <w:widowControl/>
              <w:autoSpaceDE/>
              <w:autoSpaceDN/>
              <w:adjustRightInd/>
              <w:rPr>
                <w:rFonts w:ascii="Times New Roman" w:eastAsia="Times New Roman" w:hAnsi="Times New Roman" w:cs="Times New Roman"/>
                <w:noProof w:val="0"/>
                <w:color w:val="E36C0A" w:themeColor="accent6" w:themeShade="BF"/>
              </w:rPr>
            </w:pPr>
            <w:r w:rsidRPr="00175B33">
              <w:rPr>
                <w:rFonts w:ascii="Times New Roman" w:eastAsia="Times New Roman" w:hAnsi="Times New Roman" w:cs="Times New Roman"/>
                <w:noProof w:val="0"/>
                <w:color w:val="E36C0A" w:themeColor="accent6" w:themeShade="BF"/>
              </w:rPr>
              <w:t>36 months</w:t>
            </w:r>
          </w:p>
        </w:tc>
        <w:tc>
          <w:tcPr>
            <w:tcW w:w="1559" w:type="dxa"/>
            <w:tcBorders>
              <w:top w:val="nil"/>
              <w:left w:val="nil"/>
              <w:bottom w:val="single" w:sz="4" w:space="0" w:color="auto"/>
              <w:right w:val="single" w:sz="4" w:space="0" w:color="auto"/>
            </w:tcBorders>
            <w:shd w:val="clear" w:color="auto" w:fill="auto"/>
            <w:noWrap/>
            <w:vAlign w:val="bottom"/>
            <w:hideMark/>
          </w:tcPr>
          <w:p w14:paraId="0FFBD31C"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eastAsia="Times New Roman" w:hAnsi="Times New Roman" w:cs="Times New Roman"/>
                <w:noProof w:val="0"/>
                <w:color w:val="E36C0A" w:themeColor="accent6" w:themeShade="BF"/>
              </w:rPr>
              <w:t>33</w:t>
            </w:r>
          </w:p>
        </w:tc>
        <w:tc>
          <w:tcPr>
            <w:tcW w:w="1559" w:type="dxa"/>
            <w:tcBorders>
              <w:top w:val="nil"/>
              <w:left w:val="nil"/>
              <w:bottom w:val="single" w:sz="4" w:space="0" w:color="auto"/>
              <w:right w:val="single" w:sz="4" w:space="0" w:color="auto"/>
            </w:tcBorders>
            <w:shd w:val="clear" w:color="auto" w:fill="auto"/>
            <w:noWrap/>
            <w:vAlign w:val="bottom"/>
            <w:hideMark/>
          </w:tcPr>
          <w:p w14:paraId="4ADE9317"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hAnsi="Times New Roman" w:cs="Times New Roman"/>
                <w:color w:val="E36C0A" w:themeColor="accent6" w:themeShade="BF"/>
              </w:rPr>
              <w:t>4.49</w:t>
            </w:r>
          </w:p>
        </w:tc>
        <w:tc>
          <w:tcPr>
            <w:tcW w:w="1560" w:type="dxa"/>
            <w:tcBorders>
              <w:top w:val="nil"/>
              <w:left w:val="nil"/>
              <w:bottom w:val="single" w:sz="4" w:space="0" w:color="auto"/>
              <w:right w:val="single" w:sz="4" w:space="0" w:color="auto"/>
            </w:tcBorders>
            <w:shd w:val="clear" w:color="auto" w:fill="auto"/>
            <w:noWrap/>
            <w:vAlign w:val="bottom"/>
            <w:hideMark/>
          </w:tcPr>
          <w:p w14:paraId="57BDC2DA"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hAnsi="Times New Roman" w:cs="Times New Roman"/>
                <w:color w:val="E36C0A" w:themeColor="accent6" w:themeShade="BF"/>
              </w:rPr>
              <w:t>0.06</w:t>
            </w:r>
          </w:p>
        </w:tc>
      </w:tr>
      <w:tr w:rsidR="000838B7" w:rsidRPr="001B60DE" w14:paraId="73B175A6"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ADC9C47"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943634" w:themeColor="accent2" w:themeShade="BF"/>
              </w:rPr>
            </w:pPr>
            <w:r w:rsidRPr="00175B33">
              <w:rPr>
                <w:rFonts w:ascii="Times New Roman" w:eastAsia="Times New Roman" w:hAnsi="Times New Roman" w:cs="Times New Roman"/>
                <w:noProof w:val="0"/>
                <w:color w:val="943634" w:themeColor="accent2" w:themeShade="BF"/>
              </w:rPr>
              <w:t>26</w:t>
            </w:r>
          </w:p>
        </w:tc>
        <w:tc>
          <w:tcPr>
            <w:tcW w:w="1559" w:type="dxa"/>
            <w:tcBorders>
              <w:top w:val="nil"/>
              <w:left w:val="nil"/>
              <w:bottom w:val="single" w:sz="4" w:space="0" w:color="auto"/>
              <w:right w:val="single" w:sz="4" w:space="0" w:color="auto"/>
            </w:tcBorders>
            <w:shd w:val="clear" w:color="auto" w:fill="auto"/>
            <w:noWrap/>
            <w:vAlign w:val="bottom"/>
            <w:hideMark/>
          </w:tcPr>
          <w:p w14:paraId="7C6445F4"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943634" w:themeColor="accent2" w:themeShade="BF"/>
              </w:rPr>
            </w:pPr>
            <w:r w:rsidRPr="00175B33">
              <w:rPr>
                <w:rFonts w:ascii="Times New Roman" w:eastAsia="Times New Roman" w:hAnsi="Times New Roman" w:cs="Times New Roman"/>
                <w:noProof w:val="0"/>
                <w:color w:val="943634" w:themeColor="accent2" w:themeShade="BF"/>
              </w:rPr>
              <w:t>20%</w:t>
            </w:r>
          </w:p>
        </w:tc>
        <w:tc>
          <w:tcPr>
            <w:tcW w:w="1559" w:type="dxa"/>
            <w:tcBorders>
              <w:top w:val="nil"/>
              <w:left w:val="nil"/>
              <w:bottom w:val="single" w:sz="4" w:space="0" w:color="auto"/>
              <w:right w:val="single" w:sz="4" w:space="0" w:color="auto"/>
            </w:tcBorders>
            <w:shd w:val="clear" w:color="auto" w:fill="auto"/>
            <w:noWrap/>
            <w:vAlign w:val="bottom"/>
            <w:hideMark/>
          </w:tcPr>
          <w:p w14:paraId="2DDC8CB7" w14:textId="77777777" w:rsidR="000838B7" w:rsidRPr="00175B33" w:rsidRDefault="000838B7" w:rsidP="00175B33">
            <w:pPr>
              <w:widowControl/>
              <w:autoSpaceDE/>
              <w:autoSpaceDN/>
              <w:adjustRightInd/>
              <w:rPr>
                <w:rFonts w:ascii="Times New Roman" w:eastAsia="Times New Roman" w:hAnsi="Times New Roman" w:cs="Times New Roman"/>
                <w:noProof w:val="0"/>
                <w:color w:val="943634" w:themeColor="accent2" w:themeShade="BF"/>
              </w:rPr>
            </w:pPr>
            <w:r w:rsidRPr="00175B33">
              <w:rPr>
                <w:rFonts w:ascii="Times New Roman" w:eastAsia="Times New Roman" w:hAnsi="Times New Roman" w:cs="Times New Roman"/>
                <w:noProof w:val="0"/>
                <w:color w:val="943634" w:themeColor="accent2" w:themeShade="BF"/>
              </w:rPr>
              <w:t>36 months</w:t>
            </w:r>
          </w:p>
        </w:tc>
        <w:tc>
          <w:tcPr>
            <w:tcW w:w="1559" w:type="dxa"/>
            <w:tcBorders>
              <w:top w:val="nil"/>
              <w:left w:val="nil"/>
              <w:bottom w:val="single" w:sz="4" w:space="0" w:color="auto"/>
              <w:right w:val="single" w:sz="4" w:space="0" w:color="auto"/>
            </w:tcBorders>
            <w:shd w:val="clear" w:color="auto" w:fill="auto"/>
            <w:noWrap/>
            <w:vAlign w:val="bottom"/>
            <w:hideMark/>
          </w:tcPr>
          <w:p w14:paraId="010F11B1"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943634" w:themeColor="accent2" w:themeShade="BF"/>
              </w:rPr>
            </w:pPr>
            <w:r w:rsidRPr="00175B33">
              <w:rPr>
                <w:rFonts w:ascii="Times New Roman" w:eastAsia="Times New Roman" w:hAnsi="Times New Roman" w:cs="Times New Roman"/>
                <w:noProof w:val="0"/>
                <w:color w:val="943634" w:themeColor="accent2" w:themeShade="BF"/>
              </w:rPr>
              <w:t>48</w:t>
            </w:r>
          </w:p>
        </w:tc>
        <w:tc>
          <w:tcPr>
            <w:tcW w:w="1559" w:type="dxa"/>
            <w:tcBorders>
              <w:top w:val="nil"/>
              <w:left w:val="nil"/>
              <w:bottom w:val="single" w:sz="4" w:space="0" w:color="auto"/>
              <w:right w:val="single" w:sz="4" w:space="0" w:color="auto"/>
            </w:tcBorders>
            <w:shd w:val="clear" w:color="auto" w:fill="auto"/>
            <w:noWrap/>
            <w:vAlign w:val="bottom"/>
            <w:hideMark/>
          </w:tcPr>
          <w:p w14:paraId="3A26522C"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943634" w:themeColor="accent2" w:themeShade="BF"/>
              </w:rPr>
            </w:pPr>
            <w:r w:rsidRPr="00175B33">
              <w:rPr>
                <w:rFonts w:ascii="Times New Roman" w:hAnsi="Times New Roman" w:cs="Times New Roman"/>
                <w:color w:val="943634" w:themeColor="accent2" w:themeShade="BF"/>
              </w:rPr>
              <w:t>3.5</w:t>
            </w:r>
          </w:p>
        </w:tc>
        <w:tc>
          <w:tcPr>
            <w:tcW w:w="1560" w:type="dxa"/>
            <w:tcBorders>
              <w:top w:val="nil"/>
              <w:left w:val="nil"/>
              <w:bottom w:val="single" w:sz="4" w:space="0" w:color="auto"/>
              <w:right w:val="single" w:sz="4" w:space="0" w:color="auto"/>
            </w:tcBorders>
            <w:shd w:val="clear" w:color="auto" w:fill="auto"/>
            <w:noWrap/>
            <w:vAlign w:val="bottom"/>
            <w:hideMark/>
          </w:tcPr>
          <w:p w14:paraId="6B2B3587"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943634" w:themeColor="accent2" w:themeShade="BF"/>
              </w:rPr>
            </w:pPr>
            <w:r w:rsidRPr="00175B33">
              <w:rPr>
                <w:rFonts w:ascii="Times New Roman" w:hAnsi="Times New Roman" w:cs="Times New Roman"/>
                <w:color w:val="943634" w:themeColor="accent2" w:themeShade="BF"/>
              </w:rPr>
              <w:t>0.05</w:t>
            </w:r>
          </w:p>
        </w:tc>
      </w:tr>
      <w:tr w:rsidR="000838B7" w:rsidRPr="001B60DE" w14:paraId="500F38C5"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9FB5A03"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B2A1C7" w:themeColor="accent4" w:themeTint="99"/>
              </w:rPr>
            </w:pPr>
            <w:r w:rsidRPr="00175B33">
              <w:rPr>
                <w:rFonts w:ascii="Times New Roman" w:eastAsia="Times New Roman" w:hAnsi="Times New Roman" w:cs="Times New Roman"/>
                <w:noProof w:val="0"/>
                <w:color w:val="B2A1C7" w:themeColor="accent4" w:themeTint="99"/>
              </w:rPr>
              <w:t>27</w:t>
            </w:r>
          </w:p>
        </w:tc>
        <w:tc>
          <w:tcPr>
            <w:tcW w:w="1559" w:type="dxa"/>
            <w:tcBorders>
              <w:top w:val="nil"/>
              <w:left w:val="nil"/>
              <w:bottom w:val="single" w:sz="4" w:space="0" w:color="auto"/>
              <w:right w:val="single" w:sz="4" w:space="0" w:color="auto"/>
            </w:tcBorders>
            <w:shd w:val="clear" w:color="auto" w:fill="auto"/>
            <w:noWrap/>
            <w:vAlign w:val="bottom"/>
            <w:hideMark/>
          </w:tcPr>
          <w:p w14:paraId="3AB916E8"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B2A1C7" w:themeColor="accent4" w:themeTint="99"/>
              </w:rPr>
            </w:pPr>
            <w:r w:rsidRPr="00175B33">
              <w:rPr>
                <w:rFonts w:ascii="Times New Roman" w:eastAsia="Times New Roman" w:hAnsi="Times New Roman" w:cs="Times New Roman"/>
                <w:noProof w:val="0"/>
                <w:color w:val="B2A1C7" w:themeColor="accent4" w:themeTint="99"/>
              </w:rPr>
              <w:t>30%</w:t>
            </w:r>
          </w:p>
        </w:tc>
        <w:tc>
          <w:tcPr>
            <w:tcW w:w="1559" w:type="dxa"/>
            <w:tcBorders>
              <w:top w:val="nil"/>
              <w:left w:val="nil"/>
              <w:bottom w:val="single" w:sz="4" w:space="0" w:color="auto"/>
              <w:right w:val="single" w:sz="4" w:space="0" w:color="auto"/>
            </w:tcBorders>
            <w:shd w:val="clear" w:color="auto" w:fill="auto"/>
            <w:noWrap/>
            <w:vAlign w:val="bottom"/>
            <w:hideMark/>
          </w:tcPr>
          <w:p w14:paraId="69B098D2" w14:textId="77777777" w:rsidR="000838B7" w:rsidRPr="00175B33" w:rsidRDefault="000838B7" w:rsidP="00175B33">
            <w:pPr>
              <w:widowControl/>
              <w:autoSpaceDE/>
              <w:autoSpaceDN/>
              <w:adjustRightInd/>
              <w:rPr>
                <w:rFonts w:ascii="Times New Roman" w:eastAsia="Times New Roman" w:hAnsi="Times New Roman" w:cs="Times New Roman"/>
                <w:noProof w:val="0"/>
                <w:color w:val="B2A1C7" w:themeColor="accent4" w:themeTint="99"/>
              </w:rPr>
            </w:pPr>
            <w:r w:rsidRPr="00175B33">
              <w:rPr>
                <w:rFonts w:ascii="Times New Roman" w:eastAsia="Times New Roman" w:hAnsi="Times New Roman" w:cs="Times New Roman"/>
                <w:noProof w:val="0"/>
                <w:color w:val="B2A1C7" w:themeColor="accent4" w:themeTint="99"/>
              </w:rPr>
              <w:t>36 months</w:t>
            </w:r>
          </w:p>
        </w:tc>
        <w:tc>
          <w:tcPr>
            <w:tcW w:w="1559" w:type="dxa"/>
            <w:tcBorders>
              <w:top w:val="nil"/>
              <w:left w:val="nil"/>
              <w:bottom w:val="single" w:sz="4" w:space="0" w:color="auto"/>
              <w:right w:val="single" w:sz="4" w:space="0" w:color="auto"/>
            </w:tcBorders>
            <w:shd w:val="clear" w:color="auto" w:fill="auto"/>
            <w:noWrap/>
            <w:vAlign w:val="bottom"/>
            <w:hideMark/>
          </w:tcPr>
          <w:p w14:paraId="36E3A8A0"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B2A1C7" w:themeColor="accent4" w:themeTint="99"/>
              </w:rPr>
            </w:pPr>
            <w:r w:rsidRPr="00175B33">
              <w:rPr>
                <w:rFonts w:ascii="Times New Roman" w:eastAsia="Times New Roman" w:hAnsi="Times New Roman" w:cs="Times New Roman"/>
                <w:noProof w:val="0"/>
                <w:color w:val="B2A1C7" w:themeColor="accent4" w:themeTint="99"/>
              </w:rPr>
              <w:t>72</w:t>
            </w:r>
          </w:p>
        </w:tc>
        <w:tc>
          <w:tcPr>
            <w:tcW w:w="1559" w:type="dxa"/>
            <w:tcBorders>
              <w:top w:val="nil"/>
              <w:left w:val="nil"/>
              <w:bottom w:val="single" w:sz="4" w:space="0" w:color="auto"/>
              <w:right w:val="single" w:sz="4" w:space="0" w:color="auto"/>
            </w:tcBorders>
            <w:shd w:val="clear" w:color="auto" w:fill="auto"/>
            <w:noWrap/>
            <w:vAlign w:val="bottom"/>
            <w:hideMark/>
          </w:tcPr>
          <w:p w14:paraId="56C8D106"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B2A1C7" w:themeColor="accent4" w:themeTint="99"/>
              </w:rPr>
            </w:pPr>
            <w:r w:rsidRPr="00175B33">
              <w:rPr>
                <w:rFonts w:ascii="Times New Roman" w:hAnsi="Times New Roman" w:cs="Times New Roman"/>
                <w:color w:val="B2A1C7" w:themeColor="accent4" w:themeTint="99"/>
              </w:rPr>
              <w:t>2.25</w:t>
            </w:r>
          </w:p>
        </w:tc>
        <w:tc>
          <w:tcPr>
            <w:tcW w:w="1560" w:type="dxa"/>
            <w:tcBorders>
              <w:top w:val="nil"/>
              <w:left w:val="nil"/>
              <w:bottom w:val="single" w:sz="4" w:space="0" w:color="auto"/>
              <w:right w:val="single" w:sz="4" w:space="0" w:color="auto"/>
            </w:tcBorders>
            <w:shd w:val="clear" w:color="auto" w:fill="auto"/>
            <w:noWrap/>
            <w:vAlign w:val="bottom"/>
            <w:hideMark/>
          </w:tcPr>
          <w:p w14:paraId="7107B748"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B2A1C7" w:themeColor="accent4" w:themeTint="99"/>
              </w:rPr>
            </w:pPr>
            <w:r w:rsidRPr="00175B33">
              <w:rPr>
                <w:rFonts w:ascii="Times New Roman" w:hAnsi="Times New Roman" w:cs="Times New Roman"/>
                <w:color w:val="B2A1C7" w:themeColor="accent4" w:themeTint="99"/>
              </w:rPr>
              <w:t>0.03</w:t>
            </w:r>
          </w:p>
        </w:tc>
      </w:tr>
      <w:tr w:rsidR="000838B7" w:rsidRPr="001B60DE" w14:paraId="51A535C3"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301C1E5"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eastAsia="Times New Roman" w:hAnsi="Times New Roman" w:cs="Times New Roman"/>
                <w:noProof w:val="0"/>
                <w:color w:val="7030A0"/>
              </w:rPr>
              <w:t>28</w:t>
            </w:r>
          </w:p>
        </w:tc>
        <w:tc>
          <w:tcPr>
            <w:tcW w:w="1559" w:type="dxa"/>
            <w:tcBorders>
              <w:top w:val="nil"/>
              <w:left w:val="nil"/>
              <w:bottom w:val="single" w:sz="4" w:space="0" w:color="auto"/>
              <w:right w:val="single" w:sz="4" w:space="0" w:color="auto"/>
            </w:tcBorders>
            <w:shd w:val="clear" w:color="auto" w:fill="auto"/>
            <w:noWrap/>
            <w:vAlign w:val="bottom"/>
            <w:hideMark/>
          </w:tcPr>
          <w:p w14:paraId="25785059"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eastAsia="Times New Roman" w:hAnsi="Times New Roman" w:cs="Times New Roman"/>
                <w:noProof w:val="0"/>
                <w:color w:val="7030A0"/>
              </w:rPr>
              <w:t>40%</w:t>
            </w:r>
          </w:p>
        </w:tc>
        <w:tc>
          <w:tcPr>
            <w:tcW w:w="1559" w:type="dxa"/>
            <w:tcBorders>
              <w:top w:val="nil"/>
              <w:left w:val="nil"/>
              <w:bottom w:val="single" w:sz="4" w:space="0" w:color="auto"/>
              <w:right w:val="single" w:sz="4" w:space="0" w:color="auto"/>
            </w:tcBorders>
            <w:shd w:val="clear" w:color="auto" w:fill="auto"/>
            <w:noWrap/>
            <w:vAlign w:val="bottom"/>
            <w:hideMark/>
          </w:tcPr>
          <w:p w14:paraId="13AF3E60" w14:textId="77777777" w:rsidR="000838B7" w:rsidRPr="00175B33" w:rsidRDefault="000838B7" w:rsidP="00175B33">
            <w:pPr>
              <w:widowControl/>
              <w:autoSpaceDE/>
              <w:autoSpaceDN/>
              <w:adjustRightInd/>
              <w:rPr>
                <w:rFonts w:ascii="Times New Roman" w:eastAsia="Times New Roman" w:hAnsi="Times New Roman" w:cs="Times New Roman"/>
                <w:noProof w:val="0"/>
                <w:color w:val="7030A0"/>
              </w:rPr>
            </w:pPr>
            <w:r w:rsidRPr="00175B33">
              <w:rPr>
                <w:rFonts w:ascii="Times New Roman" w:eastAsia="Times New Roman" w:hAnsi="Times New Roman" w:cs="Times New Roman"/>
                <w:noProof w:val="0"/>
                <w:color w:val="7030A0"/>
              </w:rPr>
              <w:t>36 months</w:t>
            </w:r>
          </w:p>
        </w:tc>
        <w:tc>
          <w:tcPr>
            <w:tcW w:w="1559" w:type="dxa"/>
            <w:tcBorders>
              <w:top w:val="nil"/>
              <w:left w:val="nil"/>
              <w:bottom w:val="single" w:sz="4" w:space="0" w:color="auto"/>
              <w:right w:val="single" w:sz="4" w:space="0" w:color="auto"/>
            </w:tcBorders>
            <w:shd w:val="clear" w:color="auto" w:fill="auto"/>
            <w:noWrap/>
            <w:vAlign w:val="bottom"/>
            <w:hideMark/>
          </w:tcPr>
          <w:p w14:paraId="44F8ACC3"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eastAsia="Times New Roman" w:hAnsi="Times New Roman" w:cs="Times New Roman"/>
                <w:noProof w:val="0"/>
                <w:color w:val="7030A0"/>
              </w:rPr>
              <w:t>89</w:t>
            </w:r>
          </w:p>
        </w:tc>
        <w:tc>
          <w:tcPr>
            <w:tcW w:w="1559" w:type="dxa"/>
            <w:tcBorders>
              <w:top w:val="nil"/>
              <w:left w:val="nil"/>
              <w:bottom w:val="single" w:sz="4" w:space="0" w:color="auto"/>
              <w:right w:val="single" w:sz="4" w:space="0" w:color="auto"/>
            </w:tcBorders>
            <w:shd w:val="clear" w:color="auto" w:fill="auto"/>
            <w:noWrap/>
            <w:vAlign w:val="bottom"/>
            <w:hideMark/>
          </w:tcPr>
          <w:p w14:paraId="13087E0C"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hAnsi="Times New Roman" w:cs="Times New Roman"/>
                <w:color w:val="7030A0"/>
              </w:rPr>
              <w:t>1.56</w:t>
            </w:r>
          </w:p>
        </w:tc>
        <w:tc>
          <w:tcPr>
            <w:tcW w:w="1560" w:type="dxa"/>
            <w:tcBorders>
              <w:top w:val="nil"/>
              <w:left w:val="nil"/>
              <w:bottom w:val="single" w:sz="4" w:space="0" w:color="auto"/>
              <w:right w:val="single" w:sz="4" w:space="0" w:color="auto"/>
            </w:tcBorders>
            <w:shd w:val="clear" w:color="auto" w:fill="auto"/>
            <w:noWrap/>
            <w:vAlign w:val="bottom"/>
            <w:hideMark/>
          </w:tcPr>
          <w:p w14:paraId="47D85798"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hAnsi="Times New Roman" w:cs="Times New Roman"/>
                <w:color w:val="7030A0"/>
              </w:rPr>
              <w:t>0.02</w:t>
            </w:r>
          </w:p>
        </w:tc>
      </w:tr>
      <w:tr w:rsidR="000838B7" w:rsidRPr="001B60DE" w14:paraId="5761FE18"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A0C67FC"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29</w:t>
            </w:r>
          </w:p>
        </w:tc>
        <w:tc>
          <w:tcPr>
            <w:tcW w:w="1559" w:type="dxa"/>
            <w:tcBorders>
              <w:top w:val="nil"/>
              <w:left w:val="nil"/>
              <w:bottom w:val="single" w:sz="4" w:space="0" w:color="auto"/>
              <w:right w:val="single" w:sz="4" w:space="0" w:color="auto"/>
            </w:tcBorders>
            <w:shd w:val="clear" w:color="auto" w:fill="auto"/>
            <w:noWrap/>
            <w:vAlign w:val="bottom"/>
            <w:hideMark/>
          </w:tcPr>
          <w:p w14:paraId="58FE08D6"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50%</w:t>
            </w:r>
          </w:p>
        </w:tc>
        <w:tc>
          <w:tcPr>
            <w:tcW w:w="1559" w:type="dxa"/>
            <w:tcBorders>
              <w:top w:val="nil"/>
              <w:left w:val="nil"/>
              <w:bottom w:val="single" w:sz="4" w:space="0" w:color="auto"/>
              <w:right w:val="single" w:sz="4" w:space="0" w:color="auto"/>
            </w:tcBorders>
            <w:shd w:val="clear" w:color="auto" w:fill="auto"/>
            <w:noWrap/>
            <w:vAlign w:val="bottom"/>
            <w:hideMark/>
          </w:tcPr>
          <w:p w14:paraId="24A5CEDD" w14:textId="77777777" w:rsidR="000838B7" w:rsidRPr="000838B7" w:rsidRDefault="000838B7" w:rsidP="00175B33">
            <w:pPr>
              <w:widowControl/>
              <w:autoSpaceDE/>
              <w:autoSpaceDN/>
              <w:adjustRightInd/>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36 months</w:t>
            </w:r>
          </w:p>
        </w:tc>
        <w:tc>
          <w:tcPr>
            <w:tcW w:w="1559" w:type="dxa"/>
            <w:tcBorders>
              <w:top w:val="nil"/>
              <w:left w:val="nil"/>
              <w:bottom w:val="single" w:sz="4" w:space="0" w:color="auto"/>
              <w:right w:val="single" w:sz="4" w:space="0" w:color="auto"/>
            </w:tcBorders>
            <w:shd w:val="clear" w:color="auto" w:fill="auto"/>
            <w:noWrap/>
            <w:vAlign w:val="bottom"/>
            <w:hideMark/>
          </w:tcPr>
          <w:p w14:paraId="07FDB4F4"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2B139EC0"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1.27</w:t>
            </w:r>
          </w:p>
        </w:tc>
        <w:tc>
          <w:tcPr>
            <w:tcW w:w="1560" w:type="dxa"/>
            <w:tcBorders>
              <w:top w:val="nil"/>
              <w:left w:val="nil"/>
              <w:bottom w:val="single" w:sz="4" w:space="0" w:color="auto"/>
              <w:right w:val="single" w:sz="4" w:space="0" w:color="auto"/>
            </w:tcBorders>
            <w:shd w:val="clear" w:color="auto" w:fill="auto"/>
            <w:noWrap/>
            <w:vAlign w:val="bottom"/>
            <w:hideMark/>
          </w:tcPr>
          <w:p w14:paraId="2ABE08BD"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0.02</w:t>
            </w:r>
          </w:p>
        </w:tc>
      </w:tr>
      <w:tr w:rsidR="000838B7" w:rsidRPr="001B60DE" w14:paraId="5E0343C4"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55DCAD7"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5A3B7810"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60%</w:t>
            </w:r>
          </w:p>
        </w:tc>
        <w:tc>
          <w:tcPr>
            <w:tcW w:w="1559" w:type="dxa"/>
            <w:tcBorders>
              <w:top w:val="nil"/>
              <w:left w:val="nil"/>
              <w:bottom w:val="single" w:sz="4" w:space="0" w:color="auto"/>
              <w:right w:val="single" w:sz="4" w:space="0" w:color="auto"/>
            </w:tcBorders>
            <w:shd w:val="clear" w:color="auto" w:fill="auto"/>
            <w:noWrap/>
            <w:vAlign w:val="bottom"/>
            <w:hideMark/>
          </w:tcPr>
          <w:p w14:paraId="3679F579" w14:textId="77777777" w:rsidR="000838B7" w:rsidRPr="000838B7" w:rsidRDefault="000838B7" w:rsidP="00175B33">
            <w:pPr>
              <w:widowControl/>
              <w:autoSpaceDE/>
              <w:autoSpaceDN/>
              <w:adjustRightInd/>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36 months</w:t>
            </w:r>
          </w:p>
        </w:tc>
        <w:tc>
          <w:tcPr>
            <w:tcW w:w="1559" w:type="dxa"/>
            <w:tcBorders>
              <w:top w:val="nil"/>
              <w:left w:val="nil"/>
              <w:bottom w:val="single" w:sz="4" w:space="0" w:color="auto"/>
              <w:right w:val="single" w:sz="4" w:space="0" w:color="auto"/>
            </w:tcBorders>
            <w:shd w:val="clear" w:color="auto" w:fill="auto"/>
            <w:noWrap/>
            <w:vAlign w:val="bottom"/>
            <w:hideMark/>
          </w:tcPr>
          <w:p w14:paraId="7FCAFFDD"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29C6CA7B"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1.2</w:t>
            </w:r>
          </w:p>
        </w:tc>
        <w:tc>
          <w:tcPr>
            <w:tcW w:w="1560" w:type="dxa"/>
            <w:tcBorders>
              <w:top w:val="nil"/>
              <w:left w:val="nil"/>
              <w:bottom w:val="single" w:sz="4" w:space="0" w:color="auto"/>
              <w:right w:val="single" w:sz="4" w:space="0" w:color="auto"/>
            </w:tcBorders>
            <w:shd w:val="clear" w:color="auto" w:fill="auto"/>
            <w:noWrap/>
            <w:vAlign w:val="bottom"/>
            <w:hideMark/>
          </w:tcPr>
          <w:p w14:paraId="4A529AA3"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0.02</w:t>
            </w:r>
          </w:p>
        </w:tc>
      </w:tr>
      <w:tr w:rsidR="000838B7" w:rsidRPr="001B60DE" w14:paraId="44DD15C3"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E4BAD44"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eastAsia="Times New Roman" w:hAnsi="Times New Roman" w:cs="Times New Roman"/>
                <w:noProof w:val="0"/>
                <w:color w:val="E36C0A" w:themeColor="accent6" w:themeShade="BF"/>
              </w:rPr>
              <w:t>31</w:t>
            </w:r>
          </w:p>
        </w:tc>
        <w:tc>
          <w:tcPr>
            <w:tcW w:w="1559" w:type="dxa"/>
            <w:tcBorders>
              <w:top w:val="nil"/>
              <w:left w:val="nil"/>
              <w:bottom w:val="single" w:sz="4" w:space="0" w:color="auto"/>
              <w:right w:val="single" w:sz="4" w:space="0" w:color="auto"/>
            </w:tcBorders>
            <w:shd w:val="clear" w:color="auto" w:fill="auto"/>
            <w:noWrap/>
            <w:vAlign w:val="bottom"/>
            <w:hideMark/>
          </w:tcPr>
          <w:p w14:paraId="7842D53A" w14:textId="77777777" w:rsidR="000838B7" w:rsidRPr="00175B33" w:rsidRDefault="000838B7" w:rsidP="00175B33">
            <w:pPr>
              <w:widowControl/>
              <w:autoSpaceDE/>
              <w:autoSpaceDN/>
              <w:adjustRightInd/>
              <w:rPr>
                <w:rFonts w:ascii="Times New Roman" w:eastAsia="Times New Roman" w:hAnsi="Times New Roman" w:cs="Times New Roman"/>
                <w:noProof w:val="0"/>
                <w:color w:val="E36C0A" w:themeColor="accent6" w:themeShade="BF"/>
              </w:rPr>
            </w:pPr>
            <w:r w:rsidRPr="00175B33">
              <w:rPr>
                <w:rFonts w:ascii="Times New Roman" w:eastAsia="Times New Roman" w:hAnsi="Times New Roman" w:cs="Times New Roman"/>
                <w:noProof w:val="0"/>
                <w:color w:val="E36C0A" w:themeColor="accent6" w:themeShade="BF"/>
              </w:rPr>
              <w:t>Base</w:t>
            </w:r>
          </w:p>
        </w:tc>
        <w:tc>
          <w:tcPr>
            <w:tcW w:w="1559" w:type="dxa"/>
            <w:tcBorders>
              <w:top w:val="nil"/>
              <w:left w:val="nil"/>
              <w:bottom w:val="single" w:sz="4" w:space="0" w:color="auto"/>
              <w:right w:val="single" w:sz="4" w:space="0" w:color="auto"/>
            </w:tcBorders>
            <w:shd w:val="clear" w:color="auto" w:fill="auto"/>
            <w:noWrap/>
            <w:vAlign w:val="bottom"/>
            <w:hideMark/>
          </w:tcPr>
          <w:p w14:paraId="36FB15DF" w14:textId="77777777" w:rsidR="000838B7" w:rsidRPr="00175B33" w:rsidRDefault="000838B7" w:rsidP="00175B33">
            <w:pPr>
              <w:widowControl/>
              <w:autoSpaceDE/>
              <w:autoSpaceDN/>
              <w:adjustRightInd/>
              <w:rPr>
                <w:rFonts w:ascii="Times New Roman" w:eastAsia="Times New Roman" w:hAnsi="Times New Roman" w:cs="Times New Roman"/>
                <w:noProof w:val="0"/>
                <w:color w:val="E36C0A" w:themeColor="accent6" w:themeShade="BF"/>
              </w:rPr>
            </w:pPr>
            <w:r w:rsidRPr="00175B33">
              <w:rPr>
                <w:rFonts w:ascii="Times New Roman" w:eastAsia="Times New Roman" w:hAnsi="Times New Roman" w:cs="Times New Roman"/>
                <w:noProof w:val="0"/>
                <w:color w:val="E36C0A" w:themeColor="accent6" w:themeShade="BF"/>
              </w:rPr>
              <w:t>42 months</w:t>
            </w:r>
          </w:p>
        </w:tc>
        <w:tc>
          <w:tcPr>
            <w:tcW w:w="1559" w:type="dxa"/>
            <w:tcBorders>
              <w:top w:val="nil"/>
              <w:left w:val="nil"/>
              <w:bottom w:val="single" w:sz="4" w:space="0" w:color="auto"/>
              <w:right w:val="single" w:sz="4" w:space="0" w:color="auto"/>
            </w:tcBorders>
            <w:shd w:val="clear" w:color="auto" w:fill="auto"/>
            <w:noWrap/>
            <w:vAlign w:val="bottom"/>
            <w:hideMark/>
          </w:tcPr>
          <w:p w14:paraId="5982D2F8"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eastAsia="Times New Roman" w:hAnsi="Times New Roman" w:cs="Times New Roman"/>
                <w:noProof w:val="0"/>
                <w:color w:val="E36C0A" w:themeColor="accent6" w:themeShade="BF"/>
              </w:rPr>
              <w:t>36</w:t>
            </w:r>
          </w:p>
        </w:tc>
        <w:tc>
          <w:tcPr>
            <w:tcW w:w="1559" w:type="dxa"/>
            <w:tcBorders>
              <w:top w:val="nil"/>
              <w:left w:val="nil"/>
              <w:bottom w:val="single" w:sz="4" w:space="0" w:color="auto"/>
              <w:right w:val="single" w:sz="4" w:space="0" w:color="auto"/>
            </w:tcBorders>
            <w:shd w:val="clear" w:color="auto" w:fill="auto"/>
            <w:noWrap/>
            <w:vAlign w:val="bottom"/>
            <w:hideMark/>
          </w:tcPr>
          <w:p w14:paraId="0AE44E76"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hAnsi="Times New Roman" w:cs="Times New Roman"/>
                <w:color w:val="E36C0A" w:themeColor="accent6" w:themeShade="BF"/>
              </w:rPr>
              <w:t>4.18</w:t>
            </w:r>
          </w:p>
        </w:tc>
        <w:tc>
          <w:tcPr>
            <w:tcW w:w="1560" w:type="dxa"/>
            <w:tcBorders>
              <w:top w:val="nil"/>
              <w:left w:val="nil"/>
              <w:bottom w:val="single" w:sz="4" w:space="0" w:color="auto"/>
              <w:right w:val="single" w:sz="4" w:space="0" w:color="auto"/>
            </w:tcBorders>
            <w:shd w:val="clear" w:color="auto" w:fill="auto"/>
            <w:noWrap/>
            <w:vAlign w:val="bottom"/>
            <w:hideMark/>
          </w:tcPr>
          <w:p w14:paraId="73A2BA97"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hAnsi="Times New Roman" w:cs="Times New Roman"/>
                <w:color w:val="E36C0A" w:themeColor="accent6" w:themeShade="BF"/>
              </w:rPr>
              <w:t>0.06</w:t>
            </w:r>
          </w:p>
        </w:tc>
      </w:tr>
      <w:tr w:rsidR="000838B7" w:rsidRPr="001B60DE" w14:paraId="19A79072"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098AAAF"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eastAsia="Times New Roman" w:hAnsi="Times New Roman" w:cs="Times New Roman"/>
                <w:noProof w:val="0"/>
                <w:color w:val="31849B" w:themeColor="accent5" w:themeShade="BF"/>
              </w:rPr>
              <w:t>32</w:t>
            </w:r>
          </w:p>
        </w:tc>
        <w:tc>
          <w:tcPr>
            <w:tcW w:w="1559" w:type="dxa"/>
            <w:tcBorders>
              <w:top w:val="nil"/>
              <w:left w:val="nil"/>
              <w:bottom w:val="single" w:sz="4" w:space="0" w:color="auto"/>
              <w:right w:val="single" w:sz="4" w:space="0" w:color="auto"/>
            </w:tcBorders>
            <w:shd w:val="clear" w:color="auto" w:fill="auto"/>
            <w:noWrap/>
            <w:vAlign w:val="bottom"/>
            <w:hideMark/>
          </w:tcPr>
          <w:p w14:paraId="2BD8FB67"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eastAsia="Times New Roman" w:hAnsi="Times New Roman" w:cs="Times New Roman"/>
                <w:noProof w:val="0"/>
                <w:color w:val="31849B" w:themeColor="accent5" w:themeShade="BF"/>
              </w:rPr>
              <w:t>20%</w:t>
            </w:r>
          </w:p>
        </w:tc>
        <w:tc>
          <w:tcPr>
            <w:tcW w:w="1559" w:type="dxa"/>
            <w:tcBorders>
              <w:top w:val="nil"/>
              <w:left w:val="nil"/>
              <w:bottom w:val="single" w:sz="4" w:space="0" w:color="auto"/>
              <w:right w:val="single" w:sz="4" w:space="0" w:color="auto"/>
            </w:tcBorders>
            <w:shd w:val="clear" w:color="auto" w:fill="auto"/>
            <w:noWrap/>
            <w:vAlign w:val="bottom"/>
            <w:hideMark/>
          </w:tcPr>
          <w:p w14:paraId="3E3173C3" w14:textId="77777777" w:rsidR="000838B7" w:rsidRPr="00175B33" w:rsidRDefault="000838B7" w:rsidP="00175B33">
            <w:pPr>
              <w:widowControl/>
              <w:autoSpaceDE/>
              <w:autoSpaceDN/>
              <w:adjustRightInd/>
              <w:rPr>
                <w:rFonts w:ascii="Times New Roman" w:eastAsia="Times New Roman" w:hAnsi="Times New Roman" w:cs="Times New Roman"/>
                <w:noProof w:val="0"/>
                <w:color w:val="31849B" w:themeColor="accent5" w:themeShade="BF"/>
              </w:rPr>
            </w:pPr>
            <w:r w:rsidRPr="00175B33">
              <w:rPr>
                <w:rFonts w:ascii="Times New Roman" w:eastAsia="Times New Roman" w:hAnsi="Times New Roman" w:cs="Times New Roman"/>
                <w:noProof w:val="0"/>
                <w:color w:val="31849B" w:themeColor="accent5" w:themeShade="BF"/>
              </w:rPr>
              <w:t>42 months</w:t>
            </w:r>
          </w:p>
        </w:tc>
        <w:tc>
          <w:tcPr>
            <w:tcW w:w="1559" w:type="dxa"/>
            <w:tcBorders>
              <w:top w:val="nil"/>
              <w:left w:val="nil"/>
              <w:bottom w:val="single" w:sz="4" w:space="0" w:color="auto"/>
              <w:right w:val="single" w:sz="4" w:space="0" w:color="auto"/>
            </w:tcBorders>
            <w:shd w:val="clear" w:color="auto" w:fill="auto"/>
            <w:noWrap/>
            <w:vAlign w:val="bottom"/>
            <w:hideMark/>
          </w:tcPr>
          <w:p w14:paraId="0A32D569"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eastAsia="Times New Roman" w:hAnsi="Times New Roman" w:cs="Times New Roman"/>
                <w:noProof w:val="0"/>
                <w:color w:val="31849B" w:themeColor="accent5" w:themeShade="BF"/>
              </w:rPr>
              <w:t>54</w:t>
            </w:r>
          </w:p>
        </w:tc>
        <w:tc>
          <w:tcPr>
            <w:tcW w:w="1559" w:type="dxa"/>
            <w:tcBorders>
              <w:top w:val="nil"/>
              <w:left w:val="nil"/>
              <w:bottom w:val="single" w:sz="4" w:space="0" w:color="auto"/>
              <w:right w:val="single" w:sz="4" w:space="0" w:color="auto"/>
            </w:tcBorders>
            <w:shd w:val="clear" w:color="auto" w:fill="auto"/>
            <w:noWrap/>
            <w:vAlign w:val="bottom"/>
            <w:hideMark/>
          </w:tcPr>
          <w:p w14:paraId="5B31E141"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hAnsi="Times New Roman" w:cs="Times New Roman"/>
                <w:color w:val="31849B" w:themeColor="accent5" w:themeShade="BF"/>
              </w:rPr>
              <w:t>3.25</w:t>
            </w:r>
          </w:p>
        </w:tc>
        <w:tc>
          <w:tcPr>
            <w:tcW w:w="1560" w:type="dxa"/>
            <w:tcBorders>
              <w:top w:val="nil"/>
              <w:left w:val="nil"/>
              <w:bottom w:val="single" w:sz="4" w:space="0" w:color="auto"/>
              <w:right w:val="single" w:sz="4" w:space="0" w:color="auto"/>
            </w:tcBorders>
            <w:shd w:val="clear" w:color="auto" w:fill="auto"/>
            <w:noWrap/>
            <w:vAlign w:val="bottom"/>
            <w:hideMark/>
          </w:tcPr>
          <w:p w14:paraId="239B58BA"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hAnsi="Times New Roman" w:cs="Times New Roman"/>
                <w:color w:val="31849B" w:themeColor="accent5" w:themeShade="BF"/>
              </w:rPr>
              <w:t>0.05</w:t>
            </w:r>
          </w:p>
        </w:tc>
      </w:tr>
      <w:tr w:rsidR="000838B7" w:rsidRPr="001B60DE" w14:paraId="36FFEBDB"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C5D13B8"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B2A1C7" w:themeColor="accent4" w:themeTint="99"/>
              </w:rPr>
            </w:pPr>
            <w:r w:rsidRPr="00175B33">
              <w:rPr>
                <w:rFonts w:ascii="Times New Roman" w:eastAsia="Times New Roman" w:hAnsi="Times New Roman" w:cs="Times New Roman"/>
                <w:noProof w:val="0"/>
                <w:color w:val="B2A1C7" w:themeColor="accent4" w:themeTint="99"/>
              </w:rPr>
              <w:t>33</w:t>
            </w:r>
          </w:p>
        </w:tc>
        <w:tc>
          <w:tcPr>
            <w:tcW w:w="1559" w:type="dxa"/>
            <w:tcBorders>
              <w:top w:val="nil"/>
              <w:left w:val="nil"/>
              <w:bottom w:val="single" w:sz="4" w:space="0" w:color="auto"/>
              <w:right w:val="single" w:sz="4" w:space="0" w:color="auto"/>
            </w:tcBorders>
            <w:shd w:val="clear" w:color="auto" w:fill="auto"/>
            <w:noWrap/>
            <w:vAlign w:val="bottom"/>
            <w:hideMark/>
          </w:tcPr>
          <w:p w14:paraId="29CA5D6D"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B2A1C7" w:themeColor="accent4" w:themeTint="99"/>
              </w:rPr>
            </w:pPr>
            <w:r w:rsidRPr="00175B33">
              <w:rPr>
                <w:rFonts w:ascii="Times New Roman" w:eastAsia="Times New Roman" w:hAnsi="Times New Roman" w:cs="Times New Roman"/>
                <w:noProof w:val="0"/>
                <w:color w:val="B2A1C7" w:themeColor="accent4" w:themeTint="99"/>
              </w:rPr>
              <w:t>30%</w:t>
            </w:r>
          </w:p>
        </w:tc>
        <w:tc>
          <w:tcPr>
            <w:tcW w:w="1559" w:type="dxa"/>
            <w:tcBorders>
              <w:top w:val="nil"/>
              <w:left w:val="nil"/>
              <w:bottom w:val="single" w:sz="4" w:space="0" w:color="auto"/>
              <w:right w:val="single" w:sz="4" w:space="0" w:color="auto"/>
            </w:tcBorders>
            <w:shd w:val="clear" w:color="auto" w:fill="auto"/>
            <w:noWrap/>
            <w:vAlign w:val="bottom"/>
            <w:hideMark/>
          </w:tcPr>
          <w:p w14:paraId="536EE16F" w14:textId="77777777" w:rsidR="000838B7" w:rsidRPr="00175B33" w:rsidRDefault="000838B7" w:rsidP="00175B33">
            <w:pPr>
              <w:widowControl/>
              <w:autoSpaceDE/>
              <w:autoSpaceDN/>
              <w:adjustRightInd/>
              <w:rPr>
                <w:rFonts w:ascii="Times New Roman" w:eastAsia="Times New Roman" w:hAnsi="Times New Roman" w:cs="Times New Roman"/>
                <w:noProof w:val="0"/>
                <w:color w:val="B2A1C7" w:themeColor="accent4" w:themeTint="99"/>
              </w:rPr>
            </w:pPr>
            <w:r w:rsidRPr="00175B33">
              <w:rPr>
                <w:rFonts w:ascii="Times New Roman" w:eastAsia="Times New Roman" w:hAnsi="Times New Roman" w:cs="Times New Roman"/>
                <w:noProof w:val="0"/>
                <w:color w:val="B2A1C7" w:themeColor="accent4" w:themeTint="99"/>
              </w:rPr>
              <w:t>42 months</w:t>
            </w:r>
          </w:p>
        </w:tc>
        <w:tc>
          <w:tcPr>
            <w:tcW w:w="1559" w:type="dxa"/>
            <w:tcBorders>
              <w:top w:val="nil"/>
              <w:left w:val="nil"/>
              <w:bottom w:val="single" w:sz="4" w:space="0" w:color="auto"/>
              <w:right w:val="single" w:sz="4" w:space="0" w:color="auto"/>
            </w:tcBorders>
            <w:shd w:val="clear" w:color="auto" w:fill="auto"/>
            <w:noWrap/>
            <w:vAlign w:val="bottom"/>
            <w:hideMark/>
          </w:tcPr>
          <w:p w14:paraId="5FCB3A10"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B2A1C7" w:themeColor="accent4" w:themeTint="99"/>
              </w:rPr>
            </w:pPr>
            <w:r w:rsidRPr="00175B33">
              <w:rPr>
                <w:rFonts w:ascii="Times New Roman" w:eastAsia="Times New Roman" w:hAnsi="Times New Roman" w:cs="Times New Roman"/>
                <w:noProof w:val="0"/>
                <w:color w:val="B2A1C7" w:themeColor="accent4" w:themeTint="99"/>
              </w:rPr>
              <w:t>79</w:t>
            </w:r>
          </w:p>
        </w:tc>
        <w:tc>
          <w:tcPr>
            <w:tcW w:w="1559" w:type="dxa"/>
            <w:tcBorders>
              <w:top w:val="nil"/>
              <w:left w:val="nil"/>
              <w:bottom w:val="single" w:sz="4" w:space="0" w:color="auto"/>
              <w:right w:val="single" w:sz="4" w:space="0" w:color="auto"/>
            </w:tcBorders>
            <w:shd w:val="clear" w:color="auto" w:fill="auto"/>
            <w:noWrap/>
            <w:vAlign w:val="bottom"/>
            <w:hideMark/>
          </w:tcPr>
          <w:p w14:paraId="127F5061"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B2A1C7" w:themeColor="accent4" w:themeTint="99"/>
              </w:rPr>
            </w:pPr>
            <w:r w:rsidRPr="00175B33">
              <w:rPr>
                <w:rFonts w:ascii="Times New Roman" w:hAnsi="Times New Roman" w:cs="Times New Roman"/>
                <w:color w:val="B2A1C7" w:themeColor="accent4" w:themeTint="99"/>
              </w:rPr>
              <w:t>1.94</w:t>
            </w:r>
          </w:p>
        </w:tc>
        <w:tc>
          <w:tcPr>
            <w:tcW w:w="1560" w:type="dxa"/>
            <w:tcBorders>
              <w:top w:val="nil"/>
              <w:left w:val="nil"/>
              <w:bottom w:val="single" w:sz="4" w:space="0" w:color="auto"/>
              <w:right w:val="single" w:sz="4" w:space="0" w:color="auto"/>
            </w:tcBorders>
            <w:shd w:val="clear" w:color="auto" w:fill="auto"/>
            <w:noWrap/>
            <w:vAlign w:val="bottom"/>
            <w:hideMark/>
          </w:tcPr>
          <w:p w14:paraId="393B678A"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B2A1C7" w:themeColor="accent4" w:themeTint="99"/>
              </w:rPr>
            </w:pPr>
            <w:r w:rsidRPr="00175B33">
              <w:rPr>
                <w:rFonts w:ascii="Times New Roman" w:hAnsi="Times New Roman" w:cs="Times New Roman"/>
                <w:color w:val="B2A1C7" w:themeColor="accent4" w:themeTint="99"/>
              </w:rPr>
              <w:t>0.04</w:t>
            </w:r>
          </w:p>
        </w:tc>
      </w:tr>
      <w:tr w:rsidR="000838B7" w:rsidRPr="001B60DE" w14:paraId="5B98C723"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307F86B"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0000"/>
              </w:rPr>
            </w:pPr>
            <w:r w:rsidRPr="00175B33">
              <w:rPr>
                <w:rFonts w:ascii="Times New Roman" w:eastAsia="Times New Roman" w:hAnsi="Times New Roman" w:cs="Times New Roman"/>
                <w:noProof w:val="0"/>
                <w:color w:val="FF0000"/>
              </w:rPr>
              <w:lastRenderedPageBreak/>
              <w:t>34</w:t>
            </w:r>
          </w:p>
        </w:tc>
        <w:tc>
          <w:tcPr>
            <w:tcW w:w="1559" w:type="dxa"/>
            <w:tcBorders>
              <w:top w:val="nil"/>
              <w:left w:val="nil"/>
              <w:bottom w:val="single" w:sz="4" w:space="0" w:color="auto"/>
              <w:right w:val="single" w:sz="4" w:space="0" w:color="auto"/>
            </w:tcBorders>
            <w:shd w:val="clear" w:color="auto" w:fill="auto"/>
            <w:noWrap/>
            <w:vAlign w:val="bottom"/>
            <w:hideMark/>
          </w:tcPr>
          <w:p w14:paraId="33D1DBC4"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0000"/>
              </w:rPr>
            </w:pPr>
            <w:r w:rsidRPr="00175B33">
              <w:rPr>
                <w:rFonts w:ascii="Times New Roman" w:eastAsia="Times New Roman" w:hAnsi="Times New Roman" w:cs="Times New Roman"/>
                <w:noProof w:val="0"/>
                <w:color w:val="FF0000"/>
              </w:rPr>
              <w:t>40%</w:t>
            </w:r>
          </w:p>
        </w:tc>
        <w:tc>
          <w:tcPr>
            <w:tcW w:w="1559" w:type="dxa"/>
            <w:tcBorders>
              <w:top w:val="nil"/>
              <w:left w:val="nil"/>
              <w:bottom w:val="single" w:sz="4" w:space="0" w:color="auto"/>
              <w:right w:val="single" w:sz="4" w:space="0" w:color="auto"/>
            </w:tcBorders>
            <w:shd w:val="clear" w:color="auto" w:fill="auto"/>
            <w:noWrap/>
            <w:vAlign w:val="bottom"/>
            <w:hideMark/>
          </w:tcPr>
          <w:p w14:paraId="14E8BF34" w14:textId="77777777" w:rsidR="000838B7" w:rsidRPr="00175B33" w:rsidRDefault="000838B7" w:rsidP="00175B33">
            <w:pPr>
              <w:widowControl/>
              <w:autoSpaceDE/>
              <w:autoSpaceDN/>
              <w:adjustRightInd/>
              <w:rPr>
                <w:rFonts w:ascii="Times New Roman" w:eastAsia="Times New Roman" w:hAnsi="Times New Roman" w:cs="Times New Roman"/>
                <w:noProof w:val="0"/>
                <w:color w:val="FF0000"/>
              </w:rPr>
            </w:pPr>
            <w:r w:rsidRPr="00175B33">
              <w:rPr>
                <w:rFonts w:ascii="Times New Roman" w:eastAsia="Times New Roman" w:hAnsi="Times New Roman" w:cs="Times New Roman"/>
                <w:noProof w:val="0"/>
                <w:color w:val="FF0000"/>
              </w:rPr>
              <w:t>42 months</w:t>
            </w:r>
          </w:p>
        </w:tc>
        <w:tc>
          <w:tcPr>
            <w:tcW w:w="1559" w:type="dxa"/>
            <w:tcBorders>
              <w:top w:val="nil"/>
              <w:left w:val="nil"/>
              <w:bottom w:val="single" w:sz="4" w:space="0" w:color="auto"/>
              <w:right w:val="single" w:sz="4" w:space="0" w:color="auto"/>
            </w:tcBorders>
            <w:shd w:val="clear" w:color="auto" w:fill="auto"/>
            <w:noWrap/>
            <w:vAlign w:val="bottom"/>
            <w:hideMark/>
          </w:tcPr>
          <w:p w14:paraId="3FFBEEEE"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0000"/>
              </w:rPr>
            </w:pPr>
            <w:r w:rsidRPr="00175B33">
              <w:rPr>
                <w:rFonts w:ascii="Times New Roman" w:eastAsia="Times New Roman" w:hAnsi="Times New Roman" w:cs="Times New Roman"/>
                <w:noProof w:val="0"/>
                <w:color w:val="FF0000"/>
              </w:rPr>
              <w:t>94</w:t>
            </w:r>
          </w:p>
        </w:tc>
        <w:tc>
          <w:tcPr>
            <w:tcW w:w="1559" w:type="dxa"/>
            <w:tcBorders>
              <w:top w:val="nil"/>
              <w:left w:val="nil"/>
              <w:bottom w:val="single" w:sz="4" w:space="0" w:color="auto"/>
              <w:right w:val="single" w:sz="4" w:space="0" w:color="auto"/>
            </w:tcBorders>
            <w:shd w:val="clear" w:color="auto" w:fill="auto"/>
            <w:noWrap/>
            <w:vAlign w:val="bottom"/>
            <w:hideMark/>
          </w:tcPr>
          <w:p w14:paraId="3F09ED6A"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0000"/>
              </w:rPr>
            </w:pPr>
            <w:r w:rsidRPr="00175B33">
              <w:rPr>
                <w:rFonts w:ascii="Times New Roman" w:hAnsi="Times New Roman" w:cs="Times New Roman"/>
                <w:color w:val="FF0000"/>
              </w:rPr>
              <w:t>1.4</w:t>
            </w:r>
          </w:p>
        </w:tc>
        <w:tc>
          <w:tcPr>
            <w:tcW w:w="1560" w:type="dxa"/>
            <w:tcBorders>
              <w:top w:val="nil"/>
              <w:left w:val="nil"/>
              <w:bottom w:val="single" w:sz="4" w:space="0" w:color="auto"/>
              <w:right w:val="single" w:sz="4" w:space="0" w:color="auto"/>
            </w:tcBorders>
            <w:shd w:val="clear" w:color="auto" w:fill="auto"/>
            <w:noWrap/>
            <w:vAlign w:val="bottom"/>
            <w:hideMark/>
          </w:tcPr>
          <w:p w14:paraId="7AE5C3E3"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0000"/>
              </w:rPr>
            </w:pPr>
            <w:r w:rsidRPr="00175B33">
              <w:rPr>
                <w:rFonts w:ascii="Times New Roman" w:hAnsi="Times New Roman" w:cs="Times New Roman"/>
                <w:color w:val="FF0000"/>
              </w:rPr>
              <w:t>0.03</w:t>
            </w:r>
          </w:p>
        </w:tc>
      </w:tr>
      <w:tr w:rsidR="000838B7" w:rsidRPr="001B60DE" w14:paraId="6611A2A8"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F1C644E"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35</w:t>
            </w:r>
          </w:p>
        </w:tc>
        <w:tc>
          <w:tcPr>
            <w:tcW w:w="1559" w:type="dxa"/>
            <w:tcBorders>
              <w:top w:val="nil"/>
              <w:left w:val="nil"/>
              <w:bottom w:val="single" w:sz="4" w:space="0" w:color="auto"/>
              <w:right w:val="single" w:sz="4" w:space="0" w:color="auto"/>
            </w:tcBorders>
            <w:shd w:val="clear" w:color="auto" w:fill="auto"/>
            <w:noWrap/>
            <w:vAlign w:val="bottom"/>
            <w:hideMark/>
          </w:tcPr>
          <w:p w14:paraId="4F40CEF7"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50%</w:t>
            </w:r>
          </w:p>
        </w:tc>
        <w:tc>
          <w:tcPr>
            <w:tcW w:w="1559" w:type="dxa"/>
            <w:tcBorders>
              <w:top w:val="nil"/>
              <w:left w:val="nil"/>
              <w:bottom w:val="single" w:sz="4" w:space="0" w:color="auto"/>
              <w:right w:val="single" w:sz="4" w:space="0" w:color="auto"/>
            </w:tcBorders>
            <w:shd w:val="clear" w:color="auto" w:fill="auto"/>
            <w:noWrap/>
            <w:vAlign w:val="bottom"/>
            <w:hideMark/>
          </w:tcPr>
          <w:p w14:paraId="0450B047" w14:textId="77777777" w:rsidR="000838B7" w:rsidRPr="000838B7" w:rsidRDefault="000838B7" w:rsidP="00175B33">
            <w:pPr>
              <w:widowControl/>
              <w:autoSpaceDE/>
              <w:autoSpaceDN/>
              <w:adjustRightInd/>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42 months</w:t>
            </w:r>
          </w:p>
        </w:tc>
        <w:tc>
          <w:tcPr>
            <w:tcW w:w="1559" w:type="dxa"/>
            <w:tcBorders>
              <w:top w:val="nil"/>
              <w:left w:val="nil"/>
              <w:bottom w:val="single" w:sz="4" w:space="0" w:color="auto"/>
              <w:right w:val="single" w:sz="4" w:space="0" w:color="auto"/>
            </w:tcBorders>
            <w:shd w:val="clear" w:color="auto" w:fill="auto"/>
            <w:noWrap/>
            <w:vAlign w:val="bottom"/>
            <w:hideMark/>
          </w:tcPr>
          <w:p w14:paraId="26873F67"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2D982152"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1.23</w:t>
            </w:r>
          </w:p>
        </w:tc>
        <w:tc>
          <w:tcPr>
            <w:tcW w:w="1560" w:type="dxa"/>
            <w:tcBorders>
              <w:top w:val="nil"/>
              <w:left w:val="nil"/>
              <w:bottom w:val="single" w:sz="4" w:space="0" w:color="auto"/>
              <w:right w:val="single" w:sz="4" w:space="0" w:color="auto"/>
            </w:tcBorders>
            <w:shd w:val="clear" w:color="auto" w:fill="auto"/>
            <w:noWrap/>
            <w:vAlign w:val="bottom"/>
            <w:hideMark/>
          </w:tcPr>
          <w:p w14:paraId="40430488"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0.03</w:t>
            </w:r>
          </w:p>
        </w:tc>
      </w:tr>
      <w:tr w:rsidR="000838B7" w:rsidRPr="001B60DE" w14:paraId="22AE8392"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D99EB49"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36</w:t>
            </w:r>
          </w:p>
        </w:tc>
        <w:tc>
          <w:tcPr>
            <w:tcW w:w="1559" w:type="dxa"/>
            <w:tcBorders>
              <w:top w:val="nil"/>
              <w:left w:val="nil"/>
              <w:bottom w:val="single" w:sz="4" w:space="0" w:color="auto"/>
              <w:right w:val="single" w:sz="4" w:space="0" w:color="auto"/>
            </w:tcBorders>
            <w:shd w:val="clear" w:color="auto" w:fill="auto"/>
            <w:noWrap/>
            <w:vAlign w:val="bottom"/>
            <w:hideMark/>
          </w:tcPr>
          <w:p w14:paraId="24E42AB6"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60%</w:t>
            </w:r>
          </w:p>
        </w:tc>
        <w:tc>
          <w:tcPr>
            <w:tcW w:w="1559" w:type="dxa"/>
            <w:tcBorders>
              <w:top w:val="nil"/>
              <w:left w:val="nil"/>
              <w:bottom w:val="single" w:sz="4" w:space="0" w:color="auto"/>
              <w:right w:val="single" w:sz="4" w:space="0" w:color="auto"/>
            </w:tcBorders>
            <w:shd w:val="clear" w:color="auto" w:fill="auto"/>
            <w:noWrap/>
            <w:vAlign w:val="bottom"/>
            <w:hideMark/>
          </w:tcPr>
          <w:p w14:paraId="60473DC4" w14:textId="77777777" w:rsidR="000838B7" w:rsidRPr="000838B7" w:rsidRDefault="000838B7" w:rsidP="00175B33">
            <w:pPr>
              <w:widowControl/>
              <w:autoSpaceDE/>
              <w:autoSpaceDN/>
              <w:adjustRightInd/>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42 months</w:t>
            </w:r>
          </w:p>
        </w:tc>
        <w:tc>
          <w:tcPr>
            <w:tcW w:w="1559" w:type="dxa"/>
            <w:tcBorders>
              <w:top w:val="nil"/>
              <w:left w:val="nil"/>
              <w:bottom w:val="single" w:sz="4" w:space="0" w:color="auto"/>
              <w:right w:val="single" w:sz="4" w:space="0" w:color="auto"/>
            </w:tcBorders>
            <w:shd w:val="clear" w:color="auto" w:fill="auto"/>
            <w:noWrap/>
            <w:vAlign w:val="bottom"/>
            <w:hideMark/>
          </w:tcPr>
          <w:p w14:paraId="28196424"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71238E0B"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1.21</w:t>
            </w:r>
          </w:p>
        </w:tc>
        <w:tc>
          <w:tcPr>
            <w:tcW w:w="1560" w:type="dxa"/>
            <w:tcBorders>
              <w:top w:val="nil"/>
              <w:left w:val="nil"/>
              <w:bottom w:val="single" w:sz="4" w:space="0" w:color="auto"/>
              <w:right w:val="single" w:sz="4" w:space="0" w:color="auto"/>
            </w:tcBorders>
            <w:shd w:val="clear" w:color="auto" w:fill="auto"/>
            <w:noWrap/>
            <w:vAlign w:val="bottom"/>
            <w:hideMark/>
          </w:tcPr>
          <w:p w14:paraId="7C0D3B72"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0.02</w:t>
            </w:r>
          </w:p>
        </w:tc>
      </w:tr>
      <w:tr w:rsidR="000838B7" w:rsidRPr="001B60DE" w14:paraId="0A672724"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BFA34F5"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eastAsia="Times New Roman" w:hAnsi="Times New Roman" w:cs="Times New Roman"/>
                <w:noProof w:val="0"/>
                <w:color w:val="E36C0A" w:themeColor="accent6" w:themeShade="BF"/>
              </w:rPr>
              <w:t>37</w:t>
            </w:r>
          </w:p>
        </w:tc>
        <w:tc>
          <w:tcPr>
            <w:tcW w:w="1559" w:type="dxa"/>
            <w:tcBorders>
              <w:top w:val="nil"/>
              <w:left w:val="nil"/>
              <w:bottom w:val="single" w:sz="4" w:space="0" w:color="auto"/>
              <w:right w:val="single" w:sz="4" w:space="0" w:color="auto"/>
            </w:tcBorders>
            <w:shd w:val="clear" w:color="auto" w:fill="auto"/>
            <w:noWrap/>
            <w:vAlign w:val="bottom"/>
            <w:hideMark/>
          </w:tcPr>
          <w:p w14:paraId="68CE6854" w14:textId="77777777" w:rsidR="000838B7" w:rsidRPr="00175B33" w:rsidRDefault="000838B7" w:rsidP="00175B33">
            <w:pPr>
              <w:widowControl/>
              <w:autoSpaceDE/>
              <w:autoSpaceDN/>
              <w:adjustRightInd/>
              <w:rPr>
                <w:rFonts w:ascii="Times New Roman" w:eastAsia="Times New Roman" w:hAnsi="Times New Roman" w:cs="Times New Roman"/>
                <w:noProof w:val="0"/>
                <w:color w:val="E36C0A" w:themeColor="accent6" w:themeShade="BF"/>
              </w:rPr>
            </w:pPr>
            <w:r w:rsidRPr="00175B33">
              <w:rPr>
                <w:rFonts w:ascii="Times New Roman" w:eastAsia="Times New Roman" w:hAnsi="Times New Roman" w:cs="Times New Roman"/>
                <w:noProof w:val="0"/>
                <w:color w:val="E36C0A" w:themeColor="accent6" w:themeShade="BF"/>
              </w:rPr>
              <w:t>Base</w:t>
            </w:r>
          </w:p>
        </w:tc>
        <w:tc>
          <w:tcPr>
            <w:tcW w:w="1559" w:type="dxa"/>
            <w:tcBorders>
              <w:top w:val="nil"/>
              <w:left w:val="nil"/>
              <w:bottom w:val="single" w:sz="4" w:space="0" w:color="auto"/>
              <w:right w:val="single" w:sz="4" w:space="0" w:color="auto"/>
            </w:tcBorders>
            <w:shd w:val="clear" w:color="auto" w:fill="auto"/>
            <w:noWrap/>
            <w:vAlign w:val="bottom"/>
            <w:hideMark/>
          </w:tcPr>
          <w:p w14:paraId="518549BD" w14:textId="77777777" w:rsidR="000838B7" w:rsidRPr="00175B33" w:rsidRDefault="000838B7" w:rsidP="00175B33">
            <w:pPr>
              <w:widowControl/>
              <w:autoSpaceDE/>
              <w:autoSpaceDN/>
              <w:adjustRightInd/>
              <w:rPr>
                <w:rFonts w:ascii="Times New Roman" w:eastAsia="Times New Roman" w:hAnsi="Times New Roman" w:cs="Times New Roman"/>
                <w:noProof w:val="0"/>
                <w:color w:val="E36C0A" w:themeColor="accent6" w:themeShade="BF"/>
              </w:rPr>
            </w:pPr>
            <w:r w:rsidRPr="00175B33">
              <w:rPr>
                <w:rFonts w:ascii="Times New Roman" w:eastAsia="Times New Roman" w:hAnsi="Times New Roman" w:cs="Times New Roman"/>
                <w:noProof w:val="0"/>
                <w:color w:val="E36C0A" w:themeColor="accent6" w:themeShade="BF"/>
              </w:rPr>
              <w:t>48 months</w:t>
            </w:r>
          </w:p>
        </w:tc>
        <w:tc>
          <w:tcPr>
            <w:tcW w:w="1559" w:type="dxa"/>
            <w:tcBorders>
              <w:top w:val="nil"/>
              <w:left w:val="nil"/>
              <w:bottom w:val="single" w:sz="4" w:space="0" w:color="auto"/>
              <w:right w:val="single" w:sz="4" w:space="0" w:color="auto"/>
            </w:tcBorders>
            <w:shd w:val="clear" w:color="auto" w:fill="auto"/>
            <w:noWrap/>
            <w:vAlign w:val="bottom"/>
            <w:hideMark/>
          </w:tcPr>
          <w:p w14:paraId="016AAEBB"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eastAsia="Times New Roman" w:hAnsi="Times New Roman" w:cs="Times New Roman"/>
                <w:noProof w:val="0"/>
                <w:color w:val="E36C0A" w:themeColor="accent6" w:themeShade="BF"/>
              </w:rPr>
              <w:t>39</w:t>
            </w:r>
          </w:p>
        </w:tc>
        <w:tc>
          <w:tcPr>
            <w:tcW w:w="1559" w:type="dxa"/>
            <w:tcBorders>
              <w:top w:val="nil"/>
              <w:left w:val="nil"/>
              <w:bottom w:val="single" w:sz="4" w:space="0" w:color="auto"/>
              <w:right w:val="single" w:sz="4" w:space="0" w:color="auto"/>
            </w:tcBorders>
            <w:shd w:val="clear" w:color="auto" w:fill="auto"/>
            <w:noWrap/>
            <w:vAlign w:val="bottom"/>
            <w:hideMark/>
          </w:tcPr>
          <w:p w14:paraId="74BDF1F4"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hAnsi="Times New Roman" w:cs="Times New Roman"/>
                <w:color w:val="E36C0A" w:themeColor="accent6" w:themeShade="BF"/>
              </w:rPr>
              <w:t>4.05</w:t>
            </w:r>
          </w:p>
        </w:tc>
        <w:tc>
          <w:tcPr>
            <w:tcW w:w="1560" w:type="dxa"/>
            <w:tcBorders>
              <w:top w:val="nil"/>
              <w:left w:val="nil"/>
              <w:bottom w:val="single" w:sz="4" w:space="0" w:color="auto"/>
              <w:right w:val="single" w:sz="4" w:space="0" w:color="auto"/>
            </w:tcBorders>
            <w:shd w:val="clear" w:color="auto" w:fill="auto"/>
            <w:noWrap/>
            <w:vAlign w:val="bottom"/>
            <w:hideMark/>
          </w:tcPr>
          <w:p w14:paraId="35F81C6C"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E36C0A" w:themeColor="accent6" w:themeShade="BF"/>
              </w:rPr>
            </w:pPr>
            <w:r w:rsidRPr="00175B33">
              <w:rPr>
                <w:rFonts w:ascii="Times New Roman" w:hAnsi="Times New Roman" w:cs="Times New Roman"/>
                <w:color w:val="E36C0A" w:themeColor="accent6" w:themeShade="BF"/>
              </w:rPr>
              <w:t>0.05</w:t>
            </w:r>
          </w:p>
        </w:tc>
      </w:tr>
      <w:tr w:rsidR="000838B7" w:rsidRPr="001B60DE" w14:paraId="18E4C145"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25543A1"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eastAsia="Times New Roman" w:hAnsi="Times New Roman" w:cs="Times New Roman"/>
                <w:noProof w:val="0"/>
                <w:color w:val="31849B" w:themeColor="accent5" w:themeShade="BF"/>
              </w:rPr>
              <w:t>38</w:t>
            </w:r>
          </w:p>
        </w:tc>
        <w:tc>
          <w:tcPr>
            <w:tcW w:w="1559" w:type="dxa"/>
            <w:tcBorders>
              <w:top w:val="nil"/>
              <w:left w:val="nil"/>
              <w:bottom w:val="single" w:sz="4" w:space="0" w:color="auto"/>
              <w:right w:val="single" w:sz="4" w:space="0" w:color="auto"/>
            </w:tcBorders>
            <w:shd w:val="clear" w:color="auto" w:fill="auto"/>
            <w:noWrap/>
            <w:vAlign w:val="bottom"/>
            <w:hideMark/>
          </w:tcPr>
          <w:p w14:paraId="0C105022"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eastAsia="Times New Roman" w:hAnsi="Times New Roman" w:cs="Times New Roman"/>
                <w:noProof w:val="0"/>
                <w:color w:val="31849B" w:themeColor="accent5" w:themeShade="BF"/>
              </w:rPr>
              <w:t>20%</w:t>
            </w:r>
          </w:p>
        </w:tc>
        <w:tc>
          <w:tcPr>
            <w:tcW w:w="1559" w:type="dxa"/>
            <w:tcBorders>
              <w:top w:val="nil"/>
              <w:left w:val="nil"/>
              <w:bottom w:val="single" w:sz="4" w:space="0" w:color="auto"/>
              <w:right w:val="single" w:sz="4" w:space="0" w:color="auto"/>
            </w:tcBorders>
            <w:shd w:val="clear" w:color="auto" w:fill="auto"/>
            <w:noWrap/>
            <w:vAlign w:val="bottom"/>
            <w:hideMark/>
          </w:tcPr>
          <w:p w14:paraId="68DED741" w14:textId="77777777" w:rsidR="000838B7" w:rsidRPr="00175B33" w:rsidRDefault="000838B7" w:rsidP="00175B33">
            <w:pPr>
              <w:widowControl/>
              <w:autoSpaceDE/>
              <w:autoSpaceDN/>
              <w:adjustRightInd/>
              <w:rPr>
                <w:rFonts w:ascii="Times New Roman" w:eastAsia="Times New Roman" w:hAnsi="Times New Roman" w:cs="Times New Roman"/>
                <w:noProof w:val="0"/>
                <w:color w:val="31849B" w:themeColor="accent5" w:themeShade="BF"/>
              </w:rPr>
            </w:pPr>
            <w:r w:rsidRPr="00175B33">
              <w:rPr>
                <w:rFonts w:ascii="Times New Roman" w:eastAsia="Times New Roman" w:hAnsi="Times New Roman" w:cs="Times New Roman"/>
                <w:noProof w:val="0"/>
                <w:color w:val="31849B" w:themeColor="accent5" w:themeShade="BF"/>
              </w:rPr>
              <w:t>48 months</w:t>
            </w:r>
          </w:p>
        </w:tc>
        <w:tc>
          <w:tcPr>
            <w:tcW w:w="1559" w:type="dxa"/>
            <w:tcBorders>
              <w:top w:val="nil"/>
              <w:left w:val="nil"/>
              <w:bottom w:val="single" w:sz="4" w:space="0" w:color="auto"/>
              <w:right w:val="single" w:sz="4" w:space="0" w:color="auto"/>
            </w:tcBorders>
            <w:shd w:val="clear" w:color="auto" w:fill="auto"/>
            <w:noWrap/>
            <w:vAlign w:val="bottom"/>
            <w:hideMark/>
          </w:tcPr>
          <w:p w14:paraId="47F4CD94"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eastAsia="Times New Roman" w:hAnsi="Times New Roman" w:cs="Times New Roman"/>
                <w:noProof w:val="0"/>
                <w:color w:val="31849B" w:themeColor="accent5" w:themeShade="BF"/>
              </w:rPr>
              <w:t>58</w:t>
            </w:r>
          </w:p>
        </w:tc>
        <w:tc>
          <w:tcPr>
            <w:tcW w:w="1559" w:type="dxa"/>
            <w:tcBorders>
              <w:top w:val="nil"/>
              <w:left w:val="nil"/>
              <w:bottom w:val="single" w:sz="4" w:space="0" w:color="auto"/>
              <w:right w:val="single" w:sz="4" w:space="0" w:color="auto"/>
            </w:tcBorders>
            <w:shd w:val="clear" w:color="auto" w:fill="auto"/>
            <w:noWrap/>
            <w:vAlign w:val="bottom"/>
            <w:hideMark/>
          </w:tcPr>
          <w:p w14:paraId="157F6F00"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hAnsi="Times New Roman" w:cs="Times New Roman"/>
                <w:color w:val="31849B" w:themeColor="accent5" w:themeShade="BF"/>
              </w:rPr>
              <w:t>2.92</w:t>
            </w:r>
          </w:p>
        </w:tc>
        <w:tc>
          <w:tcPr>
            <w:tcW w:w="1560" w:type="dxa"/>
            <w:tcBorders>
              <w:top w:val="nil"/>
              <w:left w:val="nil"/>
              <w:bottom w:val="single" w:sz="4" w:space="0" w:color="auto"/>
              <w:right w:val="single" w:sz="4" w:space="0" w:color="auto"/>
            </w:tcBorders>
            <w:shd w:val="clear" w:color="auto" w:fill="auto"/>
            <w:noWrap/>
            <w:vAlign w:val="bottom"/>
            <w:hideMark/>
          </w:tcPr>
          <w:p w14:paraId="54D20A5F"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31849B" w:themeColor="accent5" w:themeShade="BF"/>
              </w:rPr>
            </w:pPr>
            <w:r w:rsidRPr="00175B33">
              <w:rPr>
                <w:rFonts w:ascii="Times New Roman" w:hAnsi="Times New Roman" w:cs="Times New Roman"/>
                <w:color w:val="31849B" w:themeColor="accent5" w:themeShade="BF"/>
              </w:rPr>
              <w:t>0.03</w:t>
            </w:r>
          </w:p>
        </w:tc>
      </w:tr>
      <w:tr w:rsidR="000838B7" w:rsidRPr="001B60DE" w14:paraId="74E074A3"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AD736FB"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eastAsia="Times New Roman" w:hAnsi="Times New Roman" w:cs="Times New Roman"/>
                <w:noProof w:val="0"/>
                <w:color w:val="7030A0"/>
              </w:rPr>
              <w:t>39</w:t>
            </w:r>
          </w:p>
        </w:tc>
        <w:tc>
          <w:tcPr>
            <w:tcW w:w="1559" w:type="dxa"/>
            <w:tcBorders>
              <w:top w:val="nil"/>
              <w:left w:val="nil"/>
              <w:bottom w:val="single" w:sz="4" w:space="0" w:color="auto"/>
              <w:right w:val="single" w:sz="4" w:space="0" w:color="auto"/>
            </w:tcBorders>
            <w:shd w:val="clear" w:color="auto" w:fill="auto"/>
            <w:noWrap/>
            <w:vAlign w:val="bottom"/>
            <w:hideMark/>
          </w:tcPr>
          <w:p w14:paraId="4D64F687"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eastAsia="Times New Roman" w:hAnsi="Times New Roman" w:cs="Times New Roman"/>
                <w:noProof w:val="0"/>
                <w:color w:val="7030A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35526D7D" w14:textId="77777777" w:rsidR="000838B7" w:rsidRPr="00175B33" w:rsidRDefault="000838B7" w:rsidP="00175B33">
            <w:pPr>
              <w:widowControl/>
              <w:autoSpaceDE/>
              <w:autoSpaceDN/>
              <w:adjustRightInd/>
              <w:rPr>
                <w:rFonts w:ascii="Times New Roman" w:eastAsia="Times New Roman" w:hAnsi="Times New Roman" w:cs="Times New Roman"/>
                <w:noProof w:val="0"/>
                <w:color w:val="7030A0"/>
              </w:rPr>
            </w:pPr>
            <w:r w:rsidRPr="00175B33">
              <w:rPr>
                <w:rFonts w:ascii="Times New Roman" w:eastAsia="Times New Roman" w:hAnsi="Times New Roman" w:cs="Times New Roman"/>
                <w:noProof w:val="0"/>
                <w:color w:val="7030A0"/>
              </w:rPr>
              <w:t>48 months</w:t>
            </w:r>
          </w:p>
        </w:tc>
        <w:tc>
          <w:tcPr>
            <w:tcW w:w="1559" w:type="dxa"/>
            <w:tcBorders>
              <w:top w:val="nil"/>
              <w:left w:val="nil"/>
              <w:bottom w:val="single" w:sz="4" w:space="0" w:color="auto"/>
              <w:right w:val="single" w:sz="4" w:space="0" w:color="auto"/>
            </w:tcBorders>
            <w:shd w:val="clear" w:color="auto" w:fill="auto"/>
            <w:noWrap/>
            <w:vAlign w:val="bottom"/>
            <w:hideMark/>
          </w:tcPr>
          <w:p w14:paraId="363F2316"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eastAsia="Times New Roman" w:hAnsi="Times New Roman" w:cs="Times New Roman"/>
                <w:noProof w:val="0"/>
                <w:color w:val="7030A0"/>
              </w:rPr>
              <w:t>83</w:t>
            </w:r>
          </w:p>
        </w:tc>
        <w:tc>
          <w:tcPr>
            <w:tcW w:w="1559" w:type="dxa"/>
            <w:tcBorders>
              <w:top w:val="nil"/>
              <w:left w:val="nil"/>
              <w:bottom w:val="single" w:sz="4" w:space="0" w:color="auto"/>
              <w:right w:val="single" w:sz="4" w:space="0" w:color="auto"/>
            </w:tcBorders>
            <w:shd w:val="clear" w:color="auto" w:fill="auto"/>
            <w:noWrap/>
            <w:vAlign w:val="bottom"/>
            <w:hideMark/>
          </w:tcPr>
          <w:p w14:paraId="2F31D231"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hAnsi="Times New Roman" w:cs="Times New Roman"/>
                <w:color w:val="7030A0"/>
              </w:rPr>
              <w:t>1.79</w:t>
            </w:r>
          </w:p>
        </w:tc>
        <w:tc>
          <w:tcPr>
            <w:tcW w:w="1560" w:type="dxa"/>
            <w:tcBorders>
              <w:top w:val="nil"/>
              <w:left w:val="nil"/>
              <w:bottom w:val="single" w:sz="4" w:space="0" w:color="auto"/>
              <w:right w:val="single" w:sz="4" w:space="0" w:color="auto"/>
            </w:tcBorders>
            <w:shd w:val="clear" w:color="auto" w:fill="auto"/>
            <w:noWrap/>
            <w:vAlign w:val="bottom"/>
            <w:hideMark/>
          </w:tcPr>
          <w:p w14:paraId="25597B6B"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7030A0"/>
              </w:rPr>
            </w:pPr>
            <w:r w:rsidRPr="00175B33">
              <w:rPr>
                <w:rFonts w:ascii="Times New Roman" w:hAnsi="Times New Roman" w:cs="Times New Roman"/>
                <w:color w:val="7030A0"/>
              </w:rPr>
              <w:t>0.03</w:t>
            </w:r>
          </w:p>
        </w:tc>
      </w:tr>
      <w:tr w:rsidR="000838B7" w:rsidRPr="001B60DE" w14:paraId="0B5DBAFD"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1E776F7"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0000"/>
              </w:rPr>
            </w:pPr>
            <w:r w:rsidRPr="00175B33">
              <w:rPr>
                <w:rFonts w:ascii="Times New Roman" w:eastAsia="Times New Roman" w:hAnsi="Times New Roman" w:cs="Times New Roman"/>
                <w:noProof w:val="0"/>
                <w:color w:val="FF0000"/>
              </w:rPr>
              <w:t>40</w:t>
            </w:r>
          </w:p>
        </w:tc>
        <w:tc>
          <w:tcPr>
            <w:tcW w:w="1559" w:type="dxa"/>
            <w:tcBorders>
              <w:top w:val="nil"/>
              <w:left w:val="nil"/>
              <w:bottom w:val="single" w:sz="4" w:space="0" w:color="auto"/>
              <w:right w:val="single" w:sz="4" w:space="0" w:color="auto"/>
            </w:tcBorders>
            <w:shd w:val="clear" w:color="auto" w:fill="auto"/>
            <w:noWrap/>
            <w:vAlign w:val="bottom"/>
            <w:hideMark/>
          </w:tcPr>
          <w:p w14:paraId="07CBD559"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0000"/>
              </w:rPr>
            </w:pPr>
            <w:r w:rsidRPr="00175B33">
              <w:rPr>
                <w:rFonts w:ascii="Times New Roman" w:eastAsia="Times New Roman" w:hAnsi="Times New Roman" w:cs="Times New Roman"/>
                <w:noProof w:val="0"/>
                <w:color w:val="FF0000"/>
              </w:rPr>
              <w:t>40%</w:t>
            </w:r>
          </w:p>
        </w:tc>
        <w:tc>
          <w:tcPr>
            <w:tcW w:w="1559" w:type="dxa"/>
            <w:tcBorders>
              <w:top w:val="nil"/>
              <w:left w:val="nil"/>
              <w:bottom w:val="single" w:sz="4" w:space="0" w:color="auto"/>
              <w:right w:val="single" w:sz="4" w:space="0" w:color="auto"/>
            </w:tcBorders>
            <w:shd w:val="clear" w:color="auto" w:fill="auto"/>
            <w:noWrap/>
            <w:vAlign w:val="bottom"/>
            <w:hideMark/>
          </w:tcPr>
          <w:p w14:paraId="31C47539" w14:textId="77777777" w:rsidR="000838B7" w:rsidRPr="00175B33" w:rsidRDefault="000838B7" w:rsidP="00175B33">
            <w:pPr>
              <w:widowControl/>
              <w:autoSpaceDE/>
              <w:autoSpaceDN/>
              <w:adjustRightInd/>
              <w:rPr>
                <w:rFonts w:ascii="Times New Roman" w:eastAsia="Times New Roman" w:hAnsi="Times New Roman" w:cs="Times New Roman"/>
                <w:noProof w:val="0"/>
                <w:color w:val="FF0000"/>
              </w:rPr>
            </w:pPr>
            <w:r w:rsidRPr="00175B33">
              <w:rPr>
                <w:rFonts w:ascii="Times New Roman" w:eastAsia="Times New Roman" w:hAnsi="Times New Roman" w:cs="Times New Roman"/>
                <w:noProof w:val="0"/>
                <w:color w:val="FF0000"/>
              </w:rPr>
              <w:t>48 months</w:t>
            </w:r>
          </w:p>
        </w:tc>
        <w:tc>
          <w:tcPr>
            <w:tcW w:w="1559" w:type="dxa"/>
            <w:tcBorders>
              <w:top w:val="nil"/>
              <w:left w:val="nil"/>
              <w:bottom w:val="single" w:sz="4" w:space="0" w:color="auto"/>
              <w:right w:val="single" w:sz="4" w:space="0" w:color="auto"/>
            </w:tcBorders>
            <w:shd w:val="clear" w:color="auto" w:fill="auto"/>
            <w:noWrap/>
            <w:vAlign w:val="bottom"/>
            <w:hideMark/>
          </w:tcPr>
          <w:p w14:paraId="58D1E6E5"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0000"/>
              </w:rPr>
            </w:pPr>
            <w:r w:rsidRPr="00175B33">
              <w:rPr>
                <w:rFonts w:ascii="Times New Roman" w:eastAsia="Times New Roman" w:hAnsi="Times New Roman" w:cs="Times New Roman"/>
                <w:noProof w:val="0"/>
                <w:color w:val="FF0000"/>
              </w:rPr>
              <w:t>98</w:t>
            </w:r>
          </w:p>
        </w:tc>
        <w:tc>
          <w:tcPr>
            <w:tcW w:w="1559" w:type="dxa"/>
            <w:tcBorders>
              <w:top w:val="nil"/>
              <w:left w:val="nil"/>
              <w:bottom w:val="single" w:sz="4" w:space="0" w:color="auto"/>
              <w:right w:val="single" w:sz="4" w:space="0" w:color="auto"/>
            </w:tcBorders>
            <w:shd w:val="clear" w:color="auto" w:fill="auto"/>
            <w:noWrap/>
            <w:vAlign w:val="bottom"/>
            <w:hideMark/>
          </w:tcPr>
          <w:p w14:paraId="0793BB35"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0000"/>
              </w:rPr>
            </w:pPr>
            <w:r w:rsidRPr="00175B33">
              <w:rPr>
                <w:rFonts w:ascii="Times New Roman" w:hAnsi="Times New Roman" w:cs="Times New Roman"/>
                <w:color w:val="FF0000"/>
              </w:rPr>
              <w:t>1.32</w:t>
            </w:r>
          </w:p>
        </w:tc>
        <w:tc>
          <w:tcPr>
            <w:tcW w:w="1560" w:type="dxa"/>
            <w:tcBorders>
              <w:top w:val="nil"/>
              <w:left w:val="nil"/>
              <w:bottom w:val="single" w:sz="4" w:space="0" w:color="auto"/>
              <w:right w:val="single" w:sz="4" w:space="0" w:color="auto"/>
            </w:tcBorders>
            <w:shd w:val="clear" w:color="auto" w:fill="auto"/>
            <w:noWrap/>
            <w:vAlign w:val="bottom"/>
            <w:hideMark/>
          </w:tcPr>
          <w:p w14:paraId="498195D4" w14:textId="77777777" w:rsidR="000838B7" w:rsidRPr="00175B33" w:rsidRDefault="000838B7" w:rsidP="00175B33">
            <w:pPr>
              <w:widowControl/>
              <w:autoSpaceDE/>
              <w:autoSpaceDN/>
              <w:adjustRightInd/>
              <w:jc w:val="right"/>
              <w:rPr>
                <w:rFonts w:ascii="Times New Roman" w:eastAsia="Times New Roman" w:hAnsi="Times New Roman" w:cs="Times New Roman"/>
                <w:noProof w:val="0"/>
                <w:color w:val="FF0000"/>
              </w:rPr>
            </w:pPr>
            <w:r w:rsidRPr="00175B33">
              <w:rPr>
                <w:rFonts w:ascii="Times New Roman" w:hAnsi="Times New Roman" w:cs="Times New Roman"/>
                <w:color w:val="FF0000"/>
              </w:rPr>
              <w:t>0.02</w:t>
            </w:r>
          </w:p>
        </w:tc>
      </w:tr>
      <w:tr w:rsidR="000838B7" w:rsidRPr="001B60DE" w14:paraId="285A975F"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5DB2EA3"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41</w:t>
            </w:r>
          </w:p>
        </w:tc>
        <w:tc>
          <w:tcPr>
            <w:tcW w:w="1559" w:type="dxa"/>
            <w:tcBorders>
              <w:top w:val="nil"/>
              <w:left w:val="nil"/>
              <w:bottom w:val="single" w:sz="4" w:space="0" w:color="auto"/>
              <w:right w:val="single" w:sz="4" w:space="0" w:color="auto"/>
            </w:tcBorders>
            <w:shd w:val="clear" w:color="auto" w:fill="auto"/>
            <w:noWrap/>
            <w:vAlign w:val="bottom"/>
            <w:hideMark/>
          </w:tcPr>
          <w:p w14:paraId="6498FBEE"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50%</w:t>
            </w:r>
          </w:p>
        </w:tc>
        <w:tc>
          <w:tcPr>
            <w:tcW w:w="1559" w:type="dxa"/>
            <w:tcBorders>
              <w:top w:val="nil"/>
              <w:left w:val="nil"/>
              <w:bottom w:val="single" w:sz="4" w:space="0" w:color="auto"/>
              <w:right w:val="single" w:sz="4" w:space="0" w:color="auto"/>
            </w:tcBorders>
            <w:shd w:val="clear" w:color="auto" w:fill="auto"/>
            <w:noWrap/>
            <w:vAlign w:val="bottom"/>
            <w:hideMark/>
          </w:tcPr>
          <w:p w14:paraId="5C05B5B2" w14:textId="77777777" w:rsidR="000838B7" w:rsidRPr="000838B7" w:rsidRDefault="000838B7" w:rsidP="00175B33">
            <w:pPr>
              <w:widowControl/>
              <w:autoSpaceDE/>
              <w:autoSpaceDN/>
              <w:adjustRightInd/>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48 months</w:t>
            </w:r>
          </w:p>
        </w:tc>
        <w:tc>
          <w:tcPr>
            <w:tcW w:w="1559" w:type="dxa"/>
            <w:tcBorders>
              <w:top w:val="nil"/>
              <w:left w:val="nil"/>
              <w:bottom w:val="single" w:sz="4" w:space="0" w:color="auto"/>
              <w:right w:val="single" w:sz="4" w:space="0" w:color="auto"/>
            </w:tcBorders>
            <w:shd w:val="clear" w:color="auto" w:fill="auto"/>
            <w:noWrap/>
            <w:vAlign w:val="bottom"/>
            <w:hideMark/>
          </w:tcPr>
          <w:p w14:paraId="62185E81"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5BEE69D5"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1.19</w:t>
            </w:r>
          </w:p>
        </w:tc>
        <w:tc>
          <w:tcPr>
            <w:tcW w:w="1560" w:type="dxa"/>
            <w:tcBorders>
              <w:top w:val="nil"/>
              <w:left w:val="nil"/>
              <w:bottom w:val="single" w:sz="4" w:space="0" w:color="auto"/>
              <w:right w:val="single" w:sz="4" w:space="0" w:color="auto"/>
            </w:tcBorders>
            <w:shd w:val="clear" w:color="auto" w:fill="auto"/>
            <w:noWrap/>
            <w:vAlign w:val="bottom"/>
            <w:hideMark/>
          </w:tcPr>
          <w:p w14:paraId="645EEA97"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0.02</w:t>
            </w:r>
          </w:p>
        </w:tc>
      </w:tr>
      <w:tr w:rsidR="000838B7" w:rsidRPr="001B60DE" w14:paraId="52A3CEA2" w14:textId="77777777" w:rsidTr="00175B33">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66DDC4C"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42</w:t>
            </w:r>
          </w:p>
        </w:tc>
        <w:tc>
          <w:tcPr>
            <w:tcW w:w="1559" w:type="dxa"/>
            <w:tcBorders>
              <w:top w:val="nil"/>
              <w:left w:val="nil"/>
              <w:bottom w:val="single" w:sz="4" w:space="0" w:color="auto"/>
              <w:right w:val="single" w:sz="4" w:space="0" w:color="auto"/>
            </w:tcBorders>
            <w:shd w:val="clear" w:color="auto" w:fill="auto"/>
            <w:noWrap/>
            <w:vAlign w:val="bottom"/>
            <w:hideMark/>
          </w:tcPr>
          <w:p w14:paraId="2FA91FB6"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60%</w:t>
            </w:r>
          </w:p>
        </w:tc>
        <w:tc>
          <w:tcPr>
            <w:tcW w:w="1559" w:type="dxa"/>
            <w:tcBorders>
              <w:top w:val="nil"/>
              <w:left w:val="nil"/>
              <w:bottom w:val="single" w:sz="4" w:space="0" w:color="auto"/>
              <w:right w:val="single" w:sz="4" w:space="0" w:color="auto"/>
            </w:tcBorders>
            <w:shd w:val="clear" w:color="auto" w:fill="auto"/>
            <w:noWrap/>
            <w:vAlign w:val="bottom"/>
            <w:hideMark/>
          </w:tcPr>
          <w:p w14:paraId="06324344" w14:textId="77777777" w:rsidR="000838B7" w:rsidRPr="000838B7" w:rsidRDefault="000838B7" w:rsidP="00175B33">
            <w:pPr>
              <w:widowControl/>
              <w:autoSpaceDE/>
              <w:autoSpaceDN/>
              <w:adjustRightInd/>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48 months</w:t>
            </w:r>
          </w:p>
        </w:tc>
        <w:tc>
          <w:tcPr>
            <w:tcW w:w="1559" w:type="dxa"/>
            <w:tcBorders>
              <w:top w:val="nil"/>
              <w:left w:val="nil"/>
              <w:bottom w:val="single" w:sz="4" w:space="0" w:color="auto"/>
              <w:right w:val="single" w:sz="4" w:space="0" w:color="auto"/>
            </w:tcBorders>
            <w:shd w:val="clear" w:color="auto" w:fill="auto"/>
            <w:noWrap/>
            <w:vAlign w:val="bottom"/>
            <w:hideMark/>
          </w:tcPr>
          <w:p w14:paraId="514B3961"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4DE5287C"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1.2</w:t>
            </w:r>
          </w:p>
        </w:tc>
        <w:tc>
          <w:tcPr>
            <w:tcW w:w="1560" w:type="dxa"/>
            <w:tcBorders>
              <w:top w:val="nil"/>
              <w:left w:val="nil"/>
              <w:bottom w:val="single" w:sz="4" w:space="0" w:color="auto"/>
              <w:right w:val="single" w:sz="4" w:space="0" w:color="auto"/>
            </w:tcBorders>
            <w:shd w:val="clear" w:color="auto" w:fill="auto"/>
            <w:noWrap/>
            <w:vAlign w:val="bottom"/>
            <w:hideMark/>
          </w:tcPr>
          <w:p w14:paraId="6B4F0C9D" w14:textId="77777777" w:rsidR="000838B7" w:rsidRPr="000838B7" w:rsidRDefault="000838B7" w:rsidP="00175B33">
            <w:pPr>
              <w:widowControl/>
              <w:autoSpaceDE/>
              <w:autoSpaceDN/>
              <w:adjustRightInd/>
              <w:jc w:val="right"/>
              <w:rPr>
                <w:rFonts w:ascii="Times New Roman" w:eastAsia="Times New Roman" w:hAnsi="Times New Roman" w:cs="Times New Roman"/>
                <w:noProof w:val="0"/>
                <w:color w:val="FF0000"/>
              </w:rPr>
            </w:pPr>
            <w:r w:rsidRPr="000838B7">
              <w:rPr>
                <w:rFonts w:ascii="Times New Roman" w:eastAsia="Times New Roman" w:hAnsi="Times New Roman" w:cs="Times New Roman"/>
                <w:noProof w:val="0"/>
                <w:color w:val="FF0000"/>
              </w:rPr>
              <w:t>0.02</w:t>
            </w:r>
          </w:p>
        </w:tc>
      </w:tr>
    </w:tbl>
    <w:p w14:paraId="7253D03C" w14:textId="005D1607" w:rsidR="00DA2409" w:rsidRDefault="00DA2409" w:rsidP="006D74B9">
      <w:pPr>
        <w:widowControl/>
        <w:autoSpaceDE/>
        <w:autoSpaceDN/>
        <w:adjustRightInd/>
        <w:spacing w:line="480" w:lineRule="auto"/>
        <w:ind w:firstLine="720"/>
        <w:rPr>
          <w:rFonts w:ascii="Times New Roman" w:hAnsi="Times New Roman" w:cs="Times New Roman"/>
          <w:noProof w:val="0"/>
          <w:sz w:val="24"/>
          <w:szCs w:val="24"/>
        </w:rPr>
      </w:pPr>
    </w:p>
    <w:p w14:paraId="07FED69E" w14:textId="71F3CB53" w:rsidR="00112247" w:rsidRPr="00AF26D4" w:rsidRDefault="00BE42E7" w:rsidP="00634908">
      <w:pPr>
        <w:widowControl/>
        <w:autoSpaceDE/>
        <w:autoSpaceDN/>
        <w:adjustRightInd/>
        <w:spacing w:after="200" w:line="276" w:lineRule="auto"/>
        <w:rPr>
          <w:rFonts w:ascii="Times New Roman" w:eastAsia="Times New Roman" w:hAnsi="Times New Roman" w:cs="Times New Roman"/>
          <w:b/>
          <w:bCs/>
          <w:noProof w:val="0"/>
          <w:color w:val="000000"/>
          <w:sz w:val="24"/>
          <w:szCs w:val="24"/>
        </w:rPr>
      </w:pPr>
      <w:r w:rsidRPr="00AF26D4">
        <w:rPr>
          <w:rFonts w:ascii="Times New Roman" w:hAnsi="Times New Roman" w:cs="Times New Roman"/>
          <w:b/>
          <w:bCs/>
          <w:noProof w:val="0"/>
          <w:sz w:val="24"/>
          <w:szCs w:val="24"/>
        </w:rPr>
        <w:t>Figure A.</w:t>
      </w:r>
      <w:r w:rsidR="00B037A6" w:rsidRPr="00AF26D4">
        <w:rPr>
          <w:rFonts w:ascii="Times New Roman" w:hAnsi="Times New Roman" w:cs="Times New Roman"/>
          <w:b/>
          <w:bCs/>
          <w:noProof w:val="0"/>
          <w:sz w:val="24"/>
          <w:szCs w:val="24"/>
        </w:rPr>
        <w:t>4</w:t>
      </w:r>
      <w:r w:rsidRPr="00AF26D4">
        <w:rPr>
          <w:rFonts w:ascii="Times New Roman" w:hAnsi="Times New Roman" w:cs="Times New Roman"/>
          <w:b/>
          <w:bCs/>
          <w:noProof w:val="0"/>
          <w:sz w:val="24"/>
          <w:szCs w:val="24"/>
        </w:rPr>
        <w:t xml:space="preserve">: </w:t>
      </w:r>
      <w:r w:rsidR="00AD0A30" w:rsidRPr="005165D7">
        <w:rPr>
          <w:rFonts w:ascii="Times New Roman" w:eastAsia="Times New Roman" w:hAnsi="Times New Roman" w:cs="Times New Roman"/>
          <w:b/>
          <w:bCs/>
          <w:color w:val="000000"/>
          <w:sz w:val="24"/>
          <w:szCs w:val="24"/>
        </w:rPr>
        <w:t>10</w:t>
      </w:r>
      <w:r w:rsidR="00AD0A30" w:rsidRPr="005165D7">
        <w:rPr>
          <w:rFonts w:ascii="Times New Roman" w:eastAsia="Times New Roman" w:hAnsi="Times New Roman" w:cs="Times New Roman"/>
          <w:b/>
          <w:bCs/>
          <w:color w:val="000000"/>
          <w:sz w:val="24"/>
          <w:szCs w:val="24"/>
          <w:vertAlign w:val="superscript"/>
        </w:rPr>
        <w:t>th</w:t>
      </w:r>
      <w:r w:rsidR="00AD0A30" w:rsidRPr="00D805CC">
        <w:rPr>
          <w:rFonts w:ascii="Times New Roman" w:eastAsia="Times New Roman" w:hAnsi="Times New Roman" w:cs="Times New Roman"/>
          <w:b/>
          <w:bCs/>
          <w:color w:val="000000"/>
          <w:sz w:val="24"/>
          <w:szCs w:val="24"/>
        </w:rPr>
        <w:t xml:space="preserve"> year</w:t>
      </w:r>
      <w:r w:rsidR="00AD0A30" w:rsidRPr="00AF26D4">
        <w:rPr>
          <w:rFonts w:ascii="Times New Roman" w:eastAsia="Times New Roman" w:hAnsi="Times New Roman" w:cs="Times New Roman"/>
          <w:b/>
          <w:bCs/>
          <w:noProof w:val="0"/>
          <w:color w:val="000000"/>
          <w:sz w:val="24"/>
          <w:szCs w:val="24"/>
        </w:rPr>
        <w:t xml:space="preserve"> incidence rates produced when combination PrEP initiation and retention interventions are considered</w:t>
      </w:r>
      <w:r w:rsidR="004412AF" w:rsidRPr="00AF26D4">
        <w:rPr>
          <w:rFonts w:ascii="Times New Roman" w:eastAsia="Times New Roman" w:hAnsi="Times New Roman" w:cs="Times New Roman"/>
          <w:b/>
          <w:bCs/>
          <w:noProof w:val="0"/>
          <w:color w:val="000000"/>
          <w:sz w:val="24"/>
          <w:szCs w:val="24"/>
        </w:rPr>
        <w:t xml:space="preserve"> simultaneously</w:t>
      </w:r>
      <w:r w:rsidR="00112247" w:rsidRPr="00AF26D4">
        <w:rPr>
          <w:rFonts w:ascii="Times New Roman" w:eastAsia="Times New Roman" w:hAnsi="Times New Roman" w:cs="Times New Roman"/>
          <w:b/>
          <w:bCs/>
          <w:noProof w:val="0"/>
          <w:color w:val="000000"/>
          <w:sz w:val="24"/>
          <w:szCs w:val="24"/>
        </w:rPr>
        <w:t>.</w:t>
      </w:r>
    </w:p>
    <w:p w14:paraId="3FA040CE" w14:textId="6D7C5AF5" w:rsidR="00AF26D4" w:rsidRDefault="000D65C6" w:rsidP="00632193">
      <w:pPr>
        <w:widowControl/>
        <w:autoSpaceDE/>
        <w:autoSpaceDN/>
        <w:adjustRightInd/>
        <w:spacing w:after="200" w:line="276" w:lineRule="auto"/>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 xml:space="preserve"> </w:t>
      </w:r>
      <w:r w:rsidR="00632193">
        <w:rPr>
          <w:rFonts w:ascii="Times New Roman" w:hAnsi="Times New Roman" w:cs="Times New Roman"/>
          <w:b/>
          <w:bCs/>
          <w:sz w:val="24"/>
          <w:szCs w:val="24"/>
          <w:lang w:val="en-GB" w:eastAsia="en-GB"/>
        </w:rPr>
        <w:drawing>
          <wp:inline distT="0" distB="0" distL="0" distR="0" wp14:anchorId="213860DE" wp14:editId="017C7AB8">
            <wp:extent cx="59436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bo_idea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r w:rsidR="00AF26D4">
        <w:rPr>
          <w:rFonts w:ascii="Times New Roman" w:hAnsi="Times New Roman" w:cs="Times New Roman"/>
          <w:b/>
          <w:bCs/>
          <w:noProof w:val="0"/>
          <w:sz w:val="24"/>
          <w:szCs w:val="24"/>
        </w:rPr>
        <w:br w:type="page"/>
      </w:r>
    </w:p>
    <w:p w14:paraId="1844709B" w14:textId="0D4588DD" w:rsidR="007C4A1E" w:rsidRDefault="000D07DB" w:rsidP="000B44D1">
      <w:pPr>
        <w:pStyle w:val="Heading1"/>
      </w:pPr>
      <w:bookmarkStart w:id="22" w:name="_Toc3377349"/>
      <w:r>
        <w:lastRenderedPageBreak/>
        <w:t>A.</w:t>
      </w:r>
      <w:r w:rsidR="0573D6D8" w:rsidRPr="0573D6D8">
        <w:t>8 References to the Appendix</w:t>
      </w:r>
      <w:bookmarkEnd w:id="22"/>
    </w:p>
    <w:p w14:paraId="68F2B45A" w14:textId="77777777" w:rsidR="000B44D1" w:rsidRPr="000B44D1" w:rsidRDefault="000B44D1" w:rsidP="000B44D1"/>
    <w:p w14:paraId="1C5ED810" w14:textId="013C0026" w:rsidR="00A17324" w:rsidRPr="00A17324" w:rsidRDefault="008E5FE9" w:rsidP="00A17324">
      <w:pPr>
        <w:ind w:left="640" w:hanging="640"/>
        <w:rPr>
          <w:rFonts w:ascii="Times New Roman" w:hAnsi="Times New Roman" w:cs="Times New Roman"/>
          <w:sz w:val="24"/>
        </w:rPr>
      </w:pPr>
      <w:r>
        <w:rPr>
          <w:rFonts w:ascii="Times New Roman" w:hAnsi="Times New Roman" w:cs="Times New Roman"/>
          <w:noProof w:val="0"/>
          <w:sz w:val="24"/>
          <w:szCs w:val="24"/>
        </w:rPr>
        <w:fldChar w:fldCharType="begin" w:fldLock="1"/>
      </w:r>
      <w:r>
        <w:rPr>
          <w:rFonts w:ascii="Times New Roman" w:hAnsi="Times New Roman" w:cs="Times New Roman"/>
          <w:noProof w:val="0"/>
          <w:sz w:val="24"/>
          <w:szCs w:val="24"/>
        </w:rPr>
        <w:instrText xml:space="preserve">ADDIN Mendeley Bibliography CSL_BIBLIOGRAPHY </w:instrText>
      </w:r>
      <w:r>
        <w:rPr>
          <w:rFonts w:ascii="Times New Roman" w:hAnsi="Times New Roman" w:cs="Times New Roman"/>
          <w:noProof w:val="0"/>
          <w:sz w:val="24"/>
          <w:szCs w:val="24"/>
        </w:rPr>
        <w:fldChar w:fldCharType="separate"/>
      </w:r>
      <w:r w:rsidR="00A17324" w:rsidRPr="00A17324">
        <w:rPr>
          <w:rFonts w:ascii="Times New Roman" w:hAnsi="Times New Roman" w:cs="Times New Roman"/>
          <w:sz w:val="24"/>
        </w:rPr>
        <w:t xml:space="preserve">1 </w:t>
      </w:r>
      <w:r w:rsidR="00A17324" w:rsidRPr="00A17324">
        <w:rPr>
          <w:rFonts w:ascii="Times New Roman" w:hAnsi="Times New Roman" w:cs="Times New Roman"/>
          <w:sz w:val="24"/>
        </w:rPr>
        <w:tab/>
        <w:t xml:space="preserve">Khanna AS, Goodreau SM, Gorbach PM, Daar E, Little SJ. Modeling the Impact of Post-Diagnosis Behavior Change on HIV Prevalence in Southern California Men Who Have Sex with Men (MSM). </w:t>
      </w:r>
      <w:r w:rsidR="00A17324" w:rsidRPr="00A17324">
        <w:rPr>
          <w:rFonts w:ascii="Times New Roman" w:hAnsi="Times New Roman" w:cs="Times New Roman"/>
          <w:i/>
          <w:iCs/>
          <w:sz w:val="24"/>
        </w:rPr>
        <w:t>AIDS Behav</w:t>
      </w:r>
      <w:r w:rsidR="00A17324" w:rsidRPr="00A17324">
        <w:rPr>
          <w:rFonts w:ascii="Times New Roman" w:hAnsi="Times New Roman" w:cs="Times New Roman"/>
          <w:sz w:val="24"/>
        </w:rPr>
        <w:t xml:space="preserve"> 2014; </w:t>
      </w:r>
      <w:r w:rsidR="00A17324" w:rsidRPr="00A17324">
        <w:rPr>
          <w:rFonts w:ascii="Times New Roman" w:hAnsi="Times New Roman" w:cs="Times New Roman"/>
          <w:b/>
          <w:bCs/>
          <w:sz w:val="24"/>
        </w:rPr>
        <w:t>18</w:t>
      </w:r>
      <w:r w:rsidR="00A17324" w:rsidRPr="00A17324">
        <w:rPr>
          <w:rFonts w:ascii="Times New Roman" w:hAnsi="Times New Roman" w:cs="Times New Roman"/>
          <w:sz w:val="24"/>
        </w:rPr>
        <w:t>:1523–31.</w:t>
      </w:r>
    </w:p>
    <w:p w14:paraId="7D93A118"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2 </w:t>
      </w:r>
      <w:r w:rsidRPr="00A17324">
        <w:rPr>
          <w:rFonts w:ascii="Times New Roman" w:hAnsi="Times New Roman" w:cs="Times New Roman"/>
          <w:sz w:val="24"/>
        </w:rPr>
        <w:tab/>
        <w:t xml:space="preserve">Khanna A, Goodreau SM, Wohlfeiler D, Daar E, Little S, Gorbach PM. Individualized diagnosis interventions can add significant effectiveness in reducing human immunodeficiency virus incidence among men who have sex with men: insights from Southern California. </w:t>
      </w:r>
      <w:r w:rsidRPr="00A17324">
        <w:rPr>
          <w:rFonts w:ascii="Times New Roman" w:hAnsi="Times New Roman" w:cs="Times New Roman"/>
          <w:i/>
          <w:iCs/>
          <w:sz w:val="24"/>
        </w:rPr>
        <w:t>Ann Epidemiol</w:t>
      </w:r>
      <w:r w:rsidRPr="00A17324">
        <w:rPr>
          <w:rFonts w:ascii="Times New Roman" w:hAnsi="Times New Roman" w:cs="Times New Roman"/>
          <w:sz w:val="24"/>
        </w:rPr>
        <w:t xml:space="preserve"> Published Online First: October 2014. </w:t>
      </w:r>
      <w:r w:rsidRPr="005165D7">
        <w:rPr>
          <w:rFonts w:ascii="Times New Roman" w:hAnsi="Times New Roman" w:cs="Times New Roman"/>
          <w:sz w:val="24"/>
        </w:rPr>
        <w:t>doi</w:t>
      </w:r>
      <w:r w:rsidRPr="00A17324">
        <w:rPr>
          <w:rFonts w:ascii="Times New Roman" w:hAnsi="Times New Roman" w:cs="Times New Roman"/>
          <w:sz w:val="24"/>
        </w:rPr>
        <w:t>:10.1016/j.annepidem.2014.09.012</w:t>
      </w:r>
    </w:p>
    <w:p w14:paraId="23981A45"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3 </w:t>
      </w:r>
      <w:r w:rsidRPr="00A17324">
        <w:rPr>
          <w:rFonts w:ascii="Times New Roman" w:hAnsi="Times New Roman" w:cs="Times New Roman"/>
          <w:sz w:val="24"/>
        </w:rPr>
        <w:tab/>
        <w:t xml:space="preserve">Goodreau SM, Carnegie NB, Vittinghoff E, Lama JR, Sanchez J, Grinsztejn B, </w:t>
      </w:r>
      <w:r w:rsidRPr="00A17324">
        <w:rPr>
          <w:rFonts w:ascii="Times New Roman" w:hAnsi="Times New Roman" w:cs="Times New Roman"/>
          <w:i/>
          <w:iCs/>
          <w:sz w:val="24"/>
        </w:rPr>
        <w:t>et al.</w:t>
      </w:r>
      <w:r w:rsidRPr="00A17324">
        <w:rPr>
          <w:rFonts w:ascii="Times New Roman" w:hAnsi="Times New Roman" w:cs="Times New Roman"/>
          <w:sz w:val="24"/>
        </w:rPr>
        <w:t xml:space="preserve"> What Drives the US and Peruvian HIV Epidemics in Men Who Have Sex with Men (MSM)? </w:t>
      </w:r>
      <w:r w:rsidRPr="00A17324">
        <w:rPr>
          <w:rFonts w:ascii="Times New Roman" w:hAnsi="Times New Roman" w:cs="Times New Roman"/>
          <w:i/>
          <w:iCs/>
          <w:sz w:val="24"/>
        </w:rPr>
        <w:t>PLoS One</w:t>
      </w:r>
      <w:r w:rsidRPr="00A17324">
        <w:rPr>
          <w:rFonts w:ascii="Times New Roman" w:hAnsi="Times New Roman" w:cs="Times New Roman"/>
          <w:sz w:val="24"/>
        </w:rPr>
        <w:t xml:space="preserve"> 2012; </w:t>
      </w:r>
      <w:r w:rsidRPr="00A17324">
        <w:rPr>
          <w:rFonts w:ascii="Times New Roman" w:hAnsi="Times New Roman" w:cs="Times New Roman"/>
          <w:b/>
          <w:bCs/>
          <w:sz w:val="24"/>
        </w:rPr>
        <w:t>7</w:t>
      </w:r>
      <w:r w:rsidRPr="00A17324">
        <w:rPr>
          <w:rFonts w:ascii="Times New Roman" w:hAnsi="Times New Roman" w:cs="Times New Roman"/>
          <w:sz w:val="24"/>
        </w:rPr>
        <w:t>:e50522.</w:t>
      </w:r>
    </w:p>
    <w:p w14:paraId="1D3488FC"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4 </w:t>
      </w:r>
      <w:r w:rsidRPr="00A17324">
        <w:rPr>
          <w:rFonts w:ascii="Times New Roman" w:hAnsi="Times New Roman" w:cs="Times New Roman"/>
          <w:sz w:val="24"/>
        </w:rPr>
        <w:tab/>
        <w:t xml:space="preserve">Khanna AS, Roberts ST, Cassels S, Ying R, John-Stewart G, Goodreau SM, </w:t>
      </w:r>
      <w:r w:rsidRPr="00A17324">
        <w:rPr>
          <w:rFonts w:ascii="Times New Roman" w:hAnsi="Times New Roman" w:cs="Times New Roman"/>
          <w:i/>
          <w:iCs/>
          <w:sz w:val="24"/>
        </w:rPr>
        <w:t>et al.</w:t>
      </w:r>
      <w:r w:rsidRPr="00A17324">
        <w:rPr>
          <w:rFonts w:ascii="Times New Roman" w:hAnsi="Times New Roman" w:cs="Times New Roman"/>
          <w:sz w:val="24"/>
        </w:rPr>
        <w:t xml:space="preserve"> Estimating PMTCT’s impact on heterosexual HIV transmission: A mathematical modeling analysis. </w:t>
      </w:r>
      <w:r w:rsidRPr="00A17324">
        <w:rPr>
          <w:rFonts w:ascii="Times New Roman" w:hAnsi="Times New Roman" w:cs="Times New Roman"/>
          <w:i/>
          <w:iCs/>
          <w:sz w:val="24"/>
        </w:rPr>
        <w:t>PLoS One</w:t>
      </w:r>
      <w:r w:rsidRPr="00A17324">
        <w:rPr>
          <w:rFonts w:ascii="Times New Roman" w:hAnsi="Times New Roman" w:cs="Times New Roman"/>
          <w:sz w:val="24"/>
        </w:rPr>
        <w:t xml:space="preserve"> 2015; </w:t>
      </w:r>
      <w:r w:rsidRPr="00A17324">
        <w:rPr>
          <w:rFonts w:ascii="Times New Roman" w:hAnsi="Times New Roman" w:cs="Times New Roman"/>
          <w:b/>
          <w:bCs/>
          <w:sz w:val="24"/>
        </w:rPr>
        <w:t>10</w:t>
      </w:r>
      <w:r w:rsidRPr="00A17324">
        <w:rPr>
          <w:rFonts w:ascii="Times New Roman" w:hAnsi="Times New Roman" w:cs="Times New Roman"/>
          <w:sz w:val="24"/>
        </w:rPr>
        <w:t>:e0134271.</w:t>
      </w:r>
    </w:p>
    <w:p w14:paraId="0377DCB4"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5 </w:t>
      </w:r>
      <w:r w:rsidRPr="00A17324">
        <w:rPr>
          <w:rFonts w:ascii="Times New Roman" w:hAnsi="Times New Roman" w:cs="Times New Roman"/>
          <w:sz w:val="24"/>
        </w:rPr>
        <w:tab/>
        <w:t xml:space="preserve">Roberts ST, Khanna AS, Barnabas R V, Goodreau SM, Baeten JM, Celum C, </w:t>
      </w:r>
      <w:r w:rsidRPr="00A17324">
        <w:rPr>
          <w:rFonts w:ascii="Times New Roman" w:hAnsi="Times New Roman" w:cs="Times New Roman"/>
          <w:i/>
          <w:iCs/>
          <w:sz w:val="24"/>
        </w:rPr>
        <w:t>et al.</w:t>
      </w:r>
      <w:r w:rsidRPr="00A17324">
        <w:rPr>
          <w:rFonts w:ascii="Times New Roman" w:hAnsi="Times New Roman" w:cs="Times New Roman"/>
          <w:sz w:val="24"/>
        </w:rPr>
        <w:t xml:space="preserve"> Estimating the impact of universal antiretroviral therapy for HIV serodiscordant couples through home HIV testing: insights from mathematical models. </w:t>
      </w:r>
      <w:r w:rsidRPr="00A17324">
        <w:rPr>
          <w:rFonts w:ascii="Times New Roman" w:hAnsi="Times New Roman" w:cs="Times New Roman"/>
          <w:i/>
          <w:iCs/>
          <w:sz w:val="24"/>
        </w:rPr>
        <w:t>J Int AIDS Soc</w:t>
      </w:r>
      <w:r w:rsidRPr="00A17324">
        <w:rPr>
          <w:rFonts w:ascii="Times New Roman" w:hAnsi="Times New Roman" w:cs="Times New Roman"/>
          <w:sz w:val="24"/>
        </w:rPr>
        <w:t xml:space="preserve"> 2016; </w:t>
      </w:r>
      <w:r w:rsidRPr="00A17324">
        <w:rPr>
          <w:rFonts w:ascii="Times New Roman" w:hAnsi="Times New Roman" w:cs="Times New Roman"/>
          <w:b/>
          <w:bCs/>
          <w:sz w:val="24"/>
        </w:rPr>
        <w:t>19</w:t>
      </w:r>
      <w:r w:rsidRPr="00A17324">
        <w:rPr>
          <w:rFonts w:ascii="Times New Roman" w:hAnsi="Times New Roman" w:cs="Times New Roman"/>
          <w:sz w:val="24"/>
        </w:rPr>
        <w:t xml:space="preserve">. </w:t>
      </w:r>
      <w:r w:rsidRPr="005165D7">
        <w:rPr>
          <w:rFonts w:ascii="Times New Roman" w:hAnsi="Times New Roman" w:cs="Times New Roman"/>
          <w:sz w:val="24"/>
        </w:rPr>
        <w:t>doi</w:t>
      </w:r>
      <w:r w:rsidRPr="00A17324">
        <w:rPr>
          <w:rFonts w:ascii="Times New Roman" w:hAnsi="Times New Roman" w:cs="Times New Roman"/>
          <w:sz w:val="24"/>
        </w:rPr>
        <w:t>:10.7448/IAS.19.1.20864</w:t>
      </w:r>
    </w:p>
    <w:p w14:paraId="285A9EDD"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6 </w:t>
      </w:r>
      <w:r w:rsidRPr="00A17324">
        <w:rPr>
          <w:rFonts w:ascii="Times New Roman" w:hAnsi="Times New Roman" w:cs="Times New Roman"/>
          <w:sz w:val="24"/>
        </w:rPr>
        <w:tab/>
        <w:t>United States Census Bureau. State Population by Characteristics: 2010-2016. 2017.https://www.census.gov/data/datasets/2016/demo/popest/state-detail.html</w:t>
      </w:r>
    </w:p>
    <w:p w14:paraId="378D43FA"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7 </w:t>
      </w:r>
      <w:r w:rsidRPr="00A17324">
        <w:rPr>
          <w:rFonts w:ascii="Times New Roman" w:hAnsi="Times New Roman" w:cs="Times New Roman"/>
          <w:sz w:val="24"/>
        </w:rPr>
        <w:tab/>
        <w:t xml:space="preserve">Khanna AS, Goodreau SM, Gorbach PM, Daar E, Little SJ. Modeling the Impact of Post-Diagnosis Behavior Change on HIV Prevalence in Southern California Men Who Have Sex with Men (MSM)1 Khanna AS, Goodreau SM, Gorbach PM, Daar E, Little SJ. Modeling the Impact of Post-Diagnosis Behavior Change on HIV </w:t>
      </w:r>
      <w:r w:rsidRPr="005165D7">
        <w:rPr>
          <w:rFonts w:ascii="Times New Roman" w:hAnsi="Times New Roman" w:cs="Times New Roman"/>
          <w:sz w:val="24"/>
        </w:rPr>
        <w:t>Prevalence .</w:t>
      </w:r>
      <w:r w:rsidRPr="00A17324">
        <w:rPr>
          <w:rFonts w:ascii="Times New Roman" w:hAnsi="Times New Roman" w:cs="Times New Roman"/>
          <w:sz w:val="24"/>
        </w:rPr>
        <w:t xml:space="preserve"> </w:t>
      </w:r>
      <w:r w:rsidRPr="00A17324">
        <w:rPr>
          <w:rFonts w:ascii="Times New Roman" w:hAnsi="Times New Roman" w:cs="Times New Roman"/>
          <w:i/>
          <w:iCs/>
          <w:sz w:val="24"/>
        </w:rPr>
        <w:t>AIDS Behav</w:t>
      </w:r>
      <w:r w:rsidRPr="00A17324">
        <w:rPr>
          <w:rFonts w:ascii="Times New Roman" w:hAnsi="Times New Roman" w:cs="Times New Roman"/>
          <w:sz w:val="24"/>
        </w:rPr>
        <w:t xml:space="preserve"> 2014; </w:t>
      </w:r>
      <w:r w:rsidRPr="00A17324">
        <w:rPr>
          <w:rFonts w:ascii="Times New Roman" w:hAnsi="Times New Roman" w:cs="Times New Roman"/>
          <w:b/>
          <w:bCs/>
          <w:sz w:val="24"/>
        </w:rPr>
        <w:t>18</w:t>
      </w:r>
      <w:r w:rsidRPr="00A17324">
        <w:rPr>
          <w:rFonts w:ascii="Times New Roman" w:hAnsi="Times New Roman" w:cs="Times New Roman"/>
          <w:sz w:val="24"/>
        </w:rPr>
        <w:t>:1523–31.</w:t>
      </w:r>
    </w:p>
    <w:p w14:paraId="4175906F"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8 </w:t>
      </w:r>
      <w:r w:rsidRPr="00A17324">
        <w:rPr>
          <w:rFonts w:ascii="Times New Roman" w:hAnsi="Times New Roman" w:cs="Times New Roman"/>
          <w:sz w:val="24"/>
        </w:rPr>
        <w:tab/>
        <w:t xml:space="preserve">Krivitsky PN, Handcock MS. A Separable Model for Dynamic Networks. </w:t>
      </w:r>
      <w:r w:rsidRPr="00A17324">
        <w:rPr>
          <w:rFonts w:ascii="Times New Roman" w:hAnsi="Times New Roman" w:cs="Times New Roman"/>
          <w:i/>
          <w:iCs/>
          <w:sz w:val="24"/>
        </w:rPr>
        <w:t>J R Stat Soc Ser B Stat Methodol</w:t>
      </w:r>
      <w:r w:rsidRPr="00A17324">
        <w:rPr>
          <w:rFonts w:ascii="Times New Roman" w:hAnsi="Times New Roman" w:cs="Times New Roman"/>
          <w:sz w:val="24"/>
        </w:rPr>
        <w:t xml:space="preserve"> 2014; </w:t>
      </w:r>
      <w:r w:rsidRPr="00A17324">
        <w:rPr>
          <w:rFonts w:ascii="Times New Roman" w:hAnsi="Times New Roman" w:cs="Times New Roman"/>
          <w:b/>
          <w:bCs/>
          <w:sz w:val="24"/>
        </w:rPr>
        <w:t>76</w:t>
      </w:r>
      <w:r w:rsidRPr="00A17324">
        <w:rPr>
          <w:rFonts w:ascii="Times New Roman" w:hAnsi="Times New Roman" w:cs="Times New Roman"/>
          <w:sz w:val="24"/>
        </w:rPr>
        <w:t>:29–46.</w:t>
      </w:r>
    </w:p>
    <w:p w14:paraId="5632B828"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9 </w:t>
      </w:r>
      <w:r w:rsidRPr="00A17324">
        <w:rPr>
          <w:rFonts w:ascii="Times New Roman" w:hAnsi="Times New Roman" w:cs="Times New Roman"/>
          <w:sz w:val="24"/>
        </w:rPr>
        <w:tab/>
        <w:t xml:space="preserve">Handcock MS, Hunter DR, Butts CT, Goodreau SM, Morris M. </w:t>
      </w:r>
      <w:r w:rsidRPr="005165D7">
        <w:rPr>
          <w:rFonts w:ascii="Times New Roman" w:hAnsi="Times New Roman" w:cs="Times New Roman"/>
          <w:sz w:val="24"/>
        </w:rPr>
        <w:t>statnet</w:t>
      </w:r>
      <w:r w:rsidRPr="00A17324">
        <w:rPr>
          <w:rFonts w:ascii="Times New Roman" w:hAnsi="Times New Roman" w:cs="Times New Roman"/>
          <w:sz w:val="24"/>
        </w:rPr>
        <w:t>: Software tools for the Statistical Modeling of Network Data. 2003.http://statnetproject.org</w:t>
      </w:r>
    </w:p>
    <w:p w14:paraId="72CFBB75"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10 </w:t>
      </w:r>
      <w:r w:rsidRPr="00A17324">
        <w:rPr>
          <w:rFonts w:ascii="Times New Roman" w:hAnsi="Times New Roman" w:cs="Times New Roman"/>
          <w:sz w:val="24"/>
        </w:rPr>
        <w:tab/>
        <w:t xml:space="preserve">Hunter DR, Handcock MS, Butts CT, Goodreau SM, Morris M. </w:t>
      </w:r>
      <w:r w:rsidRPr="005165D7">
        <w:rPr>
          <w:rFonts w:ascii="Times New Roman" w:hAnsi="Times New Roman" w:cs="Times New Roman"/>
          <w:sz w:val="24"/>
        </w:rPr>
        <w:t>ergm</w:t>
      </w:r>
      <w:r w:rsidRPr="00A17324">
        <w:rPr>
          <w:rFonts w:ascii="Times New Roman" w:hAnsi="Times New Roman" w:cs="Times New Roman"/>
          <w:sz w:val="24"/>
        </w:rPr>
        <w:t xml:space="preserve">: A Package to Fit, Simulate and Diagnose Exponential-Family Models for Networks. </w:t>
      </w:r>
      <w:r w:rsidRPr="00A17324">
        <w:rPr>
          <w:rFonts w:ascii="Times New Roman" w:hAnsi="Times New Roman" w:cs="Times New Roman"/>
          <w:i/>
          <w:iCs/>
          <w:sz w:val="24"/>
        </w:rPr>
        <w:t>J Stat Softw</w:t>
      </w:r>
      <w:r w:rsidRPr="00A17324">
        <w:rPr>
          <w:rFonts w:ascii="Times New Roman" w:hAnsi="Times New Roman" w:cs="Times New Roman"/>
          <w:sz w:val="24"/>
        </w:rPr>
        <w:t xml:space="preserve"> 2008; </w:t>
      </w:r>
      <w:r w:rsidRPr="00A17324">
        <w:rPr>
          <w:rFonts w:ascii="Times New Roman" w:hAnsi="Times New Roman" w:cs="Times New Roman"/>
          <w:b/>
          <w:bCs/>
          <w:sz w:val="24"/>
        </w:rPr>
        <w:t>24</w:t>
      </w:r>
      <w:r w:rsidRPr="00A17324">
        <w:rPr>
          <w:rFonts w:ascii="Times New Roman" w:hAnsi="Times New Roman" w:cs="Times New Roman"/>
          <w:sz w:val="24"/>
        </w:rPr>
        <w:t>:nihpa54860.</w:t>
      </w:r>
    </w:p>
    <w:p w14:paraId="26576B0C"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11 </w:t>
      </w:r>
      <w:r w:rsidRPr="00A17324">
        <w:rPr>
          <w:rFonts w:ascii="Times New Roman" w:hAnsi="Times New Roman" w:cs="Times New Roman"/>
          <w:sz w:val="24"/>
        </w:rPr>
        <w:tab/>
        <w:t xml:space="preserve">Goodreau SM, Handcock MS, Hunter DR, Butts CT, Morris M. A </w:t>
      </w:r>
      <w:r w:rsidRPr="005165D7">
        <w:rPr>
          <w:rFonts w:ascii="Times New Roman" w:hAnsi="Times New Roman" w:cs="Times New Roman"/>
          <w:sz w:val="24"/>
        </w:rPr>
        <w:t>statnet</w:t>
      </w:r>
      <w:r w:rsidRPr="00A17324">
        <w:rPr>
          <w:rFonts w:ascii="Times New Roman" w:hAnsi="Times New Roman" w:cs="Times New Roman"/>
          <w:sz w:val="24"/>
        </w:rPr>
        <w:t xml:space="preserve"> Tutorial. </w:t>
      </w:r>
      <w:r w:rsidRPr="00A17324">
        <w:rPr>
          <w:rFonts w:ascii="Times New Roman" w:hAnsi="Times New Roman" w:cs="Times New Roman"/>
          <w:i/>
          <w:iCs/>
          <w:sz w:val="24"/>
        </w:rPr>
        <w:t>J Stat Softw</w:t>
      </w:r>
      <w:r w:rsidRPr="00A17324">
        <w:rPr>
          <w:rFonts w:ascii="Times New Roman" w:hAnsi="Times New Roman" w:cs="Times New Roman"/>
          <w:sz w:val="24"/>
        </w:rPr>
        <w:t xml:space="preserve"> 2008; </w:t>
      </w:r>
      <w:r w:rsidRPr="00A17324">
        <w:rPr>
          <w:rFonts w:ascii="Times New Roman" w:hAnsi="Times New Roman" w:cs="Times New Roman"/>
          <w:b/>
          <w:bCs/>
          <w:sz w:val="24"/>
        </w:rPr>
        <w:t>24</w:t>
      </w:r>
      <w:r w:rsidRPr="00A17324">
        <w:rPr>
          <w:rFonts w:ascii="Times New Roman" w:hAnsi="Times New Roman" w:cs="Times New Roman"/>
          <w:sz w:val="24"/>
        </w:rPr>
        <w:t>:1–27.</w:t>
      </w:r>
    </w:p>
    <w:p w14:paraId="02B26270"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12 </w:t>
      </w:r>
      <w:r w:rsidRPr="00A17324">
        <w:rPr>
          <w:rFonts w:ascii="Times New Roman" w:hAnsi="Times New Roman" w:cs="Times New Roman"/>
          <w:sz w:val="24"/>
        </w:rPr>
        <w:tab/>
        <w:t>Centers for Disease Control and Prevention. CDC Wonder. 2017.http://wonder.cdc.gov/ucd-icd10.html (accessed 5 Dec2017).</w:t>
      </w:r>
    </w:p>
    <w:p w14:paraId="10770336"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13 </w:t>
      </w:r>
      <w:r w:rsidRPr="00A17324">
        <w:rPr>
          <w:rFonts w:ascii="Times New Roman" w:hAnsi="Times New Roman" w:cs="Times New Roman"/>
          <w:sz w:val="24"/>
        </w:rPr>
        <w:tab/>
        <w:t xml:space="preserve">May MT, Vehreschild J-J, Trickey A, Obel N, Reiss P, Bonnet F, </w:t>
      </w:r>
      <w:r w:rsidRPr="00A17324">
        <w:rPr>
          <w:rFonts w:ascii="Times New Roman" w:hAnsi="Times New Roman" w:cs="Times New Roman"/>
          <w:i/>
          <w:iCs/>
          <w:sz w:val="24"/>
        </w:rPr>
        <w:t>et al.</w:t>
      </w:r>
      <w:r w:rsidRPr="00A17324">
        <w:rPr>
          <w:rFonts w:ascii="Times New Roman" w:hAnsi="Times New Roman" w:cs="Times New Roman"/>
          <w:sz w:val="24"/>
        </w:rPr>
        <w:t xml:space="preserve"> Mortality According to CD4 Count at Start of Combination Antiretroviral Therapy Among HIV-infected Patients Followed for up to 15 Years After Start of Treatment: Collaborative Cohort Study. </w:t>
      </w:r>
      <w:r w:rsidRPr="00A17324">
        <w:rPr>
          <w:rFonts w:ascii="Times New Roman" w:hAnsi="Times New Roman" w:cs="Times New Roman"/>
          <w:i/>
          <w:iCs/>
          <w:sz w:val="24"/>
        </w:rPr>
        <w:t>Clin Infect Dis</w:t>
      </w:r>
      <w:r w:rsidRPr="00A17324">
        <w:rPr>
          <w:rFonts w:ascii="Times New Roman" w:hAnsi="Times New Roman" w:cs="Times New Roman"/>
          <w:sz w:val="24"/>
        </w:rPr>
        <w:t xml:space="preserve"> 2016; </w:t>
      </w:r>
      <w:r w:rsidRPr="00A17324">
        <w:rPr>
          <w:rFonts w:ascii="Times New Roman" w:hAnsi="Times New Roman" w:cs="Times New Roman"/>
          <w:b/>
          <w:bCs/>
          <w:sz w:val="24"/>
        </w:rPr>
        <w:t>62</w:t>
      </w:r>
      <w:r w:rsidRPr="00A17324">
        <w:rPr>
          <w:rFonts w:ascii="Times New Roman" w:hAnsi="Times New Roman" w:cs="Times New Roman"/>
          <w:sz w:val="24"/>
        </w:rPr>
        <w:t>:1571–1577.</w:t>
      </w:r>
    </w:p>
    <w:p w14:paraId="40C2DBA7"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14 </w:t>
      </w:r>
      <w:r w:rsidRPr="00A17324">
        <w:rPr>
          <w:rFonts w:ascii="Times New Roman" w:hAnsi="Times New Roman" w:cs="Times New Roman"/>
          <w:sz w:val="24"/>
        </w:rPr>
        <w:tab/>
        <w:t>United States Census Bureau. State Population by Characteristics: 2010-2017. 2018.https://www.census.gov/data/datasets/2017/demo/popest/state-detail.html (accessed 31 Jan2019).</w:t>
      </w:r>
    </w:p>
    <w:p w14:paraId="0E716685"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15 </w:t>
      </w:r>
      <w:r w:rsidRPr="00A17324">
        <w:rPr>
          <w:rFonts w:ascii="Times New Roman" w:hAnsi="Times New Roman" w:cs="Times New Roman"/>
          <w:sz w:val="24"/>
        </w:rPr>
        <w:tab/>
        <w:t xml:space="preserve">Khanna AS, Michaels S, Skaathun B, Morgan E, Green K, Young L, </w:t>
      </w:r>
      <w:r w:rsidRPr="00A17324">
        <w:rPr>
          <w:rFonts w:ascii="Times New Roman" w:hAnsi="Times New Roman" w:cs="Times New Roman"/>
          <w:i/>
          <w:iCs/>
          <w:sz w:val="24"/>
        </w:rPr>
        <w:t>et al.</w:t>
      </w:r>
      <w:r w:rsidRPr="00A17324">
        <w:rPr>
          <w:rFonts w:ascii="Times New Roman" w:hAnsi="Times New Roman" w:cs="Times New Roman"/>
          <w:sz w:val="24"/>
        </w:rPr>
        <w:t xml:space="preserve"> Preexposure </w:t>
      </w:r>
      <w:r w:rsidRPr="00A17324">
        <w:rPr>
          <w:rFonts w:ascii="Times New Roman" w:hAnsi="Times New Roman" w:cs="Times New Roman"/>
          <w:sz w:val="24"/>
        </w:rPr>
        <w:lastRenderedPageBreak/>
        <w:t xml:space="preserve">Prophylaxis Awareness and Use in a Population-Based Sample of Young Black Men Who Have Sex With Men. </w:t>
      </w:r>
      <w:r w:rsidRPr="00A17324">
        <w:rPr>
          <w:rFonts w:ascii="Times New Roman" w:hAnsi="Times New Roman" w:cs="Times New Roman"/>
          <w:i/>
          <w:iCs/>
          <w:sz w:val="24"/>
        </w:rPr>
        <w:t>JAMA Intern Med</w:t>
      </w:r>
      <w:r w:rsidRPr="00A17324">
        <w:rPr>
          <w:rFonts w:ascii="Times New Roman" w:hAnsi="Times New Roman" w:cs="Times New Roman"/>
          <w:sz w:val="24"/>
        </w:rPr>
        <w:t xml:space="preserve"> 2016; </w:t>
      </w:r>
      <w:r w:rsidRPr="00A17324">
        <w:rPr>
          <w:rFonts w:ascii="Times New Roman" w:hAnsi="Times New Roman" w:cs="Times New Roman"/>
          <w:b/>
          <w:bCs/>
          <w:sz w:val="24"/>
        </w:rPr>
        <w:t>176</w:t>
      </w:r>
      <w:r w:rsidRPr="00A17324">
        <w:rPr>
          <w:rFonts w:ascii="Times New Roman" w:hAnsi="Times New Roman" w:cs="Times New Roman"/>
          <w:sz w:val="24"/>
        </w:rPr>
        <w:t>:136–8.</w:t>
      </w:r>
    </w:p>
    <w:p w14:paraId="2F76AF6B"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16 </w:t>
      </w:r>
      <w:r w:rsidRPr="00A17324">
        <w:rPr>
          <w:rFonts w:ascii="Times New Roman" w:hAnsi="Times New Roman" w:cs="Times New Roman"/>
          <w:sz w:val="24"/>
        </w:rPr>
        <w:tab/>
        <w:t xml:space="preserve">Schneider J, Cornwell B, Jonas A, Lancki N, Behler R, Skaathun B, </w:t>
      </w:r>
      <w:r w:rsidRPr="00A17324">
        <w:rPr>
          <w:rFonts w:ascii="Times New Roman" w:hAnsi="Times New Roman" w:cs="Times New Roman"/>
          <w:i/>
          <w:iCs/>
          <w:sz w:val="24"/>
        </w:rPr>
        <w:t>et al.</w:t>
      </w:r>
      <w:r w:rsidRPr="00A17324">
        <w:rPr>
          <w:rFonts w:ascii="Times New Roman" w:hAnsi="Times New Roman" w:cs="Times New Roman"/>
          <w:sz w:val="24"/>
        </w:rPr>
        <w:t xml:space="preserve"> Network dynamics of HIV risk and prevention in a population-based cohort of young Black men who have sex with men. </w:t>
      </w:r>
      <w:r w:rsidRPr="00A17324">
        <w:rPr>
          <w:rFonts w:ascii="Times New Roman" w:hAnsi="Times New Roman" w:cs="Times New Roman"/>
          <w:i/>
          <w:iCs/>
          <w:sz w:val="24"/>
        </w:rPr>
        <w:t>Netw Sci</w:t>
      </w:r>
      <w:r w:rsidRPr="00A17324">
        <w:rPr>
          <w:rFonts w:ascii="Times New Roman" w:hAnsi="Times New Roman" w:cs="Times New Roman"/>
          <w:sz w:val="24"/>
        </w:rPr>
        <w:t xml:space="preserve"> 2017; :1–29.</w:t>
      </w:r>
    </w:p>
    <w:p w14:paraId="77347110" w14:textId="77777777" w:rsidR="00A17324" w:rsidRPr="00033718" w:rsidRDefault="00A17324" w:rsidP="00A17324">
      <w:pPr>
        <w:ind w:left="640" w:hanging="640"/>
        <w:rPr>
          <w:rFonts w:ascii="Times New Roman" w:hAnsi="Times New Roman" w:cs="Times New Roman"/>
          <w:sz w:val="24"/>
          <w:lang w:val="fr-CA"/>
        </w:rPr>
      </w:pPr>
      <w:r w:rsidRPr="00A17324">
        <w:rPr>
          <w:rFonts w:ascii="Times New Roman" w:hAnsi="Times New Roman" w:cs="Times New Roman"/>
          <w:sz w:val="24"/>
        </w:rPr>
        <w:t xml:space="preserve">17 </w:t>
      </w:r>
      <w:r w:rsidRPr="00A17324">
        <w:rPr>
          <w:rFonts w:ascii="Times New Roman" w:hAnsi="Times New Roman" w:cs="Times New Roman"/>
          <w:sz w:val="24"/>
        </w:rPr>
        <w:tab/>
        <w:t xml:space="preserve">Khanna A, Goodreau SM, Wohlfeiler D, Daar E, Little S, Gorbach PM. Individualized diagnosis interventions can add significant effectiveness in reducing human immunodeficiency virus incidence among men who have sex with men: Insights from Southern California. </w:t>
      </w:r>
      <w:r w:rsidRPr="00033718">
        <w:rPr>
          <w:rFonts w:ascii="Times New Roman" w:hAnsi="Times New Roman" w:cs="Times New Roman"/>
          <w:i/>
          <w:iCs/>
          <w:sz w:val="24"/>
          <w:lang w:val="fr-CA"/>
        </w:rPr>
        <w:t>Ann Epidemiol</w:t>
      </w:r>
      <w:r w:rsidRPr="00033718">
        <w:rPr>
          <w:rFonts w:ascii="Times New Roman" w:hAnsi="Times New Roman" w:cs="Times New Roman"/>
          <w:sz w:val="24"/>
          <w:lang w:val="fr-CA"/>
        </w:rPr>
        <w:t xml:space="preserve"> 2015; </w:t>
      </w:r>
      <w:r w:rsidRPr="00033718">
        <w:rPr>
          <w:rFonts w:ascii="Times New Roman" w:hAnsi="Times New Roman" w:cs="Times New Roman"/>
          <w:b/>
          <w:bCs/>
          <w:sz w:val="24"/>
          <w:lang w:val="fr-CA"/>
        </w:rPr>
        <w:t>25</w:t>
      </w:r>
      <w:r w:rsidRPr="00033718">
        <w:rPr>
          <w:rFonts w:ascii="Times New Roman" w:hAnsi="Times New Roman" w:cs="Times New Roman"/>
          <w:sz w:val="24"/>
          <w:lang w:val="fr-CA"/>
        </w:rPr>
        <w:t xml:space="preserve">. </w:t>
      </w:r>
      <w:r w:rsidRPr="005165D7">
        <w:rPr>
          <w:rFonts w:ascii="Times New Roman" w:hAnsi="Times New Roman" w:cs="Times New Roman"/>
          <w:sz w:val="24"/>
          <w:lang w:val="fr-CA"/>
        </w:rPr>
        <w:t>doi</w:t>
      </w:r>
      <w:r w:rsidRPr="00033718">
        <w:rPr>
          <w:rFonts w:ascii="Times New Roman" w:hAnsi="Times New Roman" w:cs="Times New Roman"/>
          <w:sz w:val="24"/>
          <w:lang w:val="fr-CA"/>
        </w:rPr>
        <w:t>:10.1016/j.annepidem.2014.09.012</w:t>
      </w:r>
    </w:p>
    <w:p w14:paraId="31E260CF" w14:textId="77777777" w:rsidR="00A17324" w:rsidRPr="00A17324" w:rsidRDefault="00A17324" w:rsidP="00A17324">
      <w:pPr>
        <w:ind w:left="640" w:hanging="640"/>
        <w:rPr>
          <w:rFonts w:ascii="Times New Roman" w:hAnsi="Times New Roman" w:cs="Times New Roman"/>
          <w:sz w:val="24"/>
        </w:rPr>
      </w:pPr>
      <w:r w:rsidRPr="00033718">
        <w:rPr>
          <w:rFonts w:ascii="Times New Roman" w:hAnsi="Times New Roman" w:cs="Times New Roman"/>
          <w:sz w:val="24"/>
          <w:lang w:val="fr-CA"/>
        </w:rPr>
        <w:t xml:space="preserve">18 </w:t>
      </w:r>
      <w:r w:rsidRPr="00033718">
        <w:rPr>
          <w:rFonts w:ascii="Times New Roman" w:hAnsi="Times New Roman" w:cs="Times New Roman"/>
          <w:sz w:val="24"/>
          <w:lang w:val="fr-CA"/>
        </w:rPr>
        <w:tab/>
        <w:t xml:space="preserve">Paz-Bailey G, Mendoza MCB, Finlayson T, Wejnert C, Le B, Rose C, </w:t>
      </w:r>
      <w:r w:rsidRPr="00033718">
        <w:rPr>
          <w:rFonts w:ascii="Times New Roman" w:hAnsi="Times New Roman" w:cs="Times New Roman"/>
          <w:i/>
          <w:iCs/>
          <w:sz w:val="24"/>
          <w:lang w:val="fr-CA"/>
        </w:rPr>
        <w:t>et al.</w:t>
      </w:r>
      <w:r w:rsidRPr="00033718">
        <w:rPr>
          <w:rFonts w:ascii="Times New Roman" w:hAnsi="Times New Roman" w:cs="Times New Roman"/>
          <w:sz w:val="24"/>
          <w:lang w:val="fr-CA"/>
        </w:rPr>
        <w:t xml:space="preserve"> </w:t>
      </w:r>
      <w:r w:rsidRPr="00A17324">
        <w:rPr>
          <w:rFonts w:ascii="Times New Roman" w:hAnsi="Times New Roman" w:cs="Times New Roman"/>
          <w:sz w:val="24"/>
        </w:rPr>
        <w:t xml:space="preserve">Trends in condom use among MSM in the United States. </w:t>
      </w:r>
      <w:r w:rsidRPr="00A17324">
        <w:rPr>
          <w:rFonts w:ascii="Times New Roman" w:hAnsi="Times New Roman" w:cs="Times New Roman"/>
          <w:i/>
          <w:iCs/>
          <w:sz w:val="24"/>
        </w:rPr>
        <w:t>AIDS</w:t>
      </w:r>
      <w:r w:rsidRPr="00A17324">
        <w:rPr>
          <w:rFonts w:ascii="Times New Roman" w:hAnsi="Times New Roman" w:cs="Times New Roman"/>
          <w:sz w:val="24"/>
        </w:rPr>
        <w:t xml:space="preserve"> 2016; </w:t>
      </w:r>
      <w:r w:rsidRPr="00A17324">
        <w:rPr>
          <w:rFonts w:ascii="Times New Roman" w:hAnsi="Times New Roman" w:cs="Times New Roman"/>
          <w:b/>
          <w:bCs/>
          <w:sz w:val="24"/>
        </w:rPr>
        <w:t>30</w:t>
      </w:r>
      <w:r w:rsidRPr="00A17324">
        <w:rPr>
          <w:rFonts w:ascii="Times New Roman" w:hAnsi="Times New Roman" w:cs="Times New Roman"/>
          <w:sz w:val="24"/>
        </w:rPr>
        <w:t>:1985–1990.</w:t>
      </w:r>
    </w:p>
    <w:p w14:paraId="54A8B18D" w14:textId="77777777" w:rsidR="00A17324" w:rsidRPr="00033718" w:rsidRDefault="00A17324" w:rsidP="00A17324">
      <w:pPr>
        <w:ind w:left="640" w:hanging="640"/>
        <w:rPr>
          <w:rFonts w:ascii="Times New Roman" w:hAnsi="Times New Roman" w:cs="Times New Roman"/>
          <w:sz w:val="24"/>
          <w:lang w:val="fr-CA"/>
        </w:rPr>
      </w:pPr>
      <w:r w:rsidRPr="00A17324">
        <w:rPr>
          <w:rFonts w:ascii="Times New Roman" w:hAnsi="Times New Roman" w:cs="Times New Roman"/>
          <w:sz w:val="24"/>
        </w:rPr>
        <w:t xml:space="preserve">19 </w:t>
      </w:r>
      <w:r w:rsidRPr="00A17324">
        <w:rPr>
          <w:rFonts w:ascii="Times New Roman" w:hAnsi="Times New Roman" w:cs="Times New Roman"/>
          <w:sz w:val="24"/>
        </w:rPr>
        <w:tab/>
        <w:t xml:space="preserve">Witt MD, Lewis RJ, Rieg G, Seaberg EC, Rinaldo CR, Thio CL. Predictors of the isolated hepatitis B core antibody pattern in HIV-infected and -uninfected men in the multicenter AIDS cohort study. </w:t>
      </w:r>
      <w:r w:rsidRPr="00033718">
        <w:rPr>
          <w:rFonts w:ascii="Times New Roman" w:hAnsi="Times New Roman" w:cs="Times New Roman"/>
          <w:i/>
          <w:iCs/>
          <w:sz w:val="24"/>
          <w:lang w:val="fr-CA"/>
        </w:rPr>
        <w:t>Clin Infect Dis</w:t>
      </w:r>
      <w:r w:rsidRPr="00033718">
        <w:rPr>
          <w:rFonts w:ascii="Times New Roman" w:hAnsi="Times New Roman" w:cs="Times New Roman"/>
          <w:sz w:val="24"/>
          <w:lang w:val="fr-CA"/>
        </w:rPr>
        <w:t xml:space="preserve"> 2013; </w:t>
      </w:r>
      <w:r w:rsidRPr="00033718">
        <w:rPr>
          <w:rFonts w:ascii="Times New Roman" w:hAnsi="Times New Roman" w:cs="Times New Roman"/>
          <w:b/>
          <w:bCs/>
          <w:sz w:val="24"/>
          <w:lang w:val="fr-CA"/>
        </w:rPr>
        <w:t>56</w:t>
      </w:r>
      <w:r w:rsidRPr="00033718">
        <w:rPr>
          <w:rFonts w:ascii="Times New Roman" w:hAnsi="Times New Roman" w:cs="Times New Roman"/>
          <w:sz w:val="24"/>
          <w:lang w:val="fr-CA"/>
        </w:rPr>
        <w:t>:606–12.</w:t>
      </w:r>
    </w:p>
    <w:p w14:paraId="66B04B95" w14:textId="77777777" w:rsidR="00A17324" w:rsidRPr="00A17324" w:rsidRDefault="00A17324" w:rsidP="00A17324">
      <w:pPr>
        <w:ind w:left="640" w:hanging="640"/>
        <w:rPr>
          <w:rFonts w:ascii="Times New Roman" w:hAnsi="Times New Roman" w:cs="Times New Roman"/>
          <w:sz w:val="24"/>
        </w:rPr>
      </w:pPr>
      <w:r w:rsidRPr="00033718">
        <w:rPr>
          <w:rFonts w:ascii="Times New Roman" w:hAnsi="Times New Roman" w:cs="Times New Roman"/>
          <w:sz w:val="24"/>
          <w:lang w:val="fr-CA"/>
        </w:rPr>
        <w:t xml:space="preserve">20 </w:t>
      </w:r>
      <w:r w:rsidRPr="00033718">
        <w:rPr>
          <w:rFonts w:ascii="Times New Roman" w:hAnsi="Times New Roman" w:cs="Times New Roman"/>
          <w:sz w:val="24"/>
          <w:lang w:val="fr-CA"/>
        </w:rPr>
        <w:tab/>
        <w:t xml:space="preserve">Pantazis N, Morrison C, Amornkul PN, Lewden C, Salata R a, Minga A, </w:t>
      </w:r>
      <w:r w:rsidRPr="00033718">
        <w:rPr>
          <w:rFonts w:ascii="Times New Roman" w:hAnsi="Times New Roman" w:cs="Times New Roman"/>
          <w:i/>
          <w:iCs/>
          <w:sz w:val="24"/>
          <w:lang w:val="fr-CA"/>
        </w:rPr>
        <w:t>et al.</w:t>
      </w:r>
      <w:r w:rsidRPr="00033718">
        <w:rPr>
          <w:rFonts w:ascii="Times New Roman" w:hAnsi="Times New Roman" w:cs="Times New Roman"/>
          <w:sz w:val="24"/>
          <w:lang w:val="fr-CA"/>
        </w:rPr>
        <w:t xml:space="preserve"> </w:t>
      </w:r>
      <w:r w:rsidRPr="00A17324">
        <w:rPr>
          <w:rFonts w:ascii="Times New Roman" w:hAnsi="Times New Roman" w:cs="Times New Roman"/>
          <w:sz w:val="24"/>
        </w:rPr>
        <w:t xml:space="preserve">Differences in HIV natural history among African and non-African seroconverters in Europe and seroconverters in sub-Saharan Africa. </w:t>
      </w:r>
      <w:r w:rsidRPr="00A17324">
        <w:rPr>
          <w:rFonts w:ascii="Times New Roman" w:hAnsi="Times New Roman" w:cs="Times New Roman"/>
          <w:i/>
          <w:iCs/>
          <w:sz w:val="24"/>
        </w:rPr>
        <w:t>PLoS One</w:t>
      </w:r>
      <w:r w:rsidRPr="00A17324">
        <w:rPr>
          <w:rFonts w:ascii="Times New Roman" w:hAnsi="Times New Roman" w:cs="Times New Roman"/>
          <w:sz w:val="24"/>
        </w:rPr>
        <w:t xml:space="preserve"> 2012; </w:t>
      </w:r>
      <w:r w:rsidRPr="00A17324">
        <w:rPr>
          <w:rFonts w:ascii="Times New Roman" w:hAnsi="Times New Roman" w:cs="Times New Roman"/>
          <w:b/>
          <w:bCs/>
          <w:sz w:val="24"/>
        </w:rPr>
        <w:t>7</w:t>
      </w:r>
      <w:r w:rsidRPr="00A17324">
        <w:rPr>
          <w:rFonts w:ascii="Times New Roman" w:hAnsi="Times New Roman" w:cs="Times New Roman"/>
          <w:sz w:val="24"/>
        </w:rPr>
        <w:t>:e32369.</w:t>
      </w:r>
    </w:p>
    <w:p w14:paraId="14507969"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21 </w:t>
      </w:r>
      <w:r w:rsidRPr="00A17324">
        <w:rPr>
          <w:rFonts w:ascii="Times New Roman" w:hAnsi="Times New Roman" w:cs="Times New Roman"/>
          <w:sz w:val="24"/>
        </w:rPr>
        <w:tab/>
        <w:t xml:space="preserve">Little SJ, McLean AR, Spina CA, Richman DD, Havlir D V. Viral dynamics of acute HIV-1 infection. </w:t>
      </w:r>
      <w:r w:rsidRPr="00A17324">
        <w:rPr>
          <w:rFonts w:ascii="Times New Roman" w:hAnsi="Times New Roman" w:cs="Times New Roman"/>
          <w:i/>
          <w:iCs/>
          <w:sz w:val="24"/>
        </w:rPr>
        <w:t>J Exp Med</w:t>
      </w:r>
      <w:r w:rsidRPr="00A17324">
        <w:rPr>
          <w:rFonts w:ascii="Times New Roman" w:hAnsi="Times New Roman" w:cs="Times New Roman"/>
          <w:sz w:val="24"/>
        </w:rPr>
        <w:t xml:space="preserve"> 1999; </w:t>
      </w:r>
      <w:r w:rsidRPr="00A17324">
        <w:rPr>
          <w:rFonts w:ascii="Times New Roman" w:hAnsi="Times New Roman" w:cs="Times New Roman"/>
          <w:b/>
          <w:bCs/>
          <w:sz w:val="24"/>
        </w:rPr>
        <w:t>190</w:t>
      </w:r>
      <w:r w:rsidRPr="00A17324">
        <w:rPr>
          <w:rFonts w:ascii="Times New Roman" w:hAnsi="Times New Roman" w:cs="Times New Roman"/>
          <w:sz w:val="24"/>
        </w:rPr>
        <w:t>:841–850.</w:t>
      </w:r>
    </w:p>
    <w:p w14:paraId="6E4E624C"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22 </w:t>
      </w:r>
      <w:r w:rsidRPr="00A17324">
        <w:rPr>
          <w:rFonts w:ascii="Times New Roman" w:hAnsi="Times New Roman" w:cs="Times New Roman"/>
          <w:sz w:val="24"/>
        </w:rPr>
        <w:tab/>
        <w:t xml:space="preserve">Buchbinder SP, Katz MH, Hessol NA, O’Malley PM, Holmberg SD. Long-term HIV-1 infection without immunologic progression. </w:t>
      </w:r>
      <w:r w:rsidRPr="00A17324">
        <w:rPr>
          <w:rFonts w:ascii="Times New Roman" w:hAnsi="Times New Roman" w:cs="Times New Roman"/>
          <w:i/>
          <w:iCs/>
          <w:sz w:val="24"/>
        </w:rPr>
        <w:t>AIDS</w:t>
      </w:r>
      <w:r w:rsidRPr="00A17324">
        <w:rPr>
          <w:rFonts w:ascii="Times New Roman" w:hAnsi="Times New Roman" w:cs="Times New Roman"/>
          <w:sz w:val="24"/>
        </w:rPr>
        <w:t xml:space="preserve"> 1994; </w:t>
      </w:r>
      <w:r w:rsidRPr="00A17324">
        <w:rPr>
          <w:rFonts w:ascii="Times New Roman" w:hAnsi="Times New Roman" w:cs="Times New Roman"/>
          <w:b/>
          <w:bCs/>
          <w:sz w:val="24"/>
        </w:rPr>
        <w:t>8</w:t>
      </w:r>
      <w:r w:rsidRPr="00A17324">
        <w:rPr>
          <w:rFonts w:ascii="Times New Roman" w:hAnsi="Times New Roman" w:cs="Times New Roman"/>
          <w:sz w:val="24"/>
        </w:rPr>
        <w:t>:1123–8.</w:t>
      </w:r>
    </w:p>
    <w:p w14:paraId="501DDD71"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23 </w:t>
      </w:r>
      <w:r w:rsidRPr="00A17324">
        <w:rPr>
          <w:rFonts w:ascii="Times New Roman" w:hAnsi="Times New Roman" w:cs="Times New Roman"/>
          <w:sz w:val="24"/>
        </w:rPr>
        <w:tab/>
        <w:t xml:space="preserve">Pilcher CD, Price MA, Hoffman IF, Galvin S, Martinson FEA, Kazembe PN, </w:t>
      </w:r>
      <w:r w:rsidRPr="00A17324">
        <w:rPr>
          <w:rFonts w:ascii="Times New Roman" w:hAnsi="Times New Roman" w:cs="Times New Roman"/>
          <w:i/>
          <w:iCs/>
          <w:sz w:val="24"/>
        </w:rPr>
        <w:t>et al.</w:t>
      </w:r>
      <w:r w:rsidRPr="00A17324">
        <w:rPr>
          <w:rFonts w:ascii="Times New Roman" w:hAnsi="Times New Roman" w:cs="Times New Roman"/>
          <w:sz w:val="24"/>
        </w:rPr>
        <w:t xml:space="preserve"> Frequent detection of acute primary HIV infection in men in Malawi. </w:t>
      </w:r>
      <w:r w:rsidRPr="00A17324">
        <w:rPr>
          <w:rFonts w:ascii="Times New Roman" w:hAnsi="Times New Roman" w:cs="Times New Roman"/>
          <w:i/>
          <w:iCs/>
          <w:sz w:val="24"/>
        </w:rPr>
        <w:t>AIDS</w:t>
      </w:r>
      <w:r w:rsidRPr="00A17324">
        <w:rPr>
          <w:rFonts w:ascii="Times New Roman" w:hAnsi="Times New Roman" w:cs="Times New Roman"/>
          <w:sz w:val="24"/>
        </w:rPr>
        <w:t xml:space="preserve"> 2004; </w:t>
      </w:r>
      <w:r w:rsidRPr="00A17324">
        <w:rPr>
          <w:rFonts w:ascii="Times New Roman" w:hAnsi="Times New Roman" w:cs="Times New Roman"/>
          <w:b/>
          <w:bCs/>
          <w:sz w:val="24"/>
        </w:rPr>
        <w:t>18</w:t>
      </w:r>
      <w:r w:rsidRPr="00A17324">
        <w:rPr>
          <w:rFonts w:ascii="Times New Roman" w:hAnsi="Times New Roman" w:cs="Times New Roman"/>
          <w:sz w:val="24"/>
        </w:rPr>
        <w:t>:517–524.</w:t>
      </w:r>
    </w:p>
    <w:p w14:paraId="24C51E2E"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24 </w:t>
      </w:r>
      <w:r w:rsidRPr="00A17324">
        <w:rPr>
          <w:rFonts w:ascii="Times New Roman" w:hAnsi="Times New Roman" w:cs="Times New Roman"/>
          <w:sz w:val="24"/>
        </w:rPr>
        <w:tab/>
        <w:t xml:space="preserve">Branson BM, Stekler JD. Detection of acute HIV infection: We can’t close the window. </w:t>
      </w:r>
      <w:r w:rsidRPr="00A17324">
        <w:rPr>
          <w:rFonts w:ascii="Times New Roman" w:hAnsi="Times New Roman" w:cs="Times New Roman"/>
          <w:i/>
          <w:iCs/>
          <w:sz w:val="24"/>
        </w:rPr>
        <w:t>J Infect Dis</w:t>
      </w:r>
      <w:r w:rsidRPr="00A17324">
        <w:rPr>
          <w:rFonts w:ascii="Times New Roman" w:hAnsi="Times New Roman" w:cs="Times New Roman"/>
          <w:sz w:val="24"/>
        </w:rPr>
        <w:t xml:space="preserve"> 2012; </w:t>
      </w:r>
      <w:r w:rsidRPr="00A17324">
        <w:rPr>
          <w:rFonts w:ascii="Times New Roman" w:hAnsi="Times New Roman" w:cs="Times New Roman"/>
          <w:b/>
          <w:bCs/>
          <w:sz w:val="24"/>
        </w:rPr>
        <w:t>205</w:t>
      </w:r>
      <w:r w:rsidRPr="00A17324">
        <w:rPr>
          <w:rFonts w:ascii="Times New Roman" w:hAnsi="Times New Roman" w:cs="Times New Roman"/>
          <w:sz w:val="24"/>
        </w:rPr>
        <w:t>:521–524.</w:t>
      </w:r>
    </w:p>
    <w:p w14:paraId="3923944B"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25 </w:t>
      </w:r>
      <w:r w:rsidRPr="00A17324">
        <w:rPr>
          <w:rFonts w:ascii="Times New Roman" w:hAnsi="Times New Roman" w:cs="Times New Roman"/>
          <w:sz w:val="24"/>
        </w:rPr>
        <w:tab/>
        <w:t xml:space="preserve">Liu AY, Cohen SE, Vittinghoff E, Anderson PL, Doblecki-Lewis S, Bacon O, </w:t>
      </w:r>
      <w:r w:rsidRPr="00A17324">
        <w:rPr>
          <w:rFonts w:ascii="Times New Roman" w:hAnsi="Times New Roman" w:cs="Times New Roman"/>
          <w:i/>
          <w:iCs/>
          <w:sz w:val="24"/>
        </w:rPr>
        <w:t>et al.</w:t>
      </w:r>
      <w:r w:rsidRPr="00A17324">
        <w:rPr>
          <w:rFonts w:ascii="Times New Roman" w:hAnsi="Times New Roman" w:cs="Times New Roman"/>
          <w:sz w:val="24"/>
        </w:rPr>
        <w:t xml:space="preserve"> Preexposure Prophylaxis for HIV Infection Integrated With Municipal- and Community-Based Sexual Health Services. </w:t>
      </w:r>
      <w:r w:rsidRPr="00A17324">
        <w:rPr>
          <w:rFonts w:ascii="Times New Roman" w:hAnsi="Times New Roman" w:cs="Times New Roman"/>
          <w:i/>
          <w:iCs/>
          <w:sz w:val="24"/>
        </w:rPr>
        <w:t>JAMA Intern Med</w:t>
      </w:r>
      <w:r w:rsidRPr="00A17324">
        <w:rPr>
          <w:rFonts w:ascii="Times New Roman" w:hAnsi="Times New Roman" w:cs="Times New Roman"/>
          <w:sz w:val="24"/>
        </w:rPr>
        <w:t xml:space="preserve"> 2016; </w:t>
      </w:r>
      <w:r w:rsidRPr="00A17324">
        <w:rPr>
          <w:rFonts w:ascii="Times New Roman" w:hAnsi="Times New Roman" w:cs="Times New Roman"/>
          <w:b/>
          <w:bCs/>
          <w:sz w:val="24"/>
        </w:rPr>
        <w:t>176</w:t>
      </w:r>
      <w:r w:rsidRPr="00A17324">
        <w:rPr>
          <w:rFonts w:ascii="Times New Roman" w:hAnsi="Times New Roman" w:cs="Times New Roman"/>
          <w:sz w:val="24"/>
        </w:rPr>
        <w:t>:75–84.</w:t>
      </w:r>
    </w:p>
    <w:p w14:paraId="24FCC2F6"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26 </w:t>
      </w:r>
      <w:r w:rsidRPr="00A17324">
        <w:rPr>
          <w:rFonts w:ascii="Times New Roman" w:hAnsi="Times New Roman" w:cs="Times New Roman"/>
          <w:sz w:val="24"/>
        </w:rPr>
        <w:tab/>
        <w:t xml:space="preserve">Jenness SM, Goodreau SM, Rosenberg E, Beylerian EN, Hoover KW, Smith DK, </w:t>
      </w:r>
      <w:r w:rsidRPr="00A17324">
        <w:rPr>
          <w:rFonts w:ascii="Times New Roman" w:hAnsi="Times New Roman" w:cs="Times New Roman"/>
          <w:i/>
          <w:iCs/>
          <w:sz w:val="24"/>
        </w:rPr>
        <w:t>et al.</w:t>
      </w:r>
      <w:r w:rsidRPr="00A17324">
        <w:rPr>
          <w:rFonts w:ascii="Times New Roman" w:hAnsi="Times New Roman" w:cs="Times New Roman"/>
          <w:sz w:val="24"/>
        </w:rPr>
        <w:t xml:space="preserve"> Impact of the Centers for Disease Control’s HIV Preexposure Prophylaxis Guidelines for Men Who Have Sex With Men in the United States. </w:t>
      </w:r>
      <w:r w:rsidRPr="00A17324">
        <w:rPr>
          <w:rFonts w:ascii="Times New Roman" w:hAnsi="Times New Roman" w:cs="Times New Roman"/>
          <w:i/>
          <w:iCs/>
          <w:sz w:val="24"/>
        </w:rPr>
        <w:t>J Infect Dis</w:t>
      </w:r>
      <w:r w:rsidRPr="00A17324">
        <w:rPr>
          <w:rFonts w:ascii="Times New Roman" w:hAnsi="Times New Roman" w:cs="Times New Roman"/>
          <w:sz w:val="24"/>
        </w:rPr>
        <w:t xml:space="preserve"> 2016; </w:t>
      </w:r>
      <w:r w:rsidRPr="00A17324">
        <w:rPr>
          <w:rFonts w:ascii="Times New Roman" w:hAnsi="Times New Roman" w:cs="Times New Roman"/>
          <w:b/>
          <w:bCs/>
          <w:sz w:val="24"/>
        </w:rPr>
        <w:t>214</w:t>
      </w:r>
      <w:r w:rsidRPr="00A17324">
        <w:rPr>
          <w:rFonts w:ascii="Times New Roman" w:hAnsi="Times New Roman" w:cs="Times New Roman"/>
          <w:sz w:val="24"/>
        </w:rPr>
        <w:t>:1800–1807.</w:t>
      </w:r>
    </w:p>
    <w:p w14:paraId="0FD0164F"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27 </w:t>
      </w:r>
      <w:r w:rsidRPr="00A17324">
        <w:rPr>
          <w:rFonts w:ascii="Times New Roman" w:hAnsi="Times New Roman" w:cs="Times New Roman"/>
          <w:sz w:val="24"/>
        </w:rPr>
        <w:tab/>
        <w:t xml:space="preserve">Rusie LK, Orengo C, Burrell D, Ramachandran A, Houlberg M, Keglovitz K, </w:t>
      </w:r>
      <w:r w:rsidRPr="00A17324">
        <w:rPr>
          <w:rFonts w:ascii="Times New Roman" w:hAnsi="Times New Roman" w:cs="Times New Roman"/>
          <w:i/>
          <w:iCs/>
          <w:sz w:val="24"/>
        </w:rPr>
        <w:t>et al.</w:t>
      </w:r>
      <w:r w:rsidRPr="00A17324">
        <w:rPr>
          <w:rFonts w:ascii="Times New Roman" w:hAnsi="Times New Roman" w:cs="Times New Roman"/>
          <w:sz w:val="24"/>
        </w:rPr>
        <w:t xml:space="preserve"> Preexposure Prophylaxis Initiation and Retention in Care Over 5 Years, 2012-2017: Are Quarterly Visits Too Much? </w:t>
      </w:r>
      <w:r w:rsidRPr="00A17324">
        <w:rPr>
          <w:rFonts w:ascii="Times New Roman" w:hAnsi="Times New Roman" w:cs="Times New Roman"/>
          <w:i/>
          <w:iCs/>
          <w:sz w:val="24"/>
        </w:rPr>
        <w:t>Clin Infect Dis</w:t>
      </w:r>
      <w:r w:rsidRPr="00A17324">
        <w:rPr>
          <w:rFonts w:ascii="Times New Roman" w:hAnsi="Times New Roman" w:cs="Times New Roman"/>
          <w:sz w:val="24"/>
        </w:rPr>
        <w:t xml:space="preserve"> 2018; </w:t>
      </w:r>
      <w:r w:rsidRPr="00A17324">
        <w:rPr>
          <w:rFonts w:ascii="Times New Roman" w:hAnsi="Times New Roman" w:cs="Times New Roman"/>
          <w:b/>
          <w:bCs/>
          <w:sz w:val="24"/>
        </w:rPr>
        <w:t>67</w:t>
      </w:r>
      <w:r w:rsidRPr="00A17324">
        <w:rPr>
          <w:rFonts w:ascii="Times New Roman" w:hAnsi="Times New Roman" w:cs="Times New Roman"/>
          <w:sz w:val="24"/>
        </w:rPr>
        <w:t>:283–287.</w:t>
      </w:r>
    </w:p>
    <w:p w14:paraId="3CF49E5B"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28 </w:t>
      </w:r>
      <w:r w:rsidRPr="00A17324">
        <w:rPr>
          <w:rFonts w:ascii="Times New Roman" w:hAnsi="Times New Roman" w:cs="Times New Roman"/>
          <w:sz w:val="24"/>
        </w:rPr>
        <w:tab/>
        <w:t xml:space="preserve">Lancki N, Almirol E, Alon L, McNulty M, Schneider JA. Preexposure prophylaxis guidelines have low sensitivity for identifying seroconverters in a sample of young Black MSM in Chicago. </w:t>
      </w:r>
      <w:r w:rsidRPr="00A17324">
        <w:rPr>
          <w:rFonts w:ascii="Times New Roman" w:hAnsi="Times New Roman" w:cs="Times New Roman"/>
          <w:i/>
          <w:iCs/>
          <w:sz w:val="24"/>
        </w:rPr>
        <w:t>AIDS</w:t>
      </w:r>
      <w:r w:rsidRPr="00A17324">
        <w:rPr>
          <w:rFonts w:ascii="Times New Roman" w:hAnsi="Times New Roman" w:cs="Times New Roman"/>
          <w:sz w:val="24"/>
        </w:rPr>
        <w:t xml:space="preserve"> 2018; </w:t>
      </w:r>
      <w:r w:rsidRPr="00A17324">
        <w:rPr>
          <w:rFonts w:ascii="Times New Roman" w:hAnsi="Times New Roman" w:cs="Times New Roman"/>
          <w:b/>
          <w:bCs/>
          <w:sz w:val="24"/>
        </w:rPr>
        <w:t>32</w:t>
      </w:r>
      <w:r w:rsidRPr="00A17324">
        <w:rPr>
          <w:rFonts w:ascii="Times New Roman" w:hAnsi="Times New Roman" w:cs="Times New Roman"/>
          <w:sz w:val="24"/>
        </w:rPr>
        <w:t>:383–392.</w:t>
      </w:r>
    </w:p>
    <w:p w14:paraId="0F6BD1BE"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29 </w:t>
      </w:r>
      <w:r w:rsidRPr="00A17324">
        <w:rPr>
          <w:rFonts w:ascii="Times New Roman" w:hAnsi="Times New Roman" w:cs="Times New Roman"/>
          <w:sz w:val="24"/>
        </w:rPr>
        <w:tab/>
        <w:t xml:space="preserve">Kuhns LM, Hotton AL, Schneider J, Garofalo R, Fujimoto K. Use of Pre-exposure Prophylaxis (PrEP) in Young Men Who Have Sex with Men is Associated with Race, Sexual Risk Behavior and Peer Network Size. </w:t>
      </w:r>
      <w:r w:rsidRPr="00A17324">
        <w:rPr>
          <w:rFonts w:ascii="Times New Roman" w:hAnsi="Times New Roman" w:cs="Times New Roman"/>
          <w:i/>
          <w:iCs/>
          <w:sz w:val="24"/>
        </w:rPr>
        <w:t>AIDS Behav</w:t>
      </w:r>
      <w:r w:rsidRPr="00A17324">
        <w:rPr>
          <w:rFonts w:ascii="Times New Roman" w:hAnsi="Times New Roman" w:cs="Times New Roman"/>
          <w:sz w:val="24"/>
        </w:rPr>
        <w:t xml:space="preserve"> 2017; </w:t>
      </w:r>
      <w:r w:rsidRPr="00A17324">
        <w:rPr>
          <w:rFonts w:ascii="Times New Roman" w:hAnsi="Times New Roman" w:cs="Times New Roman"/>
          <w:b/>
          <w:bCs/>
          <w:sz w:val="24"/>
        </w:rPr>
        <w:t>21</w:t>
      </w:r>
      <w:r w:rsidRPr="00A17324">
        <w:rPr>
          <w:rFonts w:ascii="Times New Roman" w:hAnsi="Times New Roman" w:cs="Times New Roman"/>
          <w:sz w:val="24"/>
        </w:rPr>
        <w:t>:1376–1382.</w:t>
      </w:r>
    </w:p>
    <w:p w14:paraId="365A20D8"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30 </w:t>
      </w:r>
      <w:r w:rsidRPr="00A17324">
        <w:rPr>
          <w:rFonts w:ascii="Times New Roman" w:hAnsi="Times New Roman" w:cs="Times New Roman"/>
          <w:sz w:val="24"/>
        </w:rPr>
        <w:tab/>
      </w:r>
      <w:r w:rsidRPr="005165D7">
        <w:rPr>
          <w:rFonts w:ascii="Times New Roman" w:hAnsi="Times New Roman" w:cs="Times New Roman"/>
          <w:sz w:val="24"/>
        </w:rPr>
        <w:t>Panneer</w:t>
      </w:r>
      <w:r w:rsidRPr="00A17324">
        <w:rPr>
          <w:rFonts w:ascii="Times New Roman" w:hAnsi="Times New Roman" w:cs="Times New Roman"/>
          <w:sz w:val="24"/>
        </w:rPr>
        <w:t xml:space="preserve"> N, Whiteside YO, France AM, Zhang T, Wertheim JO, Oster AM. Temporal Changes in HIV Transmission Patterns among Young Men Who Have Sex With Men, United States. Conf. Retroviruses Opportunistic Infect. (CROI). Sess. P-B1. 2017.http://www.croiconference.org/sessions/temporal-changes-hiv-transmission-patterns-among-young-men-who-have-sex-men</w:t>
      </w:r>
    </w:p>
    <w:p w14:paraId="3AAAC880"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lastRenderedPageBreak/>
        <w:t xml:space="preserve">31 </w:t>
      </w:r>
      <w:r w:rsidRPr="00A17324">
        <w:rPr>
          <w:rFonts w:ascii="Times New Roman" w:hAnsi="Times New Roman" w:cs="Times New Roman"/>
          <w:sz w:val="24"/>
        </w:rPr>
        <w:tab/>
        <w:t xml:space="preserve">Oster AM, Wertheim JO, Hernandez AL, Cheryl M, Ocfemia B, Saduvala N, </w:t>
      </w:r>
      <w:r w:rsidRPr="00A17324">
        <w:rPr>
          <w:rFonts w:ascii="Times New Roman" w:hAnsi="Times New Roman" w:cs="Times New Roman"/>
          <w:i/>
          <w:iCs/>
          <w:sz w:val="24"/>
        </w:rPr>
        <w:t>et al.</w:t>
      </w:r>
      <w:r w:rsidRPr="00A17324">
        <w:rPr>
          <w:rFonts w:ascii="Times New Roman" w:hAnsi="Times New Roman" w:cs="Times New Roman"/>
          <w:sz w:val="24"/>
        </w:rPr>
        <w:t xml:space="preserve"> Using Molecular HIV Surveillance Data to Understand Transmission Between Subpopulations in the United States. </w:t>
      </w:r>
      <w:r w:rsidRPr="00A17324">
        <w:rPr>
          <w:rFonts w:ascii="Times New Roman" w:hAnsi="Times New Roman" w:cs="Times New Roman"/>
          <w:i/>
          <w:iCs/>
          <w:sz w:val="24"/>
        </w:rPr>
        <w:t>J Acquir Immune Defic Syndr</w:t>
      </w:r>
      <w:r w:rsidRPr="00A17324">
        <w:rPr>
          <w:rFonts w:ascii="Times New Roman" w:hAnsi="Times New Roman" w:cs="Times New Roman"/>
          <w:sz w:val="24"/>
        </w:rPr>
        <w:t xml:space="preserve"> 2015; </w:t>
      </w:r>
      <w:r w:rsidRPr="00A17324">
        <w:rPr>
          <w:rFonts w:ascii="Times New Roman" w:hAnsi="Times New Roman" w:cs="Times New Roman"/>
          <w:b/>
          <w:bCs/>
          <w:sz w:val="24"/>
        </w:rPr>
        <w:t>70</w:t>
      </w:r>
      <w:r w:rsidRPr="00A17324">
        <w:rPr>
          <w:rFonts w:ascii="Times New Roman" w:hAnsi="Times New Roman" w:cs="Times New Roman"/>
          <w:sz w:val="24"/>
        </w:rPr>
        <w:t>:444–451.</w:t>
      </w:r>
    </w:p>
    <w:p w14:paraId="44DA9BA9"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32 </w:t>
      </w:r>
      <w:r w:rsidRPr="00A17324">
        <w:rPr>
          <w:rFonts w:ascii="Times New Roman" w:hAnsi="Times New Roman" w:cs="Times New Roman"/>
          <w:sz w:val="24"/>
        </w:rPr>
        <w:tab/>
        <w:t xml:space="preserve">Hughes JP, Baeten JM, Lingappa JR, Magaret AS, Wald A, de Bruyn G, </w:t>
      </w:r>
      <w:r w:rsidRPr="00A17324">
        <w:rPr>
          <w:rFonts w:ascii="Times New Roman" w:hAnsi="Times New Roman" w:cs="Times New Roman"/>
          <w:i/>
          <w:iCs/>
          <w:sz w:val="24"/>
        </w:rPr>
        <w:t>et al.</w:t>
      </w:r>
      <w:r w:rsidRPr="00A17324">
        <w:rPr>
          <w:rFonts w:ascii="Times New Roman" w:hAnsi="Times New Roman" w:cs="Times New Roman"/>
          <w:sz w:val="24"/>
        </w:rPr>
        <w:t xml:space="preserve"> Determinants of per-coital-act HIV-1 infectivity among African HIV-1-serodiscordant couples. </w:t>
      </w:r>
      <w:r w:rsidRPr="00A17324">
        <w:rPr>
          <w:rFonts w:ascii="Times New Roman" w:hAnsi="Times New Roman" w:cs="Times New Roman"/>
          <w:i/>
          <w:iCs/>
          <w:sz w:val="24"/>
        </w:rPr>
        <w:t>J Infect Dis</w:t>
      </w:r>
      <w:r w:rsidRPr="00A17324">
        <w:rPr>
          <w:rFonts w:ascii="Times New Roman" w:hAnsi="Times New Roman" w:cs="Times New Roman"/>
          <w:sz w:val="24"/>
        </w:rPr>
        <w:t xml:space="preserve"> 2012; </w:t>
      </w:r>
      <w:r w:rsidRPr="00A17324">
        <w:rPr>
          <w:rFonts w:ascii="Times New Roman" w:hAnsi="Times New Roman" w:cs="Times New Roman"/>
          <w:b/>
          <w:bCs/>
          <w:sz w:val="24"/>
        </w:rPr>
        <w:t>205</w:t>
      </w:r>
      <w:r w:rsidRPr="00A17324">
        <w:rPr>
          <w:rFonts w:ascii="Times New Roman" w:hAnsi="Times New Roman" w:cs="Times New Roman"/>
          <w:sz w:val="24"/>
        </w:rPr>
        <w:t>:358–365.</w:t>
      </w:r>
    </w:p>
    <w:p w14:paraId="11926EF9"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33 </w:t>
      </w:r>
      <w:r w:rsidRPr="00A17324">
        <w:rPr>
          <w:rFonts w:ascii="Times New Roman" w:hAnsi="Times New Roman" w:cs="Times New Roman"/>
          <w:sz w:val="24"/>
        </w:rPr>
        <w:tab/>
        <w:t xml:space="preserve">Wawer MJ, Gray RH, Sewankambo NK, Serwadda D, Li XB, Laeyendecker O, </w:t>
      </w:r>
      <w:r w:rsidRPr="00A17324">
        <w:rPr>
          <w:rFonts w:ascii="Times New Roman" w:hAnsi="Times New Roman" w:cs="Times New Roman"/>
          <w:i/>
          <w:iCs/>
          <w:sz w:val="24"/>
        </w:rPr>
        <w:t>et al.</w:t>
      </w:r>
      <w:r w:rsidRPr="00A17324">
        <w:rPr>
          <w:rFonts w:ascii="Times New Roman" w:hAnsi="Times New Roman" w:cs="Times New Roman"/>
          <w:sz w:val="24"/>
        </w:rPr>
        <w:t xml:space="preserve"> Rates of HIV-1 transmission per coital act, by stage of HIV-1 infection, in Rakai, Uganda. </w:t>
      </w:r>
      <w:r w:rsidRPr="00A17324">
        <w:rPr>
          <w:rFonts w:ascii="Times New Roman" w:hAnsi="Times New Roman" w:cs="Times New Roman"/>
          <w:i/>
          <w:iCs/>
          <w:sz w:val="24"/>
        </w:rPr>
        <w:t>J Infect Dis</w:t>
      </w:r>
      <w:r w:rsidRPr="00A17324">
        <w:rPr>
          <w:rFonts w:ascii="Times New Roman" w:hAnsi="Times New Roman" w:cs="Times New Roman"/>
          <w:sz w:val="24"/>
        </w:rPr>
        <w:t xml:space="preserve"> 2005; </w:t>
      </w:r>
      <w:r w:rsidRPr="00A17324">
        <w:rPr>
          <w:rFonts w:ascii="Times New Roman" w:hAnsi="Times New Roman" w:cs="Times New Roman"/>
          <w:b/>
          <w:bCs/>
          <w:sz w:val="24"/>
        </w:rPr>
        <w:t>191</w:t>
      </w:r>
      <w:r w:rsidRPr="00A17324">
        <w:rPr>
          <w:rFonts w:ascii="Times New Roman" w:hAnsi="Times New Roman" w:cs="Times New Roman"/>
          <w:sz w:val="24"/>
        </w:rPr>
        <w:t>:1403–1409.</w:t>
      </w:r>
    </w:p>
    <w:p w14:paraId="39B8125C"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34 </w:t>
      </w:r>
      <w:r w:rsidRPr="00A17324">
        <w:rPr>
          <w:rFonts w:ascii="Times New Roman" w:hAnsi="Times New Roman" w:cs="Times New Roman"/>
          <w:sz w:val="24"/>
        </w:rPr>
        <w:tab/>
        <w:t xml:space="preserve">Hollingsworth TD, Anderson RM, Fraser C. HIV-1 Transmission, by Stage of Infection. </w:t>
      </w:r>
      <w:r w:rsidRPr="00A17324">
        <w:rPr>
          <w:rFonts w:ascii="Times New Roman" w:hAnsi="Times New Roman" w:cs="Times New Roman"/>
          <w:i/>
          <w:iCs/>
          <w:sz w:val="24"/>
        </w:rPr>
        <w:t>J Infect Dis</w:t>
      </w:r>
      <w:r w:rsidRPr="00A17324">
        <w:rPr>
          <w:rFonts w:ascii="Times New Roman" w:hAnsi="Times New Roman" w:cs="Times New Roman"/>
          <w:sz w:val="24"/>
        </w:rPr>
        <w:t xml:space="preserve"> 2008; </w:t>
      </w:r>
      <w:r w:rsidRPr="00A17324">
        <w:rPr>
          <w:rFonts w:ascii="Times New Roman" w:hAnsi="Times New Roman" w:cs="Times New Roman"/>
          <w:b/>
          <w:bCs/>
          <w:sz w:val="24"/>
        </w:rPr>
        <w:t>198</w:t>
      </w:r>
      <w:r w:rsidRPr="00A17324">
        <w:rPr>
          <w:rFonts w:ascii="Times New Roman" w:hAnsi="Times New Roman" w:cs="Times New Roman"/>
          <w:sz w:val="24"/>
        </w:rPr>
        <w:t>:687–693.</w:t>
      </w:r>
    </w:p>
    <w:p w14:paraId="65A52D55"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35 </w:t>
      </w:r>
      <w:r w:rsidRPr="00A17324">
        <w:rPr>
          <w:rFonts w:ascii="Times New Roman" w:hAnsi="Times New Roman" w:cs="Times New Roman"/>
          <w:sz w:val="24"/>
        </w:rPr>
        <w:tab/>
        <w:t xml:space="preserve">Vittinghoff E, Douglas J, Judson F, McKirnan D, MacQueen K, Buchbinder SP. Per-contact risk of human immunodeficiency virus transmission between male sexual partners. </w:t>
      </w:r>
      <w:r w:rsidRPr="00A17324">
        <w:rPr>
          <w:rFonts w:ascii="Times New Roman" w:hAnsi="Times New Roman" w:cs="Times New Roman"/>
          <w:i/>
          <w:iCs/>
          <w:sz w:val="24"/>
        </w:rPr>
        <w:t>Am J Epidemiol</w:t>
      </w:r>
      <w:r w:rsidRPr="00A17324">
        <w:rPr>
          <w:rFonts w:ascii="Times New Roman" w:hAnsi="Times New Roman" w:cs="Times New Roman"/>
          <w:sz w:val="24"/>
        </w:rPr>
        <w:t xml:space="preserve"> 1999; </w:t>
      </w:r>
      <w:r w:rsidRPr="00A17324">
        <w:rPr>
          <w:rFonts w:ascii="Times New Roman" w:hAnsi="Times New Roman" w:cs="Times New Roman"/>
          <w:b/>
          <w:bCs/>
          <w:sz w:val="24"/>
        </w:rPr>
        <w:t>150</w:t>
      </w:r>
      <w:r w:rsidRPr="00A17324">
        <w:rPr>
          <w:rFonts w:ascii="Times New Roman" w:hAnsi="Times New Roman" w:cs="Times New Roman"/>
          <w:sz w:val="24"/>
        </w:rPr>
        <w:t>:306–311.</w:t>
      </w:r>
    </w:p>
    <w:p w14:paraId="0CC914E3"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36 </w:t>
      </w:r>
      <w:r w:rsidRPr="00A17324">
        <w:rPr>
          <w:rFonts w:ascii="Times New Roman" w:hAnsi="Times New Roman" w:cs="Times New Roman"/>
          <w:sz w:val="24"/>
        </w:rPr>
        <w:tab/>
        <w:t xml:space="preserve">Gray RH, Kigozi G, Serwadda D, Makumbi F, Watya S, Nalugoda F, </w:t>
      </w:r>
      <w:r w:rsidRPr="00A17324">
        <w:rPr>
          <w:rFonts w:ascii="Times New Roman" w:hAnsi="Times New Roman" w:cs="Times New Roman"/>
          <w:i/>
          <w:iCs/>
          <w:sz w:val="24"/>
        </w:rPr>
        <w:t>et al.</w:t>
      </w:r>
      <w:r w:rsidRPr="00A17324">
        <w:rPr>
          <w:rFonts w:ascii="Times New Roman" w:hAnsi="Times New Roman" w:cs="Times New Roman"/>
          <w:sz w:val="24"/>
        </w:rPr>
        <w:t xml:space="preserve"> Male circumcision for HIV prevention in men in Rakai, Uganda: a </w:t>
      </w:r>
      <w:r w:rsidRPr="005165D7">
        <w:rPr>
          <w:rFonts w:ascii="Times New Roman" w:hAnsi="Times New Roman" w:cs="Times New Roman"/>
          <w:sz w:val="24"/>
        </w:rPr>
        <w:t>randomised</w:t>
      </w:r>
      <w:r w:rsidRPr="00A17324">
        <w:rPr>
          <w:rFonts w:ascii="Times New Roman" w:hAnsi="Times New Roman" w:cs="Times New Roman"/>
          <w:sz w:val="24"/>
        </w:rPr>
        <w:t xml:space="preserve"> trial. </w:t>
      </w:r>
      <w:r w:rsidRPr="00A17324">
        <w:rPr>
          <w:rFonts w:ascii="Times New Roman" w:hAnsi="Times New Roman" w:cs="Times New Roman"/>
          <w:i/>
          <w:iCs/>
          <w:sz w:val="24"/>
        </w:rPr>
        <w:t>Lancet</w:t>
      </w:r>
      <w:r w:rsidRPr="00A17324">
        <w:rPr>
          <w:rFonts w:ascii="Times New Roman" w:hAnsi="Times New Roman" w:cs="Times New Roman"/>
          <w:sz w:val="24"/>
        </w:rPr>
        <w:t xml:space="preserve"> 2007; </w:t>
      </w:r>
      <w:r w:rsidRPr="00A17324">
        <w:rPr>
          <w:rFonts w:ascii="Times New Roman" w:hAnsi="Times New Roman" w:cs="Times New Roman"/>
          <w:b/>
          <w:bCs/>
          <w:sz w:val="24"/>
        </w:rPr>
        <w:t>369</w:t>
      </w:r>
      <w:r w:rsidRPr="00A17324">
        <w:rPr>
          <w:rFonts w:ascii="Times New Roman" w:hAnsi="Times New Roman" w:cs="Times New Roman"/>
          <w:sz w:val="24"/>
        </w:rPr>
        <w:t>:657–666.</w:t>
      </w:r>
    </w:p>
    <w:p w14:paraId="1932F75F"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37 </w:t>
      </w:r>
      <w:r w:rsidRPr="00A17324">
        <w:rPr>
          <w:rFonts w:ascii="Times New Roman" w:hAnsi="Times New Roman" w:cs="Times New Roman"/>
          <w:sz w:val="24"/>
        </w:rPr>
        <w:tab/>
        <w:t xml:space="preserve">Bailey RC, Moses S, Parker CB, Agot K, Maclean I, Krieger JN, </w:t>
      </w:r>
      <w:r w:rsidRPr="00A17324">
        <w:rPr>
          <w:rFonts w:ascii="Times New Roman" w:hAnsi="Times New Roman" w:cs="Times New Roman"/>
          <w:i/>
          <w:iCs/>
          <w:sz w:val="24"/>
        </w:rPr>
        <w:t>et al.</w:t>
      </w:r>
      <w:r w:rsidRPr="00A17324">
        <w:rPr>
          <w:rFonts w:ascii="Times New Roman" w:hAnsi="Times New Roman" w:cs="Times New Roman"/>
          <w:sz w:val="24"/>
        </w:rPr>
        <w:t xml:space="preserve"> Male circumcision for HIV prevention in young men in Kisumu, Kenya: a </w:t>
      </w:r>
      <w:r w:rsidRPr="005165D7">
        <w:rPr>
          <w:rFonts w:ascii="Times New Roman" w:hAnsi="Times New Roman" w:cs="Times New Roman"/>
          <w:sz w:val="24"/>
        </w:rPr>
        <w:t>randomised</w:t>
      </w:r>
      <w:r w:rsidRPr="00A17324">
        <w:rPr>
          <w:rFonts w:ascii="Times New Roman" w:hAnsi="Times New Roman" w:cs="Times New Roman"/>
          <w:sz w:val="24"/>
        </w:rPr>
        <w:t xml:space="preserve"> controlled trial. </w:t>
      </w:r>
      <w:r w:rsidRPr="00A17324">
        <w:rPr>
          <w:rFonts w:ascii="Times New Roman" w:hAnsi="Times New Roman" w:cs="Times New Roman"/>
          <w:i/>
          <w:iCs/>
          <w:sz w:val="24"/>
        </w:rPr>
        <w:t>Lancet</w:t>
      </w:r>
      <w:r w:rsidRPr="00A17324">
        <w:rPr>
          <w:rFonts w:ascii="Times New Roman" w:hAnsi="Times New Roman" w:cs="Times New Roman"/>
          <w:sz w:val="24"/>
        </w:rPr>
        <w:t xml:space="preserve"> 2007; </w:t>
      </w:r>
      <w:r w:rsidRPr="00A17324">
        <w:rPr>
          <w:rFonts w:ascii="Times New Roman" w:hAnsi="Times New Roman" w:cs="Times New Roman"/>
          <w:b/>
          <w:bCs/>
          <w:sz w:val="24"/>
        </w:rPr>
        <w:t>369</w:t>
      </w:r>
      <w:r w:rsidRPr="00A17324">
        <w:rPr>
          <w:rFonts w:ascii="Times New Roman" w:hAnsi="Times New Roman" w:cs="Times New Roman"/>
          <w:sz w:val="24"/>
        </w:rPr>
        <w:t>:643–656.</w:t>
      </w:r>
    </w:p>
    <w:p w14:paraId="5348C61C"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38 </w:t>
      </w:r>
      <w:r w:rsidRPr="00A17324">
        <w:rPr>
          <w:rFonts w:ascii="Times New Roman" w:hAnsi="Times New Roman" w:cs="Times New Roman"/>
          <w:sz w:val="24"/>
        </w:rPr>
        <w:tab/>
        <w:t xml:space="preserve">Auvert B, Taljaard D, Lagarde E, Sobngwi-Tambekou J, Sitta R, Puren A. Randomized, controlled intervention trial of male circumcision for reduction of HIV infection risk: the ANRS 1265 Trial. </w:t>
      </w:r>
      <w:r w:rsidRPr="00A17324">
        <w:rPr>
          <w:rFonts w:ascii="Times New Roman" w:hAnsi="Times New Roman" w:cs="Times New Roman"/>
          <w:i/>
          <w:iCs/>
          <w:sz w:val="24"/>
        </w:rPr>
        <w:t>PLoS Med</w:t>
      </w:r>
      <w:r w:rsidRPr="00A17324">
        <w:rPr>
          <w:rFonts w:ascii="Times New Roman" w:hAnsi="Times New Roman" w:cs="Times New Roman"/>
          <w:sz w:val="24"/>
        </w:rPr>
        <w:t xml:space="preserve"> 2005; </w:t>
      </w:r>
      <w:r w:rsidRPr="00A17324">
        <w:rPr>
          <w:rFonts w:ascii="Times New Roman" w:hAnsi="Times New Roman" w:cs="Times New Roman"/>
          <w:b/>
          <w:bCs/>
          <w:sz w:val="24"/>
        </w:rPr>
        <w:t>2</w:t>
      </w:r>
      <w:r w:rsidRPr="00A17324">
        <w:rPr>
          <w:rFonts w:ascii="Times New Roman" w:hAnsi="Times New Roman" w:cs="Times New Roman"/>
          <w:sz w:val="24"/>
        </w:rPr>
        <w:t>:e298.</w:t>
      </w:r>
    </w:p>
    <w:p w14:paraId="29E50EC5"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39 </w:t>
      </w:r>
      <w:r w:rsidRPr="00A17324">
        <w:rPr>
          <w:rFonts w:ascii="Times New Roman" w:hAnsi="Times New Roman" w:cs="Times New Roman"/>
          <w:sz w:val="24"/>
        </w:rPr>
        <w:tab/>
        <w:t xml:space="preserve">Millett GA, Flores SA, Marks G, Reed JB, Herbst JH. Circumcision Status and Risk of HIV and Sexually Transmitted Infections Among Men Who Have Sex With Men. </w:t>
      </w:r>
      <w:r w:rsidRPr="00A17324">
        <w:rPr>
          <w:rFonts w:ascii="Times New Roman" w:hAnsi="Times New Roman" w:cs="Times New Roman"/>
          <w:i/>
          <w:iCs/>
          <w:sz w:val="24"/>
        </w:rPr>
        <w:t>JAMA</w:t>
      </w:r>
      <w:r w:rsidRPr="00A17324">
        <w:rPr>
          <w:rFonts w:ascii="Times New Roman" w:hAnsi="Times New Roman" w:cs="Times New Roman"/>
          <w:sz w:val="24"/>
        </w:rPr>
        <w:t xml:space="preserve"> 2008; </w:t>
      </w:r>
      <w:r w:rsidRPr="00A17324">
        <w:rPr>
          <w:rFonts w:ascii="Times New Roman" w:hAnsi="Times New Roman" w:cs="Times New Roman"/>
          <w:b/>
          <w:bCs/>
          <w:sz w:val="24"/>
        </w:rPr>
        <w:t>300</w:t>
      </w:r>
      <w:r w:rsidRPr="00A17324">
        <w:rPr>
          <w:rFonts w:ascii="Times New Roman" w:hAnsi="Times New Roman" w:cs="Times New Roman"/>
          <w:sz w:val="24"/>
        </w:rPr>
        <w:t>:1674.</w:t>
      </w:r>
    </w:p>
    <w:p w14:paraId="537452F0"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40 </w:t>
      </w:r>
      <w:r w:rsidRPr="00A17324">
        <w:rPr>
          <w:rFonts w:ascii="Times New Roman" w:hAnsi="Times New Roman" w:cs="Times New Roman"/>
          <w:sz w:val="24"/>
        </w:rPr>
        <w:tab/>
        <w:t xml:space="preserve">Templeton DJ, Jin F, Mao L, Prestage GP, Donovan B, Imrie J, </w:t>
      </w:r>
      <w:r w:rsidRPr="00A17324">
        <w:rPr>
          <w:rFonts w:ascii="Times New Roman" w:hAnsi="Times New Roman" w:cs="Times New Roman"/>
          <w:i/>
          <w:iCs/>
          <w:sz w:val="24"/>
        </w:rPr>
        <w:t>et al.</w:t>
      </w:r>
      <w:r w:rsidRPr="00A17324">
        <w:rPr>
          <w:rFonts w:ascii="Times New Roman" w:hAnsi="Times New Roman" w:cs="Times New Roman"/>
          <w:sz w:val="24"/>
        </w:rPr>
        <w:t xml:space="preserve"> Circumcision and risk of HIV infection in Australian homosexual men. </w:t>
      </w:r>
      <w:r w:rsidRPr="00A17324">
        <w:rPr>
          <w:rFonts w:ascii="Times New Roman" w:hAnsi="Times New Roman" w:cs="Times New Roman"/>
          <w:i/>
          <w:iCs/>
          <w:sz w:val="24"/>
        </w:rPr>
        <w:t>AIDS</w:t>
      </w:r>
      <w:r w:rsidRPr="00A17324">
        <w:rPr>
          <w:rFonts w:ascii="Times New Roman" w:hAnsi="Times New Roman" w:cs="Times New Roman"/>
          <w:sz w:val="24"/>
        </w:rPr>
        <w:t xml:space="preserve"> 2009; </w:t>
      </w:r>
      <w:r w:rsidRPr="00A17324">
        <w:rPr>
          <w:rFonts w:ascii="Times New Roman" w:hAnsi="Times New Roman" w:cs="Times New Roman"/>
          <w:b/>
          <w:bCs/>
          <w:sz w:val="24"/>
        </w:rPr>
        <w:t>23</w:t>
      </w:r>
      <w:r w:rsidRPr="00A17324">
        <w:rPr>
          <w:rFonts w:ascii="Times New Roman" w:hAnsi="Times New Roman" w:cs="Times New Roman"/>
          <w:sz w:val="24"/>
        </w:rPr>
        <w:t>:2347–51.</w:t>
      </w:r>
    </w:p>
    <w:p w14:paraId="309EA3F2"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41 </w:t>
      </w:r>
      <w:r w:rsidRPr="00A17324">
        <w:rPr>
          <w:rFonts w:ascii="Times New Roman" w:hAnsi="Times New Roman" w:cs="Times New Roman"/>
          <w:sz w:val="24"/>
        </w:rPr>
        <w:tab/>
        <w:t xml:space="preserve">Ozik J, Collier N, Wozniak J, Spagnuolo C. From Desktop To Large-Scale Model Exploration With Swift/T. </w:t>
      </w:r>
      <w:r w:rsidRPr="00A17324">
        <w:rPr>
          <w:rFonts w:ascii="Times New Roman" w:hAnsi="Times New Roman" w:cs="Times New Roman"/>
          <w:i/>
          <w:iCs/>
          <w:sz w:val="24"/>
        </w:rPr>
        <w:t>Winter Simul Conf 2016 Proceedings</w:t>
      </w:r>
      <w:r w:rsidRPr="00A17324">
        <w:rPr>
          <w:rFonts w:ascii="Times New Roman" w:hAnsi="Times New Roman" w:cs="Times New Roman"/>
          <w:sz w:val="24"/>
        </w:rPr>
        <w:t xml:space="preserve"> 2016; </w:t>
      </w:r>
      <w:r w:rsidRPr="00A17324">
        <w:rPr>
          <w:rFonts w:ascii="Times New Roman" w:hAnsi="Times New Roman" w:cs="Times New Roman"/>
          <w:b/>
          <w:bCs/>
          <w:sz w:val="24"/>
        </w:rPr>
        <w:t>To appear</w:t>
      </w:r>
      <w:r w:rsidRPr="00A17324">
        <w:rPr>
          <w:rFonts w:ascii="Times New Roman" w:hAnsi="Times New Roman" w:cs="Times New Roman"/>
          <w:sz w:val="24"/>
        </w:rPr>
        <w:t>.</w:t>
      </w:r>
    </w:p>
    <w:p w14:paraId="51043DD3"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42 </w:t>
      </w:r>
      <w:r w:rsidRPr="00A17324">
        <w:rPr>
          <w:rFonts w:ascii="Times New Roman" w:hAnsi="Times New Roman" w:cs="Times New Roman"/>
          <w:sz w:val="24"/>
        </w:rPr>
        <w:tab/>
        <w:t xml:space="preserve">Hoots BE, Finlayson T, </w:t>
      </w:r>
      <w:r w:rsidRPr="00D805CC">
        <w:rPr>
          <w:rFonts w:ascii="Times New Roman" w:hAnsi="Times New Roman" w:cs="Times New Roman"/>
          <w:sz w:val="24"/>
        </w:rPr>
        <w:t>Nerlander</w:t>
      </w:r>
      <w:r w:rsidRPr="00A17324">
        <w:rPr>
          <w:rFonts w:ascii="Times New Roman" w:hAnsi="Times New Roman" w:cs="Times New Roman"/>
          <w:sz w:val="24"/>
        </w:rPr>
        <w:t xml:space="preserve"> L, Paz-Bailey G, National HIV Behavioral Surveillance Study Group. Willingness to Take, Use of, and Indications for Pre-exposure Prophylaxis Among Men Who Have Sex With Men—20 US Cities, 2014. </w:t>
      </w:r>
      <w:r w:rsidRPr="00A17324">
        <w:rPr>
          <w:rFonts w:ascii="Times New Roman" w:hAnsi="Times New Roman" w:cs="Times New Roman"/>
          <w:i/>
          <w:iCs/>
          <w:sz w:val="24"/>
        </w:rPr>
        <w:t>Clin Infect Dis</w:t>
      </w:r>
      <w:r w:rsidRPr="00A17324">
        <w:rPr>
          <w:rFonts w:ascii="Times New Roman" w:hAnsi="Times New Roman" w:cs="Times New Roman"/>
          <w:sz w:val="24"/>
        </w:rPr>
        <w:t xml:space="preserve"> 2016; </w:t>
      </w:r>
      <w:r w:rsidRPr="00A17324">
        <w:rPr>
          <w:rFonts w:ascii="Times New Roman" w:hAnsi="Times New Roman" w:cs="Times New Roman"/>
          <w:b/>
          <w:bCs/>
          <w:sz w:val="24"/>
        </w:rPr>
        <w:t>63</w:t>
      </w:r>
      <w:r w:rsidRPr="00A17324">
        <w:rPr>
          <w:rFonts w:ascii="Times New Roman" w:hAnsi="Times New Roman" w:cs="Times New Roman"/>
          <w:sz w:val="24"/>
        </w:rPr>
        <w:t>:672–677.</w:t>
      </w:r>
    </w:p>
    <w:p w14:paraId="2AC4A95C"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43 </w:t>
      </w:r>
      <w:r w:rsidRPr="00A17324">
        <w:rPr>
          <w:rFonts w:ascii="Times New Roman" w:hAnsi="Times New Roman" w:cs="Times New Roman"/>
          <w:sz w:val="24"/>
        </w:rPr>
        <w:tab/>
        <w:t xml:space="preserve">Eaton LA, Matthews DD, </w:t>
      </w:r>
      <w:r w:rsidRPr="00D805CC">
        <w:rPr>
          <w:rFonts w:ascii="Times New Roman" w:hAnsi="Times New Roman" w:cs="Times New Roman"/>
          <w:sz w:val="24"/>
        </w:rPr>
        <w:t>Driffin</w:t>
      </w:r>
      <w:r w:rsidRPr="00A17324">
        <w:rPr>
          <w:rFonts w:ascii="Times New Roman" w:hAnsi="Times New Roman" w:cs="Times New Roman"/>
          <w:sz w:val="24"/>
        </w:rPr>
        <w:t xml:space="preserve"> DD, Bukowski L, Wilson PA, Stall RD, </w:t>
      </w:r>
      <w:r w:rsidRPr="00A17324">
        <w:rPr>
          <w:rFonts w:ascii="Times New Roman" w:hAnsi="Times New Roman" w:cs="Times New Roman"/>
          <w:i/>
          <w:iCs/>
          <w:sz w:val="24"/>
        </w:rPr>
        <w:t>et al.</w:t>
      </w:r>
      <w:r w:rsidRPr="00A17324">
        <w:rPr>
          <w:rFonts w:ascii="Times New Roman" w:hAnsi="Times New Roman" w:cs="Times New Roman"/>
          <w:sz w:val="24"/>
        </w:rPr>
        <w:t xml:space="preserve"> A Multi-US City Assessment of Awareness and Uptake of Pre-exposure Prophylaxis (PrEP) for HIV Prevention Among Black Men and Transgender Women Who Have Sex with Men. </w:t>
      </w:r>
      <w:r w:rsidRPr="00A17324">
        <w:rPr>
          <w:rFonts w:ascii="Times New Roman" w:hAnsi="Times New Roman" w:cs="Times New Roman"/>
          <w:i/>
          <w:iCs/>
          <w:sz w:val="24"/>
        </w:rPr>
        <w:t>Prev Sci</w:t>
      </w:r>
      <w:r w:rsidRPr="00A17324">
        <w:rPr>
          <w:rFonts w:ascii="Times New Roman" w:hAnsi="Times New Roman" w:cs="Times New Roman"/>
          <w:sz w:val="24"/>
        </w:rPr>
        <w:t xml:space="preserve"> 2017; </w:t>
      </w:r>
      <w:r w:rsidRPr="00A17324">
        <w:rPr>
          <w:rFonts w:ascii="Times New Roman" w:hAnsi="Times New Roman" w:cs="Times New Roman"/>
          <w:b/>
          <w:bCs/>
          <w:sz w:val="24"/>
        </w:rPr>
        <w:t>18</w:t>
      </w:r>
      <w:r w:rsidRPr="00A17324">
        <w:rPr>
          <w:rFonts w:ascii="Times New Roman" w:hAnsi="Times New Roman" w:cs="Times New Roman"/>
          <w:sz w:val="24"/>
        </w:rPr>
        <w:t>:505–516.</w:t>
      </w:r>
    </w:p>
    <w:p w14:paraId="55A202DD"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44 </w:t>
      </w:r>
      <w:r w:rsidRPr="00A17324">
        <w:rPr>
          <w:rFonts w:ascii="Times New Roman" w:hAnsi="Times New Roman" w:cs="Times New Roman"/>
          <w:sz w:val="24"/>
        </w:rPr>
        <w:tab/>
        <w:t xml:space="preserve">Valente TW. Network Interventions. Science (80-. ). 2012; </w:t>
      </w:r>
      <w:r w:rsidRPr="00A17324">
        <w:rPr>
          <w:rFonts w:ascii="Times New Roman" w:hAnsi="Times New Roman" w:cs="Times New Roman"/>
          <w:b/>
          <w:bCs/>
          <w:sz w:val="24"/>
        </w:rPr>
        <w:t>337</w:t>
      </w:r>
      <w:r w:rsidRPr="00A17324">
        <w:rPr>
          <w:rFonts w:ascii="Times New Roman" w:hAnsi="Times New Roman" w:cs="Times New Roman"/>
          <w:sz w:val="24"/>
        </w:rPr>
        <w:t>:49–53.</w:t>
      </w:r>
    </w:p>
    <w:p w14:paraId="4354CD53"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45 </w:t>
      </w:r>
      <w:r w:rsidRPr="00A17324">
        <w:rPr>
          <w:rFonts w:ascii="Times New Roman" w:hAnsi="Times New Roman" w:cs="Times New Roman"/>
          <w:sz w:val="24"/>
        </w:rPr>
        <w:tab/>
        <w:t xml:space="preserve">Young LE, Schumm P, Alon L, Bouris A, Ferreira M, Hill B, </w:t>
      </w:r>
      <w:r w:rsidRPr="00A17324">
        <w:rPr>
          <w:rFonts w:ascii="Times New Roman" w:hAnsi="Times New Roman" w:cs="Times New Roman"/>
          <w:i/>
          <w:iCs/>
          <w:sz w:val="24"/>
        </w:rPr>
        <w:t>et al.</w:t>
      </w:r>
      <w:r w:rsidRPr="00A17324">
        <w:rPr>
          <w:rFonts w:ascii="Times New Roman" w:hAnsi="Times New Roman" w:cs="Times New Roman"/>
          <w:sz w:val="24"/>
        </w:rPr>
        <w:t xml:space="preserve"> </w:t>
      </w:r>
      <w:r w:rsidRPr="00A17324">
        <w:rPr>
          <w:rFonts w:ascii="Times New Roman" w:hAnsi="Times New Roman" w:cs="Times New Roman"/>
          <w:i/>
          <w:iCs/>
          <w:sz w:val="24"/>
        </w:rPr>
        <w:t>PrEP Chicago</w:t>
      </w:r>
      <w:r w:rsidRPr="00A17324">
        <w:rPr>
          <w:rFonts w:ascii="Times New Roman" w:hAnsi="Times New Roman" w:cs="Times New Roman"/>
          <w:sz w:val="24"/>
        </w:rPr>
        <w:t xml:space="preserve"> : A randomized controlled peer change agent intervention to promote the adoption of pre-exposure prophylaxis for HIV prevention among young Black men who have sex with men. </w:t>
      </w:r>
      <w:r w:rsidRPr="00A17324">
        <w:rPr>
          <w:rFonts w:ascii="Times New Roman" w:hAnsi="Times New Roman" w:cs="Times New Roman"/>
          <w:i/>
          <w:iCs/>
          <w:sz w:val="24"/>
        </w:rPr>
        <w:t>Clin Trials</w:t>
      </w:r>
      <w:r w:rsidRPr="00A17324">
        <w:rPr>
          <w:rFonts w:ascii="Times New Roman" w:hAnsi="Times New Roman" w:cs="Times New Roman"/>
          <w:sz w:val="24"/>
        </w:rPr>
        <w:t xml:space="preserve"> 2018; </w:t>
      </w:r>
      <w:r w:rsidRPr="00A17324">
        <w:rPr>
          <w:rFonts w:ascii="Times New Roman" w:hAnsi="Times New Roman" w:cs="Times New Roman"/>
          <w:b/>
          <w:bCs/>
          <w:sz w:val="24"/>
        </w:rPr>
        <w:t>15</w:t>
      </w:r>
      <w:r w:rsidRPr="00A17324">
        <w:rPr>
          <w:rFonts w:ascii="Times New Roman" w:hAnsi="Times New Roman" w:cs="Times New Roman"/>
          <w:sz w:val="24"/>
        </w:rPr>
        <w:t>:44–52.</w:t>
      </w:r>
    </w:p>
    <w:p w14:paraId="2755B85A"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46 </w:t>
      </w:r>
      <w:r w:rsidRPr="00A17324">
        <w:rPr>
          <w:rFonts w:ascii="Times New Roman" w:hAnsi="Times New Roman" w:cs="Times New Roman"/>
          <w:sz w:val="24"/>
        </w:rPr>
        <w:tab/>
        <w:t xml:space="preserve">Bhatia R, </w:t>
      </w:r>
      <w:r w:rsidRPr="00D805CC">
        <w:rPr>
          <w:rFonts w:ascii="Times New Roman" w:hAnsi="Times New Roman" w:cs="Times New Roman"/>
          <w:sz w:val="24"/>
        </w:rPr>
        <w:t>Modali</w:t>
      </w:r>
      <w:r w:rsidRPr="00A17324">
        <w:rPr>
          <w:rFonts w:ascii="Times New Roman" w:hAnsi="Times New Roman" w:cs="Times New Roman"/>
          <w:sz w:val="24"/>
        </w:rPr>
        <w:t xml:space="preserve"> L, Lowther M, Glick N, Bell M, Rowan S, </w:t>
      </w:r>
      <w:r w:rsidRPr="00A17324">
        <w:rPr>
          <w:rFonts w:ascii="Times New Roman" w:hAnsi="Times New Roman" w:cs="Times New Roman"/>
          <w:i/>
          <w:iCs/>
          <w:sz w:val="24"/>
        </w:rPr>
        <w:t>et al.</w:t>
      </w:r>
      <w:r w:rsidRPr="00A17324">
        <w:rPr>
          <w:rFonts w:ascii="Times New Roman" w:hAnsi="Times New Roman" w:cs="Times New Roman"/>
          <w:sz w:val="24"/>
        </w:rPr>
        <w:t xml:space="preserve"> Outcomes of Preexposure Prophylaxis Referrals From Public STI Clinics and Implications for the Preexposure Prophylaxis Continuum. </w:t>
      </w:r>
      <w:r w:rsidRPr="00A17324">
        <w:rPr>
          <w:rFonts w:ascii="Times New Roman" w:hAnsi="Times New Roman" w:cs="Times New Roman"/>
          <w:i/>
          <w:iCs/>
          <w:sz w:val="24"/>
        </w:rPr>
        <w:t>Sex Transm Dis</w:t>
      </w:r>
      <w:r w:rsidRPr="00A17324">
        <w:rPr>
          <w:rFonts w:ascii="Times New Roman" w:hAnsi="Times New Roman" w:cs="Times New Roman"/>
          <w:sz w:val="24"/>
        </w:rPr>
        <w:t xml:space="preserve"> 2018; </w:t>
      </w:r>
      <w:r w:rsidRPr="00A17324">
        <w:rPr>
          <w:rFonts w:ascii="Times New Roman" w:hAnsi="Times New Roman" w:cs="Times New Roman"/>
          <w:b/>
          <w:bCs/>
          <w:sz w:val="24"/>
        </w:rPr>
        <w:t>45</w:t>
      </w:r>
      <w:r w:rsidRPr="00A17324">
        <w:rPr>
          <w:rFonts w:ascii="Times New Roman" w:hAnsi="Times New Roman" w:cs="Times New Roman"/>
          <w:sz w:val="24"/>
        </w:rPr>
        <w:t>:50–55.</w:t>
      </w:r>
    </w:p>
    <w:p w14:paraId="1E8E2E50"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lastRenderedPageBreak/>
        <w:t xml:space="preserve">47 </w:t>
      </w:r>
      <w:r w:rsidRPr="00A17324">
        <w:rPr>
          <w:rFonts w:ascii="Times New Roman" w:hAnsi="Times New Roman" w:cs="Times New Roman"/>
          <w:sz w:val="24"/>
        </w:rPr>
        <w:tab/>
        <w:t xml:space="preserve">Schneider JA, Zhou AN, Laumann EO. A new HIV prevention network approach: sociometric peer change agent selection. Soc. Sci. Med. 2014; </w:t>
      </w:r>
      <w:r w:rsidRPr="00A17324">
        <w:rPr>
          <w:rFonts w:ascii="Times New Roman" w:hAnsi="Times New Roman" w:cs="Times New Roman"/>
          <w:b/>
          <w:bCs/>
          <w:sz w:val="24"/>
        </w:rPr>
        <w:t>125</w:t>
      </w:r>
      <w:r w:rsidRPr="00A17324">
        <w:rPr>
          <w:rFonts w:ascii="Times New Roman" w:hAnsi="Times New Roman" w:cs="Times New Roman"/>
          <w:sz w:val="24"/>
        </w:rPr>
        <w:t>:192–202.</w:t>
      </w:r>
    </w:p>
    <w:p w14:paraId="4F936FD4"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48 </w:t>
      </w:r>
      <w:r w:rsidRPr="00A17324">
        <w:rPr>
          <w:rFonts w:ascii="Times New Roman" w:hAnsi="Times New Roman" w:cs="Times New Roman"/>
          <w:sz w:val="24"/>
        </w:rPr>
        <w:tab/>
        <w:t xml:space="preserve">Bowman B, Schneider J, Paraskevis D, Hatzakis A, Chanos S, Psichogyiou M, </w:t>
      </w:r>
      <w:r w:rsidRPr="00A17324">
        <w:rPr>
          <w:rFonts w:ascii="Times New Roman" w:hAnsi="Times New Roman" w:cs="Times New Roman"/>
          <w:i/>
          <w:iCs/>
          <w:sz w:val="24"/>
        </w:rPr>
        <w:t>et al.</w:t>
      </w:r>
      <w:r w:rsidRPr="00A17324">
        <w:rPr>
          <w:rFonts w:ascii="Times New Roman" w:hAnsi="Times New Roman" w:cs="Times New Roman"/>
          <w:sz w:val="24"/>
        </w:rPr>
        <w:t xml:space="preserve"> Sexual mixing and HIV risk among Greek men who have sex with men: results from SOPHOCLES. In: </w:t>
      </w:r>
      <w:r w:rsidRPr="00A17324">
        <w:rPr>
          <w:rFonts w:ascii="Times New Roman" w:hAnsi="Times New Roman" w:cs="Times New Roman"/>
          <w:i/>
          <w:iCs/>
          <w:sz w:val="24"/>
        </w:rPr>
        <w:t>HIV Glasgow 2018</w:t>
      </w:r>
      <w:r w:rsidRPr="00A17324">
        <w:rPr>
          <w:rFonts w:ascii="Times New Roman" w:hAnsi="Times New Roman" w:cs="Times New Roman"/>
          <w:sz w:val="24"/>
        </w:rPr>
        <w:t>.Glasgow, UK: Journal of the International AIDS Society; 2018. https://onlinelibrary.wiley.com/doi/full/10.1002/jia2.25187</w:t>
      </w:r>
    </w:p>
    <w:p w14:paraId="6635FDC4"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49 </w:t>
      </w:r>
      <w:r w:rsidRPr="00A17324">
        <w:rPr>
          <w:rFonts w:ascii="Times New Roman" w:hAnsi="Times New Roman" w:cs="Times New Roman"/>
          <w:sz w:val="24"/>
        </w:rPr>
        <w:tab/>
        <w:t xml:space="preserve">Cherutich P, Golden MR, Wamuti B, Richardson BA, Ásbjörnsdóttir KH, Otieno FA, </w:t>
      </w:r>
      <w:r w:rsidRPr="00A17324">
        <w:rPr>
          <w:rFonts w:ascii="Times New Roman" w:hAnsi="Times New Roman" w:cs="Times New Roman"/>
          <w:i/>
          <w:iCs/>
          <w:sz w:val="24"/>
        </w:rPr>
        <w:t>et al.</w:t>
      </w:r>
      <w:r w:rsidRPr="00A17324">
        <w:rPr>
          <w:rFonts w:ascii="Times New Roman" w:hAnsi="Times New Roman" w:cs="Times New Roman"/>
          <w:sz w:val="24"/>
        </w:rPr>
        <w:t xml:space="preserve"> Assisted partner services for HIV in Kenya: a cluster </w:t>
      </w:r>
      <w:r w:rsidRPr="00D805CC">
        <w:rPr>
          <w:rFonts w:ascii="Times New Roman" w:hAnsi="Times New Roman" w:cs="Times New Roman"/>
          <w:sz w:val="24"/>
        </w:rPr>
        <w:t>randomised</w:t>
      </w:r>
      <w:r w:rsidRPr="00A17324">
        <w:rPr>
          <w:rFonts w:ascii="Times New Roman" w:hAnsi="Times New Roman" w:cs="Times New Roman"/>
          <w:sz w:val="24"/>
        </w:rPr>
        <w:t xml:space="preserve"> controlled trial. </w:t>
      </w:r>
      <w:r w:rsidRPr="00A17324">
        <w:rPr>
          <w:rFonts w:ascii="Times New Roman" w:hAnsi="Times New Roman" w:cs="Times New Roman"/>
          <w:i/>
          <w:iCs/>
          <w:sz w:val="24"/>
        </w:rPr>
        <w:t>lancet HIV</w:t>
      </w:r>
      <w:r w:rsidRPr="00A17324">
        <w:rPr>
          <w:rFonts w:ascii="Times New Roman" w:hAnsi="Times New Roman" w:cs="Times New Roman"/>
          <w:sz w:val="24"/>
        </w:rPr>
        <w:t xml:space="preserve"> 2017; </w:t>
      </w:r>
      <w:r w:rsidRPr="00A17324">
        <w:rPr>
          <w:rFonts w:ascii="Times New Roman" w:hAnsi="Times New Roman" w:cs="Times New Roman"/>
          <w:b/>
          <w:bCs/>
          <w:sz w:val="24"/>
        </w:rPr>
        <w:t>4</w:t>
      </w:r>
      <w:r w:rsidRPr="00A17324">
        <w:rPr>
          <w:rFonts w:ascii="Times New Roman" w:hAnsi="Times New Roman" w:cs="Times New Roman"/>
          <w:sz w:val="24"/>
        </w:rPr>
        <w:t>:e74–e82.</w:t>
      </w:r>
    </w:p>
    <w:p w14:paraId="40553BAB"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50 </w:t>
      </w:r>
      <w:r w:rsidRPr="00A17324">
        <w:rPr>
          <w:rFonts w:ascii="Times New Roman" w:hAnsi="Times New Roman" w:cs="Times New Roman"/>
          <w:sz w:val="24"/>
        </w:rPr>
        <w:tab/>
        <w:t xml:space="preserve">Borgatti SP, Everett MG. A Graph-theoretic perspective on centrality. </w:t>
      </w:r>
      <w:r w:rsidRPr="00A17324">
        <w:rPr>
          <w:rFonts w:ascii="Times New Roman" w:hAnsi="Times New Roman" w:cs="Times New Roman"/>
          <w:i/>
          <w:iCs/>
          <w:sz w:val="24"/>
        </w:rPr>
        <w:t>Soc Networks</w:t>
      </w:r>
      <w:r w:rsidRPr="00A17324">
        <w:rPr>
          <w:rFonts w:ascii="Times New Roman" w:hAnsi="Times New Roman" w:cs="Times New Roman"/>
          <w:sz w:val="24"/>
        </w:rPr>
        <w:t xml:space="preserve"> 2006; </w:t>
      </w:r>
      <w:r w:rsidRPr="00A17324">
        <w:rPr>
          <w:rFonts w:ascii="Times New Roman" w:hAnsi="Times New Roman" w:cs="Times New Roman"/>
          <w:b/>
          <w:bCs/>
          <w:sz w:val="24"/>
        </w:rPr>
        <w:t>28</w:t>
      </w:r>
      <w:r w:rsidRPr="00A17324">
        <w:rPr>
          <w:rFonts w:ascii="Times New Roman" w:hAnsi="Times New Roman" w:cs="Times New Roman"/>
          <w:sz w:val="24"/>
        </w:rPr>
        <w:t>:466–484.</w:t>
      </w:r>
    </w:p>
    <w:p w14:paraId="20DEE571"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51 </w:t>
      </w:r>
      <w:r w:rsidRPr="00A17324">
        <w:rPr>
          <w:rFonts w:ascii="Times New Roman" w:hAnsi="Times New Roman" w:cs="Times New Roman"/>
          <w:sz w:val="24"/>
        </w:rPr>
        <w:tab/>
        <w:t xml:space="preserve">Bonacich P. Power and Centrality: A Family of Measures. Am. J. </w:t>
      </w:r>
      <w:r w:rsidRPr="00EE6772">
        <w:rPr>
          <w:rFonts w:ascii="Times New Roman" w:hAnsi="Times New Roman" w:cs="Times New Roman"/>
          <w:sz w:val="24"/>
        </w:rPr>
        <w:t>Sociol</w:t>
      </w:r>
      <w:r w:rsidRPr="00A17324">
        <w:rPr>
          <w:rFonts w:ascii="Times New Roman" w:hAnsi="Times New Roman" w:cs="Times New Roman"/>
          <w:sz w:val="24"/>
        </w:rPr>
        <w:t xml:space="preserve">. 1987; </w:t>
      </w:r>
      <w:r w:rsidRPr="00A17324">
        <w:rPr>
          <w:rFonts w:ascii="Times New Roman" w:hAnsi="Times New Roman" w:cs="Times New Roman"/>
          <w:b/>
          <w:bCs/>
          <w:sz w:val="24"/>
        </w:rPr>
        <w:t>92</w:t>
      </w:r>
      <w:r w:rsidRPr="00A17324">
        <w:rPr>
          <w:rFonts w:ascii="Times New Roman" w:hAnsi="Times New Roman" w:cs="Times New Roman"/>
          <w:sz w:val="24"/>
        </w:rPr>
        <w:t>:1170.</w:t>
      </w:r>
    </w:p>
    <w:p w14:paraId="2214DD1F"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52 </w:t>
      </w:r>
      <w:r w:rsidRPr="00A17324">
        <w:rPr>
          <w:rFonts w:ascii="Times New Roman" w:hAnsi="Times New Roman" w:cs="Times New Roman"/>
          <w:sz w:val="24"/>
        </w:rPr>
        <w:tab/>
        <w:t xml:space="preserve">Borgatti SP. Centrality and network flow. </w:t>
      </w:r>
      <w:r w:rsidRPr="00A17324">
        <w:rPr>
          <w:rFonts w:ascii="Times New Roman" w:hAnsi="Times New Roman" w:cs="Times New Roman"/>
          <w:i/>
          <w:iCs/>
          <w:sz w:val="24"/>
        </w:rPr>
        <w:t>Soc Networks</w:t>
      </w:r>
      <w:r w:rsidRPr="00A17324">
        <w:rPr>
          <w:rFonts w:ascii="Times New Roman" w:hAnsi="Times New Roman" w:cs="Times New Roman"/>
          <w:sz w:val="24"/>
        </w:rPr>
        <w:t xml:space="preserve"> 2005; </w:t>
      </w:r>
      <w:r w:rsidRPr="00A17324">
        <w:rPr>
          <w:rFonts w:ascii="Times New Roman" w:hAnsi="Times New Roman" w:cs="Times New Roman"/>
          <w:b/>
          <w:bCs/>
          <w:sz w:val="24"/>
        </w:rPr>
        <w:t>27</w:t>
      </w:r>
      <w:r w:rsidRPr="00A17324">
        <w:rPr>
          <w:rFonts w:ascii="Times New Roman" w:hAnsi="Times New Roman" w:cs="Times New Roman"/>
          <w:sz w:val="24"/>
        </w:rPr>
        <w:t>:55–71.</w:t>
      </w:r>
    </w:p>
    <w:p w14:paraId="1573A32A"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53 </w:t>
      </w:r>
      <w:r w:rsidRPr="00A17324">
        <w:rPr>
          <w:rFonts w:ascii="Times New Roman" w:hAnsi="Times New Roman" w:cs="Times New Roman"/>
          <w:sz w:val="24"/>
        </w:rPr>
        <w:tab/>
        <w:t xml:space="preserve">Johnson K, Quanbeck A, Maus A, Gustafson DH, Dearing JW. Influence networks among substance abuse treatment clinics: implications for the dissemination of innovations. </w:t>
      </w:r>
      <w:r w:rsidRPr="00A17324">
        <w:rPr>
          <w:rFonts w:ascii="Times New Roman" w:hAnsi="Times New Roman" w:cs="Times New Roman"/>
          <w:i/>
          <w:iCs/>
          <w:sz w:val="24"/>
        </w:rPr>
        <w:t>Transl Behav Med</w:t>
      </w:r>
      <w:r w:rsidRPr="00A17324">
        <w:rPr>
          <w:rFonts w:ascii="Times New Roman" w:hAnsi="Times New Roman" w:cs="Times New Roman"/>
          <w:sz w:val="24"/>
        </w:rPr>
        <w:t xml:space="preserve"> 2015; </w:t>
      </w:r>
      <w:r w:rsidRPr="00A17324">
        <w:rPr>
          <w:rFonts w:ascii="Times New Roman" w:hAnsi="Times New Roman" w:cs="Times New Roman"/>
          <w:b/>
          <w:bCs/>
          <w:sz w:val="24"/>
        </w:rPr>
        <w:t>5</w:t>
      </w:r>
      <w:r w:rsidRPr="00A17324">
        <w:rPr>
          <w:rFonts w:ascii="Times New Roman" w:hAnsi="Times New Roman" w:cs="Times New Roman"/>
          <w:sz w:val="24"/>
        </w:rPr>
        <w:t>:260–8.</w:t>
      </w:r>
    </w:p>
    <w:p w14:paraId="10473EE1"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54 </w:t>
      </w:r>
      <w:r w:rsidRPr="00A17324">
        <w:rPr>
          <w:rFonts w:ascii="Times New Roman" w:hAnsi="Times New Roman" w:cs="Times New Roman"/>
          <w:sz w:val="24"/>
        </w:rPr>
        <w:tab/>
        <w:t xml:space="preserve">Geissler KH, Lubin B, Marzilli Ericson KM. Access is Not Enough: Characteristics of Physicians Who Treat Medicaid Patients. </w:t>
      </w:r>
      <w:r w:rsidRPr="00A17324">
        <w:rPr>
          <w:rFonts w:ascii="Times New Roman" w:hAnsi="Times New Roman" w:cs="Times New Roman"/>
          <w:i/>
          <w:iCs/>
          <w:sz w:val="24"/>
        </w:rPr>
        <w:t>Med Care</w:t>
      </w:r>
      <w:r w:rsidRPr="00A17324">
        <w:rPr>
          <w:rFonts w:ascii="Times New Roman" w:hAnsi="Times New Roman" w:cs="Times New Roman"/>
          <w:sz w:val="24"/>
        </w:rPr>
        <w:t xml:space="preserve"> 2016; </w:t>
      </w:r>
      <w:r w:rsidRPr="00A17324">
        <w:rPr>
          <w:rFonts w:ascii="Times New Roman" w:hAnsi="Times New Roman" w:cs="Times New Roman"/>
          <w:b/>
          <w:bCs/>
          <w:sz w:val="24"/>
        </w:rPr>
        <w:t>54</w:t>
      </w:r>
      <w:r w:rsidRPr="00A17324">
        <w:rPr>
          <w:rFonts w:ascii="Times New Roman" w:hAnsi="Times New Roman" w:cs="Times New Roman"/>
          <w:sz w:val="24"/>
        </w:rPr>
        <w:t>:350–358.</w:t>
      </w:r>
    </w:p>
    <w:p w14:paraId="1843EF32" w14:textId="77777777" w:rsidR="00A17324" w:rsidRPr="00A17324" w:rsidRDefault="00A17324" w:rsidP="00A17324">
      <w:pPr>
        <w:ind w:left="640" w:hanging="640"/>
        <w:rPr>
          <w:rFonts w:ascii="Times New Roman" w:hAnsi="Times New Roman" w:cs="Times New Roman"/>
          <w:sz w:val="24"/>
        </w:rPr>
      </w:pPr>
      <w:r w:rsidRPr="00A17324">
        <w:rPr>
          <w:rFonts w:ascii="Times New Roman" w:hAnsi="Times New Roman" w:cs="Times New Roman"/>
          <w:sz w:val="24"/>
        </w:rPr>
        <w:t xml:space="preserve">55 </w:t>
      </w:r>
      <w:r w:rsidRPr="00A17324">
        <w:rPr>
          <w:rFonts w:ascii="Times New Roman" w:hAnsi="Times New Roman" w:cs="Times New Roman"/>
          <w:sz w:val="24"/>
        </w:rPr>
        <w:tab/>
        <w:t xml:space="preserve">Gyarmathy VA, Caplinskiene I, Caplinskas S, Latkin CA. Social network structure and HIV infection among injecting drug users in Lithuania: gatekeepers as bridges of infection. </w:t>
      </w:r>
      <w:r w:rsidRPr="00A17324">
        <w:rPr>
          <w:rFonts w:ascii="Times New Roman" w:hAnsi="Times New Roman" w:cs="Times New Roman"/>
          <w:i/>
          <w:iCs/>
          <w:sz w:val="24"/>
        </w:rPr>
        <w:t>AIDS Behav</w:t>
      </w:r>
      <w:r w:rsidRPr="00A17324">
        <w:rPr>
          <w:rFonts w:ascii="Times New Roman" w:hAnsi="Times New Roman" w:cs="Times New Roman"/>
          <w:sz w:val="24"/>
        </w:rPr>
        <w:t xml:space="preserve"> 2014; </w:t>
      </w:r>
      <w:r w:rsidRPr="00A17324">
        <w:rPr>
          <w:rFonts w:ascii="Times New Roman" w:hAnsi="Times New Roman" w:cs="Times New Roman"/>
          <w:b/>
          <w:bCs/>
          <w:sz w:val="24"/>
        </w:rPr>
        <w:t>18</w:t>
      </w:r>
      <w:r w:rsidRPr="00A17324">
        <w:rPr>
          <w:rFonts w:ascii="Times New Roman" w:hAnsi="Times New Roman" w:cs="Times New Roman"/>
          <w:sz w:val="24"/>
        </w:rPr>
        <w:t>:505–10.</w:t>
      </w:r>
    </w:p>
    <w:p w14:paraId="3C1F88D3" w14:textId="6256F767" w:rsidR="00B419BE" w:rsidRPr="00330C80" w:rsidRDefault="008E5FE9" w:rsidP="00A17324">
      <w:pPr>
        <w:ind w:left="640" w:hanging="640"/>
        <w:rPr>
          <w:rFonts w:ascii="Times New Roman" w:hAnsi="Times New Roman" w:cs="Times New Roman"/>
          <w:noProof w:val="0"/>
          <w:sz w:val="24"/>
          <w:szCs w:val="24"/>
        </w:rPr>
      </w:pPr>
      <w:r>
        <w:rPr>
          <w:rFonts w:ascii="Times New Roman" w:hAnsi="Times New Roman" w:cs="Times New Roman"/>
          <w:noProof w:val="0"/>
          <w:sz w:val="24"/>
          <w:szCs w:val="24"/>
        </w:rPr>
        <w:fldChar w:fldCharType="end"/>
      </w:r>
    </w:p>
    <w:p w14:paraId="62D6A06B" w14:textId="77777777" w:rsidR="00CA2122" w:rsidRPr="00330C80" w:rsidRDefault="00CA2122">
      <w:pPr>
        <w:ind w:left="640" w:hanging="640"/>
        <w:rPr>
          <w:rFonts w:ascii="Times New Roman" w:hAnsi="Times New Roman" w:cs="Times New Roman"/>
          <w:noProof w:val="0"/>
          <w:sz w:val="24"/>
          <w:szCs w:val="24"/>
        </w:rPr>
      </w:pPr>
    </w:p>
    <w:sectPr w:rsidR="00CA2122" w:rsidRPr="00330C80" w:rsidSect="00627699">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5EED" w14:textId="77777777" w:rsidR="00656496" w:rsidRDefault="00656496" w:rsidP="000C3920">
      <w:r>
        <w:separator/>
      </w:r>
    </w:p>
  </w:endnote>
  <w:endnote w:type="continuationSeparator" w:id="0">
    <w:p w14:paraId="61A0185B" w14:textId="77777777" w:rsidR="00656496" w:rsidRDefault="00656496" w:rsidP="000C3920">
      <w:r>
        <w:continuationSeparator/>
      </w:r>
    </w:p>
  </w:endnote>
  <w:endnote w:type="continuationNotice" w:id="1">
    <w:p w14:paraId="26FC7B0D" w14:textId="77777777" w:rsidR="00656496" w:rsidRDefault="00656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4AB0" w14:textId="4850EC26" w:rsidR="001B51AB" w:rsidRDefault="001B51AB" w:rsidP="00C528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54A080B" w14:textId="77777777" w:rsidR="001B51AB" w:rsidRDefault="001B51AB" w:rsidP="000C3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4925545"/>
      <w:docPartObj>
        <w:docPartGallery w:val="Page Numbers (Bottom of Page)"/>
        <w:docPartUnique/>
      </w:docPartObj>
    </w:sdtPr>
    <w:sdtEndPr>
      <w:rPr>
        <w:rStyle w:val="PageNumber"/>
      </w:rPr>
    </w:sdtEndPr>
    <w:sdtContent>
      <w:p w14:paraId="5A8FD791" w14:textId="106AB65B" w:rsidR="001B51AB" w:rsidRDefault="001B51AB" w:rsidP="00C528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78C3">
          <w:rPr>
            <w:rStyle w:val="PageNumber"/>
          </w:rPr>
          <w:t>26</w:t>
        </w:r>
        <w:r>
          <w:rPr>
            <w:rStyle w:val="PageNumber"/>
          </w:rPr>
          <w:fldChar w:fldCharType="end"/>
        </w:r>
      </w:p>
    </w:sdtContent>
  </w:sdt>
  <w:p w14:paraId="3C81CC85" w14:textId="77777777" w:rsidR="001B51AB" w:rsidRDefault="001B51AB" w:rsidP="000C39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2DBDE" w14:textId="77777777" w:rsidR="00656496" w:rsidRDefault="00656496" w:rsidP="000C3920">
      <w:r>
        <w:separator/>
      </w:r>
    </w:p>
  </w:footnote>
  <w:footnote w:type="continuationSeparator" w:id="0">
    <w:p w14:paraId="69946D36" w14:textId="77777777" w:rsidR="00656496" w:rsidRDefault="00656496" w:rsidP="000C3920">
      <w:r>
        <w:continuationSeparator/>
      </w:r>
    </w:p>
  </w:footnote>
  <w:footnote w:type="continuationNotice" w:id="1">
    <w:p w14:paraId="5AE9F785" w14:textId="77777777" w:rsidR="00656496" w:rsidRDefault="006564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2AC7"/>
    <w:multiLevelType w:val="hybridMultilevel"/>
    <w:tmpl w:val="9F9CA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544C"/>
    <w:multiLevelType w:val="multilevel"/>
    <w:tmpl w:val="4B1A93CA"/>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5667A2"/>
    <w:multiLevelType w:val="hybridMultilevel"/>
    <w:tmpl w:val="01C653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3F66A9"/>
    <w:multiLevelType w:val="multilevel"/>
    <w:tmpl w:val="3CEA402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B65F3F"/>
    <w:multiLevelType w:val="hybridMultilevel"/>
    <w:tmpl w:val="DEE8FC7E"/>
    <w:lvl w:ilvl="0" w:tplc="BCEE8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80430"/>
    <w:multiLevelType w:val="hybridMultilevel"/>
    <w:tmpl w:val="82CC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142F8"/>
    <w:multiLevelType w:val="multilevel"/>
    <w:tmpl w:val="B772F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E545101"/>
    <w:multiLevelType w:val="multilevel"/>
    <w:tmpl w:val="C4407CCE"/>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8" w15:restartNumberingAfterBreak="0">
    <w:nsid w:val="517E027A"/>
    <w:multiLevelType w:val="multilevel"/>
    <w:tmpl w:val="8830084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E87CA8"/>
    <w:multiLevelType w:val="hybridMultilevel"/>
    <w:tmpl w:val="FA0AD78C"/>
    <w:lvl w:ilvl="0" w:tplc="99B2F0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7D230E"/>
    <w:multiLevelType w:val="hybridMultilevel"/>
    <w:tmpl w:val="0A409AC2"/>
    <w:lvl w:ilvl="0" w:tplc="F62A6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2"/>
  </w:num>
  <w:num w:numId="4">
    <w:abstractNumId w:val="10"/>
  </w:num>
  <w:num w:numId="5">
    <w:abstractNumId w:val="6"/>
  </w:num>
  <w:num w:numId="6">
    <w:abstractNumId w:val="5"/>
  </w:num>
  <w:num w:numId="7">
    <w:abstractNumId w:val="7"/>
  </w:num>
  <w:num w:numId="8">
    <w:abstractNumId w:val="0"/>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3MDawMDeysDC3NLBQ0lEKTi0uzszPAykwqQUA3K4suywAAAA="/>
  </w:docVars>
  <w:rsids>
    <w:rsidRoot w:val="0038212C"/>
    <w:rsid w:val="00002AC6"/>
    <w:rsid w:val="00003322"/>
    <w:rsid w:val="00005197"/>
    <w:rsid w:val="00005E4E"/>
    <w:rsid w:val="000064A9"/>
    <w:rsid w:val="00007440"/>
    <w:rsid w:val="000074C7"/>
    <w:rsid w:val="00010910"/>
    <w:rsid w:val="000116AB"/>
    <w:rsid w:val="0001299A"/>
    <w:rsid w:val="00012D4C"/>
    <w:rsid w:val="00013E71"/>
    <w:rsid w:val="00014882"/>
    <w:rsid w:val="00015413"/>
    <w:rsid w:val="00015C7B"/>
    <w:rsid w:val="0001723E"/>
    <w:rsid w:val="00017E99"/>
    <w:rsid w:val="0002086A"/>
    <w:rsid w:val="0002247F"/>
    <w:rsid w:val="000246D9"/>
    <w:rsid w:val="00024759"/>
    <w:rsid w:val="00026A2D"/>
    <w:rsid w:val="000306AB"/>
    <w:rsid w:val="000309E4"/>
    <w:rsid w:val="00031C20"/>
    <w:rsid w:val="00031F52"/>
    <w:rsid w:val="000322E3"/>
    <w:rsid w:val="00033718"/>
    <w:rsid w:val="000337D8"/>
    <w:rsid w:val="00033D2D"/>
    <w:rsid w:val="0003585A"/>
    <w:rsid w:val="000366B5"/>
    <w:rsid w:val="00040E4B"/>
    <w:rsid w:val="00041111"/>
    <w:rsid w:val="00041792"/>
    <w:rsid w:val="00041878"/>
    <w:rsid w:val="00041D1C"/>
    <w:rsid w:val="00041E9A"/>
    <w:rsid w:val="00042642"/>
    <w:rsid w:val="00042B34"/>
    <w:rsid w:val="000466FB"/>
    <w:rsid w:val="00050260"/>
    <w:rsid w:val="00050D60"/>
    <w:rsid w:val="00051904"/>
    <w:rsid w:val="00051C0D"/>
    <w:rsid w:val="00052EF1"/>
    <w:rsid w:val="000548F6"/>
    <w:rsid w:val="000550FA"/>
    <w:rsid w:val="00055276"/>
    <w:rsid w:val="00055893"/>
    <w:rsid w:val="00055897"/>
    <w:rsid w:val="000564C4"/>
    <w:rsid w:val="00062DCA"/>
    <w:rsid w:val="0006354F"/>
    <w:rsid w:val="00064295"/>
    <w:rsid w:val="0006487A"/>
    <w:rsid w:val="00073872"/>
    <w:rsid w:val="00075952"/>
    <w:rsid w:val="00076B0C"/>
    <w:rsid w:val="000807F8"/>
    <w:rsid w:val="0008125E"/>
    <w:rsid w:val="00081F88"/>
    <w:rsid w:val="000838B7"/>
    <w:rsid w:val="00085FC8"/>
    <w:rsid w:val="00086782"/>
    <w:rsid w:val="00087E6C"/>
    <w:rsid w:val="0009035A"/>
    <w:rsid w:val="00090BB2"/>
    <w:rsid w:val="00090D69"/>
    <w:rsid w:val="00092D27"/>
    <w:rsid w:val="00093949"/>
    <w:rsid w:val="00093A8E"/>
    <w:rsid w:val="000945C4"/>
    <w:rsid w:val="000977C6"/>
    <w:rsid w:val="000A047C"/>
    <w:rsid w:val="000A08F8"/>
    <w:rsid w:val="000A0CB7"/>
    <w:rsid w:val="000A56E2"/>
    <w:rsid w:val="000A6E54"/>
    <w:rsid w:val="000A7ACE"/>
    <w:rsid w:val="000A7C13"/>
    <w:rsid w:val="000B1DA2"/>
    <w:rsid w:val="000B306D"/>
    <w:rsid w:val="000B422B"/>
    <w:rsid w:val="000B44D1"/>
    <w:rsid w:val="000B481E"/>
    <w:rsid w:val="000B48C0"/>
    <w:rsid w:val="000B57B4"/>
    <w:rsid w:val="000B5E90"/>
    <w:rsid w:val="000B6116"/>
    <w:rsid w:val="000B6566"/>
    <w:rsid w:val="000B6E52"/>
    <w:rsid w:val="000C0F4F"/>
    <w:rsid w:val="000C3920"/>
    <w:rsid w:val="000C4787"/>
    <w:rsid w:val="000C6414"/>
    <w:rsid w:val="000C6D90"/>
    <w:rsid w:val="000C76EF"/>
    <w:rsid w:val="000C7D38"/>
    <w:rsid w:val="000D03B1"/>
    <w:rsid w:val="000D07DB"/>
    <w:rsid w:val="000D0A46"/>
    <w:rsid w:val="000D3EA6"/>
    <w:rsid w:val="000D4EA8"/>
    <w:rsid w:val="000D6158"/>
    <w:rsid w:val="000D65C6"/>
    <w:rsid w:val="000D67FC"/>
    <w:rsid w:val="000D6D22"/>
    <w:rsid w:val="000E141C"/>
    <w:rsid w:val="000E17AD"/>
    <w:rsid w:val="000E21F1"/>
    <w:rsid w:val="000E2301"/>
    <w:rsid w:val="000E37C2"/>
    <w:rsid w:val="000E4774"/>
    <w:rsid w:val="000E4B1C"/>
    <w:rsid w:val="000E62CA"/>
    <w:rsid w:val="000E6FD3"/>
    <w:rsid w:val="000E7629"/>
    <w:rsid w:val="000F02C4"/>
    <w:rsid w:val="000F03DF"/>
    <w:rsid w:val="000F09EE"/>
    <w:rsid w:val="000F2243"/>
    <w:rsid w:val="000F2B58"/>
    <w:rsid w:val="000F317E"/>
    <w:rsid w:val="000F3E9A"/>
    <w:rsid w:val="000F4E9E"/>
    <w:rsid w:val="000F6B4B"/>
    <w:rsid w:val="00101C10"/>
    <w:rsid w:val="00102F13"/>
    <w:rsid w:val="0010455A"/>
    <w:rsid w:val="00104B89"/>
    <w:rsid w:val="0010554D"/>
    <w:rsid w:val="001057ED"/>
    <w:rsid w:val="00106305"/>
    <w:rsid w:val="001067D0"/>
    <w:rsid w:val="00111989"/>
    <w:rsid w:val="00111C2A"/>
    <w:rsid w:val="00111C68"/>
    <w:rsid w:val="00112247"/>
    <w:rsid w:val="00112760"/>
    <w:rsid w:val="001138E3"/>
    <w:rsid w:val="00113995"/>
    <w:rsid w:val="00113A08"/>
    <w:rsid w:val="00113DEC"/>
    <w:rsid w:val="00121149"/>
    <w:rsid w:val="001211B7"/>
    <w:rsid w:val="001230CF"/>
    <w:rsid w:val="001236BF"/>
    <w:rsid w:val="00124658"/>
    <w:rsid w:val="00124C78"/>
    <w:rsid w:val="00126557"/>
    <w:rsid w:val="00126F8B"/>
    <w:rsid w:val="0012703E"/>
    <w:rsid w:val="00127F57"/>
    <w:rsid w:val="0013074A"/>
    <w:rsid w:val="00130E4C"/>
    <w:rsid w:val="00133F1A"/>
    <w:rsid w:val="001346D2"/>
    <w:rsid w:val="0013480F"/>
    <w:rsid w:val="00135640"/>
    <w:rsid w:val="001379AC"/>
    <w:rsid w:val="00137A11"/>
    <w:rsid w:val="00144B72"/>
    <w:rsid w:val="00144C41"/>
    <w:rsid w:val="001461C1"/>
    <w:rsid w:val="001500FB"/>
    <w:rsid w:val="001502A3"/>
    <w:rsid w:val="00150736"/>
    <w:rsid w:val="0015095C"/>
    <w:rsid w:val="00152095"/>
    <w:rsid w:val="001538EC"/>
    <w:rsid w:val="00153DD1"/>
    <w:rsid w:val="00153F49"/>
    <w:rsid w:val="001567CF"/>
    <w:rsid w:val="00157FE5"/>
    <w:rsid w:val="001605BE"/>
    <w:rsid w:val="00161FB5"/>
    <w:rsid w:val="00162A62"/>
    <w:rsid w:val="00163741"/>
    <w:rsid w:val="00163C22"/>
    <w:rsid w:val="001641B1"/>
    <w:rsid w:val="00165D07"/>
    <w:rsid w:val="001667C6"/>
    <w:rsid w:val="0017003B"/>
    <w:rsid w:val="001700B7"/>
    <w:rsid w:val="00172685"/>
    <w:rsid w:val="00173C59"/>
    <w:rsid w:val="001766B0"/>
    <w:rsid w:val="00177145"/>
    <w:rsid w:val="00181CC1"/>
    <w:rsid w:val="001850B3"/>
    <w:rsid w:val="00185142"/>
    <w:rsid w:val="00186271"/>
    <w:rsid w:val="00186275"/>
    <w:rsid w:val="00186FD4"/>
    <w:rsid w:val="00187072"/>
    <w:rsid w:val="001877FF"/>
    <w:rsid w:val="001906FD"/>
    <w:rsid w:val="00191316"/>
    <w:rsid w:val="0019187E"/>
    <w:rsid w:val="00192316"/>
    <w:rsid w:val="00192571"/>
    <w:rsid w:val="00194CF6"/>
    <w:rsid w:val="00195679"/>
    <w:rsid w:val="00195D6A"/>
    <w:rsid w:val="0019614D"/>
    <w:rsid w:val="001A0436"/>
    <w:rsid w:val="001A24BB"/>
    <w:rsid w:val="001A399C"/>
    <w:rsid w:val="001A487B"/>
    <w:rsid w:val="001A73EC"/>
    <w:rsid w:val="001A7E4D"/>
    <w:rsid w:val="001B13CF"/>
    <w:rsid w:val="001B1A18"/>
    <w:rsid w:val="001B39D9"/>
    <w:rsid w:val="001B4A45"/>
    <w:rsid w:val="001B51AB"/>
    <w:rsid w:val="001B60DE"/>
    <w:rsid w:val="001B6169"/>
    <w:rsid w:val="001B65D0"/>
    <w:rsid w:val="001B6B60"/>
    <w:rsid w:val="001C04B7"/>
    <w:rsid w:val="001C15EF"/>
    <w:rsid w:val="001C163C"/>
    <w:rsid w:val="001C1C87"/>
    <w:rsid w:val="001C2099"/>
    <w:rsid w:val="001C30AD"/>
    <w:rsid w:val="001C344D"/>
    <w:rsid w:val="001C53D0"/>
    <w:rsid w:val="001C5658"/>
    <w:rsid w:val="001C5D5C"/>
    <w:rsid w:val="001C5F2E"/>
    <w:rsid w:val="001C6103"/>
    <w:rsid w:val="001C72A8"/>
    <w:rsid w:val="001C7B99"/>
    <w:rsid w:val="001D13AC"/>
    <w:rsid w:val="001D2585"/>
    <w:rsid w:val="001D381E"/>
    <w:rsid w:val="001D3900"/>
    <w:rsid w:val="001D3BCC"/>
    <w:rsid w:val="001D4C7E"/>
    <w:rsid w:val="001D4F04"/>
    <w:rsid w:val="001D66FC"/>
    <w:rsid w:val="001D6759"/>
    <w:rsid w:val="001D7159"/>
    <w:rsid w:val="001D745A"/>
    <w:rsid w:val="001E0AE9"/>
    <w:rsid w:val="001E2529"/>
    <w:rsid w:val="001E2782"/>
    <w:rsid w:val="001E4373"/>
    <w:rsid w:val="001E528C"/>
    <w:rsid w:val="001E6BCB"/>
    <w:rsid w:val="001E6BEE"/>
    <w:rsid w:val="001F1262"/>
    <w:rsid w:val="001F1535"/>
    <w:rsid w:val="001F1E94"/>
    <w:rsid w:val="001F4DCC"/>
    <w:rsid w:val="001F6A02"/>
    <w:rsid w:val="00203A0C"/>
    <w:rsid w:val="0020476B"/>
    <w:rsid w:val="00205553"/>
    <w:rsid w:val="00206F5E"/>
    <w:rsid w:val="00207645"/>
    <w:rsid w:val="00207664"/>
    <w:rsid w:val="00210681"/>
    <w:rsid w:val="00210EF9"/>
    <w:rsid w:val="00211277"/>
    <w:rsid w:val="00212CCF"/>
    <w:rsid w:val="002132F5"/>
    <w:rsid w:val="002154C9"/>
    <w:rsid w:val="00216862"/>
    <w:rsid w:val="002210C6"/>
    <w:rsid w:val="0022284A"/>
    <w:rsid w:val="00222878"/>
    <w:rsid w:val="002235A7"/>
    <w:rsid w:val="002242BD"/>
    <w:rsid w:val="00225272"/>
    <w:rsid w:val="002254C8"/>
    <w:rsid w:val="002265B8"/>
    <w:rsid w:val="002303BC"/>
    <w:rsid w:val="002304A7"/>
    <w:rsid w:val="0023116C"/>
    <w:rsid w:val="002316DD"/>
    <w:rsid w:val="0023186A"/>
    <w:rsid w:val="00232228"/>
    <w:rsid w:val="00234646"/>
    <w:rsid w:val="002353AD"/>
    <w:rsid w:val="00236490"/>
    <w:rsid w:val="0023765D"/>
    <w:rsid w:val="002416AF"/>
    <w:rsid w:val="00241CF6"/>
    <w:rsid w:val="00242C16"/>
    <w:rsid w:val="0024441F"/>
    <w:rsid w:val="00246B13"/>
    <w:rsid w:val="00247E8C"/>
    <w:rsid w:val="00250CA5"/>
    <w:rsid w:val="002515E2"/>
    <w:rsid w:val="00252BAA"/>
    <w:rsid w:val="002541CF"/>
    <w:rsid w:val="00255DF8"/>
    <w:rsid w:val="002569A7"/>
    <w:rsid w:val="00264161"/>
    <w:rsid w:val="0026584B"/>
    <w:rsid w:val="002659D8"/>
    <w:rsid w:val="00266396"/>
    <w:rsid w:val="002666C9"/>
    <w:rsid w:val="00267E29"/>
    <w:rsid w:val="002717D0"/>
    <w:rsid w:val="002747DD"/>
    <w:rsid w:val="00274A2D"/>
    <w:rsid w:val="00277230"/>
    <w:rsid w:val="00277363"/>
    <w:rsid w:val="00280FFC"/>
    <w:rsid w:val="00284870"/>
    <w:rsid w:val="00285EAB"/>
    <w:rsid w:val="00287E18"/>
    <w:rsid w:val="00294006"/>
    <w:rsid w:val="00294B20"/>
    <w:rsid w:val="002A026F"/>
    <w:rsid w:val="002A1110"/>
    <w:rsid w:val="002A1BD7"/>
    <w:rsid w:val="002A51BE"/>
    <w:rsid w:val="002A5763"/>
    <w:rsid w:val="002A57AE"/>
    <w:rsid w:val="002A7827"/>
    <w:rsid w:val="002A7D3C"/>
    <w:rsid w:val="002B0BA4"/>
    <w:rsid w:val="002B5F3C"/>
    <w:rsid w:val="002B6F40"/>
    <w:rsid w:val="002B716F"/>
    <w:rsid w:val="002B77F1"/>
    <w:rsid w:val="002C1B07"/>
    <w:rsid w:val="002C289E"/>
    <w:rsid w:val="002C34A7"/>
    <w:rsid w:val="002C3E18"/>
    <w:rsid w:val="002C40BC"/>
    <w:rsid w:val="002C5C01"/>
    <w:rsid w:val="002C621F"/>
    <w:rsid w:val="002C6746"/>
    <w:rsid w:val="002C7101"/>
    <w:rsid w:val="002C72D4"/>
    <w:rsid w:val="002D06E9"/>
    <w:rsid w:val="002D0AED"/>
    <w:rsid w:val="002D1174"/>
    <w:rsid w:val="002D145F"/>
    <w:rsid w:val="002D45C8"/>
    <w:rsid w:val="002D528B"/>
    <w:rsid w:val="002E0722"/>
    <w:rsid w:val="002E0BFE"/>
    <w:rsid w:val="002E324D"/>
    <w:rsid w:val="002E4319"/>
    <w:rsid w:val="002E5A78"/>
    <w:rsid w:val="002E61B8"/>
    <w:rsid w:val="002E6718"/>
    <w:rsid w:val="002F1011"/>
    <w:rsid w:val="002F19C0"/>
    <w:rsid w:val="002F265A"/>
    <w:rsid w:val="002F33AB"/>
    <w:rsid w:val="002F39BA"/>
    <w:rsid w:val="002F4E81"/>
    <w:rsid w:val="002F5883"/>
    <w:rsid w:val="002F7A53"/>
    <w:rsid w:val="003001A8"/>
    <w:rsid w:val="00301A7D"/>
    <w:rsid w:val="00301C1B"/>
    <w:rsid w:val="00303B65"/>
    <w:rsid w:val="00305409"/>
    <w:rsid w:val="003058DF"/>
    <w:rsid w:val="00305C9F"/>
    <w:rsid w:val="00306376"/>
    <w:rsid w:val="00306509"/>
    <w:rsid w:val="00307EA2"/>
    <w:rsid w:val="00311BF8"/>
    <w:rsid w:val="00311D62"/>
    <w:rsid w:val="0031344C"/>
    <w:rsid w:val="003141AF"/>
    <w:rsid w:val="00316FA7"/>
    <w:rsid w:val="00316FF3"/>
    <w:rsid w:val="00317206"/>
    <w:rsid w:val="00317653"/>
    <w:rsid w:val="00321CFD"/>
    <w:rsid w:val="00323FA4"/>
    <w:rsid w:val="003248CA"/>
    <w:rsid w:val="00324B92"/>
    <w:rsid w:val="00324D88"/>
    <w:rsid w:val="0032570B"/>
    <w:rsid w:val="00326452"/>
    <w:rsid w:val="00327276"/>
    <w:rsid w:val="00327997"/>
    <w:rsid w:val="00327D4C"/>
    <w:rsid w:val="00330C80"/>
    <w:rsid w:val="003312C3"/>
    <w:rsid w:val="003318AB"/>
    <w:rsid w:val="00332267"/>
    <w:rsid w:val="003351B4"/>
    <w:rsid w:val="00336354"/>
    <w:rsid w:val="0033658F"/>
    <w:rsid w:val="0034369B"/>
    <w:rsid w:val="00344128"/>
    <w:rsid w:val="0034446F"/>
    <w:rsid w:val="00347A46"/>
    <w:rsid w:val="00355F03"/>
    <w:rsid w:val="00356333"/>
    <w:rsid w:val="00356657"/>
    <w:rsid w:val="003566E8"/>
    <w:rsid w:val="00356A95"/>
    <w:rsid w:val="0036220C"/>
    <w:rsid w:val="00362669"/>
    <w:rsid w:val="0036297A"/>
    <w:rsid w:val="0036364B"/>
    <w:rsid w:val="003662DA"/>
    <w:rsid w:val="0036672D"/>
    <w:rsid w:val="00367CFD"/>
    <w:rsid w:val="00370104"/>
    <w:rsid w:val="00371898"/>
    <w:rsid w:val="0037330A"/>
    <w:rsid w:val="00375138"/>
    <w:rsid w:val="0037560F"/>
    <w:rsid w:val="0037617E"/>
    <w:rsid w:val="00380337"/>
    <w:rsid w:val="00381032"/>
    <w:rsid w:val="0038212C"/>
    <w:rsid w:val="003821D9"/>
    <w:rsid w:val="003825CC"/>
    <w:rsid w:val="00382E6D"/>
    <w:rsid w:val="00383300"/>
    <w:rsid w:val="00383B45"/>
    <w:rsid w:val="00383C5C"/>
    <w:rsid w:val="00383D81"/>
    <w:rsid w:val="003841A1"/>
    <w:rsid w:val="00385A89"/>
    <w:rsid w:val="00390929"/>
    <w:rsid w:val="00392A24"/>
    <w:rsid w:val="0039391F"/>
    <w:rsid w:val="00393990"/>
    <w:rsid w:val="003941F8"/>
    <w:rsid w:val="00395386"/>
    <w:rsid w:val="00396BD2"/>
    <w:rsid w:val="00396C31"/>
    <w:rsid w:val="00396EBC"/>
    <w:rsid w:val="003A0DC3"/>
    <w:rsid w:val="003A13BB"/>
    <w:rsid w:val="003A31CC"/>
    <w:rsid w:val="003A373E"/>
    <w:rsid w:val="003A3A2A"/>
    <w:rsid w:val="003A3C20"/>
    <w:rsid w:val="003A58CA"/>
    <w:rsid w:val="003A5D2C"/>
    <w:rsid w:val="003A6FCB"/>
    <w:rsid w:val="003B1871"/>
    <w:rsid w:val="003B2008"/>
    <w:rsid w:val="003B2478"/>
    <w:rsid w:val="003B2E9E"/>
    <w:rsid w:val="003B6E46"/>
    <w:rsid w:val="003C0B9B"/>
    <w:rsid w:val="003C0EF3"/>
    <w:rsid w:val="003C1577"/>
    <w:rsid w:val="003C18C3"/>
    <w:rsid w:val="003C1E9A"/>
    <w:rsid w:val="003C26EB"/>
    <w:rsid w:val="003C35C9"/>
    <w:rsid w:val="003C522A"/>
    <w:rsid w:val="003C53E9"/>
    <w:rsid w:val="003C600A"/>
    <w:rsid w:val="003C72FF"/>
    <w:rsid w:val="003D033B"/>
    <w:rsid w:val="003D0524"/>
    <w:rsid w:val="003D0B7F"/>
    <w:rsid w:val="003D176E"/>
    <w:rsid w:val="003D2850"/>
    <w:rsid w:val="003D4129"/>
    <w:rsid w:val="003D41EB"/>
    <w:rsid w:val="003D49F5"/>
    <w:rsid w:val="003D5559"/>
    <w:rsid w:val="003D69A9"/>
    <w:rsid w:val="003D7F2F"/>
    <w:rsid w:val="003E3D8E"/>
    <w:rsid w:val="003E64AF"/>
    <w:rsid w:val="003E7836"/>
    <w:rsid w:val="003E7ABD"/>
    <w:rsid w:val="003F2748"/>
    <w:rsid w:val="003F332D"/>
    <w:rsid w:val="003F36FC"/>
    <w:rsid w:val="003F47F2"/>
    <w:rsid w:val="003F50AE"/>
    <w:rsid w:val="003F68FB"/>
    <w:rsid w:val="003F7A80"/>
    <w:rsid w:val="004009BD"/>
    <w:rsid w:val="00402849"/>
    <w:rsid w:val="004030BB"/>
    <w:rsid w:val="00403C9E"/>
    <w:rsid w:val="00405B0F"/>
    <w:rsid w:val="00410219"/>
    <w:rsid w:val="00412327"/>
    <w:rsid w:val="00412B70"/>
    <w:rsid w:val="0041502A"/>
    <w:rsid w:val="00415753"/>
    <w:rsid w:val="004160A0"/>
    <w:rsid w:val="004178B9"/>
    <w:rsid w:val="00417992"/>
    <w:rsid w:val="0042040B"/>
    <w:rsid w:val="00421A32"/>
    <w:rsid w:val="0042250B"/>
    <w:rsid w:val="004235F5"/>
    <w:rsid w:val="00424C69"/>
    <w:rsid w:val="00424F09"/>
    <w:rsid w:val="004265C0"/>
    <w:rsid w:val="00426F16"/>
    <w:rsid w:val="0042714A"/>
    <w:rsid w:val="004278AB"/>
    <w:rsid w:val="00427C08"/>
    <w:rsid w:val="00431651"/>
    <w:rsid w:val="00431FFC"/>
    <w:rsid w:val="00436A42"/>
    <w:rsid w:val="00440AF3"/>
    <w:rsid w:val="004412AF"/>
    <w:rsid w:val="004417EC"/>
    <w:rsid w:val="004425BF"/>
    <w:rsid w:val="00446781"/>
    <w:rsid w:val="004473D0"/>
    <w:rsid w:val="0044749C"/>
    <w:rsid w:val="00452E1D"/>
    <w:rsid w:val="00453220"/>
    <w:rsid w:val="00455CCB"/>
    <w:rsid w:val="00456AB5"/>
    <w:rsid w:val="0045719E"/>
    <w:rsid w:val="00457A86"/>
    <w:rsid w:val="00460854"/>
    <w:rsid w:val="00462CAE"/>
    <w:rsid w:val="00464786"/>
    <w:rsid w:val="00471349"/>
    <w:rsid w:val="0047188A"/>
    <w:rsid w:val="004723CD"/>
    <w:rsid w:val="00472CA4"/>
    <w:rsid w:val="00472F67"/>
    <w:rsid w:val="0047337E"/>
    <w:rsid w:val="00474132"/>
    <w:rsid w:val="00474C59"/>
    <w:rsid w:val="0047552C"/>
    <w:rsid w:val="004818C5"/>
    <w:rsid w:val="00482AB5"/>
    <w:rsid w:val="0048397D"/>
    <w:rsid w:val="00483CEA"/>
    <w:rsid w:val="004859F7"/>
    <w:rsid w:val="00486827"/>
    <w:rsid w:val="004868D3"/>
    <w:rsid w:val="00486DAF"/>
    <w:rsid w:val="0049129E"/>
    <w:rsid w:val="00492F2B"/>
    <w:rsid w:val="004931B6"/>
    <w:rsid w:val="00494679"/>
    <w:rsid w:val="00495266"/>
    <w:rsid w:val="00496982"/>
    <w:rsid w:val="00496F28"/>
    <w:rsid w:val="004972BF"/>
    <w:rsid w:val="004978A2"/>
    <w:rsid w:val="004A0112"/>
    <w:rsid w:val="004A087E"/>
    <w:rsid w:val="004A1061"/>
    <w:rsid w:val="004A2328"/>
    <w:rsid w:val="004A2FBA"/>
    <w:rsid w:val="004A62B6"/>
    <w:rsid w:val="004A6315"/>
    <w:rsid w:val="004A734C"/>
    <w:rsid w:val="004A7C8E"/>
    <w:rsid w:val="004B1CF6"/>
    <w:rsid w:val="004B22E7"/>
    <w:rsid w:val="004B2B42"/>
    <w:rsid w:val="004B30ED"/>
    <w:rsid w:val="004B313E"/>
    <w:rsid w:val="004B3DBD"/>
    <w:rsid w:val="004B4C3D"/>
    <w:rsid w:val="004C072E"/>
    <w:rsid w:val="004C22E0"/>
    <w:rsid w:val="004C234E"/>
    <w:rsid w:val="004C4F5B"/>
    <w:rsid w:val="004C5FC5"/>
    <w:rsid w:val="004C74D4"/>
    <w:rsid w:val="004D0783"/>
    <w:rsid w:val="004D15AF"/>
    <w:rsid w:val="004D188C"/>
    <w:rsid w:val="004D1BC2"/>
    <w:rsid w:val="004D2B43"/>
    <w:rsid w:val="004D5486"/>
    <w:rsid w:val="004D54EF"/>
    <w:rsid w:val="004D6CA4"/>
    <w:rsid w:val="004D7762"/>
    <w:rsid w:val="004D7B20"/>
    <w:rsid w:val="004D7BB2"/>
    <w:rsid w:val="004E2C3C"/>
    <w:rsid w:val="004E36AE"/>
    <w:rsid w:val="004E4FAD"/>
    <w:rsid w:val="004E659E"/>
    <w:rsid w:val="004E7C1B"/>
    <w:rsid w:val="004F01A1"/>
    <w:rsid w:val="004F0E66"/>
    <w:rsid w:val="004F5148"/>
    <w:rsid w:val="004F54E2"/>
    <w:rsid w:val="004F6BEA"/>
    <w:rsid w:val="004F7BE1"/>
    <w:rsid w:val="00500631"/>
    <w:rsid w:val="005018E9"/>
    <w:rsid w:val="00503211"/>
    <w:rsid w:val="0050458D"/>
    <w:rsid w:val="00505E20"/>
    <w:rsid w:val="00510186"/>
    <w:rsid w:val="00510291"/>
    <w:rsid w:val="005154D9"/>
    <w:rsid w:val="005165D7"/>
    <w:rsid w:val="00517BF0"/>
    <w:rsid w:val="005204F6"/>
    <w:rsid w:val="00520E95"/>
    <w:rsid w:val="005234E6"/>
    <w:rsid w:val="005244C3"/>
    <w:rsid w:val="00524972"/>
    <w:rsid w:val="00526BF9"/>
    <w:rsid w:val="00526F69"/>
    <w:rsid w:val="00527E4C"/>
    <w:rsid w:val="00532922"/>
    <w:rsid w:val="00533323"/>
    <w:rsid w:val="00534040"/>
    <w:rsid w:val="0053412F"/>
    <w:rsid w:val="00534BBE"/>
    <w:rsid w:val="00535DF1"/>
    <w:rsid w:val="00536B89"/>
    <w:rsid w:val="005370EF"/>
    <w:rsid w:val="005376E5"/>
    <w:rsid w:val="005379E0"/>
    <w:rsid w:val="00542360"/>
    <w:rsid w:val="005423AF"/>
    <w:rsid w:val="00543303"/>
    <w:rsid w:val="005434EB"/>
    <w:rsid w:val="00543A04"/>
    <w:rsid w:val="00544B70"/>
    <w:rsid w:val="00545E2B"/>
    <w:rsid w:val="00547CEC"/>
    <w:rsid w:val="00550FC3"/>
    <w:rsid w:val="00551148"/>
    <w:rsid w:val="00551549"/>
    <w:rsid w:val="00551A24"/>
    <w:rsid w:val="0055292C"/>
    <w:rsid w:val="00553435"/>
    <w:rsid w:val="0055450B"/>
    <w:rsid w:val="00554E5C"/>
    <w:rsid w:val="0055639E"/>
    <w:rsid w:val="00556976"/>
    <w:rsid w:val="00556F4F"/>
    <w:rsid w:val="0055744D"/>
    <w:rsid w:val="00557C1D"/>
    <w:rsid w:val="00561A09"/>
    <w:rsid w:val="0056328E"/>
    <w:rsid w:val="005646D0"/>
    <w:rsid w:val="005655E1"/>
    <w:rsid w:val="00565697"/>
    <w:rsid w:val="00565A9D"/>
    <w:rsid w:val="00567AE0"/>
    <w:rsid w:val="00567B8C"/>
    <w:rsid w:val="00567EC3"/>
    <w:rsid w:val="00570121"/>
    <w:rsid w:val="005745FC"/>
    <w:rsid w:val="00574B5D"/>
    <w:rsid w:val="0057530F"/>
    <w:rsid w:val="00580161"/>
    <w:rsid w:val="005804A3"/>
    <w:rsid w:val="00581A74"/>
    <w:rsid w:val="00582976"/>
    <w:rsid w:val="00582CE6"/>
    <w:rsid w:val="00583BEC"/>
    <w:rsid w:val="00583CF4"/>
    <w:rsid w:val="005847E9"/>
    <w:rsid w:val="00586D4D"/>
    <w:rsid w:val="005875AC"/>
    <w:rsid w:val="0059086D"/>
    <w:rsid w:val="00590DAA"/>
    <w:rsid w:val="0059317B"/>
    <w:rsid w:val="00593EB1"/>
    <w:rsid w:val="00593F49"/>
    <w:rsid w:val="005950AD"/>
    <w:rsid w:val="00595421"/>
    <w:rsid w:val="00595BEA"/>
    <w:rsid w:val="00596B63"/>
    <w:rsid w:val="00596DFF"/>
    <w:rsid w:val="005A0626"/>
    <w:rsid w:val="005A2820"/>
    <w:rsid w:val="005A3265"/>
    <w:rsid w:val="005A3C0B"/>
    <w:rsid w:val="005A3E08"/>
    <w:rsid w:val="005A584E"/>
    <w:rsid w:val="005A63B8"/>
    <w:rsid w:val="005A6F95"/>
    <w:rsid w:val="005A714E"/>
    <w:rsid w:val="005A71E7"/>
    <w:rsid w:val="005B0074"/>
    <w:rsid w:val="005B0183"/>
    <w:rsid w:val="005B06D7"/>
    <w:rsid w:val="005B31CB"/>
    <w:rsid w:val="005B583E"/>
    <w:rsid w:val="005B5B3C"/>
    <w:rsid w:val="005B613D"/>
    <w:rsid w:val="005B6881"/>
    <w:rsid w:val="005B776C"/>
    <w:rsid w:val="005C1CBC"/>
    <w:rsid w:val="005C2715"/>
    <w:rsid w:val="005C4232"/>
    <w:rsid w:val="005C4846"/>
    <w:rsid w:val="005C77AB"/>
    <w:rsid w:val="005C7B38"/>
    <w:rsid w:val="005D0988"/>
    <w:rsid w:val="005D1D71"/>
    <w:rsid w:val="005D275C"/>
    <w:rsid w:val="005D4084"/>
    <w:rsid w:val="005D4380"/>
    <w:rsid w:val="005D5344"/>
    <w:rsid w:val="005D54E0"/>
    <w:rsid w:val="005D590F"/>
    <w:rsid w:val="005D6683"/>
    <w:rsid w:val="005D6D40"/>
    <w:rsid w:val="005E0379"/>
    <w:rsid w:val="005E0892"/>
    <w:rsid w:val="005E11E6"/>
    <w:rsid w:val="005E3A21"/>
    <w:rsid w:val="005E3CA1"/>
    <w:rsid w:val="005E6307"/>
    <w:rsid w:val="005F0490"/>
    <w:rsid w:val="005F2BC2"/>
    <w:rsid w:val="005F4683"/>
    <w:rsid w:val="005F4776"/>
    <w:rsid w:val="005F671F"/>
    <w:rsid w:val="005F6863"/>
    <w:rsid w:val="005F711A"/>
    <w:rsid w:val="00600C94"/>
    <w:rsid w:val="0060174B"/>
    <w:rsid w:val="00605344"/>
    <w:rsid w:val="00605416"/>
    <w:rsid w:val="00605788"/>
    <w:rsid w:val="00605EAA"/>
    <w:rsid w:val="00607729"/>
    <w:rsid w:val="00607E53"/>
    <w:rsid w:val="00610C63"/>
    <w:rsid w:val="00611224"/>
    <w:rsid w:val="0061186D"/>
    <w:rsid w:val="0061226D"/>
    <w:rsid w:val="00612401"/>
    <w:rsid w:val="00612920"/>
    <w:rsid w:val="006129BC"/>
    <w:rsid w:val="0061439F"/>
    <w:rsid w:val="00615CF1"/>
    <w:rsid w:val="00616DD7"/>
    <w:rsid w:val="006172F2"/>
    <w:rsid w:val="00617B6D"/>
    <w:rsid w:val="00621EDB"/>
    <w:rsid w:val="0062224F"/>
    <w:rsid w:val="0062250C"/>
    <w:rsid w:val="00622A2D"/>
    <w:rsid w:val="00622B87"/>
    <w:rsid w:val="006234C1"/>
    <w:rsid w:val="0062358C"/>
    <w:rsid w:val="006238A1"/>
    <w:rsid w:val="00623B29"/>
    <w:rsid w:val="00624A75"/>
    <w:rsid w:val="006259A1"/>
    <w:rsid w:val="00626EB9"/>
    <w:rsid w:val="00627699"/>
    <w:rsid w:val="00631314"/>
    <w:rsid w:val="00631B0F"/>
    <w:rsid w:val="00632193"/>
    <w:rsid w:val="0063235D"/>
    <w:rsid w:val="00634507"/>
    <w:rsid w:val="00634908"/>
    <w:rsid w:val="00635228"/>
    <w:rsid w:val="00635D40"/>
    <w:rsid w:val="006365F8"/>
    <w:rsid w:val="00636CA0"/>
    <w:rsid w:val="0064029E"/>
    <w:rsid w:val="006405FF"/>
    <w:rsid w:val="0064310C"/>
    <w:rsid w:val="00643846"/>
    <w:rsid w:val="00644D93"/>
    <w:rsid w:val="00645FEB"/>
    <w:rsid w:val="00653B6B"/>
    <w:rsid w:val="00656496"/>
    <w:rsid w:val="00657387"/>
    <w:rsid w:val="006574F7"/>
    <w:rsid w:val="00660316"/>
    <w:rsid w:val="006621B3"/>
    <w:rsid w:val="00662B87"/>
    <w:rsid w:val="0067004B"/>
    <w:rsid w:val="006720A8"/>
    <w:rsid w:val="006730F3"/>
    <w:rsid w:val="00676987"/>
    <w:rsid w:val="00676DC5"/>
    <w:rsid w:val="00677086"/>
    <w:rsid w:val="00680460"/>
    <w:rsid w:val="00680D74"/>
    <w:rsid w:val="00681CFF"/>
    <w:rsid w:val="006841FA"/>
    <w:rsid w:val="00685590"/>
    <w:rsid w:val="006873A2"/>
    <w:rsid w:val="00687699"/>
    <w:rsid w:val="0068774A"/>
    <w:rsid w:val="0069013A"/>
    <w:rsid w:val="00690F37"/>
    <w:rsid w:val="00692751"/>
    <w:rsid w:val="006936E4"/>
    <w:rsid w:val="00693734"/>
    <w:rsid w:val="00693BEB"/>
    <w:rsid w:val="006964C5"/>
    <w:rsid w:val="006A2DB4"/>
    <w:rsid w:val="006A3618"/>
    <w:rsid w:val="006A4DA2"/>
    <w:rsid w:val="006A500D"/>
    <w:rsid w:val="006A54CD"/>
    <w:rsid w:val="006A55AB"/>
    <w:rsid w:val="006B0B72"/>
    <w:rsid w:val="006B0C5E"/>
    <w:rsid w:val="006B16D9"/>
    <w:rsid w:val="006B2C07"/>
    <w:rsid w:val="006B348C"/>
    <w:rsid w:val="006B4325"/>
    <w:rsid w:val="006B5575"/>
    <w:rsid w:val="006B748D"/>
    <w:rsid w:val="006B7777"/>
    <w:rsid w:val="006B77BD"/>
    <w:rsid w:val="006B7F29"/>
    <w:rsid w:val="006C0444"/>
    <w:rsid w:val="006C164E"/>
    <w:rsid w:val="006C3482"/>
    <w:rsid w:val="006C4F5C"/>
    <w:rsid w:val="006C59E6"/>
    <w:rsid w:val="006C6BD4"/>
    <w:rsid w:val="006C6F3C"/>
    <w:rsid w:val="006C71C1"/>
    <w:rsid w:val="006C75CC"/>
    <w:rsid w:val="006D04F9"/>
    <w:rsid w:val="006D0507"/>
    <w:rsid w:val="006D0A20"/>
    <w:rsid w:val="006D2756"/>
    <w:rsid w:val="006D4C41"/>
    <w:rsid w:val="006D5006"/>
    <w:rsid w:val="006D74B9"/>
    <w:rsid w:val="006D75E9"/>
    <w:rsid w:val="006E163D"/>
    <w:rsid w:val="006E1AE7"/>
    <w:rsid w:val="006E1CC9"/>
    <w:rsid w:val="006E30D1"/>
    <w:rsid w:val="006E3FD4"/>
    <w:rsid w:val="006E441E"/>
    <w:rsid w:val="006E4501"/>
    <w:rsid w:val="006E4594"/>
    <w:rsid w:val="006E51A8"/>
    <w:rsid w:val="006E5A86"/>
    <w:rsid w:val="006E667D"/>
    <w:rsid w:val="006E6A06"/>
    <w:rsid w:val="006E6D6B"/>
    <w:rsid w:val="006E7185"/>
    <w:rsid w:val="006F202A"/>
    <w:rsid w:val="006F283F"/>
    <w:rsid w:val="006F2C9A"/>
    <w:rsid w:val="006F3234"/>
    <w:rsid w:val="006F32CD"/>
    <w:rsid w:val="006F4DB8"/>
    <w:rsid w:val="006F629D"/>
    <w:rsid w:val="006F7614"/>
    <w:rsid w:val="006F791C"/>
    <w:rsid w:val="007000D0"/>
    <w:rsid w:val="007002A9"/>
    <w:rsid w:val="00700833"/>
    <w:rsid w:val="0070320E"/>
    <w:rsid w:val="00704146"/>
    <w:rsid w:val="007047E4"/>
    <w:rsid w:val="00705731"/>
    <w:rsid w:val="0070590E"/>
    <w:rsid w:val="00706B03"/>
    <w:rsid w:val="00707333"/>
    <w:rsid w:val="0071032D"/>
    <w:rsid w:val="00710B6D"/>
    <w:rsid w:val="00710FC1"/>
    <w:rsid w:val="00711E4A"/>
    <w:rsid w:val="00712085"/>
    <w:rsid w:val="00712247"/>
    <w:rsid w:val="00713BE9"/>
    <w:rsid w:val="00716DE0"/>
    <w:rsid w:val="00716E00"/>
    <w:rsid w:val="00721FDF"/>
    <w:rsid w:val="00730922"/>
    <w:rsid w:val="00730EBD"/>
    <w:rsid w:val="007328F8"/>
    <w:rsid w:val="00732F8D"/>
    <w:rsid w:val="00734795"/>
    <w:rsid w:val="007348B1"/>
    <w:rsid w:val="007355DA"/>
    <w:rsid w:val="00735BC6"/>
    <w:rsid w:val="00740087"/>
    <w:rsid w:val="00742188"/>
    <w:rsid w:val="007429D0"/>
    <w:rsid w:val="00742B97"/>
    <w:rsid w:val="00743575"/>
    <w:rsid w:val="00745237"/>
    <w:rsid w:val="00747525"/>
    <w:rsid w:val="00747A2F"/>
    <w:rsid w:val="00750E01"/>
    <w:rsid w:val="00751058"/>
    <w:rsid w:val="0075286F"/>
    <w:rsid w:val="007530CE"/>
    <w:rsid w:val="00753980"/>
    <w:rsid w:val="00756776"/>
    <w:rsid w:val="0075777E"/>
    <w:rsid w:val="00757F07"/>
    <w:rsid w:val="007612A5"/>
    <w:rsid w:val="007614C8"/>
    <w:rsid w:val="0076347A"/>
    <w:rsid w:val="00763CF8"/>
    <w:rsid w:val="007711E0"/>
    <w:rsid w:val="00771EB1"/>
    <w:rsid w:val="00772982"/>
    <w:rsid w:val="00772E7A"/>
    <w:rsid w:val="00772EE4"/>
    <w:rsid w:val="007737DD"/>
    <w:rsid w:val="00774894"/>
    <w:rsid w:val="00780220"/>
    <w:rsid w:val="0078234A"/>
    <w:rsid w:val="0078255D"/>
    <w:rsid w:val="00784866"/>
    <w:rsid w:val="00786921"/>
    <w:rsid w:val="00786FCB"/>
    <w:rsid w:val="0078754E"/>
    <w:rsid w:val="00787A91"/>
    <w:rsid w:val="007914F6"/>
    <w:rsid w:val="0079321E"/>
    <w:rsid w:val="00793D7E"/>
    <w:rsid w:val="00796797"/>
    <w:rsid w:val="007A01DC"/>
    <w:rsid w:val="007A19CB"/>
    <w:rsid w:val="007A4F58"/>
    <w:rsid w:val="007A5272"/>
    <w:rsid w:val="007A5A4C"/>
    <w:rsid w:val="007A5E31"/>
    <w:rsid w:val="007A629E"/>
    <w:rsid w:val="007B02CA"/>
    <w:rsid w:val="007B25B7"/>
    <w:rsid w:val="007B393D"/>
    <w:rsid w:val="007B3BBA"/>
    <w:rsid w:val="007B4BF8"/>
    <w:rsid w:val="007B706A"/>
    <w:rsid w:val="007B7265"/>
    <w:rsid w:val="007B776F"/>
    <w:rsid w:val="007C0276"/>
    <w:rsid w:val="007C0984"/>
    <w:rsid w:val="007C0E90"/>
    <w:rsid w:val="007C13C9"/>
    <w:rsid w:val="007C14B0"/>
    <w:rsid w:val="007C32A4"/>
    <w:rsid w:val="007C35CE"/>
    <w:rsid w:val="007C38DD"/>
    <w:rsid w:val="007C4A1E"/>
    <w:rsid w:val="007C5DA7"/>
    <w:rsid w:val="007C69CE"/>
    <w:rsid w:val="007D0B34"/>
    <w:rsid w:val="007D0B35"/>
    <w:rsid w:val="007D13A3"/>
    <w:rsid w:val="007D1C35"/>
    <w:rsid w:val="007D1E65"/>
    <w:rsid w:val="007D420F"/>
    <w:rsid w:val="007D4A5B"/>
    <w:rsid w:val="007D72FF"/>
    <w:rsid w:val="007D7D9D"/>
    <w:rsid w:val="007E0036"/>
    <w:rsid w:val="007E0D19"/>
    <w:rsid w:val="007E189C"/>
    <w:rsid w:val="007E2A47"/>
    <w:rsid w:val="007E2F98"/>
    <w:rsid w:val="007E590C"/>
    <w:rsid w:val="007E67A0"/>
    <w:rsid w:val="007E7FD4"/>
    <w:rsid w:val="007F09E2"/>
    <w:rsid w:val="007F5DBE"/>
    <w:rsid w:val="008003A5"/>
    <w:rsid w:val="008008DE"/>
    <w:rsid w:val="00800D59"/>
    <w:rsid w:val="00800EC7"/>
    <w:rsid w:val="008012A4"/>
    <w:rsid w:val="00803176"/>
    <w:rsid w:val="008044C7"/>
    <w:rsid w:val="00806952"/>
    <w:rsid w:val="00806F34"/>
    <w:rsid w:val="00807221"/>
    <w:rsid w:val="0081133C"/>
    <w:rsid w:val="00811922"/>
    <w:rsid w:val="00814769"/>
    <w:rsid w:val="00816554"/>
    <w:rsid w:val="0081695F"/>
    <w:rsid w:val="0081699D"/>
    <w:rsid w:val="00816BD8"/>
    <w:rsid w:val="00816FDF"/>
    <w:rsid w:val="00817AC7"/>
    <w:rsid w:val="008210DB"/>
    <w:rsid w:val="00821CA6"/>
    <w:rsid w:val="008225BE"/>
    <w:rsid w:val="00822FD1"/>
    <w:rsid w:val="008230A1"/>
    <w:rsid w:val="0082413B"/>
    <w:rsid w:val="00825674"/>
    <w:rsid w:val="0082789D"/>
    <w:rsid w:val="00831836"/>
    <w:rsid w:val="00831B2D"/>
    <w:rsid w:val="00832236"/>
    <w:rsid w:val="008330D9"/>
    <w:rsid w:val="00833E57"/>
    <w:rsid w:val="00833E98"/>
    <w:rsid w:val="00835223"/>
    <w:rsid w:val="008368FD"/>
    <w:rsid w:val="0084127A"/>
    <w:rsid w:val="008413CA"/>
    <w:rsid w:val="00841D3F"/>
    <w:rsid w:val="008424F9"/>
    <w:rsid w:val="0084355C"/>
    <w:rsid w:val="00843B0C"/>
    <w:rsid w:val="00844D31"/>
    <w:rsid w:val="00845AB7"/>
    <w:rsid w:val="00845D58"/>
    <w:rsid w:val="008504F3"/>
    <w:rsid w:val="0085158C"/>
    <w:rsid w:val="0085222A"/>
    <w:rsid w:val="008533F1"/>
    <w:rsid w:val="00853D5F"/>
    <w:rsid w:val="008606B2"/>
    <w:rsid w:val="00860EAC"/>
    <w:rsid w:val="00862625"/>
    <w:rsid w:val="00862F6D"/>
    <w:rsid w:val="008649C8"/>
    <w:rsid w:val="00865F00"/>
    <w:rsid w:val="00867F69"/>
    <w:rsid w:val="008706ED"/>
    <w:rsid w:val="00871A64"/>
    <w:rsid w:val="00873124"/>
    <w:rsid w:val="0087346D"/>
    <w:rsid w:val="008743FF"/>
    <w:rsid w:val="00875810"/>
    <w:rsid w:val="00875C79"/>
    <w:rsid w:val="008770ED"/>
    <w:rsid w:val="0087757A"/>
    <w:rsid w:val="00880C4B"/>
    <w:rsid w:val="00881626"/>
    <w:rsid w:val="00884610"/>
    <w:rsid w:val="00885431"/>
    <w:rsid w:val="00885D1A"/>
    <w:rsid w:val="0088762B"/>
    <w:rsid w:val="00887CCF"/>
    <w:rsid w:val="00887F6F"/>
    <w:rsid w:val="0089280E"/>
    <w:rsid w:val="00892B07"/>
    <w:rsid w:val="00894706"/>
    <w:rsid w:val="00895063"/>
    <w:rsid w:val="0089525D"/>
    <w:rsid w:val="00895B7F"/>
    <w:rsid w:val="00897B2D"/>
    <w:rsid w:val="008A00BF"/>
    <w:rsid w:val="008A1A55"/>
    <w:rsid w:val="008A1D46"/>
    <w:rsid w:val="008A24B0"/>
    <w:rsid w:val="008A2760"/>
    <w:rsid w:val="008A2CD1"/>
    <w:rsid w:val="008A3121"/>
    <w:rsid w:val="008A3B96"/>
    <w:rsid w:val="008A4807"/>
    <w:rsid w:val="008A4B10"/>
    <w:rsid w:val="008A54BA"/>
    <w:rsid w:val="008A623D"/>
    <w:rsid w:val="008A7161"/>
    <w:rsid w:val="008B173F"/>
    <w:rsid w:val="008B1F0F"/>
    <w:rsid w:val="008B250E"/>
    <w:rsid w:val="008B3789"/>
    <w:rsid w:val="008B3D92"/>
    <w:rsid w:val="008B4232"/>
    <w:rsid w:val="008B43A9"/>
    <w:rsid w:val="008B4DA1"/>
    <w:rsid w:val="008B578A"/>
    <w:rsid w:val="008B6008"/>
    <w:rsid w:val="008B60E6"/>
    <w:rsid w:val="008C1A4B"/>
    <w:rsid w:val="008C1CA5"/>
    <w:rsid w:val="008C2A9F"/>
    <w:rsid w:val="008C40C9"/>
    <w:rsid w:val="008C584B"/>
    <w:rsid w:val="008C59E9"/>
    <w:rsid w:val="008C753E"/>
    <w:rsid w:val="008C7CE7"/>
    <w:rsid w:val="008D101F"/>
    <w:rsid w:val="008D1D53"/>
    <w:rsid w:val="008D2743"/>
    <w:rsid w:val="008D3DED"/>
    <w:rsid w:val="008D528E"/>
    <w:rsid w:val="008E02BE"/>
    <w:rsid w:val="008E1C73"/>
    <w:rsid w:val="008E23BF"/>
    <w:rsid w:val="008E26BE"/>
    <w:rsid w:val="008E2C8B"/>
    <w:rsid w:val="008E55B3"/>
    <w:rsid w:val="008E56E9"/>
    <w:rsid w:val="008E5FE9"/>
    <w:rsid w:val="008E6A5A"/>
    <w:rsid w:val="008E7019"/>
    <w:rsid w:val="008F053C"/>
    <w:rsid w:val="008F21AE"/>
    <w:rsid w:val="008F29A3"/>
    <w:rsid w:val="008F338D"/>
    <w:rsid w:val="008F3DC4"/>
    <w:rsid w:val="008F44BB"/>
    <w:rsid w:val="008F44EF"/>
    <w:rsid w:val="008F6133"/>
    <w:rsid w:val="008F6973"/>
    <w:rsid w:val="008F6F42"/>
    <w:rsid w:val="009029D1"/>
    <w:rsid w:val="00903551"/>
    <w:rsid w:val="00903798"/>
    <w:rsid w:val="00904523"/>
    <w:rsid w:val="00906F0C"/>
    <w:rsid w:val="009138CB"/>
    <w:rsid w:val="00915F28"/>
    <w:rsid w:val="0091666D"/>
    <w:rsid w:val="00916878"/>
    <w:rsid w:val="00917A2A"/>
    <w:rsid w:val="00920F48"/>
    <w:rsid w:val="009216CC"/>
    <w:rsid w:val="00922B35"/>
    <w:rsid w:val="00922B6F"/>
    <w:rsid w:val="0092380C"/>
    <w:rsid w:val="00924447"/>
    <w:rsid w:val="0092500F"/>
    <w:rsid w:val="00925ED0"/>
    <w:rsid w:val="009267BB"/>
    <w:rsid w:val="00926CF3"/>
    <w:rsid w:val="009271A0"/>
    <w:rsid w:val="009303D0"/>
    <w:rsid w:val="00931A93"/>
    <w:rsid w:val="00932E2D"/>
    <w:rsid w:val="00934100"/>
    <w:rsid w:val="00934569"/>
    <w:rsid w:val="009357A9"/>
    <w:rsid w:val="009363AC"/>
    <w:rsid w:val="00941809"/>
    <w:rsid w:val="00943634"/>
    <w:rsid w:val="009445BB"/>
    <w:rsid w:val="00945729"/>
    <w:rsid w:val="00945983"/>
    <w:rsid w:val="00946566"/>
    <w:rsid w:val="00946A1A"/>
    <w:rsid w:val="00947408"/>
    <w:rsid w:val="00947779"/>
    <w:rsid w:val="00950318"/>
    <w:rsid w:val="00953603"/>
    <w:rsid w:val="00954481"/>
    <w:rsid w:val="00954FE9"/>
    <w:rsid w:val="00955030"/>
    <w:rsid w:val="00956CA0"/>
    <w:rsid w:val="00956F6C"/>
    <w:rsid w:val="00957FCE"/>
    <w:rsid w:val="00960982"/>
    <w:rsid w:val="00961476"/>
    <w:rsid w:val="00961E4E"/>
    <w:rsid w:val="00962903"/>
    <w:rsid w:val="0096295F"/>
    <w:rsid w:val="009631A7"/>
    <w:rsid w:val="00963975"/>
    <w:rsid w:val="00964175"/>
    <w:rsid w:val="00964D12"/>
    <w:rsid w:val="009665BF"/>
    <w:rsid w:val="0096684B"/>
    <w:rsid w:val="00966BC5"/>
    <w:rsid w:val="00967F24"/>
    <w:rsid w:val="0097096F"/>
    <w:rsid w:val="00972F8A"/>
    <w:rsid w:val="00974638"/>
    <w:rsid w:val="00974A0F"/>
    <w:rsid w:val="00975B68"/>
    <w:rsid w:val="00976D46"/>
    <w:rsid w:val="00976E69"/>
    <w:rsid w:val="00977811"/>
    <w:rsid w:val="00980095"/>
    <w:rsid w:val="00980A67"/>
    <w:rsid w:val="0098108F"/>
    <w:rsid w:val="009811D5"/>
    <w:rsid w:val="00982940"/>
    <w:rsid w:val="00982B9C"/>
    <w:rsid w:val="00984DA5"/>
    <w:rsid w:val="0098562B"/>
    <w:rsid w:val="00986EAB"/>
    <w:rsid w:val="00987202"/>
    <w:rsid w:val="00990128"/>
    <w:rsid w:val="009913AD"/>
    <w:rsid w:val="009914CD"/>
    <w:rsid w:val="00991F89"/>
    <w:rsid w:val="00992A6A"/>
    <w:rsid w:val="00995857"/>
    <w:rsid w:val="00996C6B"/>
    <w:rsid w:val="00997973"/>
    <w:rsid w:val="009A0616"/>
    <w:rsid w:val="009A312F"/>
    <w:rsid w:val="009A424D"/>
    <w:rsid w:val="009A553B"/>
    <w:rsid w:val="009A716E"/>
    <w:rsid w:val="009A783D"/>
    <w:rsid w:val="009A7D10"/>
    <w:rsid w:val="009A7DE0"/>
    <w:rsid w:val="009B025B"/>
    <w:rsid w:val="009B02C1"/>
    <w:rsid w:val="009B033D"/>
    <w:rsid w:val="009B573C"/>
    <w:rsid w:val="009B5F2C"/>
    <w:rsid w:val="009B5FF9"/>
    <w:rsid w:val="009B61E2"/>
    <w:rsid w:val="009B678E"/>
    <w:rsid w:val="009C0B01"/>
    <w:rsid w:val="009C0D81"/>
    <w:rsid w:val="009C295F"/>
    <w:rsid w:val="009C6B55"/>
    <w:rsid w:val="009D1E46"/>
    <w:rsid w:val="009D343E"/>
    <w:rsid w:val="009D4E74"/>
    <w:rsid w:val="009D5507"/>
    <w:rsid w:val="009E16DC"/>
    <w:rsid w:val="009E30C0"/>
    <w:rsid w:val="009E3DBA"/>
    <w:rsid w:val="009E4480"/>
    <w:rsid w:val="009E4865"/>
    <w:rsid w:val="009E68FF"/>
    <w:rsid w:val="009E6A67"/>
    <w:rsid w:val="009E6E72"/>
    <w:rsid w:val="009E7722"/>
    <w:rsid w:val="009F0953"/>
    <w:rsid w:val="009F226B"/>
    <w:rsid w:val="009F26C5"/>
    <w:rsid w:val="009F358D"/>
    <w:rsid w:val="009F3F61"/>
    <w:rsid w:val="009F6640"/>
    <w:rsid w:val="00A017B6"/>
    <w:rsid w:val="00A020B7"/>
    <w:rsid w:val="00A02198"/>
    <w:rsid w:val="00A02592"/>
    <w:rsid w:val="00A02DB7"/>
    <w:rsid w:val="00A03B8C"/>
    <w:rsid w:val="00A05505"/>
    <w:rsid w:val="00A0626A"/>
    <w:rsid w:val="00A10497"/>
    <w:rsid w:val="00A11C4B"/>
    <w:rsid w:val="00A134B2"/>
    <w:rsid w:val="00A17324"/>
    <w:rsid w:val="00A2091B"/>
    <w:rsid w:val="00A20E32"/>
    <w:rsid w:val="00A21C5F"/>
    <w:rsid w:val="00A220D0"/>
    <w:rsid w:val="00A22429"/>
    <w:rsid w:val="00A22F4F"/>
    <w:rsid w:val="00A2349A"/>
    <w:rsid w:val="00A25A1D"/>
    <w:rsid w:val="00A26F5C"/>
    <w:rsid w:val="00A30DEA"/>
    <w:rsid w:val="00A30E8A"/>
    <w:rsid w:val="00A347C2"/>
    <w:rsid w:val="00A34FCA"/>
    <w:rsid w:val="00A35028"/>
    <w:rsid w:val="00A36B1E"/>
    <w:rsid w:val="00A40C56"/>
    <w:rsid w:val="00A40DBE"/>
    <w:rsid w:val="00A415B5"/>
    <w:rsid w:val="00A42E88"/>
    <w:rsid w:val="00A44D8E"/>
    <w:rsid w:val="00A4582E"/>
    <w:rsid w:val="00A464D3"/>
    <w:rsid w:val="00A5095B"/>
    <w:rsid w:val="00A51233"/>
    <w:rsid w:val="00A51A1C"/>
    <w:rsid w:val="00A52DAE"/>
    <w:rsid w:val="00A52F4A"/>
    <w:rsid w:val="00A5489D"/>
    <w:rsid w:val="00A54ECA"/>
    <w:rsid w:val="00A55B5F"/>
    <w:rsid w:val="00A55F5C"/>
    <w:rsid w:val="00A601CE"/>
    <w:rsid w:val="00A602AD"/>
    <w:rsid w:val="00A60621"/>
    <w:rsid w:val="00A60F0D"/>
    <w:rsid w:val="00A616A9"/>
    <w:rsid w:val="00A63A08"/>
    <w:rsid w:val="00A6425C"/>
    <w:rsid w:val="00A6498C"/>
    <w:rsid w:val="00A6678C"/>
    <w:rsid w:val="00A676FE"/>
    <w:rsid w:val="00A71052"/>
    <w:rsid w:val="00A7168E"/>
    <w:rsid w:val="00A71F2B"/>
    <w:rsid w:val="00A72470"/>
    <w:rsid w:val="00A73554"/>
    <w:rsid w:val="00A73AF9"/>
    <w:rsid w:val="00A73B84"/>
    <w:rsid w:val="00A7406C"/>
    <w:rsid w:val="00A74077"/>
    <w:rsid w:val="00A7422C"/>
    <w:rsid w:val="00A7560B"/>
    <w:rsid w:val="00A76D05"/>
    <w:rsid w:val="00A80AAF"/>
    <w:rsid w:val="00A81F5D"/>
    <w:rsid w:val="00A827DF"/>
    <w:rsid w:val="00A83EF1"/>
    <w:rsid w:val="00A84FE8"/>
    <w:rsid w:val="00A85DF6"/>
    <w:rsid w:val="00A86AF4"/>
    <w:rsid w:val="00A86FCE"/>
    <w:rsid w:val="00A9056A"/>
    <w:rsid w:val="00A92CEF"/>
    <w:rsid w:val="00A93F41"/>
    <w:rsid w:val="00A94275"/>
    <w:rsid w:val="00A94F09"/>
    <w:rsid w:val="00A95E0E"/>
    <w:rsid w:val="00A975E3"/>
    <w:rsid w:val="00AA1536"/>
    <w:rsid w:val="00AA15B0"/>
    <w:rsid w:val="00AA270C"/>
    <w:rsid w:val="00AA39BC"/>
    <w:rsid w:val="00AA3F92"/>
    <w:rsid w:val="00AA4409"/>
    <w:rsid w:val="00AA512B"/>
    <w:rsid w:val="00AA6071"/>
    <w:rsid w:val="00AA66C3"/>
    <w:rsid w:val="00AA6A89"/>
    <w:rsid w:val="00AA7388"/>
    <w:rsid w:val="00AA7907"/>
    <w:rsid w:val="00AA7C7C"/>
    <w:rsid w:val="00AB0805"/>
    <w:rsid w:val="00AB0976"/>
    <w:rsid w:val="00AB22C7"/>
    <w:rsid w:val="00AB466A"/>
    <w:rsid w:val="00AB65E4"/>
    <w:rsid w:val="00AC0B97"/>
    <w:rsid w:val="00AC4B78"/>
    <w:rsid w:val="00AC4D31"/>
    <w:rsid w:val="00AC52EC"/>
    <w:rsid w:val="00AC5B9B"/>
    <w:rsid w:val="00AC5FC9"/>
    <w:rsid w:val="00AC6C1F"/>
    <w:rsid w:val="00AC7F16"/>
    <w:rsid w:val="00AD0A30"/>
    <w:rsid w:val="00AD225B"/>
    <w:rsid w:val="00AD51AA"/>
    <w:rsid w:val="00AD63D0"/>
    <w:rsid w:val="00AD66B9"/>
    <w:rsid w:val="00AD6E4E"/>
    <w:rsid w:val="00AD6E55"/>
    <w:rsid w:val="00AD71D7"/>
    <w:rsid w:val="00AD7FF1"/>
    <w:rsid w:val="00AE1252"/>
    <w:rsid w:val="00AE323F"/>
    <w:rsid w:val="00AE3A6E"/>
    <w:rsid w:val="00AE6230"/>
    <w:rsid w:val="00AE6D8B"/>
    <w:rsid w:val="00AE769B"/>
    <w:rsid w:val="00AE7F62"/>
    <w:rsid w:val="00AF0497"/>
    <w:rsid w:val="00AF0DD0"/>
    <w:rsid w:val="00AF0E45"/>
    <w:rsid w:val="00AF1223"/>
    <w:rsid w:val="00AF1DC6"/>
    <w:rsid w:val="00AF26D4"/>
    <w:rsid w:val="00AF2A1C"/>
    <w:rsid w:val="00AF2C83"/>
    <w:rsid w:val="00AF3512"/>
    <w:rsid w:val="00AF45A9"/>
    <w:rsid w:val="00AF7476"/>
    <w:rsid w:val="00B00539"/>
    <w:rsid w:val="00B00579"/>
    <w:rsid w:val="00B00F7A"/>
    <w:rsid w:val="00B01062"/>
    <w:rsid w:val="00B01495"/>
    <w:rsid w:val="00B018C0"/>
    <w:rsid w:val="00B02583"/>
    <w:rsid w:val="00B037A6"/>
    <w:rsid w:val="00B039CA"/>
    <w:rsid w:val="00B03FB7"/>
    <w:rsid w:val="00B040B1"/>
    <w:rsid w:val="00B05042"/>
    <w:rsid w:val="00B07C8B"/>
    <w:rsid w:val="00B125D0"/>
    <w:rsid w:val="00B12883"/>
    <w:rsid w:val="00B1308E"/>
    <w:rsid w:val="00B13738"/>
    <w:rsid w:val="00B16A84"/>
    <w:rsid w:val="00B2133E"/>
    <w:rsid w:val="00B21D18"/>
    <w:rsid w:val="00B22240"/>
    <w:rsid w:val="00B224B6"/>
    <w:rsid w:val="00B23170"/>
    <w:rsid w:val="00B27031"/>
    <w:rsid w:val="00B30924"/>
    <w:rsid w:val="00B311F0"/>
    <w:rsid w:val="00B320DF"/>
    <w:rsid w:val="00B33A10"/>
    <w:rsid w:val="00B33D0C"/>
    <w:rsid w:val="00B33F32"/>
    <w:rsid w:val="00B35866"/>
    <w:rsid w:val="00B36D68"/>
    <w:rsid w:val="00B373EA"/>
    <w:rsid w:val="00B379C2"/>
    <w:rsid w:val="00B41126"/>
    <w:rsid w:val="00B41247"/>
    <w:rsid w:val="00B41309"/>
    <w:rsid w:val="00B419BE"/>
    <w:rsid w:val="00B41CA0"/>
    <w:rsid w:val="00B425B7"/>
    <w:rsid w:val="00B444B7"/>
    <w:rsid w:val="00B44D1D"/>
    <w:rsid w:val="00B46729"/>
    <w:rsid w:val="00B47DF1"/>
    <w:rsid w:val="00B50177"/>
    <w:rsid w:val="00B51991"/>
    <w:rsid w:val="00B51B51"/>
    <w:rsid w:val="00B54A38"/>
    <w:rsid w:val="00B55268"/>
    <w:rsid w:val="00B56976"/>
    <w:rsid w:val="00B60158"/>
    <w:rsid w:val="00B608B1"/>
    <w:rsid w:val="00B62BC1"/>
    <w:rsid w:val="00B6314D"/>
    <w:rsid w:val="00B6372D"/>
    <w:rsid w:val="00B65DFB"/>
    <w:rsid w:val="00B67075"/>
    <w:rsid w:val="00B67DD8"/>
    <w:rsid w:val="00B700F9"/>
    <w:rsid w:val="00B70715"/>
    <w:rsid w:val="00B72E03"/>
    <w:rsid w:val="00B7362B"/>
    <w:rsid w:val="00B7482C"/>
    <w:rsid w:val="00B7505C"/>
    <w:rsid w:val="00B773A6"/>
    <w:rsid w:val="00B80375"/>
    <w:rsid w:val="00B803AE"/>
    <w:rsid w:val="00B807E3"/>
    <w:rsid w:val="00B83424"/>
    <w:rsid w:val="00B83643"/>
    <w:rsid w:val="00B854D9"/>
    <w:rsid w:val="00B8604C"/>
    <w:rsid w:val="00B8754D"/>
    <w:rsid w:val="00B90E93"/>
    <w:rsid w:val="00B9296D"/>
    <w:rsid w:val="00B92BAC"/>
    <w:rsid w:val="00B94DE9"/>
    <w:rsid w:val="00B95370"/>
    <w:rsid w:val="00B95861"/>
    <w:rsid w:val="00B96E72"/>
    <w:rsid w:val="00BA055E"/>
    <w:rsid w:val="00BA393F"/>
    <w:rsid w:val="00BA731F"/>
    <w:rsid w:val="00BA76A4"/>
    <w:rsid w:val="00BA7C39"/>
    <w:rsid w:val="00BB112B"/>
    <w:rsid w:val="00BB2281"/>
    <w:rsid w:val="00BB3E0D"/>
    <w:rsid w:val="00BB66DB"/>
    <w:rsid w:val="00BC0D36"/>
    <w:rsid w:val="00BC0EE3"/>
    <w:rsid w:val="00BC1F79"/>
    <w:rsid w:val="00BC25FB"/>
    <w:rsid w:val="00BC36A2"/>
    <w:rsid w:val="00BC47B7"/>
    <w:rsid w:val="00BC4F4A"/>
    <w:rsid w:val="00BC62C7"/>
    <w:rsid w:val="00BC6C59"/>
    <w:rsid w:val="00BC7FA5"/>
    <w:rsid w:val="00BD1064"/>
    <w:rsid w:val="00BD146A"/>
    <w:rsid w:val="00BD225C"/>
    <w:rsid w:val="00BD26C2"/>
    <w:rsid w:val="00BD3396"/>
    <w:rsid w:val="00BD597E"/>
    <w:rsid w:val="00BD6097"/>
    <w:rsid w:val="00BD6E1B"/>
    <w:rsid w:val="00BD713C"/>
    <w:rsid w:val="00BD72BD"/>
    <w:rsid w:val="00BE0089"/>
    <w:rsid w:val="00BE0F80"/>
    <w:rsid w:val="00BE2E64"/>
    <w:rsid w:val="00BE42E7"/>
    <w:rsid w:val="00BE4B2E"/>
    <w:rsid w:val="00BE4DC8"/>
    <w:rsid w:val="00BE4E72"/>
    <w:rsid w:val="00BE57D5"/>
    <w:rsid w:val="00BE5A2A"/>
    <w:rsid w:val="00BE5D23"/>
    <w:rsid w:val="00BE63AD"/>
    <w:rsid w:val="00BE7845"/>
    <w:rsid w:val="00BF06CF"/>
    <w:rsid w:val="00BF0A09"/>
    <w:rsid w:val="00BF1EF2"/>
    <w:rsid w:val="00BF2A8A"/>
    <w:rsid w:val="00BF3570"/>
    <w:rsid w:val="00BF4DEC"/>
    <w:rsid w:val="00BF5C9A"/>
    <w:rsid w:val="00BF6070"/>
    <w:rsid w:val="00BF6703"/>
    <w:rsid w:val="00BF74F8"/>
    <w:rsid w:val="00BF77C9"/>
    <w:rsid w:val="00BF799B"/>
    <w:rsid w:val="00C0085A"/>
    <w:rsid w:val="00C013BC"/>
    <w:rsid w:val="00C01CE3"/>
    <w:rsid w:val="00C02F16"/>
    <w:rsid w:val="00C0395D"/>
    <w:rsid w:val="00C046B8"/>
    <w:rsid w:val="00C06216"/>
    <w:rsid w:val="00C116F3"/>
    <w:rsid w:val="00C11F0D"/>
    <w:rsid w:val="00C13000"/>
    <w:rsid w:val="00C157D9"/>
    <w:rsid w:val="00C16199"/>
    <w:rsid w:val="00C165B9"/>
    <w:rsid w:val="00C23760"/>
    <w:rsid w:val="00C267FE"/>
    <w:rsid w:val="00C26E6C"/>
    <w:rsid w:val="00C30694"/>
    <w:rsid w:val="00C321FB"/>
    <w:rsid w:val="00C35450"/>
    <w:rsid w:val="00C357FE"/>
    <w:rsid w:val="00C35906"/>
    <w:rsid w:val="00C3686B"/>
    <w:rsid w:val="00C40D2E"/>
    <w:rsid w:val="00C40D42"/>
    <w:rsid w:val="00C40E20"/>
    <w:rsid w:val="00C422C4"/>
    <w:rsid w:val="00C43932"/>
    <w:rsid w:val="00C45B13"/>
    <w:rsid w:val="00C46FAB"/>
    <w:rsid w:val="00C47A6C"/>
    <w:rsid w:val="00C50DB1"/>
    <w:rsid w:val="00C5122C"/>
    <w:rsid w:val="00C52315"/>
    <w:rsid w:val="00C528C9"/>
    <w:rsid w:val="00C5481C"/>
    <w:rsid w:val="00C57872"/>
    <w:rsid w:val="00C57B71"/>
    <w:rsid w:val="00C607A0"/>
    <w:rsid w:val="00C60C76"/>
    <w:rsid w:val="00C61B18"/>
    <w:rsid w:val="00C6238C"/>
    <w:rsid w:val="00C62D54"/>
    <w:rsid w:val="00C64710"/>
    <w:rsid w:val="00C64AD4"/>
    <w:rsid w:val="00C669F3"/>
    <w:rsid w:val="00C73CC9"/>
    <w:rsid w:val="00C7457F"/>
    <w:rsid w:val="00C756CF"/>
    <w:rsid w:val="00C75B40"/>
    <w:rsid w:val="00C762B8"/>
    <w:rsid w:val="00C76E8F"/>
    <w:rsid w:val="00C77444"/>
    <w:rsid w:val="00C77D45"/>
    <w:rsid w:val="00C77FC7"/>
    <w:rsid w:val="00C81398"/>
    <w:rsid w:val="00C81E97"/>
    <w:rsid w:val="00C84EC4"/>
    <w:rsid w:val="00C8564B"/>
    <w:rsid w:val="00C85FBB"/>
    <w:rsid w:val="00C8732A"/>
    <w:rsid w:val="00C918FE"/>
    <w:rsid w:val="00C91D7B"/>
    <w:rsid w:val="00C92387"/>
    <w:rsid w:val="00C93669"/>
    <w:rsid w:val="00C95370"/>
    <w:rsid w:val="00C97ADC"/>
    <w:rsid w:val="00CA01A6"/>
    <w:rsid w:val="00CA1A7B"/>
    <w:rsid w:val="00CA2122"/>
    <w:rsid w:val="00CA225D"/>
    <w:rsid w:val="00CA4875"/>
    <w:rsid w:val="00CA487D"/>
    <w:rsid w:val="00CA4D9A"/>
    <w:rsid w:val="00CA4E51"/>
    <w:rsid w:val="00CA58E1"/>
    <w:rsid w:val="00CA5A06"/>
    <w:rsid w:val="00CA5B39"/>
    <w:rsid w:val="00CA6744"/>
    <w:rsid w:val="00CA6DCC"/>
    <w:rsid w:val="00CA7C8D"/>
    <w:rsid w:val="00CB05AC"/>
    <w:rsid w:val="00CB0B32"/>
    <w:rsid w:val="00CB11EA"/>
    <w:rsid w:val="00CB1B42"/>
    <w:rsid w:val="00CB2060"/>
    <w:rsid w:val="00CB220A"/>
    <w:rsid w:val="00CB2ABD"/>
    <w:rsid w:val="00CB6469"/>
    <w:rsid w:val="00CB6995"/>
    <w:rsid w:val="00CB6D54"/>
    <w:rsid w:val="00CB7830"/>
    <w:rsid w:val="00CC010E"/>
    <w:rsid w:val="00CC0186"/>
    <w:rsid w:val="00CC156C"/>
    <w:rsid w:val="00CC3AEE"/>
    <w:rsid w:val="00CC46F1"/>
    <w:rsid w:val="00CC51B9"/>
    <w:rsid w:val="00CD05CF"/>
    <w:rsid w:val="00CD2B21"/>
    <w:rsid w:val="00CD2DFD"/>
    <w:rsid w:val="00CD689A"/>
    <w:rsid w:val="00CD75DD"/>
    <w:rsid w:val="00CD797E"/>
    <w:rsid w:val="00CE09C1"/>
    <w:rsid w:val="00CE0B83"/>
    <w:rsid w:val="00CE1E86"/>
    <w:rsid w:val="00CE24F8"/>
    <w:rsid w:val="00CE3362"/>
    <w:rsid w:val="00CE4E99"/>
    <w:rsid w:val="00CE5F19"/>
    <w:rsid w:val="00CF0724"/>
    <w:rsid w:val="00CF10D1"/>
    <w:rsid w:val="00CF18E7"/>
    <w:rsid w:val="00CF1D98"/>
    <w:rsid w:val="00CF2F51"/>
    <w:rsid w:val="00CF3057"/>
    <w:rsid w:val="00CF4B59"/>
    <w:rsid w:val="00CF7AB8"/>
    <w:rsid w:val="00CF7B68"/>
    <w:rsid w:val="00D01854"/>
    <w:rsid w:val="00D01B76"/>
    <w:rsid w:val="00D026CF"/>
    <w:rsid w:val="00D02B0E"/>
    <w:rsid w:val="00D03F50"/>
    <w:rsid w:val="00D03F63"/>
    <w:rsid w:val="00D04987"/>
    <w:rsid w:val="00D04F09"/>
    <w:rsid w:val="00D05105"/>
    <w:rsid w:val="00D054C1"/>
    <w:rsid w:val="00D0597C"/>
    <w:rsid w:val="00D07A7B"/>
    <w:rsid w:val="00D115E0"/>
    <w:rsid w:val="00D115F4"/>
    <w:rsid w:val="00D137C3"/>
    <w:rsid w:val="00D13E0E"/>
    <w:rsid w:val="00D171C8"/>
    <w:rsid w:val="00D174F2"/>
    <w:rsid w:val="00D20F1F"/>
    <w:rsid w:val="00D2255D"/>
    <w:rsid w:val="00D2265F"/>
    <w:rsid w:val="00D23C52"/>
    <w:rsid w:val="00D24D01"/>
    <w:rsid w:val="00D301CB"/>
    <w:rsid w:val="00D3125A"/>
    <w:rsid w:val="00D322E9"/>
    <w:rsid w:val="00D3492B"/>
    <w:rsid w:val="00D351CC"/>
    <w:rsid w:val="00D35485"/>
    <w:rsid w:val="00D360A0"/>
    <w:rsid w:val="00D36E4E"/>
    <w:rsid w:val="00D40D83"/>
    <w:rsid w:val="00D40E96"/>
    <w:rsid w:val="00D416A4"/>
    <w:rsid w:val="00D44A1C"/>
    <w:rsid w:val="00D45551"/>
    <w:rsid w:val="00D46D89"/>
    <w:rsid w:val="00D50F72"/>
    <w:rsid w:val="00D515E4"/>
    <w:rsid w:val="00D52FAB"/>
    <w:rsid w:val="00D53795"/>
    <w:rsid w:val="00D54423"/>
    <w:rsid w:val="00D5557C"/>
    <w:rsid w:val="00D555DD"/>
    <w:rsid w:val="00D564CD"/>
    <w:rsid w:val="00D567CB"/>
    <w:rsid w:val="00D56E50"/>
    <w:rsid w:val="00D5728B"/>
    <w:rsid w:val="00D61EA4"/>
    <w:rsid w:val="00D622D9"/>
    <w:rsid w:val="00D62F41"/>
    <w:rsid w:val="00D6323E"/>
    <w:rsid w:val="00D63685"/>
    <w:rsid w:val="00D6488C"/>
    <w:rsid w:val="00D6686D"/>
    <w:rsid w:val="00D7010F"/>
    <w:rsid w:val="00D70887"/>
    <w:rsid w:val="00D70DDE"/>
    <w:rsid w:val="00D7243B"/>
    <w:rsid w:val="00D73463"/>
    <w:rsid w:val="00D73BEF"/>
    <w:rsid w:val="00D73F37"/>
    <w:rsid w:val="00D7555A"/>
    <w:rsid w:val="00D762DB"/>
    <w:rsid w:val="00D771BE"/>
    <w:rsid w:val="00D7729A"/>
    <w:rsid w:val="00D77E4A"/>
    <w:rsid w:val="00D805CC"/>
    <w:rsid w:val="00D81E54"/>
    <w:rsid w:val="00D825F3"/>
    <w:rsid w:val="00D83204"/>
    <w:rsid w:val="00D84C87"/>
    <w:rsid w:val="00D87FCB"/>
    <w:rsid w:val="00D902FA"/>
    <w:rsid w:val="00D929EF"/>
    <w:rsid w:val="00D945D2"/>
    <w:rsid w:val="00D94720"/>
    <w:rsid w:val="00D9489B"/>
    <w:rsid w:val="00D94E43"/>
    <w:rsid w:val="00D960EA"/>
    <w:rsid w:val="00D97F0D"/>
    <w:rsid w:val="00DA0C5A"/>
    <w:rsid w:val="00DA156B"/>
    <w:rsid w:val="00DA2409"/>
    <w:rsid w:val="00DA2741"/>
    <w:rsid w:val="00DA3EC0"/>
    <w:rsid w:val="00DA4620"/>
    <w:rsid w:val="00DA5D91"/>
    <w:rsid w:val="00DA7E2E"/>
    <w:rsid w:val="00DB11A9"/>
    <w:rsid w:val="00DB7F7A"/>
    <w:rsid w:val="00DC1350"/>
    <w:rsid w:val="00DC2CC3"/>
    <w:rsid w:val="00DC4C47"/>
    <w:rsid w:val="00DC5CAA"/>
    <w:rsid w:val="00DC6A1C"/>
    <w:rsid w:val="00DC7198"/>
    <w:rsid w:val="00DD21A0"/>
    <w:rsid w:val="00DD3250"/>
    <w:rsid w:val="00DD35AF"/>
    <w:rsid w:val="00DD3781"/>
    <w:rsid w:val="00DD37B8"/>
    <w:rsid w:val="00DD4537"/>
    <w:rsid w:val="00DD46F5"/>
    <w:rsid w:val="00DD484D"/>
    <w:rsid w:val="00DD5299"/>
    <w:rsid w:val="00DD6A32"/>
    <w:rsid w:val="00DD6B0C"/>
    <w:rsid w:val="00DD7633"/>
    <w:rsid w:val="00DE0587"/>
    <w:rsid w:val="00DE076C"/>
    <w:rsid w:val="00DE0B97"/>
    <w:rsid w:val="00DE1649"/>
    <w:rsid w:val="00DE1E3C"/>
    <w:rsid w:val="00DE3523"/>
    <w:rsid w:val="00DE3718"/>
    <w:rsid w:val="00DE558C"/>
    <w:rsid w:val="00DE76BC"/>
    <w:rsid w:val="00DF053B"/>
    <w:rsid w:val="00DF2E8C"/>
    <w:rsid w:val="00DF3A22"/>
    <w:rsid w:val="00DF3C50"/>
    <w:rsid w:val="00DF56C3"/>
    <w:rsid w:val="00DF5AF5"/>
    <w:rsid w:val="00E023E6"/>
    <w:rsid w:val="00E02933"/>
    <w:rsid w:val="00E030E2"/>
    <w:rsid w:val="00E03234"/>
    <w:rsid w:val="00E03812"/>
    <w:rsid w:val="00E05180"/>
    <w:rsid w:val="00E053FB"/>
    <w:rsid w:val="00E10324"/>
    <w:rsid w:val="00E10A43"/>
    <w:rsid w:val="00E10F7A"/>
    <w:rsid w:val="00E114C1"/>
    <w:rsid w:val="00E12176"/>
    <w:rsid w:val="00E12AAC"/>
    <w:rsid w:val="00E152C4"/>
    <w:rsid w:val="00E1571F"/>
    <w:rsid w:val="00E15D2C"/>
    <w:rsid w:val="00E17CE4"/>
    <w:rsid w:val="00E21565"/>
    <w:rsid w:val="00E2237B"/>
    <w:rsid w:val="00E22EE9"/>
    <w:rsid w:val="00E2538D"/>
    <w:rsid w:val="00E25F64"/>
    <w:rsid w:val="00E2629B"/>
    <w:rsid w:val="00E266C3"/>
    <w:rsid w:val="00E27148"/>
    <w:rsid w:val="00E3005E"/>
    <w:rsid w:val="00E3155B"/>
    <w:rsid w:val="00E3181E"/>
    <w:rsid w:val="00E33070"/>
    <w:rsid w:val="00E336D0"/>
    <w:rsid w:val="00E36AC4"/>
    <w:rsid w:val="00E37C51"/>
    <w:rsid w:val="00E40F0F"/>
    <w:rsid w:val="00E45241"/>
    <w:rsid w:val="00E473A4"/>
    <w:rsid w:val="00E50752"/>
    <w:rsid w:val="00E54A07"/>
    <w:rsid w:val="00E55017"/>
    <w:rsid w:val="00E57005"/>
    <w:rsid w:val="00E57A76"/>
    <w:rsid w:val="00E6119A"/>
    <w:rsid w:val="00E615A5"/>
    <w:rsid w:val="00E61721"/>
    <w:rsid w:val="00E64805"/>
    <w:rsid w:val="00E65F2F"/>
    <w:rsid w:val="00E66AF8"/>
    <w:rsid w:val="00E670B6"/>
    <w:rsid w:val="00E67148"/>
    <w:rsid w:val="00E679D8"/>
    <w:rsid w:val="00E700F2"/>
    <w:rsid w:val="00E70D1B"/>
    <w:rsid w:val="00E714BC"/>
    <w:rsid w:val="00E71A19"/>
    <w:rsid w:val="00E73CFB"/>
    <w:rsid w:val="00E75688"/>
    <w:rsid w:val="00E76D3C"/>
    <w:rsid w:val="00E814A1"/>
    <w:rsid w:val="00E8274A"/>
    <w:rsid w:val="00E82F63"/>
    <w:rsid w:val="00E831C5"/>
    <w:rsid w:val="00E83D6A"/>
    <w:rsid w:val="00E84846"/>
    <w:rsid w:val="00E85A3E"/>
    <w:rsid w:val="00E8613A"/>
    <w:rsid w:val="00E862D1"/>
    <w:rsid w:val="00E86ED5"/>
    <w:rsid w:val="00E8796C"/>
    <w:rsid w:val="00E87CD6"/>
    <w:rsid w:val="00E92501"/>
    <w:rsid w:val="00E9363A"/>
    <w:rsid w:val="00E942FD"/>
    <w:rsid w:val="00E94D6B"/>
    <w:rsid w:val="00E95617"/>
    <w:rsid w:val="00E956DF"/>
    <w:rsid w:val="00E95716"/>
    <w:rsid w:val="00E963D8"/>
    <w:rsid w:val="00E96D48"/>
    <w:rsid w:val="00E974AA"/>
    <w:rsid w:val="00E979B1"/>
    <w:rsid w:val="00EA3D34"/>
    <w:rsid w:val="00EA5099"/>
    <w:rsid w:val="00EA6832"/>
    <w:rsid w:val="00EA6FBD"/>
    <w:rsid w:val="00EB024D"/>
    <w:rsid w:val="00EB1122"/>
    <w:rsid w:val="00EB3310"/>
    <w:rsid w:val="00EB348D"/>
    <w:rsid w:val="00EB7FC7"/>
    <w:rsid w:val="00EC071B"/>
    <w:rsid w:val="00EC131D"/>
    <w:rsid w:val="00EC24E5"/>
    <w:rsid w:val="00EC4725"/>
    <w:rsid w:val="00EC50FC"/>
    <w:rsid w:val="00EC650B"/>
    <w:rsid w:val="00EC7AD8"/>
    <w:rsid w:val="00ED137F"/>
    <w:rsid w:val="00ED13B8"/>
    <w:rsid w:val="00ED1505"/>
    <w:rsid w:val="00ED2749"/>
    <w:rsid w:val="00ED4780"/>
    <w:rsid w:val="00ED49A1"/>
    <w:rsid w:val="00ED4C95"/>
    <w:rsid w:val="00ED61FD"/>
    <w:rsid w:val="00ED762F"/>
    <w:rsid w:val="00EE09BD"/>
    <w:rsid w:val="00EE0D8D"/>
    <w:rsid w:val="00EE1829"/>
    <w:rsid w:val="00EE4034"/>
    <w:rsid w:val="00EE4326"/>
    <w:rsid w:val="00EE6026"/>
    <w:rsid w:val="00EE6772"/>
    <w:rsid w:val="00EE6CBC"/>
    <w:rsid w:val="00EE747F"/>
    <w:rsid w:val="00EE78A0"/>
    <w:rsid w:val="00EF0CC9"/>
    <w:rsid w:val="00EF2457"/>
    <w:rsid w:val="00EF2F7D"/>
    <w:rsid w:val="00EF498C"/>
    <w:rsid w:val="00EF5126"/>
    <w:rsid w:val="00EF606F"/>
    <w:rsid w:val="00EF67D4"/>
    <w:rsid w:val="00EF7EC2"/>
    <w:rsid w:val="00F02314"/>
    <w:rsid w:val="00F03DD9"/>
    <w:rsid w:val="00F0461E"/>
    <w:rsid w:val="00F04744"/>
    <w:rsid w:val="00F07B0D"/>
    <w:rsid w:val="00F110CE"/>
    <w:rsid w:val="00F1139D"/>
    <w:rsid w:val="00F148A7"/>
    <w:rsid w:val="00F1501D"/>
    <w:rsid w:val="00F1770E"/>
    <w:rsid w:val="00F20417"/>
    <w:rsid w:val="00F20540"/>
    <w:rsid w:val="00F20799"/>
    <w:rsid w:val="00F21B6E"/>
    <w:rsid w:val="00F21DD0"/>
    <w:rsid w:val="00F21F35"/>
    <w:rsid w:val="00F23F56"/>
    <w:rsid w:val="00F25EFF"/>
    <w:rsid w:val="00F263B7"/>
    <w:rsid w:val="00F304DA"/>
    <w:rsid w:val="00F30D5E"/>
    <w:rsid w:val="00F31F2A"/>
    <w:rsid w:val="00F324E9"/>
    <w:rsid w:val="00F332E2"/>
    <w:rsid w:val="00F33451"/>
    <w:rsid w:val="00F3416F"/>
    <w:rsid w:val="00F34956"/>
    <w:rsid w:val="00F34CF4"/>
    <w:rsid w:val="00F35D15"/>
    <w:rsid w:val="00F3601F"/>
    <w:rsid w:val="00F37468"/>
    <w:rsid w:val="00F37DD6"/>
    <w:rsid w:val="00F37F84"/>
    <w:rsid w:val="00F43657"/>
    <w:rsid w:val="00F4535A"/>
    <w:rsid w:val="00F46689"/>
    <w:rsid w:val="00F4756C"/>
    <w:rsid w:val="00F479E5"/>
    <w:rsid w:val="00F57604"/>
    <w:rsid w:val="00F60A19"/>
    <w:rsid w:val="00F61220"/>
    <w:rsid w:val="00F62712"/>
    <w:rsid w:val="00F63FEB"/>
    <w:rsid w:val="00F644FE"/>
    <w:rsid w:val="00F6477F"/>
    <w:rsid w:val="00F6598D"/>
    <w:rsid w:val="00F66D0E"/>
    <w:rsid w:val="00F75C00"/>
    <w:rsid w:val="00F80A99"/>
    <w:rsid w:val="00F8150D"/>
    <w:rsid w:val="00F8240F"/>
    <w:rsid w:val="00F83855"/>
    <w:rsid w:val="00F83AA7"/>
    <w:rsid w:val="00F8412F"/>
    <w:rsid w:val="00F84771"/>
    <w:rsid w:val="00F84A4C"/>
    <w:rsid w:val="00F91A1B"/>
    <w:rsid w:val="00F91E80"/>
    <w:rsid w:val="00F92008"/>
    <w:rsid w:val="00F922D6"/>
    <w:rsid w:val="00F9265D"/>
    <w:rsid w:val="00F92F4D"/>
    <w:rsid w:val="00F95066"/>
    <w:rsid w:val="00F9595F"/>
    <w:rsid w:val="00F959C0"/>
    <w:rsid w:val="00F95A72"/>
    <w:rsid w:val="00F95C85"/>
    <w:rsid w:val="00F9630C"/>
    <w:rsid w:val="00FA05B7"/>
    <w:rsid w:val="00FA0FB0"/>
    <w:rsid w:val="00FA1999"/>
    <w:rsid w:val="00FA3AD3"/>
    <w:rsid w:val="00FA3C67"/>
    <w:rsid w:val="00FA495E"/>
    <w:rsid w:val="00FA4E83"/>
    <w:rsid w:val="00FA50A1"/>
    <w:rsid w:val="00FA65CF"/>
    <w:rsid w:val="00FA74CE"/>
    <w:rsid w:val="00FB12CB"/>
    <w:rsid w:val="00FB244C"/>
    <w:rsid w:val="00FB2D26"/>
    <w:rsid w:val="00FB46B9"/>
    <w:rsid w:val="00FB667F"/>
    <w:rsid w:val="00FB6831"/>
    <w:rsid w:val="00FB7CB6"/>
    <w:rsid w:val="00FC1CDF"/>
    <w:rsid w:val="00FC1FA7"/>
    <w:rsid w:val="00FC228A"/>
    <w:rsid w:val="00FC2F79"/>
    <w:rsid w:val="00FC33BE"/>
    <w:rsid w:val="00FC4774"/>
    <w:rsid w:val="00FC5C8D"/>
    <w:rsid w:val="00FC722D"/>
    <w:rsid w:val="00FD048A"/>
    <w:rsid w:val="00FD26AE"/>
    <w:rsid w:val="00FD320F"/>
    <w:rsid w:val="00FD3816"/>
    <w:rsid w:val="00FE0A12"/>
    <w:rsid w:val="00FE6C17"/>
    <w:rsid w:val="00FE770C"/>
    <w:rsid w:val="00FF0279"/>
    <w:rsid w:val="00FF14DD"/>
    <w:rsid w:val="00FF389F"/>
    <w:rsid w:val="00FF4114"/>
    <w:rsid w:val="00FF4A0E"/>
    <w:rsid w:val="00FF5AA9"/>
    <w:rsid w:val="00FF67B8"/>
    <w:rsid w:val="00FF78C3"/>
    <w:rsid w:val="0573D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D1C09"/>
  <w15:docId w15:val="{5B94DE3C-3356-534F-9581-0351C67D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8C0"/>
    <w:pPr>
      <w:widowControl w:val="0"/>
      <w:autoSpaceDE w:val="0"/>
      <w:autoSpaceDN w:val="0"/>
      <w:adjustRightInd w:val="0"/>
      <w:spacing w:after="0" w:line="240" w:lineRule="auto"/>
    </w:pPr>
    <w:rPr>
      <w:rFonts w:ascii="Times" w:eastAsiaTheme="minorEastAsia" w:hAnsi="Times" w:cs="Times"/>
      <w:noProof/>
      <w:sz w:val="20"/>
      <w:szCs w:val="20"/>
    </w:rPr>
  </w:style>
  <w:style w:type="paragraph" w:styleId="Heading1">
    <w:name w:val="heading 1"/>
    <w:basedOn w:val="Normal"/>
    <w:next w:val="Normal"/>
    <w:link w:val="Heading1Char"/>
    <w:uiPriority w:val="99"/>
    <w:qFormat/>
    <w:rsid w:val="00E70D1B"/>
    <w:pPr>
      <w:keepNext/>
      <w:spacing w:before="240" w:after="60"/>
      <w:outlineLvl w:val="0"/>
    </w:pPr>
    <w:rPr>
      <w:rFonts w:ascii="Times New Roman" w:hAnsi="Times New Roman"/>
      <w:b/>
      <w:bCs/>
      <w:sz w:val="24"/>
      <w:szCs w:val="40"/>
    </w:rPr>
  </w:style>
  <w:style w:type="paragraph" w:styleId="Heading2">
    <w:name w:val="heading 2"/>
    <w:basedOn w:val="Normal"/>
    <w:next w:val="Normal"/>
    <w:link w:val="Heading2Char"/>
    <w:uiPriority w:val="99"/>
    <w:qFormat/>
    <w:rsid w:val="000B44D1"/>
    <w:pPr>
      <w:keepNext/>
      <w:spacing w:before="240" w:after="60"/>
      <w:outlineLvl w:val="1"/>
    </w:pPr>
    <w:rPr>
      <w:rFonts w:ascii="Times New Roman" w:hAnsi="Times New Roman"/>
      <w:bCs/>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70D1B"/>
    <w:rPr>
      <w:rFonts w:ascii="Times New Roman" w:eastAsiaTheme="minorEastAsia" w:hAnsi="Times New Roman" w:cs="Times"/>
      <w:b/>
      <w:bCs/>
      <w:noProof/>
      <w:sz w:val="24"/>
      <w:szCs w:val="40"/>
    </w:rPr>
  </w:style>
  <w:style w:type="character" w:customStyle="1" w:styleId="Heading2Char">
    <w:name w:val="Heading 2 Char"/>
    <w:basedOn w:val="DefaultParagraphFont"/>
    <w:link w:val="Heading2"/>
    <w:uiPriority w:val="99"/>
    <w:rsid w:val="000B44D1"/>
    <w:rPr>
      <w:rFonts w:ascii="Times New Roman" w:eastAsiaTheme="minorEastAsia" w:hAnsi="Times New Roman" w:cs="Times"/>
      <w:bCs/>
      <w:noProof/>
      <w:sz w:val="24"/>
      <w:szCs w:val="32"/>
      <w:u w:val="single"/>
    </w:rPr>
  </w:style>
  <w:style w:type="paragraph" w:styleId="Caption">
    <w:name w:val="caption"/>
    <w:basedOn w:val="Normal"/>
    <w:next w:val="Normal"/>
    <w:uiPriority w:val="35"/>
    <w:unhideWhenUsed/>
    <w:qFormat/>
    <w:rsid w:val="000B48C0"/>
    <w:pPr>
      <w:spacing w:after="200"/>
    </w:pPr>
    <w:rPr>
      <w:b/>
      <w:bCs/>
      <w:color w:val="4F81BD" w:themeColor="accent1"/>
      <w:sz w:val="18"/>
      <w:szCs w:val="18"/>
    </w:rPr>
  </w:style>
  <w:style w:type="table" w:styleId="LightShading">
    <w:name w:val="Light Shading"/>
    <w:basedOn w:val="TableNormal"/>
    <w:uiPriority w:val="60"/>
    <w:rsid w:val="000B48C0"/>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0B48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8C0"/>
    <w:pPr>
      <w:ind w:left="720"/>
      <w:contextualSpacing/>
    </w:pPr>
  </w:style>
  <w:style w:type="character" w:styleId="CommentReference">
    <w:name w:val="annotation reference"/>
    <w:basedOn w:val="DefaultParagraphFont"/>
    <w:uiPriority w:val="99"/>
    <w:semiHidden/>
    <w:unhideWhenUsed/>
    <w:rsid w:val="000B48C0"/>
    <w:rPr>
      <w:sz w:val="18"/>
      <w:szCs w:val="18"/>
    </w:rPr>
  </w:style>
  <w:style w:type="paragraph" w:styleId="CommentText">
    <w:name w:val="annotation text"/>
    <w:basedOn w:val="Normal"/>
    <w:link w:val="CommentTextChar"/>
    <w:uiPriority w:val="99"/>
    <w:unhideWhenUsed/>
    <w:rsid w:val="000B48C0"/>
    <w:rPr>
      <w:sz w:val="24"/>
      <w:szCs w:val="24"/>
    </w:rPr>
  </w:style>
  <w:style w:type="character" w:customStyle="1" w:styleId="CommentTextChar">
    <w:name w:val="Comment Text Char"/>
    <w:basedOn w:val="DefaultParagraphFont"/>
    <w:link w:val="CommentText"/>
    <w:uiPriority w:val="99"/>
    <w:rsid w:val="000B48C0"/>
    <w:rPr>
      <w:rFonts w:ascii="Times" w:eastAsiaTheme="minorEastAsia" w:hAnsi="Times" w:cs="Times"/>
      <w:noProof/>
      <w:sz w:val="24"/>
      <w:szCs w:val="24"/>
    </w:rPr>
  </w:style>
  <w:style w:type="paragraph" w:styleId="BalloonText">
    <w:name w:val="Balloon Text"/>
    <w:basedOn w:val="Normal"/>
    <w:link w:val="BalloonTextChar"/>
    <w:uiPriority w:val="99"/>
    <w:semiHidden/>
    <w:unhideWhenUsed/>
    <w:rsid w:val="000B48C0"/>
    <w:rPr>
      <w:rFonts w:ascii="Tahoma" w:hAnsi="Tahoma" w:cs="Tahoma"/>
      <w:sz w:val="16"/>
      <w:szCs w:val="16"/>
    </w:rPr>
  </w:style>
  <w:style w:type="character" w:customStyle="1" w:styleId="BalloonTextChar">
    <w:name w:val="Balloon Text Char"/>
    <w:basedOn w:val="DefaultParagraphFont"/>
    <w:link w:val="BalloonText"/>
    <w:uiPriority w:val="99"/>
    <w:semiHidden/>
    <w:rsid w:val="000B48C0"/>
    <w:rPr>
      <w:rFonts w:ascii="Tahoma" w:eastAsiaTheme="minorEastAsia" w:hAnsi="Tahoma" w:cs="Tahoma"/>
      <w:noProof/>
      <w:sz w:val="16"/>
      <w:szCs w:val="16"/>
    </w:rPr>
  </w:style>
  <w:style w:type="character" w:styleId="Hyperlink">
    <w:name w:val="Hyperlink"/>
    <w:basedOn w:val="DefaultParagraphFont"/>
    <w:uiPriority w:val="99"/>
    <w:unhideWhenUsed/>
    <w:rsid w:val="000B48C0"/>
    <w:rPr>
      <w:color w:val="0000FF" w:themeColor="hyperlink"/>
      <w:u w:val="single"/>
    </w:rPr>
  </w:style>
  <w:style w:type="paragraph" w:styleId="PlainText">
    <w:name w:val="Plain Text"/>
    <w:basedOn w:val="Normal"/>
    <w:link w:val="PlainTextChar"/>
    <w:uiPriority w:val="99"/>
    <w:semiHidden/>
    <w:unhideWhenUsed/>
    <w:rsid w:val="000B48C0"/>
    <w:rPr>
      <w:rFonts w:ascii="Consolas" w:hAnsi="Consolas" w:cs="Consolas"/>
      <w:sz w:val="21"/>
      <w:szCs w:val="21"/>
    </w:rPr>
  </w:style>
  <w:style w:type="character" w:customStyle="1" w:styleId="PlainTextChar">
    <w:name w:val="Plain Text Char"/>
    <w:basedOn w:val="DefaultParagraphFont"/>
    <w:link w:val="PlainText"/>
    <w:uiPriority w:val="99"/>
    <w:semiHidden/>
    <w:rsid w:val="000B48C0"/>
    <w:rPr>
      <w:rFonts w:ascii="Consolas" w:eastAsiaTheme="minorEastAsia" w:hAnsi="Consolas" w:cs="Consolas"/>
      <w:noProof/>
      <w:sz w:val="21"/>
      <w:szCs w:val="21"/>
    </w:rPr>
  </w:style>
  <w:style w:type="paragraph" w:styleId="CommentSubject">
    <w:name w:val="annotation subject"/>
    <w:basedOn w:val="CommentText"/>
    <w:next w:val="CommentText"/>
    <w:link w:val="CommentSubjectChar"/>
    <w:uiPriority w:val="99"/>
    <w:semiHidden/>
    <w:unhideWhenUsed/>
    <w:rsid w:val="00B00F7A"/>
    <w:rPr>
      <w:b/>
      <w:bCs/>
      <w:sz w:val="20"/>
      <w:szCs w:val="20"/>
    </w:rPr>
  </w:style>
  <w:style w:type="character" w:customStyle="1" w:styleId="CommentSubjectChar">
    <w:name w:val="Comment Subject Char"/>
    <w:basedOn w:val="CommentTextChar"/>
    <w:link w:val="CommentSubject"/>
    <w:uiPriority w:val="99"/>
    <w:semiHidden/>
    <w:rsid w:val="00B00F7A"/>
    <w:rPr>
      <w:rFonts w:ascii="Times" w:eastAsiaTheme="minorEastAsia" w:hAnsi="Times" w:cs="Times"/>
      <w:b/>
      <w:bCs/>
      <w:noProof/>
      <w:sz w:val="20"/>
      <w:szCs w:val="20"/>
    </w:rPr>
  </w:style>
  <w:style w:type="paragraph" w:styleId="TOCHeading">
    <w:name w:val="TOC Heading"/>
    <w:basedOn w:val="Heading1"/>
    <w:next w:val="Normal"/>
    <w:uiPriority w:val="39"/>
    <w:semiHidden/>
    <w:unhideWhenUsed/>
    <w:qFormat/>
    <w:rsid w:val="00F03DD9"/>
    <w:pPr>
      <w:keepLines/>
      <w:widowControl/>
      <w:autoSpaceDE/>
      <w:autoSpaceDN/>
      <w:adjustRightInd/>
      <w:spacing w:before="480" w:after="0" w:line="276" w:lineRule="auto"/>
      <w:outlineLvl w:val="9"/>
    </w:pPr>
    <w:rPr>
      <w:rFonts w:asciiTheme="majorHAnsi" w:eastAsiaTheme="majorEastAsia" w:hAnsiTheme="majorHAnsi" w:cstheme="majorBidi"/>
      <w:noProof w:val="0"/>
      <w:color w:val="365F91" w:themeColor="accent1" w:themeShade="BF"/>
      <w:sz w:val="28"/>
      <w:szCs w:val="28"/>
      <w:lang w:eastAsia="ja-JP"/>
    </w:rPr>
  </w:style>
  <w:style w:type="paragraph" w:styleId="TOC2">
    <w:name w:val="toc 2"/>
    <w:basedOn w:val="Normal"/>
    <w:next w:val="Normal"/>
    <w:autoRedefine/>
    <w:uiPriority w:val="39"/>
    <w:unhideWhenUsed/>
    <w:qFormat/>
    <w:rsid w:val="009029D1"/>
    <w:pPr>
      <w:widowControl/>
      <w:autoSpaceDE/>
      <w:autoSpaceDN/>
      <w:adjustRightInd/>
      <w:spacing w:after="100" w:line="276" w:lineRule="auto"/>
      <w:ind w:left="220"/>
    </w:pPr>
    <w:rPr>
      <w:rFonts w:asciiTheme="minorHAnsi" w:hAnsiTheme="minorHAnsi" w:cstheme="minorBidi"/>
      <w:noProof w:val="0"/>
      <w:sz w:val="22"/>
      <w:szCs w:val="22"/>
      <w:lang w:eastAsia="ja-JP"/>
    </w:rPr>
  </w:style>
  <w:style w:type="paragraph" w:styleId="TOC1">
    <w:name w:val="toc 1"/>
    <w:basedOn w:val="Normal"/>
    <w:next w:val="Normal"/>
    <w:autoRedefine/>
    <w:uiPriority w:val="39"/>
    <w:unhideWhenUsed/>
    <w:qFormat/>
    <w:rsid w:val="009029D1"/>
    <w:pPr>
      <w:widowControl/>
      <w:tabs>
        <w:tab w:val="right" w:leader="dot" w:pos="9380"/>
      </w:tabs>
      <w:autoSpaceDE/>
      <w:autoSpaceDN/>
      <w:adjustRightInd/>
      <w:spacing w:after="100" w:line="276" w:lineRule="auto"/>
    </w:pPr>
    <w:rPr>
      <w:rFonts w:asciiTheme="minorHAnsi" w:hAnsiTheme="minorHAnsi" w:cstheme="minorBidi"/>
      <w:noProof w:val="0"/>
      <w:sz w:val="22"/>
      <w:szCs w:val="22"/>
      <w:lang w:eastAsia="ja-JP"/>
    </w:rPr>
  </w:style>
  <w:style w:type="character" w:styleId="PlaceholderText">
    <w:name w:val="Placeholder Text"/>
    <w:basedOn w:val="DefaultParagraphFont"/>
    <w:uiPriority w:val="99"/>
    <w:semiHidden/>
    <w:rsid w:val="006D0A20"/>
    <w:rPr>
      <w:color w:val="808080"/>
    </w:rPr>
  </w:style>
  <w:style w:type="paragraph" w:styleId="Revision">
    <w:name w:val="Revision"/>
    <w:hidden/>
    <w:uiPriority w:val="99"/>
    <w:semiHidden/>
    <w:rsid w:val="00462CAE"/>
    <w:pPr>
      <w:spacing w:after="0" w:line="240" w:lineRule="auto"/>
    </w:pPr>
    <w:rPr>
      <w:rFonts w:ascii="Times" w:eastAsiaTheme="minorEastAsia" w:hAnsi="Times" w:cs="Times"/>
      <w:noProof/>
      <w:sz w:val="20"/>
      <w:szCs w:val="20"/>
    </w:rPr>
  </w:style>
  <w:style w:type="paragraph" w:styleId="Footer">
    <w:name w:val="footer"/>
    <w:basedOn w:val="Normal"/>
    <w:link w:val="FooterChar"/>
    <w:uiPriority w:val="99"/>
    <w:unhideWhenUsed/>
    <w:rsid w:val="000C3920"/>
    <w:pPr>
      <w:tabs>
        <w:tab w:val="center" w:pos="4680"/>
        <w:tab w:val="right" w:pos="9360"/>
      </w:tabs>
    </w:pPr>
  </w:style>
  <w:style w:type="character" w:customStyle="1" w:styleId="FooterChar">
    <w:name w:val="Footer Char"/>
    <w:basedOn w:val="DefaultParagraphFont"/>
    <w:link w:val="Footer"/>
    <w:uiPriority w:val="99"/>
    <w:rsid w:val="000C3920"/>
    <w:rPr>
      <w:rFonts w:ascii="Times" w:eastAsiaTheme="minorEastAsia" w:hAnsi="Times" w:cs="Times"/>
      <w:noProof/>
      <w:sz w:val="20"/>
      <w:szCs w:val="20"/>
    </w:rPr>
  </w:style>
  <w:style w:type="character" w:styleId="PageNumber">
    <w:name w:val="page number"/>
    <w:basedOn w:val="DefaultParagraphFont"/>
    <w:uiPriority w:val="99"/>
    <w:semiHidden/>
    <w:unhideWhenUsed/>
    <w:rsid w:val="000C3920"/>
  </w:style>
  <w:style w:type="paragraph" w:styleId="Header">
    <w:name w:val="header"/>
    <w:basedOn w:val="Normal"/>
    <w:link w:val="HeaderChar"/>
    <w:uiPriority w:val="99"/>
    <w:unhideWhenUsed/>
    <w:rsid w:val="004B313E"/>
    <w:pPr>
      <w:tabs>
        <w:tab w:val="center" w:pos="4680"/>
        <w:tab w:val="right" w:pos="9360"/>
      </w:tabs>
    </w:pPr>
  </w:style>
  <w:style w:type="character" w:customStyle="1" w:styleId="HeaderChar">
    <w:name w:val="Header Char"/>
    <w:basedOn w:val="DefaultParagraphFont"/>
    <w:link w:val="Header"/>
    <w:uiPriority w:val="99"/>
    <w:rsid w:val="004B313E"/>
    <w:rPr>
      <w:rFonts w:ascii="Times" w:eastAsiaTheme="minorEastAsia" w:hAnsi="Times" w:cs="Times"/>
      <w:noProof/>
      <w:sz w:val="20"/>
      <w:szCs w:val="20"/>
    </w:rPr>
  </w:style>
  <w:style w:type="character" w:customStyle="1" w:styleId="UnresolvedMention1">
    <w:name w:val="Unresolved Mention1"/>
    <w:basedOn w:val="DefaultParagraphFont"/>
    <w:uiPriority w:val="99"/>
    <w:semiHidden/>
    <w:unhideWhenUsed/>
    <w:rsid w:val="00094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1681">
      <w:bodyDiv w:val="1"/>
      <w:marLeft w:val="0"/>
      <w:marRight w:val="0"/>
      <w:marTop w:val="0"/>
      <w:marBottom w:val="0"/>
      <w:divBdr>
        <w:top w:val="none" w:sz="0" w:space="0" w:color="auto"/>
        <w:left w:val="none" w:sz="0" w:space="0" w:color="auto"/>
        <w:bottom w:val="none" w:sz="0" w:space="0" w:color="auto"/>
        <w:right w:val="none" w:sz="0" w:space="0" w:color="auto"/>
      </w:divBdr>
    </w:div>
    <w:div w:id="672341893">
      <w:bodyDiv w:val="1"/>
      <w:marLeft w:val="0"/>
      <w:marRight w:val="0"/>
      <w:marTop w:val="0"/>
      <w:marBottom w:val="0"/>
      <w:divBdr>
        <w:top w:val="none" w:sz="0" w:space="0" w:color="auto"/>
        <w:left w:val="none" w:sz="0" w:space="0" w:color="auto"/>
        <w:bottom w:val="none" w:sz="0" w:space="0" w:color="auto"/>
        <w:right w:val="none" w:sz="0" w:space="0" w:color="auto"/>
      </w:divBdr>
    </w:div>
    <w:div w:id="693921811">
      <w:bodyDiv w:val="1"/>
      <w:marLeft w:val="0"/>
      <w:marRight w:val="0"/>
      <w:marTop w:val="0"/>
      <w:marBottom w:val="0"/>
      <w:divBdr>
        <w:top w:val="none" w:sz="0" w:space="0" w:color="auto"/>
        <w:left w:val="none" w:sz="0" w:space="0" w:color="auto"/>
        <w:bottom w:val="none" w:sz="0" w:space="0" w:color="auto"/>
        <w:right w:val="none" w:sz="0" w:space="0" w:color="auto"/>
      </w:divBdr>
    </w:div>
    <w:div w:id="868185776">
      <w:bodyDiv w:val="1"/>
      <w:marLeft w:val="0"/>
      <w:marRight w:val="0"/>
      <w:marTop w:val="0"/>
      <w:marBottom w:val="0"/>
      <w:divBdr>
        <w:top w:val="none" w:sz="0" w:space="0" w:color="auto"/>
        <w:left w:val="none" w:sz="0" w:space="0" w:color="auto"/>
        <w:bottom w:val="none" w:sz="0" w:space="0" w:color="auto"/>
        <w:right w:val="none" w:sz="0" w:space="0" w:color="auto"/>
      </w:divBdr>
    </w:div>
    <w:div w:id="1047413982">
      <w:bodyDiv w:val="1"/>
      <w:marLeft w:val="0"/>
      <w:marRight w:val="0"/>
      <w:marTop w:val="0"/>
      <w:marBottom w:val="0"/>
      <w:divBdr>
        <w:top w:val="none" w:sz="0" w:space="0" w:color="auto"/>
        <w:left w:val="none" w:sz="0" w:space="0" w:color="auto"/>
        <w:bottom w:val="none" w:sz="0" w:space="0" w:color="auto"/>
        <w:right w:val="none" w:sz="0" w:space="0" w:color="auto"/>
      </w:divBdr>
    </w:div>
    <w:div w:id="1287278496">
      <w:bodyDiv w:val="1"/>
      <w:marLeft w:val="0"/>
      <w:marRight w:val="0"/>
      <w:marTop w:val="0"/>
      <w:marBottom w:val="0"/>
      <w:divBdr>
        <w:top w:val="none" w:sz="0" w:space="0" w:color="auto"/>
        <w:left w:val="none" w:sz="0" w:space="0" w:color="auto"/>
        <w:bottom w:val="none" w:sz="0" w:space="0" w:color="auto"/>
        <w:right w:val="none" w:sz="0" w:space="0" w:color="auto"/>
      </w:divBdr>
    </w:div>
    <w:div w:id="1340428382">
      <w:bodyDiv w:val="1"/>
      <w:marLeft w:val="0"/>
      <w:marRight w:val="0"/>
      <w:marTop w:val="0"/>
      <w:marBottom w:val="0"/>
      <w:divBdr>
        <w:top w:val="none" w:sz="0" w:space="0" w:color="auto"/>
        <w:left w:val="none" w:sz="0" w:space="0" w:color="auto"/>
        <w:bottom w:val="none" w:sz="0" w:space="0" w:color="auto"/>
        <w:right w:val="none" w:sz="0" w:space="0" w:color="auto"/>
      </w:divBdr>
    </w:div>
    <w:div w:id="1503739280">
      <w:bodyDiv w:val="1"/>
      <w:marLeft w:val="0"/>
      <w:marRight w:val="0"/>
      <w:marTop w:val="0"/>
      <w:marBottom w:val="0"/>
      <w:divBdr>
        <w:top w:val="none" w:sz="0" w:space="0" w:color="auto"/>
        <w:left w:val="none" w:sz="0" w:space="0" w:color="auto"/>
        <w:bottom w:val="none" w:sz="0" w:space="0" w:color="auto"/>
        <w:right w:val="none" w:sz="0" w:space="0" w:color="auto"/>
      </w:divBdr>
    </w:div>
    <w:div w:id="1641878880">
      <w:bodyDiv w:val="1"/>
      <w:marLeft w:val="0"/>
      <w:marRight w:val="0"/>
      <w:marTop w:val="0"/>
      <w:marBottom w:val="0"/>
      <w:divBdr>
        <w:top w:val="none" w:sz="0" w:space="0" w:color="auto"/>
        <w:left w:val="none" w:sz="0" w:space="0" w:color="auto"/>
        <w:bottom w:val="none" w:sz="0" w:space="0" w:color="auto"/>
        <w:right w:val="none" w:sz="0" w:space="0" w:color="auto"/>
      </w:divBdr>
    </w:div>
    <w:div w:id="1815755939">
      <w:bodyDiv w:val="1"/>
      <w:marLeft w:val="0"/>
      <w:marRight w:val="0"/>
      <w:marTop w:val="0"/>
      <w:marBottom w:val="0"/>
      <w:divBdr>
        <w:top w:val="none" w:sz="0" w:space="0" w:color="auto"/>
        <w:left w:val="none" w:sz="0" w:space="0" w:color="auto"/>
        <w:bottom w:val="none" w:sz="0" w:space="0" w:color="auto"/>
        <w:right w:val="none" w:sz="0" w:space="0" w:color="auto"/>
      </w:divBdr>
      <w:divsChild>
        <w:div w:id="74712781">
          <w:marLeft w:val="0"/>
          <w:marRight w:val="0"/>
          <w:marTop w:val="0"/>
          <w:marBottom w:val="0"/>
          <w:divBdr>
            <w:top w:val="none" w:sz="0" w:space="0" w:color="auto"/>
            <w:left w:val="none" w:sz="0" w:space="0" w:color="auto"/>
            <w:bottom w:val="none" w:sz="0" w:space="0" w:color="auto"/>
            <w:right w:val="none" w:sz="0" w:space="0" w:color="auto"/>
          </w:divBdr>
        </w:div>
        <w:div w:id="374163868">
          <w:marLeft w:val="0"/>
          <w:marRight w:val="0"/>
          <w:marTop w:val="0"/>
          <w:marBottom w:val="0"/>
          <w:divBdr>
            <w:top w:val="none" w:sz="0" w:space="0" w:color="auto"/>
            <w:left w:val="none" w:sz="0" w:space="0" w:color="auto"/>
            <w:bottom w:val="none" w:sz="0" w:space="0" w:color="auto"/>
            <w:right w:val="none" w:sz="0" w:space="0" w:color="auto"/>
          </w:divBdr>
        </w:div>
        <w:div w:id="492528719">
          <w:marLeft w:val="0"/>
          <w:marRight w:val="0"/>
          <w:marTop w:val="0"/>
          <w:marBottom w:val="0"/>
          <w:divBdr>
            <w:top w:val="none" w:sz="0" w:space="0" w:color="auto"/>
            <w:left w:val="none" w:sz="0" w:space="0" w:color="auto"/>
            <w:bottom w:val="none" w:sz="0" w:space="0" w:color="auto"/>
            <w:right w:val="none" w:sz="0" w:space="0" w:color="auto"/>
          </w:divBdr>
        </w:div>
        <w:div w:id="1086994657">
          <w:marLeft w:val="0"/>
          <w:marRight w:val="0"/>
          <w:marTop w:val="0"/>
          <w:marBottom w:val="0"/>
          <w:divBdr>
            <w:top w:val="none" w:sz="0" w:space="0" w:color="auto"/>
            <w:left w:val="none" w:sz="0" w:space="0" w:color="auto"/>
            <w:bottom w:val="none" w:sz="0" w:space="0" w:color="auto"/>
            <w:right w:val="none" w:sz="0" w:space="0" w:color="auto"/>
          </w:divBdr>
        </w:div>
        <w:div w:id="1333337907">
          <w:marLeft w:val="0"/>
          <w:marRight w:val="0"/>
          <w:marTop w:val="0"/>
          <w:marBottom w:val="0"/>
          <w:divBdr>
            <w:top w:val="none" w:sz="0" w:space="0" w:color="auto"/>
            <w:left w:val="none" w:sz="0" w:space="0" w:color="auto"/>
            <w:bottom w:val="none" w:sz="0" w:space="0" w:color="auto"/>
            <w:right w:val="none" w:sz="0" w:space="0" w:color="auto"/>
          </w:divBdr>
        </w:div>
        <w:div w:id="1568766436">
          <w:marLeft w:val="0"/>
          <w:marRight w:val="0"/>
          <w:marTop w:val="0"/>
          <w:marBottom w:val="0"/>
          <w:divBdr>
            <w:top w:val="none" w:sz="0" w:space="0" w:color="auto"/>
            <w:left w:val="none" w:sz="0" w:space="0" w:color="auto"/>
            <w:bottom w:val="none" w:sz="0" w:space="0" w:color="auto"/>
            <w:right w:val="none" w:sz="0" w:space="0" w:color="auto"/>
          </w:divBdr>
        </w:div>
        <w:div w:id="1581253112">
          <w:marLeft w:val="0"/>
          <w:marRight w:val="0"/>
          <w:marTop w:val="0"/>
          <w:marBottom w:val="0"/>
          <w:divBdr>
            <w:top w:val="none" w:sz="0" w:space="0" w:color="auto"/>
            <w:left w:val="none" w:sz="0" w:space="0" w:color="auto"/>
            <w:bottom w:val="none" w:sz="0" w:space="0" w:color="auto"/>
            <w:right w:val="none" w:sz="0" w:space="0" w:color="auto"/>
          </w:divBdr>
        </w:div>
        <w:div w:id="1812675407">
          <w:marLeft w:val="0"/>
          <w:marRight w:val="0"/>
          <w:marTop w:val="0"/>
          <w:marBottom w:val="0"/>
          <w:divBdr>
            <w:top w:val="none" w:sz="0" w:space="0" w:color="auto"/>
            <w:left w:val="none" w:sz="0" w:space="0" w:color="auto"/>
            <w:bottom w:val="none" w:sz="0" w:space="0" w:color="auto"/>
            <w:right w:val="none" w:sz="0" w:space="0" w:color="auto"/>
          </w:divBdr>
        </w:div>
        <w:div w:id="2084139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56CFC61-B54C-DA4D-9887-281EA348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51941</Words>
  <Characters>296064</Characters>
  <Application>Microsoft Office Word</Application>
  <DocSecurity>0</DocSecurity>
  <Lines>2467</Lines>
  <Paragraphs>694</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347311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 Khanna</dc:creator>
  <cp:lastModifiedBy>Aditya Khanna</cp:lastModifiedBy>
  <cp:revision>23</cp:revision>
  <dcterms:created xsi:type="dcterms:W3CDTF">2019-03-13T20:00:00Z</dcterms:created>
  <dcterms:modified xsi:type="dcterms:W3CDTF">2019-03-13T20:07:00Z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5278ec98-d824-36f4-a5ae-cfb41df5d97b</vt:lpwstr>
  </property>
  <property fmtid="{D5CDD505-2E9C-101B-9397-08002B2CF9AE}" pid="4" name="Mendeley Citation Style_1">
    <vt:lpwstr>http://www.zotero.org/styles/aids</vt:lpwstr>
  </property>
  <property fmtid="{D5CDD505-2E9C-101B-9397-08002B2CF9AE}" pid="5" name="Mendeley Recent Style Id 0_1">
    <vt:lpwstr>http://www.zotero.org/styles/aids</vt:lpwstr>
  </property>
  <property fmtid="{D5CDD505-2E9C-101B-9397-08002B2CF9AE}" pid="6" name="Mendeley Recent Style Name 0_1">
    <vt:lpwstr>AIDS</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http://www.zotero.org/styles/jama</vt:lpwstr>
  </property>
  <property fmtid="{D5CDD505-2E9C-101B-9397-08002B2CF9AE}" pid="16" name="Mendeley Recent Style Name 5_1">
    <vt:lpwstr>JAMA (The Journal of the American Medical Association)</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