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AA3C8" w14:textId="7C1A4A9C" w:rsidR="00C11ECC" w:rsidRDefault="00D67308" w:rsidP="004804BC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Appendix 2: </w:t>
      </w:r>
      <w:r w:rsidR="00CC45DB">
        <w:rPr>
          <w:b/>
          <w:sz w:val="36"/>
          <w:szCs w:val="36"/>
        </w:rPr>
        <w:t xml:space="preserve">Applied QUIPS tool and Risk of Bias </w:t>
      </w:r>
    </w:p>
    <w:tbl>
      <w:tblPr>
        <w:tblStyle w:val="Tabelraster"/>
        <w:tblW w:w="10206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536"/>
        <w:gridCol w:w="4428"/>
      </w:tblGrid>
      <w:tr w:rsidR="00CC45DB" w:rsidRPr="00CE70EC" w14:paraId="42C521F3" w14:textId="77777777" w:rsidTr="00CC45DB">
        <w:tc>
          <w:tcPr>
            <w:tcW w:w="1242" w:type="dxa"/>
          </w:tcPr>
          <w:p w14:paraId="473C5AD3" w14:textId="77777777" w:rsidR="00CC45DB" w:rsidRPr="00CE70EC" w:rsidRDefault="00CC45DB" w:rsidP="00CC45DB">
            <w:pPr>
              <w:spacing w:line="276" w:lineRule="auto"/>
              <w:rPr>
                <w:rFonts w:ascii="Cambria Math" w:hAnsi="Cambria Math"/>
                <w:b/>
                <w:sz w:val="22"/>
                <w:szCs w:val="22"/>
              </w:rPr>
            </w:pPr>
            <w:r w:rsidRPr="00CE70EC">
              <w:rPr>
                <w:rFonts w:ascii="Cambria Math" w:hAnsi="Cambria Math"/>
                <w:b/>
                <w:sz w:val="22"/>
                <w:szCs w:val="22"/>
              </w:rPr>
              <w:t>Domain</w:t>
            </w:r>
          </w:p>
        </w:tc>
        <w:tc>
          <w:tcPr>
            <w:tcW w:w="4536" w:type="dxa"/>
          </w:tcPr>
          <w:p w14:paraId="71751F79" w14:textId="77777777" w:rsidR="00CC45DB" w:rsidRPr="00CE70EC" w:rsidRDefault="00CC45DB" w:rsidP="00CC45DB">
            <w:pPr>
              <w:spacing w:line="276" w:lineRule="auto"/>
              <w:rPr>
                <w:rFonts w:ascii="Cambria Math" w:hAnsi="Cambria Math"/>
                <w:b/>
                <w:sz w:val="22"/>
                <w:szCs w:val="22"/>
              </w:rPr>
            </w:pPr>
            <w:r w:rsidRPr="00CE70EC">
              <w:rPr>
                <w:rFonts w:ascii="Cambria Math" w:hAnsi="Cambria Math"/>
                <w:b/>
                <w:sz w:val="22"/>
                <w:szCs w:val="22"/>
              </w:rPr>
              <w:t>Items for consideration</w:t>
            </w:r>
          </w:p>
        </w:tc>
        <w:tc>
          <w:tcPr>
            <w:tcW w:w="4428" w:type="dxa"/>
          </w:tcPr>
          <w:p w14:paraId="35456875" w14:textId="77777777" w:rsidR="00CC45DB" w:rsidRPr="00CE70EC" w:rsidRDefault="00CC45DB" w:rsidP="00CC45DB">
            <w:pPr>
              <w:spacing w:line="276" w:lineRule="auto"/>
              <w:rPr>
                <w:rFonts w:ascii="Cambria Math" w:hAnsi="Cambria Math"/>
                <w:b/>
                <w:sz w:val="22"/>
                <w:szCs w:val="22"/>
              </w:rPr>
            </w:pPr>
            <w:r w:rsidRPr="00CE70EC">
              <w:rPr>
                <w:rFonts w:ascii="Cambria Math" w:hAnsi="Cambria Math"/>
                <w:b/>
                <w:sz w:val="22"/>
                <w:szCs w:val="22"/>
              </w:rPr>
              <w:t>Rating</w:t>
            </w:r>
          </w:p>
        </w:tc>
      </w:tr>
      <w:tr w:rsidR="00CC45DB" w:rsidRPr="00CE70EC" w14:paraId="2A1F998B" w14:textId="77777777" w:rsidTr="00CC45DB">
        <w:tc>
          <w:tcPr>
            <w:tcW w:w="1242" w:type="dxa"/>
          </w:tcPr>
          <w:p w14:paraId="1FB45221" w14:textId="77777777" w:rsidR="00CC45DB" w:rsidRPr="00CE70EC" w:rsidRDefault="00CC45DB" w:rsidP="00CC45DB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  <w:r w:rsidRPr="00CE70EC">
              <w:rPr>
                <w:rFonts w:ascii="Cambria Math" w:hAnsi="Cambria Math"/>
                <w:sz w:val="22"/>
                <w:szCs w:val="22"/>
              </w:rPr>
              <w:t>Study participation</w:t>
            </w:r>
          </w:p>
        </w:tc>
        <w:tc>
          <w:tcPr>
            <w:tcW w:w="4536" w:type="dxa"/>
          </w:tcPr>
          <w:p w14:paraId="63BF7036" w14:textId="77777777" w:rsidR="00CC45DB" w:rsidRPr="00CE70EC" w:rsidRDefault="00CC45DB" w:rsidP="00CC45DB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  <w:r w:rsidRPr="00CE70EC">
              <w:rPr>
                <w:rFonts w:ascii="Cambria Math" w:hAnsi="Cambria Math"/>
                <w:sz w:val="22"/>
                <w:szCs w:val="22"/>
              </w:rPr>
              <w:t>Adequate description of period + place of recruitment</w:t>
            </w:r>
          </w:p>
          <w:p w14:paraId="4240B89C" w14:textId="77777777" w:rsidR="00CC45DB" w:rsidRPr="00CE70EC" w:rsidRDefault="00CC45DB" w:rsidP="00CC45DB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  <w:r w:rsidRPr="00CE70EC">
              <w:rPr>
                <w:rFonts w:ascii="Cambria Math" w:hAnsi="Cambria Math"/>
                <w:sz w:val="22"/>
                <w:szCs w:val="22"/>
              </w:rPr>
              <w:t>Adequate description of in/exclusion criteria</w:t>
            </w:r>
          </w:p>
          <w:p w14:paraId="47F70F37" w14:textId="77777777" w:rsidR="00CC45DB" w:rsidRPr="00CE70EC" w:rsidRDefault="00CC45DB" w:rsidP="00CC45DB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  <w:r w:rsidRPr="00CE70EC">
              <w:rPr>
                <w:rFonts w:ascii="Cambria Math" w:hAnsi="Cambria Math"/>
                <w:sz w:val="22"/>
                <w:szCs w:val="22"/>
              </w:rPr>
              <w:t>Adequate description of number + characteristics of LTFU patients</w:t>
            </w:r>
          </w:p>
        </w:tc>
        <w:tc>
          <w:tcPr>
            <w:tcW w:w="4428" w:type="dxa"/>
          </w:tcPr>
          <w:p w14:paraId="6C0F82F3" w14:textId="77777777" w:rsidR="00CC45DB" w:rsidRPr="00CE70EC" w:rsidRDefault="00CC45DB" w:rsidP="00CC45DB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  <w:r w:rsidRPr="00CE70EC">
              <w:rPr>
                <w:rFonts w:ascii="Cambria Math" w:hAnsi="Cambria Math"/>
                <w:b/>
                <w:sz w:val="22"/>
                <w:szCs w:val="22"/>
              </w:rPr>
              <w:t>High risk:</w:t>
            </w:r>
            <w:r w:rsidRPr="00CE70EC">
              <w:rPr>
                <w:rFonts w:ascii="Cambria Math" w:hAnsi="Cambria Math"/>
                <w:sz w:val="22"/>
                <w:szCs w:val="22"/>
              </w:rPr>
              <w:t xml:space="preserve">  Significant amount of eligible patients not included in the study (e.g. experimental design)</w:t>
            </w:r>
            <w:r w:rsidRPr="00CE70EC">
              <w:rPr>
                <w:rFonts w:ascii="Cambria Math" w:hAnsi="Cambria Math"/>
                <w:sz w:val="22"/>
                <w:szCs w:val="22"/>
              </w:rPr>
              <w:br/>
            </w:r>
            <w:r w:rsidRPr="00CE70EC">
              <w:rPr>
                <w:rFonts w:ascii="Cambria Math" w:hAnsi="Cambria Math"/>
                <w:sz w:val="22"/>
                <w:szCs w:val="22"/>
              </w:rPr>
              <w:br/>
            </w:r>
            <w:r w:rsidRPr="00CE70EC">
              <w:rPr>
                <w:rFonts w:ascii="Cambria Math" w:hAnsi="Cambria Math"/>
                <w:b/>
                <w:sz w:val="22"/>
                <w:szCs w:val="22"/>
              </w:rPr>
              <w:t>Low risk:</w:t>
            </w:r>
            <w:r w:rsidRPr="00CE70EC">
              <w:rPr>
                <w:rFonts w:ascii="Cambria Math" w:hAnsi="Cambria Math"/>
                <w:sz w:val="22"/>
                <w:szCs w:val="22"/>
              </w:rPr>
              <w:t xml:space="preserve"> almost all eligible patients included or random inclusion</w:t>
            </w:r>
          </w:p>
        </w:tc>
      </w:tr>
      <w:tr w:rsidR="00CC45DB" w:rsidRPr="00CE70EC" w14:paraId="7B4C1E80" w14:textId="77777777" w:rsidTr="00CC45DB">
        <w:tc>
          <w:tcPr>
            <w:tcW w:w="1242" w:type="dxa"/>
          </w:tcPr>
          <w:p w14:paraId="19522751" w14:textId="77777777" w:rsidR="00CC45DB" w:rsidRPr="00CE70EC" w:rsidRDefault="00CC45DB" w:rsidP="00CC45DB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  <w:r w:rsidRPr="00CE70EC">
              <w:rPr>
                <w:rFonts w:ascii="Cambria Math" w:hAnsi="Cambria Math"/>
                <w:sz w:val="22"/>
                <w:szCs w:val="22"/>
              </w:rPr>
              <w:t>Study attrition</w:t>
            </w:r>
          </w:p>
        </w:tc>
        <w:tc>
          <w:tcPr>
            <w:tcW w:w="4536" w:type="dxa"/>
          </w:tcPr>
          <w:p w14:paraId="7FBAFC47" w14:textId="77777777" w:rsidR="00CC45DB" w:rsidRPr="00CE70EC" w:rsidRDefault="00CC45DB" w:rsidP="00CC45DB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  <w:r w:rsidRPr="00CE70EC">
              <w:rPr>
                <w:rFonts w:ascii="Cambria Math" w:hAnsi="Cambria Math"/>
                <w:sz w:val="22"/>
                <w:szCs w:val="22"/>
              </w:rPr>
              <w:t>Adequate description of how outcome information was collected (deceased/transfer out / LTFU)</w:t>
            </w:r>
          </w:p>
          <w:p w14:paraId="436D364A" w14:textId="77777777" w:rsidR="00CC45DB" w:rsidRPr="00CE70EC" w:rsidRDefault="00CC45DB" w:rsidP="00CC45DB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4428" w:type="dxa"/>
          </w:tcPr>
          <w:p w14:paraId="4FC89085" w14:textId="77777777" w:rsidR="00CC45DB" w:rsidRPr="00CE70EC" w:rsidRDefault="00CC45DB" w:rsidP="00CC45DB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  <w:r w:rsidRPr="00CE70EC">
              <w:rPr>
                <w:rFonts w:ascii="Cambria Math" w:hAnsi="Cambria Math"/>
                <w:b/>
                <w:sz w:val="22"/>
                <w:szCs w:val="22"/>
              </w:rPr>
              <w:t>High risk</w:t>
            </w:r>
            <w:r w:rsidRPr="00CE70EC">
              <w:rPr>
                <w:rFonts w:ascii="Cambria Math" w:hAnsi="Cambria Math"/>
                <w:sz w:val="22"/>
                <w:szCs w:val="22"/>
              </w:rPr>
              <w:t xml:space="preserve">: no system in place to register transfer outs or deaths to distinguish from LTFU </w:t>
            </w:r>
            <w:r w:rsidRPr="00CE70EC">
              <w:rPr>
                <w:rFonts w:ascii="Cambria Math" w:hAnsi="Cambria Math"/>
                <w:sz w:val="22"/>
                <w:szCs w:val="22"/>
              </w:rPr>
              <w:br/>
            </w:r>
          </w:p>
          <w:p w14:paraId="5C5D1DC6" w14:textId="77777777" w:rsidR="00CC45DB" w:rsidRPr="00CE70EC" w:rsidRDefault="00CC45DB" w:rsidP="00CC45DB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  <w:r w:rsidRPr="00CE70EC">
              <w:rPr>
                <w:rFonts w:ascii="Cambria Math" w:hAnsi="Cambria Math"/>
                <w:b/>
                <w:sz w:val="22"/>
                <w:szCs w:val="22"/>
              </w:rPr>
              <w:t>Low risk:</w:t>
            </w:r>
            <w:r w:rsidRPr="00CE70EC">
              <w:rPr>
                <w:rFonts w:ascii="Cambria Math" w:hAnsi="Cambria Math"/>
                <w:sz w:val="22"/>
                <w:szCs w:val="22"/>
              </w:rPr>
              <w:t xml:space="preserve"> deaths and transfer outs properly registered</w:t>
            </w:r>
          </w:p>
        </w:tc>
      </w:tr>
      <w:tr w:rsidR="00CC45DB" w:rsidRPr="00CE70EC" w14:paraId="1F07C7DD" w14:textId="77777777" w:rsidTr="00CC45DB">
        <w:tc>
          <w:tcPr>
            <w:tcW w:w="1242" w:type="dxa"/>
          </w:tcPr>
          <w:p w14:paraId="323B1215" w14:textId="77777777" w:rsidR="00CC45DB" w:rsidRPr="00CE70EC" w:rsidRDefault="00CC45DB" w:rsidP="00CC45DB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  <w:r w:rsidRPr="00CE70EC">
              <w:rPr>
                <w:rFonts w:ascii="Cambria Math" w:hAnsi="Cambria Math"/>
                <w:sz w:val="22"/>
                <w:szCs w:val="22"/>
              </w:rPr>
              <w:t>Prognostic factor measurement</w:t>
            </w:r>
          </w:p>
        </w:tc>
        <w:tc>
          <w:tcPr>
            <w:tcW w:w="4536" w:type="dxa"/>
          </w:tcPr>
          <w:p w14:paraId="1F317397" w14:textId="77777777" w:rsidR="00CC45DB" w:rsidRPr="00CE70EC" w:rsidRDefault="00CC45DB" w:rsidP="00CC45DB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  <w:r w:rsidRPr="00CE70EC">
              <w:rPr>
                <w:rFonts w:ascii="Cambria Math" w:hAnsi="Cambria Math"/>
                <w:sz w:val="22"/>
                <w:szCs w:val="22"/>
              </w:rPr>
              <w:t>Clear definition of the determinants</w:t>
            </w:r>
          </w:p>
          <w:p w14:paraId="472C3807" w14:textId="77777777" w:rsidR="00CC45DB" w:rsidRPr="00CE70EC" w:rsidRDefault="00CC45DB" w:rsidP="00CC45DB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  <w:r w:rsidRPr="00CE70EC">
              <w:rPr>
                <w:rFonts w:ascii="Cambria Math" w:hAnsi="Cambria Math"/>
                <w:sz w:val="22"/>
                <w:szCs w:val="22"/>
              </w:rPr>
              <w:t>Adequate description of how and when determinants were measured</w:t>
            </w:r>
            <w:r w:rsidRPr="00CE70EC">
              <w:rPr>
                <w:rFonts w:ascii="Cambria Math" w:hAnsi="Cambria Math"/>
                <w:sz w:val="22"/>
                <w:szCs w:val="22"/>
              </w:rPr>
              <w:br/>
              <w:t>Method of measurement same for all participants</w:t>
            </w:r>
          </w:p>
          <w:p w14:paraId="066E4C06" w14:textId="77777777" w:rsidR="00CC45DB" w:rsidRPr="00CE70EC" w:rsidRDefault="00CC45DB" w:rsidP="00CC45DB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  <w:r w:rsidRPr="00CE70EC">
              <w:rPr>
                <w:rFonts w:ascii="Cambria Math" w:hAnsi="Cambria Math"/>
                <w:sz w:val="22"/>
                <w:szCs w:val="22"/>
              </w:rPr>
              <w:t xml:space="preserve">Missing data </w:t>
            </w:r>
          </w:p>
        </w:tc>
        <w:tc>
          <w:tcPr>
            <w:tcW w:w="4428" w:type="dxa"/>
          </w:tcPr>
          <w:p w14:paraId="50672FBC" w14:textId="77777777" w:rsidR="00CC45DB" w:rsidRPr="00CE70EC" w:rsidRDefault="00CC45DB" w:rsidP="00CC45DB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  <w:r w:rsidRPr="00CE70EC">
              <w:rPr>
                <w:rFonts w:ascii="Cambria Math" w:hAnsi="Cambria Math"/>
                <w:b/>
                <w:sz w:val="22"/>
                <w:szCs w:val="22"/>
              </w:rPr>
              <w:t>High risk:</w:t>
            </w:r>
            <w:r w:rsidRPr="00CE70EC">
              <w:rPr>
                <w:rFonts w:ascii="Cambria Math" w:hAnsi="Cambria Math"/>
                <w:sz w:val="22"/>
                <w:szCs w:val="22"/>
              </w:rPr>
              <w:t xml:space="preserve"> determinants collected at different time points in tr</w:t>
            </w:r>
            <w:r>
              <w:rPr>
                <w:rFonts w:ascii="Cambria Math" w:hAnsi="Cambria Math"/>
                <w:sz w:val="22"/>
                <w:szCs w:val="22"/>
              </w:rPr>
              <w:t>eatment cascade, missing data ≥1</w:t>
            </w:r>
            <w:r w:rsidRPr="00CE70EC">
              <w:rPr>
                <w:rFonts w:ascii="Cambria Math" w:hAnsi="Cambria Math"/>
                <w:sz w:val="22"/>
                <w:szCs w:val="22"/>
              </w:rPr>
              <w:t>0%</w:t>
            </w:r>
          </w:p>
          <w:p w14:paraId="219F29EC" w14:textId="77777777" w:rsidR="00CC45DB" w:rsidRPr="00CE70EC" w:rsidRDefault="00CC45DB" w:rsidP="00CC45DB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  <w:p w14:paraId="7218086A" w14:textId="77777777" w:rsidR="00CC45DB" w:rsidRPr="00CE70EC" w:rsidRDefault="00CC45DB" w:rsidP="00CC45DB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  <w:r w:rsidRPr="00CE70EC">
              <w:rPr>
                <w:rFonts w:ascii="Cambria Math" w:hAnsi="Cambria Math"/>
                <w:b/>
                <w:sz w:val="22"/>
                <w:szCs w:val="22"/>
              </w:rPr>
              <w:t>Low risk:</w:t>
            </w:r>
            <w:r w:rsidRPr="00CE70EC">
              <w:rPr>
                <w:rFonts w:ascii="Cambria Math" w:hAnsi="Cambria Math"/>
                <w:sz w:val="22"/>
                <w:szCs w:val="22"/>
              </w:rPr>
              <w:t xml:space="preserve"> all determinants collected at</w:t>
            </w:r>
            <w:r>
              <w:rPr>
                <w:rFonts w:ascii="Cambria Math" w:hAnsi="Cambria Math"/>
                <w:sz w:val="22"/>
                <w:szCs w:val="22"/>
              </w:rPr>
              <w:t xml:space="preserve"> same time point, missing data &lt;</w:t>
            </w:r>
            <w:r w:rsidRPr="00CE70EC">
              <w:rPr>
                <w:rFonts w:ascii="Cambria Math" w:hAnsi="Cambria Math"/>
                <w:sz w:val="22"/>
                <w:szCs w:val="22"/>
              </w:rPr>
              <w:t>10%</w:t>
            </w:r>
          </w:p>
        </w:tc>
      </w:tr>
      <w:tr w:rsidR="00CC45DB" w:rsidRPr="00CE70EC" w14:paraId="24E30D6A" w14:textId="77777777" w:rsidTr="00CC45DB">
        <w:tc>
          <w:tcPr>
            <w:tcW w:w="1242" w:type="dxa"/>
          </w:tcPr>
          <w:p w14:paraId="088B3EC8" w14:textId="77777777" w:rsidR="00CC45DB" w:rsidRPr="00CE70EC" w:rsidRDefault="00CC45DB" w:rsidP="00CC45DB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  <w:r w:rsidRPr="00CE70EC">
              <w:rPr>
                <w:rFonts w:ascii="Cambria Math" w:hAnsi="Cambria Math"/>
                <w:sz w:val="22"/>
                <w:szCs w:val="22"/>
              </w:rPr>
              <w:t>Outcome measurement</w:t>
            </w:r>
          </w:p>
        </w:tc>
        <w:tc>
          <w:tcPr>
            <w:tcW w:w="4536" w:type="dxa"/>
          </w:tcPr>
          <w:p w14:paraId="60F43BCC" w14:textId="77777777" w:rsidR="00CC45DB" w:rsidRPr="00CE70EC" w:rsidRDefault="00CC45DB" w:rsidP="00CC45DB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  <w:r w:rsidRPr="00CE70EC">
              <w:rPr>
                <w:rFonts w:ascii="Cambria Math" w:hAnsi="Cambria Math"/>
                <w:sz w:val="22"/>
                <w:szCs w:val="22"/>
              </w:rPr>
              <w:t>Clear definition of LTFU</w:t>
            </w:r>
          </w:p>
          <w:p w14:paraId="14A6E358" w14:textId="77777777" w:rsidR="00CC45DB" w:rsidRPr="00CE70EC" w:rsidRDefault="00CC45DB" w:rsidP="00CC45DB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  <w:r w:rsidRPr="00CE70EC">
              <w:rPr>
                <w:rFonts w:ascii="Cambria Math" w:hAnsi="Cambria Math"/>
                <w:sz w:val="22"/>
                <w:szCs w:val="22"/>
              </w:rPr>
              <w:t xml:space="preserve">Method of measurement same for all participants </w:t>
            </w:r>
          </w:p>
        </w:tc>
        <w:tc>
          <w:tcPr>
            <w:tcW w:w="4428" w:type="dxa"/>
          </w:tcPr>
          <w:p w14:paraId="616C5F77" w14:textId="77777777" w:rsidR="00CC45DB" w:rsidRPr="00CE70EC" w:rsidRDefault="00CC45DB" w:rsidP="00CC45DB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  <w:r w:rsidRPr="00CE70EC">
              <w:rPr>
                <w:rFonts w:ascii="Cambria Math" w:hAnsi="Cambria Math"/>
                <w:b/>
                <w:sz w:val="22"/>
                <w:szCs w:val="22"/>
              </w:rPr>
              <w:t>High risk:</w:t>
            </w:r>
            <w:r w:rsidRPr="00CE70EC">
              <w:rPr>
                <w:rFonts w:ascii="Cambria Math" w:hAnsi="Cambria Math"/>
                <w:sz w:val="22"/>
                <w:szCs w:val="22"/>
              </w:rPr>
              <w:t xml:space="preserve"> flexible definition including interruptions or depending on time of data collection </w:t>
            </w:r>
            <w:r>
              <w:rPr>
                <w:rFonts w:ascii="Cambria Math" w:hAnsi="Cambria Math"/>
                <w:sz w:val="22"/>
                <w:szCs w:val="22"/>
              </w:rPr>
              <w:t xml:space="preserve">with different time points </w:t>
            </w:r>
          </w:p>
          <w:p w14:paraId="1597306D" w14:textId="77777777" w:rsidR="00CC45DB" w:rsidRPr="00CE70EC" w:rsidRDefault="00CC45DB" w:rsidP="00CC45DB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  <w:p w14:paraId="6429710E" w14:textId="77777777" w:rsidR="00CC45DB" w:rsidRPr="00CE70EC" w:rsidRDefault="00CC45DB" w:rsidP="00CC45DB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  <w:r w:rsidRPr="00CE70EC">
              <w:rPr>
                <w:rFonts w:ascii="Cambria Math" w:hAnsi="Cambria Math"/>
                <w:b/>
                <w:sz w:val="22"/>
                <w:szCs w:val="22"/>
              </w:rPr>
              <w:t>Low risk:</w:t>
            </w:r>
            <w:r w:rsidRPr="00CE70EC">
              <w:rPr>
                <w:rFonts w:ascii="Cambria Math" w:hAnsi="Cambria Math"/>
                <w:sz w:val="22"/>
                <w:szCs w:val="22"/>
              </w:rPr>
              <w:t xml:space="preserve"> strict LTFU definition with fixed number of days since last or scheduled visit date</w:t>
            </w:r>
          </w:p>
        </w:tc>
      </w:tr>
      <w:tr w:rsidR="00CC45DB" w:rsidRPr="00CE70EC" w14:paraId="200EE502" w14:textId="77777777" w:rsidTr="00CC45DB">
        <w:tc>
          <w:tcPr>
            <w:tcW w:w="1242" w:type="dxa"/>
          </w:tcPr>
          <w:p w14:paraId="3586617E" w14:textId="77777777" w:rsidR="00CC45DB" w:rsidRPr="00CE70EC" w:rsidRDefault="00CC45DB" w:rsidP="00CC45DB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  <w:r w:rsidRPr="00CE70EC">
              <w:rPr>
                <w:rFonts w:ascii="Cambria Math" w:hAnsi="Cambria Math"/>
                <w:sz w:val="22"/>
                <w:szCs w:val="22"/>
              </w:rPr>
              <w:t>Study confoundi</w:t>
            </w:r>
            <w:r w:rsidRPr="00CE70EC">
              <w:rPr>
                <w:rFonts w:ascii="Cambria Math" w:hAnsi="Cambria Math"/>
                <w:sz w:val="22"/>
                <w:szCs w:val="22"/>
              </w:rPr>
              <w:lastRenderedPageBreak/>
              <w:t>ng</w:t>
            </w:r>
          </w:p>
        </w:tc>
        <w:tc>
          <w:tcPr>
            <w:tcW w:w="4536" w:type="dxa"/>
          </w:tcPr>
          <w:p w14:paraId="7F56EB46" w14:textId="77777777" w:rsidR="00CC45DB" w:rsidRPr="00CE70EC" w:rsidRDefault="00CC45DB" w:rsidP="00CC45DB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  <w:r w:rsidRPr="00CE70EC">
              <w:rPr>
                <w:rFonts w:ascii="Cambria Math" w:hAnsi="Cambria Math"/>
                <w:sz w:val="22"/>
                <w:szCs w:val="22"/>
              </w:rPr>
              <w:lastRenderedPageBreak/>
              <w:t>Clear definition and adequate measurement of important confounders</w:t>
            </w:r>
          </w:p>
          <w:p w14:paraId="448CC7BA" w14:textId="77777777" w:rsidR="00CC45DB" w:rsidRPr="00CE70EC" w:rsidRDefault="00CC45DB" w:rsidP="00CC45DB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  <w:r w:rsidRPr="00CE70EC">
              <w:rPr>
                <w:rFonts w:ascii="Cambria Math" w:hAnsi="Cambria Math"/>
                <w:sz w:val="22"/>
                <w:szCs w:val="22"/>
              </w:rPr>
              <w:lastRenderedPageBreak/>
              <w:t xml:space="preserve">Important potential confounders are accounted for in the analysis </w:t>
            </w:r>
          </w:p>
        </w:tc>
        <w:tc>
          <w:tcPr>
            <w:tcW w:w="4428" w:type="dxa"/>
          </w:tcPr>
          <w:p w14:paraId="67D7089A" w14:textId="77777777" w:rsidR="00CC45DB" w:rsidRPr="00CE70EC" w:rsidRDefault="00CC45DB" w:rsidP="00CC45DB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  <w:r w:rsidRPr="00CE70EC">
              <w:rPr>
                <w:rFonts w:ascii="Cambria Math" w:hAnsi="Cambria Math"/>
                <w:b/>
                <w:sz w:val="22"/>
                <w:szCs w:val="22"/>
              </w:rPr>
              <w:lastRenderedPageBreak/>
              <w:t>High risk:</w:t>
            </w:r>
            <w:r w:rsidRPr="00CE70EC">
              <w:rPr>
                <w:rFonts w:ascii="Cambria Math" w:hAnsi="Cambria Math"/>
                <w:sz w:val="22"/>
                <w:szCs w:val="22"/>
              </w:rPr>
              <w:t xml:space="preserve"> if determinants with p&lt;0.05 in </w:t>
            </w:r>
            <w:proofErr w:type="spellStart"/>
            <w:r w:rsidRPr="00CE70EC">
              <w:rPr>
                <w:rFonts w:ascii="Cambria Math" w:hAnsi="Cambria Math"/>
                <w:sz w:val="22"/>
                <w:szCs w:val="22"/>
              </w:rPr>
              <w:t>univariate</w:t>
            </w:r>
            <w:proofErr w:type="spellEnd"/>
            <w:r w:rsidRPr="00CE70EC">
              <w:rPr>
                <w:rFonts w:ascii="Cambria Math" w:hAnsi="Cambria Math"/>
                <w:sz w:val="22"/>
                <w:szCs w:val="22"/>
              </w:rPr>
              <w:t xml:space="preserve"> analysis are not included in </w:t>
            </w:r>
            <w:r w:rsidRPr="00CE70EC">
              <w:rPr>
                <w:rFonts w:ascii="Cambria Math" w:hAnsi="Cambria Math"/>
                <w:sz w:val="22"/>
                <w:szCs w:val="22"/>
              </w:rPr>
              <w:lastRenderedPageBreak/>
              <w:t>multivariate analysis</w:t>
            </w:r>
          </w:p>
          <w:p w14:paraId="3F71FA93" w14:textId="77777777" w:rsidR="00CC45DB" w:rsidRPr="00CE70EC" w:rsidRDefault="00CC45DB" w:rsidP="00CC45DB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  <w:p w14:paraId="12A6B232" w14:textId="77777777" w:rsidR="00CC45DB" w:rsidRPr="00CE70EC" w:rsidRDefault="00CC45DB" w:rsidP="00CC45DB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  <w:r w:rsidRPr="00CE70EC">
              <w:rPr>
                <w:rFonts w:ascii="Cambria Math" w:hAnsi="Cambria Math"/>
                <w:b/>
                <w:sz w:val="22"/>
                <w:szCs w:val="22"/>
              </w:rPr>
              <w:t>Low risk:</w:t>
            </w:r>
            <w:r w:rsidRPr="00CE70EC">
              <w:rPr>
                <w:rFonts w:ascii="Cambria Math" w:hAnsi="Cambria Math"/>
                <w:sz w:val="22"/>
                <w:szCs w:val="22"/>
              </w:rPr>
              <w:t xml:space="preserve"> if all determinants from age, gender and CD4 plus other determinants in multivariate analysis unless p&gt;0.1 in </w:t>
            </w:r>
            <w:proofErr w:type="spellStart"/>
            <w:r w:rsidRPr="00CE70EC">
              <w:rPr>
                <w:rFonts w:ascii="Cambria Math" w:hAnsi="Cambria Math"/>
                <w:sz w:val="22"/>
                <w:szCs w:val="22"/>
              </w:rPr>
              <w:t>univariate</w:t>
            </w:r>
            <w:proofErr w:type="spellEnd"/>
            <w:r w:rsidRPr="00CE70EC">
              <w:rPr>
                <w:rFonts w:ascii="Cambria Math" w:hAnsi="Cambria Math"/>
                <w:sz w:val="22"/>
                <w:szCs w:val="22"/>
              </w:rPr>
              <w:t xml:space="preserve"> analysis</w:t>
            </w:r>
          </w:p>
        </w:tc>
      </w:tr>
      <w:tr w:rsidR="00CC45DB" w:rsidRPr="00CE70EC" w14:paraId="4BAA2EF9" w14:textId="77777777" w:rsidTr="00CC45DB">
        <w:tc>
          <w:tcPr>
            <w:tcW w:w="1242" w:type="dxa"/>
          </w:tcPr>
          <w:p w14:paraId="76744415" w14:textId="77777777" w:rsidR="00CC45DB" w:rsidRPr="00CE70EC" w:rsidRDefault="00CC45DB" w:rsidP="00CC45DB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  <w:r w:rsidRPr="00CE70EC">
              <w:rPr>
                <w:rFonts w:ascii="Cambria Math" w:hAnsi="Cambria Math"/>
                <w:sz w:val="22"/>
                <w:szCs w:val="22"/>
              </w:rPr>
              <w:lastRenderedPageBreak/>
              <w:t>Statistical analysis and reporting</w:t>
            </w:r>
          </w:p>
        </w:tc>
        <w:tc>
          <w:tcPr>
            <w:tcW w:w="4536" w:type="dxa"/>
          </w:tcPr>
          <w:p w14:paraId="6564C8F8" w14:textId="77777777" w:rsidR="00CC45DB" w:rsidRPr="00CE70EC" w:rsidRDefault="00CC45DB" w:rsidP="00CC45DB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  <w:r w:rsidRPr="00CE70EC">
              <w:rPr>
                <w:rFonts w:ascii="Cambria Math" w:hAnsi="Cambria Math"/>
                <w:sz w:val="22"/>
                <w:szCs w:val="22"/>
              </w:rPr>
              <w:t>Sufficient presentation of data to assess the adequacy of the analytic strategy</w:t>
            </w:r>
          </w:p>
          <w:p w14:paraId="667ECF4C" w14:textId="77777777" w:rsidR="00CC45DB" w:rsidRPr="00CE70EC" w:rsidRDefault="00CC45DB" w:rsidP="00CC45DB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  <w:r w:rsidRPr="00CE70EC">
              <w:rPr>
                <w:rFonts w:ascii="Cambria Math" w:hAnsi="Cambria Math"/>
                <w:sz w:val="22"/>
                <w:szCs w:val="22"/>
              </w:rPr>
              <w:t>No selective reporting of results</w:t>
            </w:r>
          </w:p>
        </w:tc>
        <w:tc>
          <w:tcPr>
            <w:tcW w:w="4428" w:type="dxa"/>
          </w:tcPr>
          <w:p w14:paraId="29E38475" w14:textId="77777777" w:rsidR="00CC45DB" w:rsidRPr="00CE70EC" w:rsidRDefault="00CC45DB" w:rsidP="00CC45DB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  <w:r w:rsidRPr="00CE70EC">
              <w:rPr>
                <w:rFonts w:ascii="Cambria Math" w:hAnsi="Cambria Math"/>
                <w:b/>
                <w:sz w:val="22"/>
                <w:szCs w:val="22"/>
              </w:rPr>
              <w:t>High risk:</w:t>
            </w:r>
            <w:r w:rsidRPr="00CE70EC">
              <w:rPr>
                <w:rFonts w:ascii="Cambria Math" w:hAnsi="Cambria Math"/>
                <w:sz w:val="22"/>
                <w:szCs w:val="22"/>
              </w:rPr>
              <w:t xml:space="preserve"> no CI or SE reported, 4 or less determinants in multivariate analysis</w:t>
            </w:r>
            <w:r w:rsidRPr="00CE70EC">
              <w:rPr>
                <w:rFonts w:ascii="Cambria Math" w:hAnsi="Cambria Math"/>
                <w:sz w:val="22"/>
                <w:szCs w:val="22"/>
              </w:rPr>
              <w:br/>
            </w:r>
          </w:p>
          <w:p w14:paraId="185D3AEC" w14:textId="77777777" w:rsidR="00CC45DB" w:rsidRPr="00CE70EC" w:rsidRDefault="00CC45DB" w:rsidP="00CC45DB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  <w:r w:rsidRPr="00CE70EC">
              <w:rPr>
                <w:rFonts w:ascii="Cambria Math" w:hAnsi="Cambria Math"/>
                <w:b/>
                <w:sz w:val="22"/>
                <w:szCs w:val="22"/>
              </w:rPr>
              <w:t>Low risk:</w:t>
            </w:r>
            <w:r w:rsidRPr="00CE70EC">
              <w:rPr>
                <w:rFonts w:ascii="Cambria Math" w:hAnsi="Cambria Math"/>
                <w:sz w:val="22"/>
                <w:szCs w:val="22"/>
              </w:rPr>
              <w:t xml:space="preserve">  CI or SE reported, 5 or more determinants in multivariate analysis </w:t>
            </w:r>
          </w:p>
        </w:tc>
      </w:tr>
      <w:tr w:rsidR="00CC45DB" w:rsidRPr="00CE70EC" w14:paraId="1AD430D9" w14:textId="77777777" w:rsidTr="00CC45DB">
        <w:tc>
          <w:tcPr>
            <w:tcW w:w="1242" w:type="dxa"/>
          </w:tcPr>
          <w:p w14:paraId="5AD8EBFC" w14:textId="77777777" w:rsidR="00CC45DB" w:rsidRPr="00CE70EC" w:rsidRDefault="00CC45DB" w:rsidP="00CC45DB">
            <w:pPr>
              <w:spacing w:line="276" w:lineRule="auto"/>
              <w:rPr>
                <w:rFonts w:ascii="Cambria Math" w:hAnsi="Cambria Math"/>
                <w:b/>
                <w:sz w:val="22"/>
                <w:szCs w:val="22"/>
              </w:rPr>
            </w:pPr>
            <w:r w:rsidRPr="00CE70EC">
              <w:rPr>
                <w:rFonts w:ascii="Cambria Math" w:hAnsi="Cambria Math"/>
                <w:b/>
                <w:sz w:val="22"/>
                <w:szCs w:val="22"/>
              </w:rPr>
              <w:t>Overall</w:t>
            </w:r>
          </w:p>
        </w:tc>
        <w:tc>
          <w:tcPr>
            <w:tcW w:w="4536" w:type="dxa"/>
          </w:tcPr>
          <w:p w14:paraId="4EE2011B" w14:textId="77777777" w:rsidR="00CC45DB" w:rsidRPr="00CE70EC" w:rsidRDefault="00CC45DB" w:rsidP="00CC45DB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4428" w:type="dxa"/>
          </w:tcPr>
          <w:p w14:paraId="4F514B7D" w14:textId="77777777" w:rsidR="00CC45DB" w:rsidRPr="00CE70EC" w:rsidRDefault="00CC45DB" w:rsidP="00CC45DB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  <w:r w:rsidRPr="00CE70EC">
              <w:rPr>
                <w:rFonts w:ascii="Cambria Math" w:hAnsi="Cambria Math"/>
                <w:b/>
                <w:sz w:val="22"/>
                <w:szCs w:val="22"/>
              </w:rPr>
              <w:t xml:space="preserve">High risk: </w:t>
            </w:r>
            <w:r w:rsidRPr="00CE70EC">
              <w:rPr>
                <w:rFonts w:ascii="Cambria Math" w:hAnsi="Cambria Math"/>
                <w:sz w:val="22"/>
                <w:szCs w:val="22"/>
              </w:rPr>
              <w:t>If 2 or more high risks</w:t>
            </w:r>
          </w:p>
          <w:p w14:paraId="7CC9DCB6" w14:textId="77777777" w:rsidR="00CC45DB" w:rsidRPr="00CE70EC" w:rsidRDefault="00CC45DB" w:rsidP="00CC45DB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  <w:r w:rsidRPr="00CE70EC">
              <w:rPr>
                <w:rFonts w:ascii="Cambria Math" w:hAnsi="Cambria Math"/>
                <w:b/>
                <w:sz w:val="22"/>
                <w:szCs w:val="22"/>
              </w:rPr>
              <w:t xml:space="preserve">Moderate risk: </w:t>
            </w:r>
            <w:r w:rsidRPr="00CE70EC">
              <w:rPr>
                <w:rFonts w:ascii="Cambria Math" w:hAnsi="Cambria Math"/>
                <w:sz w:val="22"/>
                <w:szCs w:val="22"/>
              </w:rPr>
              <w:t xml:space="preserve">if 1 high risk and / or 2 or more unclear </w:t>
            </w:r>
          </w:p>
          <w:p w14:paraId="67253E4E" w14:textId="77777777" w:rsidR="00CC45DB" w:rsidRPr="00CE70EC" w:rsidRDefault="00CC45DB" w:rsidP="00CC45DB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  <w:r w:rsidRPr="00CE70EC">
              <w:rPr>
                <w:rFonts w:ascii="Cambria Math" w:hAnsi="Cambria Math"/>
                <w:b/>
                <w:sz w:val="22"/>
                <w:szCs w:val="22"/>
              </w:rPr>
              <w:t xml:space="preserve">Low risk: </w:t>
            </w:r>
            <w:r w:rsidRPr="00CE70EC">
              <w:rPr>
                <w:rFonts w:ascii="Cambria Math" w:hAnsi="Cambria Math"/>
                <w:sz w:val="22"/>
                <w:szCs w:val="22"/>
              </w:rPr>
              <w:t>If maximum 1 unclear and no high risks</w:t>
            </w:r>
          </w:p>
        </w:tc>
      </w:tr>
    </w:tbl>
    <w:p w14:paraId="3C15BF66" w14:textId="228F93A8" w:rsidR="00CC45DB" w:rsidRDefault="00CC45DB" w:rsidP="00CC45DB">
      <w:pPr>
        <w:rPr>
          <w:b/>
          <w:sz w:val="36"/>
          <w:szCs w:val="36"/>
        </w:rPr>
      </w:pPr>
    </w:p>
    <w:p w14:paraId="62B6BB3B" w14:textId="77777777" w:rsidR="00D67308" w:rsidRDefault="00D67308" w:rsidP="004804BC">
      <w:pPr>
        <w:spacing w:line="360" w:lineRule="auto"/>
        <w:rPr>
          <w:b/>
          <w:sz w:val="36"/>
          <w:szCs w:val="36"/>
        </w:rPr>
      </w:pPr>
    </w:p>
    <w:p w14:paraId="1739BE79" w14:textId="77777777" w:rsidR="00D67308" w:rsidRPr="00D67308" w:rsidRDefault="00D67308" w:rsidP="004804BC">
      <w:pPr>
        <w:spacing w:line="360" w:lineRule="auto"/>
        <w:rPr>
          <w:b/>
          <w:sz w:val="36"/>
          <w:szCs w:val="36"/>
        </w:rPr>
      </w:pPr>
    </w:p>
    <w:p w14:paraId="7B8DD891" w14:textId="4995383C" w:rsidR="00D67308" w:rsidRDefault="00CC45DB" w:rsidP="004804BC">
      <w:pPr>
        <w:spacing w:line="360" w:lineRule="auto"/>
      </w:pPr>
      <w:bookmarkStart w:id="0" w:name="_GoBack"/>
      <w:r>
        <w:rPr>
          <w:rFonts w:ascii="Cambria Math" w:hAnsi="Cambria Math"/>
          <w:noProof/>
          <w:lang w:val="en-US"/>
        </w:rPr>
        <w:drawing>
          <wp:inline distT="0" distB="0" distL="0" distR="0" wp14:anchorId="7C9B2943" wp14:editId="678AFCE1">
            <wp:extent cx="8859098" cy="1967767"/>
            <wp:effectExtent l="0" t="0" r="5715" b="0"/>
            <wp:docPr id="7" name="Afbeelding 7" descr="Macintosh HD:Users:marloesfrijters:Desktop:Screen Shot 2019-11-14 at 11.35.1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loesfrijters:Desktop:Screen Shot 2019-11-14 at 11.35.14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3490" cy="197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7308" w:rsidSect="00CC45DB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5D"/>
    <w:rsid w:val="003E2B5D"/>
    <w:rsid w:val="004804BC"/>
    <w:rsid w:val="006E502B"/>
    <w:rsid w:val="00C11ECC"/>
    <w:rsid w:val="00CC45DB"/>
    <w:rsid w:val="00CD7D17"/>
    <w:rsid w:val="00D6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4057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E2B5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E2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CC45DB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C45D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E2B5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E2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CC45DB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C45D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FEEC7D-1567-9541-B622-A71140D8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347</Words>
  <Characters>1909</Characters>
  <Application>Microsoft Macintosh Word</Application>
  <DocSecurity>0</DocSecurity>
  <Lines>15</Lines>
  <Paragraphs>4</Paragraphs>
  <ScaleCrop>false</ScaleCrop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Marloes Frijters</dc:creator>
  <cp:keywords/>
  <dc:description/>
  <cp:lastModifiedBy>Marloes Frijters</cp:lastModifiedBy>
  <cp:revision>6</cp:revision>
  <dcterms:created xsi:type="dcterms:W3CDTF">2019-07-31T07:56:00Z</dcterms:created>
  <dcterms:modified xsi:type="dcterms:W3CDTF">2019-11-24T17:46:00Z</dcterms:modified>
</cp:coreProperties>
</file>