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A0106" w14:textId="4D3C7BC2" w:rsidR="00E35A06" w:rsidRDefault="002003A2" w:rsidP="00E35A06">
      <w:pPr>
        <w:rPr>
          <w:b/>
          <w:sz w:val="36"/>
          <w:szCs w:val="36"/>
        </w:rPr>
      </w:pPr>
      <w:r>
        <w:rPr>
          <w:b/>
          <w:sz w:val="36"/>
          <w:szCs w:val="36"/>
        </w:rPr>
        <w:t>Appendix 5</w:t>
      </w:r>
      <w:bookmarkStart w:id="0" w:name="_GoBack"/>
      <w:bookmarkEnd w:id="0"/>
      <w:r w:rsidR="00E35A06">
        <w:rPr>
          <w:b/>
          <w:sz w:val="36"/>
          <w:szCs w:val="36"/>
        </w:rPr>
        <w:t>: Overview of determinants studied</w:t>
      </w:r>
    </w:p>
    <w:p w14:paraId="2746074B" w14:textId="77777777" w:rsidR="00E35A06" w:rsidRDefault="00E35A06" w:rsidP="00E35A06">
      <w:pPr>
        <w:rPr>
          <w:b/>
          <w:sz w:val="36"/>
          <w:szCs w:val="36"/>
        </w:rPr>
      </w:pPr>
    </w:p>
    <w:tbl>
      <w:tblPr>
        <w:tblStyle w:val="Tabelraster"/>
        <w:tblW w:w="903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784"/>
        <w:gridCol w:w="411"/>
        <w:gridCol w:w="898"/>
        <w:gridCol w:w="992"/>
        <w:gridCol w:w="992"/>
        <w:gridCol w:w="4962"/>
      </w:tblGrid>
      <w:tr w:rsidR="00E35A06" w:rsidRPr="00CE70EC" w14:paraId="3122B3C4" w14:textId="77777777" w:rsidTr="00FC6239">
        <w:trPr>
          <w:jc w:val="center"/>
        </w:trPr>
        <w:tc>
          <w:tcPr>
            <w:tcW w:w="2093" w:type="dxa"/>
            <w:gridSpan w:val="3"/>
          </w:tcPr>
          <w:p w14:paraId="44927FFE" w14:textId="77777777" w:rsidR="00E35A06" w:rsidRPr="00CE70EC" w:rsidRDefault="00E35A06" w:rsidP="004F4992">
            <w:pPr>
              <w:spacing w:line="360" w:lineRule="auto"/>
              <w:rPr>
                <w:rFonts w:ascii="Cambria Math" w:eastAsia="MS Gothic" w:hAnsi="Cambria Math"/>
                <w:b/>
                <w:color w:val="000000"/>
                <w:sz w:val="22"/>
                <w:szCs w:val="22"/>
              </w:rPr>
            </w:pPr>
            <w:r w:rsidRPr="00CE70EC">
              <w:rPr>
                <w:rFonts w:ascii="Cambria Math" w:eastAsia="MS Gothic" w:hAnsi="Cambria Math"/>
                <w:b/>
                <w:color w:val="000000"/>
                <w:sz w:val="22"/>
                <w:szCs w:val="22"/>
              </w:rPr>
              <w:t>Determinant</w:t>
            </w:r>
          </w:p>
        </w:tc>
        <w:tc>
          <w:tcPr>
            <w:tcW w:w="992" w:type="dxa"/>
          </w:tcPr>
          <w:p w14:paraId="43451282" w14:textId="77777777" w:rsidR="00E35A06" w:rsidRPr="00CE70EC" w:rsidRDefault="00E35A06" w:rsidP="004F4992">
            <w:pPr>
              <w:spacing w:line="360" w:lineRule="auto"/>
              <w:rPr>
                <w:rFonts w:ascii="Cambria Math" w:eastAsia="MS Gothic" w:hAnsi="Cambria Math"/>
                <w:b/>
                <w:color w:val="000000"/>
                <w:sz w:val="22"/>
                <w:szCs w:val="22"/>
              </w:rPr>
            </w:pPr>
            <w:r w:rsidRPr="00CE70EC">
              <w:rPr>
                <w:rFonts w:ascii="Cambria Math" w:eastAsia="MS Gothic" w:hAnsi="Cambria Math"/>
                <w:b/>
                <w:color w:val="000000"/>
                <w:sz w:val="22"/>
                <w:szCs w:val="22"/>
              </w:rPr>
              <w:t>Number of studies</w:t>
            </w:r>
          </w:p>
        </w:tc>
        <w:tc>
          <w:tcPr>
            <w:tcW w:w="992" w:type="dxa"/>
          </w:tcPr>
          <w:p w14:paraId="4BE3D9E5" w14:textId="77777777" w:rsidR="00E35A06" w:rsidRPr="00CE70EC" w:rsidRDefault="00E35A06" w:rsidP="004F4992">
            <w:pPr>
              <w:spacing w:line="360" w:lineRule="auto"/>
              <w:rPr>
                <w:rFonts w:ascii="Cambria Math" w:eastAsia="MS Gothic" w:hAnsi="Cambria Math"/>
                <w:b/>
                <w:color w:val="000000"/>
                <w:sz w:val="22"/>
                <w:szCs w:val="22"/>
              </w:rPr>
            </w:pPr>
            <w:r w:rsidRPr="00CE70EC">
              <w:rPr>
                <w:rFonts w:ascii="Cambria Math" w:eastAsia="MS Gothic" w:hAnsi="Cambria Math"/>
                <w:b/>
                <w:color w:val="000000"/>
                <w:sz w:val="22"/>
                <w:szCs w:val="22"/>
              </w:rPr>
              <w:t>In meta analysis</w:t>
            </w:r>
          </w:p>
        </w:tc>
        <w:tc>
          <w:tcPr>
            <w:tcW w:w="4962" w:type="dxa"/>
          </w:tcPr>
          <w:p w14:paraId="7F2B09C4" w14:textId="77777777" w:rsidR="00E35A06" w:rsidRPr="00CE70EC" w:rsidRDefault="00E35A06" w:rsidP="004F4992">
            <w:pPr>
              <w:spacing w:line="360" w:lineRule="auto"/>
              <w:rPr>
                <w:rFonts w:ascii="Cambria Math" w:eastAsia="MS Gothic" w:hAnsi="Cambria Math"/>
                <w:b/>
                <w:color w:val="000000"/>
                <w:sz w:val="22"/>
                <w:szCs w:val="22"/>
              </w:rPr>
            </w:pPr>
            <w:r w:rsidRPr="00CE70EC">
              <w:rPr>
                <w:rFonts w:ascii="Cambria Math" w:eastAsia="MS Gothic" w:hAnsi="Cambria Math"/>
                <w:b/>
                <w:color w:val="000000"/>
                <w:sz w:val="22"/>
                <w:szCs w:val="22"/>
              </w:rPr>
              <w:t xml:space="preserve">Comments / studies not in meta-analysis </w:t>
            </w:r>
          </w:p>
        </w:tc>
      </w:tr>
      <w:tr w:rsidR="00E35A06" w:rsidRPr="00CE70EC" w14:paraId="7D63361D" w14:textId="77777777" w:rsidTr="00FC6239">
        <w:trPr>
          <w:jc w:val="center"/>
        </w:trPr>
        <w:tc>
          <w:tcPr>
            <w:tcW w:w="9039" w:type="dxa"/>
            <w:gridSpan w:val="6"/>
            <w:tcBorders>
              <w:bottom w:val="single" w:sz="2" w:space="0" w:color="808080" w:themeColor="background1" w:themeShade="80"/>
            </w:tcBorders>
          </w:tcPr>
          <w:p w14:paraId="1B5740F2"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b/>
                <w:color w:val="000000"/>
                <w:sz w:val="22"/>
                <w:szCs w:val="22"/>
              </w:rPr>
              <w:t>Sociodemographic</w:t>
            </w:r>
          </w:p>
        </w:tc>
      </w:tr>
      <w:tr w:rsidR="00E35A06" w:rsidRPr="00CE70EC" w14:paraId="0D5D8B74" w14:textId="77777777" w:rsidTr="00FC6239">
        <w:trPr>
          <w:jc w:val="center"/>
        </w:trPr>
        <w:tc>
          <w:tcPr>
            <w:tcW w:w="2093" w:type="dxa"/>
            <w:gridSpan w:val="3"/>
            <w:tcBorders>
              <w:bottom w:val="nil"/>
            </w:tcBorders>
          </w:tcPr>
          <w:p w14:paraId="621FEB32" w14:textId="77777777" w:rsidR="00E35A06" w:rsidRPr="00CE70EC" w:rsidRDefault="00E35A06"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Sex</w:t>
            </w:r>
          </w:p>
        </w:tc>
        <w:tc>
          <w:tcPr>
            <w:tcW w:w="992" w:type="dxa"/>
            <w:tcBorders>
              <w:bottom w:val="nil"/>
            </w:tcBorders>
          </w:tcPr>
          <w:p w14:paraId="7D8ED652" w14:textId="3C68E5DB" w:rsidR="00E35A06" w:rsidRPr="00CE70EC" w:rsidRDefault="00E35A06" w:rsidP="004F4992">
            <w:pPr>
              <w:spacing w:line="360" w:lineRule="auto"/>
              <w:ind w:left="-467" w:firstLine="467"/>
              <w:rPr>
                <w:rFonts w:ascii="Cambria Math" w:eastAsia="MS Gothic" w:hAnsi="Cambria Math"/>
                <w:color w:val="000000"/>
                <w:sz w:val="22"/>
                <w:szCs w:val="22"/>
              </w:rPr>
            </w:pPr>
            <w:r w:rsidRPr="00CE70EC">
              <w:rPr>
                <w:rFonts w:ascii="Cambria Math" w:eastAsia="MS Gothic" w:hAnsi="Cambria Math"/>
                <w:color w:val="000000"/>
                <w:sz w:val="22"/>
                <w:szCs w:val="22"/>
              </w:rPr>
              <w:t>6</w:t>
            </w:r>
            <w:r w:rsidR="00286E3F">
              <w:rPr>
                <w:rFonts w:ascii="Cambria Math" w:eastAsia="MS Gothic" w:hAnsi="Cambria Math"/>
                <w:color w:val="000000"/>
                <w:sz w:val="22"/>
                <w:szCs w:val="22"/>
              </w:rPr>
              <w:t>8</w:t>
            </w:r>
          </w:p>
        </w:tc>
        <w:tc>
          <w:tcPr>
            <w:tcW w:w="992" w:type="dxa"/>
            <w:tcBorders>
              <w:bottom w:val="nil"/>
            </w:tcBorders>
          </w:tcPr>
          <w:p w14:paraId="6BC0FCF9" w14:textId="7E4DF208" w:rsidR="00E35A06" w:rsidRPr="00CE70EC" w:rsidRDefault="00B254C6"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6</w:t>
            </w:r>
            <w:r w:rsidR="00286E3F">
              <w:rPr>
                <w:rFonts w:ascii="Cambria Math" w:eastAsia="MS Gothic" w:hAnsi="Cambria Math"/>
                <w:color w:val="000000"/>
                <w:sz w:val="22"/>
                <w:szCs w:val="22"/>
              </w:rPr>
              <w:t>6</w:t>
            </w:r>
          </w:p>
        </w:tc>
        <w:tc>
          <w:tcPr>
            <w:tcW w:w="4962" w:type="dxa"/>
            <w:tcBorders>
              <w:bottom w:val="nil"/>
            </w:tcBorders>
          </w:tcPr>
          <w:p w14:paraId="65B5DFF4" w14:textId="77777777" w:rsidR="00E35A06" w:rsidRPr="00CE70EC" w:rsidRDefault="00E35A06" w:rsidP="004F4992">
            <w:pPr>
              <w:spacing w:line="360" w:lineRule="auto"/>
              <w:rPr>
                <w:rFonts w:ascii="Cambria Math" w:eastAsia="MS Gothic" w:hAnsi="Cambria Math"/>
                <w:color w:val="000000"/>
                <w:sz w:val="18"/>
                <w:szCs w:val="18"/>
              </w:rPr>
            </w:pPr>
            <w:r w:rsidRPr="00CE70EC">
              <w:rPr>
                <w:rFonts w:ascii="Cambria Math" w:eastAsia="Times New Roman" w:hAnsi="Cambria Math" w:cs="Times New Roman"/>
                <w:color w:val="000000"/>
                <w:sz w:val="18"/>
                <w:szCs w:val="18"/>
              </w:rPr>
              <w:t xml:space="preserve">Four studies with overlapping cohort. Data was included from Evans 2012a (not Evans 2012) and Toure 2008 (not Auld2014b) </w:t>
            </w:r>
          </w:p>
        </w:tc>
      </w:tr>
      <w:tr w:rsidR="00E35A06" w:rsidRPr="00CE70EC" w14:paraId="1839E731" w14:textId="77777777" w:rsidTr="00FC6239">
        <w:trPr>
          <w:jc w:val="center"/>
        </w:trPr>
        <w:tc>
          <w:tcPr>
            <w:tcW w:w="784" w:type="dxa"/>
            <w:vMerge w:val="restart"/>
            <w:tcBorders>
              <w:top w:val="nil"/>
              <w:bottom w:val="nil"/>
            </w:tcBorders>
          </w:tcPr>
          <w:p w14:paraId="58BBA5A0"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Age</w:t>
            </w:r>
          </w:p>
        </w:tc>
        <w:tc>
          <w:tcPr>
            <w:tcW w:w="1309" w:type="dxa"/>
            <w:gridSpan w:val="2"/>
            <w:tcBorders>
              <w:top w:val="nil"/>
              <w:bottom w:val="nil"/>
            </w:tcBorders>
          </w:tcPr>
          <w:p w14:paraId="31CDC5B7"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Categorical</w:t>
            </w:r>
          </w:p>
        </w:tc>
        <w:tc>
          <w:tcPr>
            <w:tcW w:w="992" w:type="dxa"/>
            <w:tcBorders>
              <w:top w:val="nil"/>
              <w:bottom w:val="nil"/>
            </w:tcBorders>
          </w:tcPr>
          <w:p w14:paraId="3E26C81C" w14:textId="17AE3C6B" w:rsidR="00E35A06" w:rsidRPr="00CE70EC" w:rsidRDefault="00E07E9A"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40</w:t>
            </w:r>
          </w:p>
        </w:tc>
        <w:tc>
          <w:tcPr>
            <w:tcW w:w="992" w:type="dxa"/>
            <w:tcBorders>
              <w:top w:val="nil"/>
              <w:bottom w:val="nil"/>
            </w:tcBorders>
          </w:tcPr>
          <w:p w14:paraId="70D7B0B6"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X</w:t>
            </w:r>
          </w:p>
        </w:tc>
        <w:tc>
          <w:tcPr>
            <w:tcW w:w="4962" w:type="dxa"/>
            <w:tcBorders>
              <w:top w:val="nil"/>
              <w:bottom w:val="nil"/>
            </w:tcBorders>
          </w:tcPr>
          <w:p w14:paraId="1DA32E74" w14:textId="77777777" w:rsidR="00E35A06" w:rsidRPr="00CE70EC" w:rsidRDefault="00E35A06" w:rsidP="004F4992">
            <w:pPr>
              <w:spacing w:line="360" w:lineRule="auto"/>
              <w:rPr>
                <w:rFonts w:ascii="Cambria Math" w:eastAsia="MS Gothic" w:hAnsi="Cambria Math"/>
                <w:color w:val="000000"/>
                <w:sz w:val="18"/>
                <w:szCs w:val="18"/>
              </w:rPr>
            </w:pPr>
            <w:r w:rsidRPr="00CE70EC">
              <w:rPr>
                <w:rFonts w:ascii="Cambria Math" w:eastAsia="Times New Roman" w:hAnsi="Cambria Math" w:cs="Times New Roman"/>
                <w:color w:val="000000"/>
                <w:sz w:val="18"/>
                <w:szCs w:val="18"/>
              </w:rPr>
              <w:t xml:space="preserve">Very variable age categories (years of age); e.g. </w:t>
            </w:r>
            <w:r w:rsidRPr="00CE70EC">
              <w:rPr>
                <w:rFonts w:ascii="Cambria Math" w:eastAsia="MS Gothic" w:hAnsi="Cambria Math"/>
                <w:color w:val="000000"/>
                <w:sz w:val="18"/>
                <w:szCs w:val="18"/>
              </w:rPr>
              <w:t>≤</w:t>
            </w:r>
            <w:r w:rsidRPr="00CE70EC">
              <w:rPr>
                <w:rFonts w:ascii="Cambria Math" w:eastAsia="Times New Roman" w:hAnsi="Cambria Math" w:cs="Times New Roman"/>
                <w:color w:val="000000"/>
                <w:sz w:val="18"/>
                <w:szCs w:val="18"/>
              </w:rPr>
              <w:t xml:space="preserve">25 vs &gt;25; </w:t>
            </w:r>
            <w:r w:rsidRPr="00CE70EC">
              <w:rPr>
                <w:rFonts w:ascii="Cambria Math" w:eastAsia="MS Gothic" w:hAnsi="Cambria Math"/>
                <w:color w:val="000000"/>
                <w:sz w:val="18"/>
                <w:szCs w:val="18"/>
              </w:rPr>
              <w:t>≤</w:t>
            </w:r>
            <w:r w:rsidRPr="00CE70EC">
              <w:rPr>
                <w:rFonts w:ascii="Cambria Math" w:eastAsia="Times New Roman" w:hAnsi="Cambria Math" w:cs="Times New Roman"/>
                <w:color w:val="000000"/>
                <w:sz w:val="18"/>
                <w:szCs w:val="18"/>
              </w:rPr>
              <w:t xml:space="preserve">20; 21-25; 26-30 etc; </w:t>
            </w:r>
            <w:r w:rsidRPr="00CE70EC">
              <w:rPr>
                <w:rFonts w:ascii="Cambria Math" w:eastAsia="MS Gothic" w:hAnsi="Cambria Math"/>
                <w:color w:val="000000"/>
                <w:sz w:val="18"/>
                <w:szCs w:val="18"/>
              </w:rPr>
              <w:t>≤</w:t>
            </w:r>
            <w:r w:rsidRPr="00CE70EC">
              <w:rPr>
                <w:rFonts w:ascii="Cambria Math" w:eastAsia="Times New Roman" w:hAnsi="Cambria Math" w:cs="Times New Roman"/>
                <w:color w:val="000000"/>
                <w:sz w:val="18"/>
                <w:szCs w:val="18"/>
              </w:rPr>
              <w:t>15; 16-30; 31-45 etc.</w:t>
            </w:r>
          </w:p>
        </w:tc>
      </w:tr>
      <w:tr w:rsidR="00E35A06" w:rsidRPr="00CE70EC" w14:paraId="44DAED35" w14:textId="77777777" w:rsidTr="00FC6239">
        <w:trPr>
          <w:jc w:val="center"/>
        </w:trPr>
        <w:tc>
          <w:tcPr>
            <w:tcW w:w="784" w:type="dxa"/>
            <w:vMerge/>
            <w:tcBorders>
              <w:top w:val="nil"/>
              <w:bottom w:val="nil"/>
            </w:tcBorders>
          </w:tcPr>
          <w:p w14:paraId="00670E7C" w14:textId="77777777" w:rsidR="00E35A06" w:rsidRPr="00CE70EC" w:rsidRDefault="00E35A06" w:rsidP="004F4992">
            <w:pPr>
              <w:spacing w:line="360" w:lineRule="auto"/>
              <w:rPr>
                <w:rFonts w:ascii="Cambria Math" w:eastAsia="MS Gothic" w:hAnsi="Cambria Math"/>
                <w:color w:val="000000"/>
                <w:sz w:val="22"/>
                <w:szCs w:val="22"/>
              </w:rPr>
            </w:pPr>
          </w:p>
        </w:tc>
        <w:tc>
          <w:tcPr>
            <w:tcW w:w="1309" w:type="dxa"/>
            <w:gridSpan w:val="2"/>
            <w:tcBorders>
              <w:top w:val="nil"/>
              <w:bottom w:val="nil"/>
            </w:tcBorders>
          </w:tcPr>
          <w:p w14:paraId="0CA349B2"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Continuous</w:t>
            </w:r>
          </w:p>
        </w:tc>
        <w:tc>
          <w:tcPr>
            <w:tcW w:w="992" w:type="dxa"/>
            <w:tcBorders>
              <w:top w:val="nil"/>
              <w:bottom w:val="nil"/>
            </w:tcBorders>
          </w:tcPr>
          <w:p w14:paraId="6F4EF04E" w14:textId="0A2154FF"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BE1D5F">
              <w:rPr>
                <w:rFonts w:ascii="Cambria Math" w:eastAsia="MS Gothic" w:hAnsi="Cambria Math"/>
                <w:color w:val="000000"/>
                <w:sz w:val="22"/>
                <w:szCs w:val="22"/>
              </w:rPr>
              <w:t>7</w:t>
            </w:r>
          </w:p>
        </w:tc>
        <w:tc>
          <w:tcPr>
            <w:tcW w:w="992" w:type="dxa"/>
            <w:tcBorders>
              <w:top w:val="nil"/>
              <w:bottom w:val="nil"/>
            </w:tcBorders>
          </w:tcPr>
          <w:p w14:paraId="4265C2DC" w14:textId="44253B1B"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BE1D5F">
              <w:rPr>
                <w:rFonts w:ascii="Cambria Math" w:eastAsia="MS Gothic" w:hAnsi="Cambria Math"/>
                <w:color w:val="000000"/>
                <w:sz w:val="22"/>
                <w:szCs w:val="22"/>
              </w:rPr>
              <w:t>1</w:t>
            </w:r>
          </w:p>
        </w:tc>
        <w:tc>
          <w:tcPr>
            <w:tcW w:w="4962" w:type="dxa"/>
            <w:tcBorders>
              <w:top w:val="nil"/>
              <w:bottom w:val="nil"/>
            </w:tcBorders>
          </w:tcPr>
          <w:p w14:paraId="54F13714" w14:textId="00477B02" w:rsidR="00E35A06" w:rsidRPr="00CE70EC" w:rsidRDefault="00E35A06" w:rsidP="004F4992">
            <w:pPr>
              <w:spacing w:line="360" w:lineRule="auto"/>
              <w:rPr>
                <w:rFonts w:ascii="Cambria Math" w:eastAsia="MS Gothic" w:hAnsi="Cambria Math"/>
                <w:color w:val="000000"/>
                <w:sz w:val="18"/>
                <w:szCs w:val="18"/>
              </w:rPr>
            </w:pPr>
            <w:r w:rsidRPr="00CE70EC">
              <w:rPr>
                <w:rFonts w:ascii="Cambria Math" w:hAnsi="Cambria Math" w:cs="Lucida Grande"/>
                <w:color w:val="000000"/>
                <w:sz w:val="18"/>
                <w:szCs w:val="18"/>
              </w:rPr>
              <w:t>Aliyu 2015; Cichowitz2017; VanCutsem2011 used intervals of 5 years; Auld2015</w:t>
            </w:r>
            <w:r w:rsidR="002303C8">
              <w:rPr>
                <w:rFonts w:ascii="Cambria Math" w:hAnsi="Cambria Math" w:cs="Lucida Grande"/>
                <w:color w:val="000000"/>
                <w:sz w:val="18"/>
                <w:szCs w:val="18"/>
              </w:rPr>
              <w:t>, Balogun2019</w:t>
            </w:r>
            <w:r w:rsidRPr="00CE70EC">
              <w:rPr>
                <w:rFonts w:ascii="Cambria Math" w:hAnsi="Cambria Math" w:cs="Lucida Grande"/>
                <w:color w:val="000000"/>
                <w:sz w:val="18"/>
                <w:szCs w:val="18"/>
              </w:rPr>
              <w:t xml:space="preserve"> and Hermanides2013 10 years.</w:t>
            </w:r>
          </w:p>
        </w:tc>
      </w:tr>
      <w:tr w:rsidR="00E35A06" w:rsidRPr="00CE70EC" w14:paraId="12E1B3A9" w14:textId="77777777" w:rsidTr="00FC6239">
        <w:trPr>
          <w:jc w:val="center"/>
        </w:trPr>
        <w:tc>
          <w:tcPr>
            <w:tcW w:w="2093" w:type="dxa"/>
            <w:gridSpan w:val="3"/>
            <w:tcBorders>
              <w:top w:val="nil"/>
              <w:bottom w:val="nil"/>
            </w:tcBorders>
          </w:tcPr>
          <w:p w14:paraId="1DCAD629"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Education</w:t>
            </w:r>
          </w:p>
        </w:tc>
        <w:tc>
          <w:tcPr>
            <w:tcW w:w="992" w:type="dxa"/>
            <w:tcBorders>
              <w:top w:val="nil"/>
              <w:bottom w:val="nil"/>
            </w:tcBorders>
          </w:tcPr>
          <w:p w14:paraId="09869673" w14:textId="12E8DB56"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704B79">
              <w:rPr>
                <w:rFonts w:ascii="Cambria Math" w:eastAsia="MS Gothic" w:hAnsi="Cambria Math"/>
                <w:color w:val="000000"/>
                <w:sz w:val="22"/>
                <w:szCs w:val="22"/>
              </w:rPr>
              <w:t>6</w:t>
            </w:r>
          </w:p>
        </w:tc>
        <w:tc>
          <w:tcPr>
            <w:tcW w:w="992" w:type="dxa"/>
            <w:tcBorders>
              <w:top w:val="nil"/>
              <w:bottom w:val="nil"/>
            </w:tcBorders>
          </w:tcPr>
          <w:p w14:paraId="0B466C0F" w14:textId="66468082" w:rsidR="00E35A06" w:rsidRPr="00CE70EC" w:rsidRDefault="002211AF"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1</w:t>
            </w:r>
            <w:r w:rsidR="00704B79">
              <w:rPr>
                <w:rFonts w:ascii="Cambria Math" w:eastAsia="MS Gothic" w:hAnsi="Cambria Math"/>
                <w:color w:val="000000"/>
                <w:sz w:val="22"/>
                <w:szCs w:val="22"/>
              </w:rPr>
              <w:t>1</w:t>
            </w:r>
          </w:p>
        </w:tc>
        <w:tc>
          <w:tcPr>
            <w:tcW w:w="4962" w:type="dxa"/>
            <w:tcBorders>
              <w:top w:val="nil"/>
              <w:bottom w:val="nil"/>
            </w:tcBorders>
          </w:tcPr>
          <w:p w14:paraId="27AC2A5B" w14:textId="77777777" w:rsidR="00E35A06" w:rsidRPr="00CE70EC" w:rsidRDefault="00E35A06" w:rsidP="004F4992">
            <w:pPr>
              <w:spacing w:line="360" w:lineRule="auto"/>
              <w:rPr>
                <w:rFonts w:ascii="Cambria Math" w:eastAsia="MS Gothic" w:hAnsi="Cambria Math"/>
                <w:color w:val="000000"/>
                <w:sz w:val="18"/>
                <w:szCs w:val="18"/>
              </w:rPr>
            </w:pPr>
            <w:r w:rsidRPr="00CE70EC">
              <w:rPr>
                <w:rFonts w:ascii="Cambria Math" w:hAnsi="Cambria Math" w:cs="Lucida Grande"/>
                <w:color w:val="000000"/>
                <w:sz w:val="18"/>
                <w:szCs w:val="18"/>
              </w:rPr>
              <w:t>Agaba 2017, Honge 2013, Moyo 2016 did not differentiate education levels; Akilimali 2017 combined different levels; Blevins 2015; Gesesew 2017; Teshome 2015; Tiruneh 2016 all did not differentiate between secondary and tertiary education.</w:t>
            </w:r>
          </w:p>
        </w:tc>
      </w:tr>
      <w:tr w:rsidR="00E35A06" w:rsidRPr="00CE70EC" w14:paraId="4939CDDC" w14:textId="77777777" w:rsidTr="00FC6239">
        <w:trPr>
          <w:jc w:val="center"/>
        </w:trPr>
        <w:tc>
          <w:tcPr>
            <w:tcW w:w="2093" w:type="dxa"/>
            <w:gridSpan w:val="3"/>
            <w:tcBorders>
              <w:top w:val="nil"/>
              <w:bottom w:val="nil"/>
            </w:tcBorders>
          </w:tcPr>
          <w:p w14:paraId="77B6229F"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Marital status</w:t>
            </w:r>
          </w:p>
        </w:tc>
        <w:tc>
          <w:tcPr>
            <w:tcW w:w="992" w:type="dxa"/>
            <w:tcBorders>
              <w:top w:val="nil"/>
              <w:bottom w:val="nil"/>
            </w:tcBorders>
          </w:tcPr>
          <w:p w14:paraId="215B31DD" w14:textId="58576E1A"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690B45">
              <w:rPr>
                <w:rFonts w:ascii="Cambria Math" w:eastAsia="MS Gothic" w:hAnsi="Cambria Math"/>
                <w:color w:val="000000"/>
                <w:sz w:val="22"/>
                <w:szCs w:val="22"/>
              </w:rPr>
              <w:t>6</w:t>
            </w:r>
          </w:p>
        </w:tc>
        <w:tc>
          <w:tcPr>
            <w:tcW w:w="992" w:type="dxa"/>
            <w:tcBorders>
              <w:top w:val="nil"/>
              <w:bottom w:val="nil"/>
            </w:tcBorders>
          </w:tcPr>
          <w:p w14:paraId="4294A7C1" w14:textId="66FB07D8"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690B45">
              <w:rPr>
                <w:rFonts w:ascii="Cambria Math" w:eastAsia="MS Gothic" w:hAnsi="Cambria Math"/>
                <w:color w:val="000000"/>
                <w:sz w:val="22"/>
                <w:szCs w:val="22"/>
              </w:rPr>
              <w:t>6</w:t>
            </w:r>
          </w:p>
        </w:tc>
        <w:tc>
          <w:tcPr>
            <w:tcW w:w="4962" w:type="dxa"/>
            <w:tcBorders>
              <w:top w:val="nil"/>
              <w:bottom w:val="nil"/>
            </w:tcBorders>
          </w:tcPr>
          <w:p w14:paraId="5BF460FE" w14:textId="77777777" w:rsidR="00E35A06" w:rsidRPr="00CE70EC" w:rsidRDefault="00E35A06" w:rsidP="004F4992">
            <w:pPr>
              <w:spacing w:line="360" w:lineRule="auto"/>
              <w:rPr>
                <w:rFonts w:ascii="Cambria Math" w:eastAsia="MS Gothic" w:hAnsi="Cambria Math"/>
                <w:color w:val="000000"/>
                <w:sz w:val="18"/>
                <w:szCs w:val="18"/>
              </w:rPr>
            </w:pPr>
          </w:p>
        </w:tc>
      </w:tr>
      <w:tr w:rsidR="00E35A06" w:rsidRPr="00CE70EC" w14:paraId="78F86F2C" w14:textId="77777777" w:rsidTr="00FC6239">
        <w:trPr>
          <w:jc w:val="center"/>
        </w:trPr>
        <w:tc>
          <w:tcPr>
            <w:tcW w:w="2093" w:type="dxa"/>
            <w:gridSpan w:val="3"/>
            <w:tcBorders>
              <w:top w:val="nil"/>
              <w:bottom w:val="nil"/>
            </w:tcBorders>
          </w:tcPr>
          <w:p w14:paraId="499B45BE"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Employment</w:t>
            </w:r>
          </w:p>
        </w:tc>
        <w:tc>
          <w:tcPr>
            <w:tcW w:w="992" w:type="dxa"/>
            <w:tcBorders>
              <w:top w:val="nil"/>
              <w:bottom w:val="nil"/>
            </w:tcBorders>
          </w:tcPr>
          <w:p w14:paraId="64CF552D" w14:textId="3515F3F0" w:rsidR="00E35A06" w:rsidRPr="00CE70EC" w:rsidRDefault="00B838AF"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8</w:t>
            </w:r>
          </w:p>
        </w:tc>
        <w:tc>
          <w:tcPr>
            <w:tcW w:w="992" w:type="dxa"/>
            <w:tcBorders>
              <w:top w:val="nil"/>
              <w:bottom w:val="nil"/>
            </w:tcBorders>
          </w:tcPr>
          <w:p w14:paraId="0103804F"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6</w:t>
            </w:r>
          </w:p>
        </w:tc>
        <w:tc>
          <w:tcPr>
            <w:tcW w:w="4962" w:type="dxa"/>
            <w:tcBorders>
              <w:top w:val="nil"/>
              <w:bottom w:val="nil"/>
            </w:tcBorders>
          </w:tcPr>
          <w:p w14:paraId="7E5E0BD2" w14:textId="263C01DA" w:rsidR="00E35A06" w:rsidRPr="00CE70EC" w:rsidRDefault="00E35A06" w:rsidP="004F4992">
            <w:pPr>
              <w:spacing w:line="360" w:lineRule="auto"/>
              <w:rPr>
                <w:rFonts w:ascii="Cambria Math" w:eastAsia="MS Gothic" w:hAnsi="Cambria Math"/>
                <w:color w:val="000000"/>
                <w:sz w:val="18"/>
                <w:szCs w:val="18"/>
              </w:rPr>
            </w:pPr>
            <w:r w:rsidRPr="00CE70EC">
              <w:rPr>
                <w:rFonts w:ascii="Cambria Math" w:hAnsi="Cambria Math" w:cs="Lucida Grande"/>
                <w:color w:val="000000"/>
                <w:sz w:val="18"/>
                <w:szCs w:val="18"/>
              </w:rPr>
              <w:t>Meloni 2014b distinguished 2 categories of employment; no analysis was performed on students (only 2 studies)</w:t>
            </w:r>
            <w:r w:rsidR="00B838AF">
              <w:rPr>
                <w:rFonts w:ascii="Cambria Math" w:hAnsi="Cambria Math" w:cs="Lucida Grande"/>
                <w:color w:val="000000"/>
                <w:sz w:val="18"/>
                <w:szCs w:val="18"/>
              </w:rPr>
              <w:t>. Balde2019 differentiated between various professional activities</w:t>
            </w:r>
          </w:p>
        </w:tc>
      </w:tr>
      <w:tr w:rsidR="00E35A06" w:rsidRPr="00CE70EC" w14:paraId="0F57271A" w14:textId="77777777" w:rsidTr="00FC6239">
        <w:trPr>
          <w:jc w:val="center"/>
        </w:trPr>
        <w:tc>
          <w:tcPr>
            <w:tcW w:w="9039" w:type="dxa"/>
            <w:gridSpan w:val="6"/>
            <w:tcBorders>
              <w:top w:val="nil"/>
            </w:tcBorders>
          </w:tcPr>
          <w:p w14:paraId="6DCDE856" w14:textId="5F57B592"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22"/>
                <w:szCs w:val="22"/>
                <w:lang w:val="en-ZA"/>
              </w:rPr>
              <w:t>Other (1-3 studies): income, literacy, number of children, religion, housing, partner status, no of people in household</w:t>
            </w:r>
            <w:r w:rsidR="00B254C6">
              <w:rPr>
                <w:rFonts w:ascii="Cambria Math" w:hAnsi="Cambria Math"/>
                <w:sz w:val="22"/>
                <w:szCs w:val="22"/>
                <w:lang w:val="en-ZA"/>
              </w:rPr>
              <w:t>, nationality</w:t>
            </w:r>
            <w:r w:rsidR="00B838AF">
              <w:rPr>
                <w:rFonts w:ascii="Cambria Math" w:hAnsi="Cambria Math"/>
                <w:sz w:val="22"/>
                <w:szCs w:val="22"/>
                <w:lang w:val="en-ZA"/>
              </w:rPr>
              <w:t xml:space="preserve">, monogamy or polygamy; </w:t>
            </w:r>
          </w:p>
        </w:tc>
      </w:tr>
      <w:tr w:rsidR="00E35A06" w:rsidRPr="00CE70EC" w14:paraId="6475B598" w14:textId="77777777" w:rsidTr="00FC6239">
        <w:trPr>
          <w:jc w:val="center"/>
        </w:trPr>
        <w:tc>
          <w:tcPr>
            <w:tcW w:w="9039" w:type="dxa"/>
            <w:gridSpan w:val="6"/>
            <w:tcBorders>
              <w:bottom w:val="single" w:sz="2" w:space="0" w:color="808080" w:themeColor="background1" w:themeShade="80"/>
            </w:tcBorders>
          </w:tcPr>
          <w:p w14:paraId="1D83CDAA" w14:textId="77777777" w:rsidR="00E35A06" w:rsidRPr="00CE70EC" w:rsidRDefault="00E35A06" w:rsidP="004F4992">
            <w:pPr>
              <w:spacing w:line="360" w:lineRule="auto"/>
              <w:rPr>
                <w:rFonts w:ascii="Cambria Math" w:hAnsi="Cambria Math" w:cs="Lucida Grande"/>
                <w:b/>
                <w:color w:val="000000"/>
                <w:sz w:val="22"/>
                <w:szCs w:val="22"/>
              </w:rPr>
            </w:pPr>
            <w:r w:rsidRPr="00CE70EC">
              <w:rPr>
                <w:rFonts w:ascii="Cambria Math" w:hAnsi="Cambria Math"/>
                <w:b/>
                <w:sz w:val="22"/>
                <w:szCs w:val="22"/>
                <w:lang w:val="en-ZA"/>
              </w:rPr>
              <w:t>Clinical</w:t>
            </w:r>
          </w:p>
        </w:tc>
      </w:tr>
      <w:tr w:rsidR="00E35A06" w:rsidRPr="00CE70EC" w14:paraId="77067E5E" w14:textId="77777777" w:rsidTr="00FC6239">
        <w:trPr>
          <w:jc w:val="center"/>
        </w:trPr>
        <w:tc>
          <w:tcPr>
            <w:tcW w:w="2093" w:type="dxa"/>
            <w:gridSpan w:val="3"/>
            <w:tcBorders>
              <w:bottom w:val="nil"/>
            </w:tcBorders>
          </w:tcPr>
          <w:p w14:paraId="12C462F6"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CD4 count</w:t>
            </w:r>
          </w:p>
        </w:tc>
        <w:tc>
          <w:tcPr>
            <w:tcW w:w="992" w:type="dxa"/>
            <w:tcBorders>
              <w:bottom w:val="nil"/>
            </w:tcBorders>
          </w:tcPr>
          <w:p w14:paraId="13152992" w14:textId="5CC26D52" w:rsidR="00E35A06" w:rsidRPr="00CE70EC" w:rsidRDefault="00ED1B03"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5</w:t>
            </w:r>
            <w:r w:rsidR="00B85406">
              <w:rPr>
                <w:rFonts w:ascii="Cambria Math" w:eastAsia="MS Gothic" w:hAnsi="Cambria Math"/>
                <w:color w:val="000000"/>
                <w:sz w:val="22"/>
                <w:szCs w:val="22"/>
              </w:rPr>
              <w:t>2</w:t>
            </w:r>
          </w:p>
        </w:tc>
        <w:tc>
          <w:tcPr>
            <w:tcW w:w="992" w:type="dxa"/>
            <w:tcBorders>
              <w:bottom w:val="nil"/>
            </w:tcBorders>
          </w:tcPr>
          <w:p w14:paraId="2DE89457" w14:textId="6433F4A5"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2</w:t>
            </w:r>
            <w:r w:rsidR="00B85406">
              <w:rPr>
                <w:rFonts w:ascii="Cambria Math" w:eastAsia="MS Gothic" w:hAnsi="Cambria Math"/>
                <w:color w:val="000000"/>
                <w:sz w:val="22"/>
                <w:szCs w:val="22"/>
              </w:rPr>
              <w:t>3</w:t>
            </w:r>
          </w:p>
        </w:tc>
        <w:tc>
          <w:tcPr>
            <w:tcW w:w="4962" w:type="dxa"/>
            <w:tcBorders>
              <w:bottom w:val="nil"/>
            </w:tcBorders>
          </w:tcPr>
          <w:p w14:paraId="4E8FA053" w14:textId="704283D8"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Four studies with overlapping cohort. Data was included from Toure 2008 (not Auld 2014b) and Grimsrud 2015 (not Moyo 2016). Fatti 2016a excluded because the reference was unclear. Koole 2014a and Vinikoor2014 excluded bec</w:t>
            </w:r>
            <w:r w:rsidR="00ED399B">
              <w:rPr>
                <w:rFonts w:ascii="Cambria Math" w:hAnsi="Cambria Math" w:cs="Lucida Grande"/>
                <w:color w:val="000000"/>
                <w:sz w:val="18"/>
                <w:szCs w:val="18"/>
              </w:rPr>
              <w:t>ause of continuous scale. For 25</w:t>
            </w:r>
            <w:r w:rsidRPr="00CE70EC">
              <w:rPr>
                <w:rFonts w:ascii="Cambria Math" w:hAnsi="Cambria Math" w:cs="Lucida Grande"/>
                <w:color w:val="000000"/>
                <w:sz w:val="18"/>
                <w:szCs w:val="18"/>
              </w:rPr>
              <w:t xml:space="preserve"> studies not enough similar categories could be identified to perform meta-analyses</w:t>
            </w:r>
          </w:p>
        </w:tc>
      </w:tr>
      <w:tr w:rsidR="00E35A06" w:rsidRPr="00CE70EC" w14:paraId="40065430" w14:textId="77777777" w:rsidTr="00FC6239">
        <w:trPr>
          <w:jc w:val="center"/>
        </w:trPr>
        <w:tc>
          <w:tcPr>
            <w:tcW w:w="2093" w:type="dxa"/>
            <w:gridSpan w:val="3"/>
            <w:tcBorders>
              <w:top w:val="nil"/>
              <w:bottom w:val="nil"/>
            </w:tcBorders>
          </w:tcPr>
          <w:p w14:paraId="4F2AE3C5"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WHO stage</w:t>
            </w:r>
          </w:p>
        </w:tc>
        <w:tc>
          <w:tcPr>
            <w:tcW w:w="992" w:type="dxa"/>
            <w:tcBorders>
              <w:top w:val="nil"/>
              <w:bottom w:val="nil"/>
            </w:tcBorders>
          </w:tcPr>
          <w:p w14:paraId="3B70CDB7" w14:textId="012BA4FC"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4</w:t>
            </w:r>
            <w:r w:rsidR="006E666F">
              <w:rPr>
                <w:rFonts w:ascii="Cambria Math" w:eastAsia="MS Gothic" w:hAnsi="Cambria Math"/>
                <w:color w:val="000000"/>
                <w:sz w:val="22"/>
                <w:szCs w:val="22"/>
              </w:rPr>
              <w:t>1</w:t>
            </w:r>
          </w:p>
        </w:tc>
        <w:tc>
          <w:tcPr>
            <w:tcW w:w="992" w:type="dxa"/>
            <w:tcBorders>
              <w:top w:val="nil"/>
              <w:bottom w:val="nil"/>
            </w:tcBorders>
          </w:tcPr>
          <w:p w14:paraId="7190B474" w14:textId="796796B8"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3</w:t>
            </w:r>
            <w:r w:rsidR="006E666F">
              <w:rPr>
                <w:rFonts w:ascii="Cambria Math" w:eastAsia="MS Gothic" w:hAnsi="Cambria Math"/>
                <w:color w:val="000000"/>
                <w:sz w:val="22"/>
                <w:szCs w:val="22"/>
              </w:rPr>
              <w:t>8</w:t>
            </w:r>
          </w:p>
        </w:tc>
        <w:tc>
          <w:tcPr>
            <w:tcW w:w="4962" w:type="dxa"/>
            <w:tcBorders>
              <w:top w:val="nil"/>
              <w:bottom w:val="nil"/>
            </w:tcBorders>
          </w:tcPr>
          <w:p w14:paraId="5767B136"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Data of Toure 2008 and not Auld 2014b was used because of overlapping cohort.</w:t>
            </w:r>
          </w:p>
        </w:tc>
      </w:tr>
      <w:tr w:rsidR="00E35A06" w:rsidRPr="00CE70EC" w14:paraId="1B78DE77" w14:textId="77777777" w:rsidTr="00FC6239">
        <w:trPr>
          <w:jc w:val="center"/>
        </w:trPr>
        <w:tc>
          <w:tcPr>
            <w:tcW w:w="1195" w:type="dxa"/>
            <w:gridSpan w:val="2"/>
            <w:vMerge w:val="restart"/>
            <w:tcBorders>
              <w:top w:val="nil"/>
              <w:bottom w:val="nil"/>
            </w:tcBorders>
          </w:tcPr>
          <w:p w14:paraId="4DD87AAC"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Weight</w:t>
            </w:r>
          </w:p>
        </w:tc>
        <w:tc>
          <w:tcPr>
            <w:tcW w:w="898" w:type="dxa"/>
            <w:tcBorders>
              <w:top w:val="nil"/>
              <w:bottom w:val="nil"/>
            </w:tcBorders>
          </w:tcPr>
          <w:p w14:paraId="04E6EC09"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KG</w:t>
            </w:r>
          </w:p>
        </w:tc>
        <w:tc>
          <w:tcPr>
            <w:tcW w:w="992" w:type="dxa"/>
            <w:tcBorders>
              <w:top w:val="nil"/>
              <w:bottom w:val="nil"/>
            </w:tcBorders>
          </w:tcPr>
          <w:p w14:paraId="29F9B6B0"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6</w:t>
            </w:r>
          </w:p>
        </w:tc>
        <w:tc>
          <w:tcPr>
            <w:tcW w:w="992" w:type="dxa"/>
            <w:tcBorders>
              <w:top w:val="nil"/>
              <w:bottom w:val="nil"/>
            </w:tcBorders>
          </w:tcPr>
          <w:p w14:paraId="6BE25839"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X</w:t>
            </w:r>
          </w:p>
        </w:tc>
        <w:tc>
          <w:tcPr>
            <w:tcW w:w="4962" w:type="dxa"/>
            <w:tcBorders>
              <w:top w:val="nil"/>
              <w:bottom w:val="nil"/>
            </w:tcBorders>
          </w:tcPr>
          <w:p w14:paraId="655F7E30"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Van Cutsem 2011 and Auld 2015 used a continuous scale; Allam 2014, Auld 2014b, Auld 2016a and Dalhatu 2016 a categorical one.</w:t>
            </w:r>
          </w:p>
        </w:tc>
      </w:tr>
      <w:tr w:rsidR="00E35A06" w:rsidRPr="00CE70EC" w14:paraId="70D0435C" w14:textId="77777777" w:rsidTr="00FC6239">
        <w:trPr>
          <w:jc w:val="center"/>
        </w:trPr>
        <w:tc>
          <w:tcPr>
            <w:tcW w:w="1195" w:type="dxa"/>
            <w:gridSpan w:val="2"/>
            <w:vMerge/>
            <w:tcBorders>
              <w:top w:val="nil"/>
              <w:bottom w:val="nil"/>
            </w:tcBorders>
          </w:tcPr>
          <w:p w14:paraId="06FB4BB5" w14:textId="77777777" w:rsidR="00E35A06" w:rsidRPr="00CE70EC" w:rsidRDefault="00E35A06" w:rsidP="004F4992">
            <w:pPr>
              <w:spacing w:line="360" w:lineRule="auto"/>
              <w:rPr>
                <w:rFonts w:ascii="Cambria Math" w:hAnsi="Cambria Math"/>
                <w:sz w:val="22"/>
                <w:szCs w:val="22"/>
                <w:lang w:val="en-ZA"/>
              </w:rPr>
            </w:pPr>
          </w:p>
        </w:tc>
        <w:tc>
          <w:tcPr>
            <w:tcW w:w="898" w:type="dxa"/>
            <w:tcBorders>
              <w:top w:val="nil"/>
              <w:bottom w:val="nil"/>
            </w:tcBorders>
          </w:tcPr>
          <w:p w14:paraId="71941560"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BMI</w:t>
            </w:r>
          </w:p>
        </w:tc>
        <w:tc>
          <w:tcPr>
            <w:tcW w:w="992" w:type="dxa"/>
            <w:tcBorders>
              <w:top w:val="nil"/>
              <w:bottom w:val="nil"/>
            </w:tcBorders>
          </w:tcPr>
          <w:p w14:paraId="5904EDAC" w14:textId="223EF28B" w:rsidR="00E35A06" w:rsidRPr="00CE70EC" w:rsidRDefault="00B30346"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2</w:t>
            </w:r>
            <w:r w:rsidR="00124E8C">
              <w:rPr>
                <w:rFonts w:ascii="Cambria Math" w:eastAsia="MS Gothic" w:hAnsi="Cambria Math"/>
                <w:color w:val="000000"/>
                <w:sz w:val="22"/>
                <w:szCs w:val="22"/>
              </w:rPr>
              <w:t>1</w:t>
            </w:r>
          </w:p>
        </w:tc>
        <w:tc>
          <w:tcPr>
            <w:tcW w:w="992" w:type="dxa"/>
            <w:tcBorders>
              <w:top w:val="nil"/>
              <w:bottom w:val="nil"/>
            </w:tcBorders>
          </w:tcPr>
          <w:p w14:paraId="2D1ECB9B" w14:textId="566C1CA1" w:rsidR="00E35A06" w:rsidRPr="00CE70EC" w:rsidRDefault="00B30346"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15</w:t>
            </w:r>
          </w:p>
        </w:tc>
        <w:tc>
          <w:tcPr>
            <w:tcW w:w="4962" w:type="dxa"/>
            <w:tcBorders>
              <w:top w:val="nil"/>
              <w:bottom w:val="nil"/>
            </w:tcBorders>
          </w:tcPr>
          <w:p w14:paraId="1175D746" w14:textId="6CE7F169"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 xml:space="preserve">Data of Evans 2012a and not Evans 2012 </w:t>
            </w:r>
            <w:r w:rsidR="00C643D8">
              <w:rPr>
                <w:rFonts w:ascii="Cambria Math" w:hAnsi="Cambria Math" w:cs="Lucida Grande"/>
                <w:color w:val="000000"/>
                <w:sz w:val="18"/>
                <w:szCs w:val="18"/>
              </w:rPr>
              <w:t>because of overlapping cohort; 4</w:t>
            </w:r>
            <w:r w:rsidRPr="00CE70EC">
              <w:rPr>
                <w:rFonts w:ascii="Cambria Math" w:hAnsi="Cambria Math" w:cs="Lucida Grande"/>
                <w:color w:val="000000"/>
                <w:sz w:val="18"/>
                <w:szCs w:val="18"/>
              </w:rPr>
              <w:t xml:space="preserve"> others excluded because of varying </w:t>
            </w:r>
            <w:r w:rsidRPr="00CE70EC">
              <w:rPr>
                <w:rFonts w:ascii="Cambria Math" w:hAnsi="Cambria Math" w:cs="Lucida Grande"/>
                <w:color w:val="000000"/>
                <w:sz w:val="18"/>
                <w:szCs w:val="18"/>
              </w:rPr>
              <w:lastRenderedPageBreak/>
              <w:t>categories.</w:t>
            </w:r>
          </w:p>
        </w:tc>
      </w:tr>
      <w:tr w:rsidR="00E35A06" w:rsidRPr="00CE70EC" w14:paraId="09CE9BAB" w14:textId="77777777" w:rsidTr="00FC6239">
        <w:trPr>
          <w:jc w:val="center"/>
        </w:trPr>
        <w:tc>
          <w:tcPr>
            <w:tcW w:w="2093" w:type="dxa"/>
            <w:gridSpan w:val="3"/>
            <w:tcBorders>
              <w:top w:val="nil"/>
              <w:bottom w:val="nil"/>
            </w:tcBorders>
          </w:tcPr>
          <w:p w14:paraId="00B523B3"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lastRenderedPageBreak/>
              <w:t>Functional status</w:t>
            </w:r>
          </w:p>
        </w:tc>
        <w:tc>
          <w:tcPr>
            <w:tcW w:w="992" w:type="dxa"/>
            <w:tcBorders>
              <w:top w:val="nil"/>
              <w:bottom w:val="nil"/>
            </w:tcBorders>
          </w:tcPr>
          <w:p w14:paraId="4027467F" w14:textId="783CC6F0"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C25E8B">
              <w:rPr>
                <w:rFonts w:ascii="Cambria Math" w:eastAsia="MS Gothic" w:hAnsi="Cambria Math"/>
                <w:color w:val="000000"/>
                <w:sz w:val="22"/>
                <w:szCs w:val="22"/>
              </w:rPr>
              <w:t>3</w:t>
            </w:r>
          </w:p>
        </w:tc>
        <w:tc>
          <w:tcPr>
            <w:tcW w:w="992" w:type="dxa"/>
            <w:tcBorders>
              <w:top w:val="nil"/>
              <w:bottom w:val="nil"/>
            </w:tcBorders>
          </w:tcPr>
          <w:p w14:paraId="3DC84005" w14:textId="3E6416DF" w:rsidR="00E35A06" w:rsidRPr="00CE70EC" w:rsidRDefault="00C25E8B"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9</w:t>
            </w:r>
          </w:p>
        </w:tc>
        <w:tc>
          <w:tcPr>
            <w:tcW w:w="4962" w:type="dxa"/>
            <w:tcBorders>
              <w:top w:val="nil"/>
              <w:bottom w:val="nil"/>
            </w:tcBorders>
          </w:tcPr>
          <w:p w14:paraId="464CC281"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Auld 2015 used continuous scale; Assemie 2018 and Dalhatu 2016 categorized 'asymptomatic vs symptomatic'. Gesesew2017 excluded because of conjoining ambulatory and bedridden</w:t>
            </w:r>
          </w:p>
        </w:tc>
      </w:tr>
      <w:tr w:rsidR="00E35A06" w:rsidRPr="00CE70EC" w14:paraId="5E68D9EC" w14:textId="77777777" w:rsidTr="00FC6239">
        <w:trPr>
          <w:jc w:val="center"/>
        </w:trPr>
        <w:tc>
          <w:tcPr>
            <w:tcW w:w="2093" w:type="dxa"/>
            <w:gridSpan w:val="3"/>
            <w:tcBorders>
              <w:top w:val="nil"/>
              <w:bottom w:val="nil"/>
            </w:tcBorders>
          </w:tcPr>
          <w:p w14:paraId="5636A990"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Tuberculosis at baseline / pre – ART</w:t>
            </w:r>
          </w:p>
        </w:tc>
        <w:tc>
          <w:tcPr>
            <w:tcW w:w="992" w:type="dxa"/>
            <w:tcBorders>
              <w:top w:val="nil"/>
              <w:bottom w:val="nil"/>
            </w:tcBorders>
          </w:tcPr>
          <w:p w14:paraId="0A13ED3B" w14:textId="0CAC9D1C"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B83E2F">
              <w:rPr>
                <w:rFonts w:ascii="Cambria Math" w:eastAsia="MS Gothic" w:hAnsi="Cambria Math"/>
                <w:color w:val="000000"/>
                <w:sz w:val="22"/>
                <w:szCs w:val="22"/>
              </w:rPr>
              <w:t>9</w:t>
            </w:r>
          </w:p>
        </w:tc>
        <w:tc>
          <w:tcPr>
            <w:tcW w:w="992" w:type="dxa"/>
            <w:tcBorders>
              <w:top w:val="nil"/>
              <w:bottom w:val="nil"/>
            </w:tcBorders>
          </w:tcPr>
          <w:p w14:paraId="3980A3D6" w14:textId="7949C161"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B83E2F">
              <w:rPr>
                <w:rFonts w:ascii="Cambria Math" w:eastAsia="MS Gothic" w:hAnsi="Cambria Math"/>
                <w:color w:val="000000"/>
                <w:sz w:val="22"/>
                <w:szCs w:val="22"/>
              </w:rPr>
              <w:t>9</w:t>
            </w:r>
          </w:p>
        </w:tc>
        <w:tc>
          <w:tcPr>
            <w:tcW w:w="4962" w:type="dxa"/>
            <w:tcBorders>
              <w:top w:val="nil"/>
              <w:bottom w:val="nil"/>
            </w:tcBorders>
          </w:tcPr>
          <w:p w14:paraId="171A1373" w14:textId="77777777" w:rsidR="00E35A06" w:rsidRPr="00CE70EC" w:rsidRDefault="00E35A06" w:rsidP="004F4992">
            <w:pPr>
              <w:spacing w:line="360" w:lineRule="auto"/>
              <w:ind w:firstLine="708"/>
              <w:rPr>
                <w:rFonts w:ascii="Cambria Math" w:hAnsi="Cambria Math" w:cs="Lucida Grande"/>
                <w:color w:val="000000"/>
                <w:sz w:val="18"/>
                <w:szCs w:val="18"/>
              </w:rPr>
            </w:pPr>
          </w:p>
        </w:tc>
      </w:tr>
      <w:tr w:rsidR="00E35A06" w:rsidRPr="00CE70EC" w14:paraId="1B0FAD61" w14:textId="77777777" w:rsidTr="00FC6239">
        <w:trPr>
          <w:jc w:val="center"/>
        </w:trPr>
        <w:tc>
          <w:tcPr>
            <w:tcW w:w="2093" w:type="dxa"/>
            <w:gridSpan w:val="3"/>
            <w:tcBorders>
              <w:top w:val="nil"/>
              <w:bottom w:val="nil"/>
            </w:tcBorders>
          </w:tcPr>
          <w:p w14:paraId="777D26F2"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Hemoglobin</w:t>
            </w:r>
          </w:p>
        </w:tc>
        <w:tc>
          <w:tcPr>
            <w:tcW w:w="992" w:type="dxa"/>
            <w:tcBorders>
              <w:top w:val="nil"/>
              <w:bottom w:val="nil"/>
            </w:tcBorders>
          </w:tcPr>
          <w:p w14:paraId="174C078E" w14:textId="708E3D8C" w:rsidR="00E35A06" w:rsidRPr="00CE70EC" w:rsidRDefault="004D5718"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10</w:t>
            </w:r>
          </w:p>
        </w:tc>
        <w:tc>
          <w:tcPr>
            <w:tcW w:w="992" w:type="dxa"/>
            <w:tcBorders>
              <w:top w:val="nil"/>
              <w:bottom w:val="nil"/>
            </w:tcBorders>
          </w:tcPr>
          <w:p w14:paraId="5ACA8CF4"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X</w:t>
            </w:r>
          </w:p>
        </w:tc>
        <w:tc>
          <w:tcPr>
            <w:tcW w:w="4962" w:type="dxa"/>
            <w:tcBorders>
              <w:top w:val="nil"/>
              <w:bottom w:val="nil"/>
            </w:tcBorders>
          </w:tcPr>
          <w:p w14:paraId="278E5997"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Toure 2008 and Blevins 2015 continuous scale; Dalhatu 2016 and Moyo 2016 worked with 3 categories; other studies had different cut-offs (</w:t>
            </w:r>
            <w:r w:rsidRPr="00CE70EC">
              <w:rPr>
                <w:rFonts w:ascii="Cambria Math" w:eastAsia="MS Gothic" w:hAnsi="Cambria Math"/>
                <w:color w:val="000000"/>
                <w:sz w:val="18"/>
                <w:szCs w:val="18"/>
              </w:rPr>
              <w:t>≤</w:t>
            </w:r>
            <w:r w:rsidRPr="00CE70EC">
              <w:rPr>
                <w:rFonts w:ascii="Cambria Math" w:hAnsi="Cambria Math" w:cs="Lucida Grande"/>
                <w:color w:val="000000"/>
                <w:sz w:val="18"/>
                <w:szCs w:val="18"/>
              </w:rPr>
              <w:t xml:space="preserve">8; </w:t>
            </w:r>
            <w:r w:rsidRPr="00CE70EC">
              <w:rPr>
                <w:rFonts w:ascii="Cambria Math" w:eastAsia="MS Gothic" w:hAnsi="Cambria Math"/>
                <w:color w:val="000000"/>
                <w:sz w:val="18"/>
                <w:szCs w:val="18"/>
              </w:rPr>
              <w:t>≤</w:t>
            </w:r>
            <w:r w:rsidRPr="00CE70EC">
              <w:rPr>
                <w:rFonts w:ascii="Cambria Math" w:hAnsi="Cambria Math" w:cs="Lucida Grande"/>
                <w:color w:val="000000"/>
                <w:sz w:val="18"/>
                <w:szCs w:val="18"/>
              </w:rPr>
              <w:t xml:space="preserve">10; </w:t>
            </w:r>
            <w:r w:rsidRPr="00CE70EC">
              <w:rPr>
                <w:rFonts w:ascii="Cambria Math" w:eastAsia="MS Gothic" w:hAnsi="Cambria Math"/>
                <w:color w:val="000000"/>
                <w:sz w:val="18"/>
                <w:szCs w:val="18"/>
              </w:rPr>
              <w:t>≤</w:t>
            </w:r>
            <w:r w:rsidRPr="00CE70EC">
              <w:rPr>
                <w:rFonts w:ascii="Cambria Math" w:hAnsi="Cambria Math" w:cs="Lucida Grande"/>
                <w:color w:val="000000"/>
                <w:sz w:val="18"/>
                <w:szCs w:val="18"/>
              </w:rPr>
              <w:t>11 g/L).</w:t>
            </w:r>
          </w:p>
        </w:tc>
      </w:tr>
      <w:tr w:rsidR="00E35A06" w:rsidRPr="00CE70EC" w14:paraId="676997B5" w14:textId="77777777" w:rsidTr="00FC6239">
        <w:trPr>
          <w:jc w:val="center"/>
        </w:trPr>
        <w:tc>
          <w:tcPr>
            <w:tcW w:w="9039" w:type="dxa"/>
            <w:gridSpan w:val="6"/>
            <w:tcBorders>
              <w:top w:val="nil"/>
            </w:tcBorders>
          </w:tcPr>
          <w:p w14:paraId="437B2C91" w14:textId="09944A53"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22"/>
                <w:szCs w:val="22"/>
                <w:lang w:val="en-ZA"/>
              </w:rPr>
              <w:t>Other (1-4 studies): weight loss, opportunistic infections, viral load, pregnancy, ASA</w:t>
            </w:r>
            <w:r>
              <w:rPr>
                <w:rFonts w:ascii="Cambria Math" w:hAnsi="Cambria Math"/>
                <w:sz w:val="22"/>
                <w:szCs w:val="22"/>
                <w:lang w:val="en-ZA"/>
              </w:rPr>
              <w:t>T, HIV type, baseline symptom, peripheral neuropathy</w:t>
            </w:r>
            <w:r w:rsidR="00B254C6">
              <w:rPr>
                <w:rFonts w:ascii="Cambria Math" w:hAnsi="Cambria Math"/>
                <w:sz w:val="22"/>
                <w:szCs w:val="22"/>
                <w:lang w:val="en-ZA"/>
              </w:rPr>
              <w:t>, late in</w:t>
            </w:r>
            <w:r w:rsidR="00F95E5D">
              <w:rPr>
                <w:rFonts w:ascii="Cambria Math" w:hAnsi="Cambria Math"/>
                <w:sz w:val="22"/>
                <w:szCs w:val="22"/>
                <w:lang w:val="en-ZA"/>
              </w:rPr>
              <w:t>i</w:t>
            </w:r>
            <w:r w:rsidR="00B254C6">
              <w:rPr>
                <w:rFonts w:ascii="Cambria Math" w:hAnsi="Cambria Math"/>
                <w:sz w:val="22"/>
                <w:szCs w:val="22"/>
                <w:lang w:val="en-ZA"/>
              </w:rPr>
              <w:t>tiation (WHO and CD4 combined)</w:t>
            </w:r>
            <w:r w:rsidR="00C25E8B">
              <w:rPr>
                <w:rFonts w:ascii="Cambria Math" w:hAnsi="Cambria Math"/>
                <w:sz w:val="22"/>
                <w:szCs w:val="22"/>
                <w:lang w:val="en-ZA"/>
              </w:rPr>
              <w:t>, INH prophylaxis</w:t>
            </w:r>
            <w:r w:rsidR="0049451E">
              <w:rPr>
                <w:rFonts w:ascii="Cambria Math" w:hAnsi="Cambria Math"/>
                <w:sz w:val="22"/>
                <w:szCs w:val="22"/>
                <w:lang w:val="en-ZA"/>
              </w:rPr>
              <w:t xml:space="preserve">, psychiatric illness </w:t>
            </w:r>
          </w:p>
        </w:tc>
      </w:tr>
      <w:tr w:rsidR="00E35A06" w:rsidRPr="00CE70EC" w14:paraId="384C2E05" w14:textId="77777777" w:rsidTr="00FC6239">
        <w:trPr>
          <w:jc w:val="center"/>
        </w:trPr>
        <w:tc>
          <w:tcPr>
            <w:tcW w:w="9039" w:type="dxa"/>
            <w:gridSpan w:val="6"/>
            <w:tcBorders>
              <w:bottom w:val="single" w:sz="2" w:space="0" w:color="808080" w:themeColor="background1" w:themeShade="80"/>
            </w:tcBorders>
          </w:tcPr>
          <w:p w14:paraId="58EDDD35" w14:textId="77777777" w:rsidR="00E35A06" w:rsidRPr="00CE70EC" w:rsidRDefault="00E35A06" w:rsidP="004F4992">
            <w:pPr>
              <w:spacing w:line="360" w:lineRule="auto"/>
              <w:rPr>
                <w:rFonts w:ascii="Cambria Math" w:hAnsi="Cambria Math" w:cs="Lucida Grande"/>
                <w:b/>
                <w:color w:val="000000"/>
                <w:sz w:val="22"/>
                <w:szCs w:val="22"/>
              </w:rPr>
            </w:pPr>
            <w:r w:rsidRPr="00CE70EC">
              <w:rPr>
                <w:rFonts w:ascii="Cambria Math" w:hAnsi="Cambria Math"/>
                <w:b/>
                <w:sz w:val="22"/>
                <w:szCs w:val="22"/>
                <w:lang w:val="en-ZA"/>
              </w:rPr>
              <w:t>Patient behaviour related</w:t>
            </w:r>
          </w:p>
        </w:tc>
      </w:tr>
      <w:tr w:rsidR="00E35A06" w:rsidRPr="00CE70EC" w14:paraId="75129CD9" w14:textId="77777777" w:rsidTr="00FC6239">
        <w:trPr>
          <w:jc w:val="center"/>
        </w:trPr>
        <w:tc>
          <w:tcPr>
            <w:tcW w:w="2093" w:type="dxa"/>
            <w:gridSpan w:val="3"/>
            <w:tcBorders>
              <w:bottom w:val="nil"/>
            </w:tcBorders>
          </w:tcPr>
          <w:p w14:paraId="5D8E41A4"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Adherence</w:t>
            </w:r>
          </w:p>
        </w:tc>
        <w:tc>
          <w:tcPr>
            <w:tcW w:w="992" w:type="dxa"/>
            <w:tcBorders>
              <w:bottom w:val="nil"/>
            </w:tcBorders>
          </w:tcPr>
          <w:p w14:paraId="357929E3" w14:textId="0844A1DF" w:rsidR="00E35A06" w:rsidRPr="00CE70EC" w:rsidRDefault="00C25E8B"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8</w:t>
            </w:r>
          </w:p>
        </w:tc>
        <w:tc>
          <w:tcPr>
            <w:tcW w:w="992" w:type="dxa"/>
            <w:tcBorders>
              <w:bottom w:val="nil"/>
            </w:tcBorders>
          </w:tcPr>
          <w:p w14:paraId="0448C63B" w14:textId="19DA8A2E" w:rsidR="00E35A06" w:rsidRPr="00CE70EC" w:rsidRDefault="00C25E8B"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6</w:t>
            </w:r>
          </w:p>
        </w:tc>
        <w:tc>
          <w:tcPr>
            <w:tcW w:w="4962" w:type="dxa"/>
            <w:tcBorders>
              <w:bottom w:val="nil"/>
            </w:tcBorders>
          </w:tcPr>
          <w:p w14:paraId="76E973F6"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Karcher 2007 used continuous scales and McGuire 2013 distinguished 3 different categories</w:t>
            </w:r>
          </w:p>
        </w:tc>
      </w:tr>
      <w:tr w:rsidR="00E35A06" w:rsidRPr="00CE70EC" w14:paraId="3FDCED02" w14:textId="77777777" w:rsidTr="00FC6239">
        <w:trPr>
          <w:jc w:val="center"/>
        </w:trPr>
        <w:tc>
          <w:tcPr>
            <w:tcW w:w="2093" w:type="dxa"/>
            <w:gridSpan w:val="3"/>
            <w:tcBorders>
              <w:top w:val="nil"/>
              <w:bottom w:val="nil"/>
            </w:tcBorders>
          </w:tcPr>
          <w:p w14:paraId="66183408"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Alcohol use</w:t>
            </w:r>
          </w:p>
        </w:tc>
        <w:tc>
          <w:tcPr>
            <w:tcW w:w="992" w:type="dxa"/>
            <w:tcBorders>
              <w:top w:val="nil"/>
              <w:bottom w:val="nil"/>
            </w:tcBorders>
          </w:tcPr>
          <w:p w14:paraId="4990F2D8"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5</w:t>
            </w:r>
          </w:p>
        </w:tc>
        <w:tc>
          <w:tcPr>
            <w:tcW w:w="992" w:type="dxa"/>
            <w:tcBorders>
              <w:top w:val="nil"/>
              <w:bottom w:val="nil"/>
            </w:tcBorders>
          </w:tcPr>
          <w:p w14:paraId="58C11D70"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X</w:t>
            </w:r>
          </w:p>
        </w:tc>
        <w:tc>
          <w:tcPr>
            <w:tcW w:w="4962" w:type="dxa"/>
            <w:tcBorders>
              <w:top w:val="nil"/>
              <w:bottom w:val="nil"/>
            </w:tcBorders>
          </w:tcPr>
          <w:p w14:paraId="03932AC8"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Akilimali 2017, Pecoraro 2015, Gross 2016 and Cichowitz 2017 worked with yes vs no, but different time frames (past year; past 30 days); Deribe 2008 used a scale (sometimes/never/most of the time).</w:t>
            </w:r>
          </w:p>
        </w:tc>
      </w:tr>
      <w:tr w:rsidR="00E35A06" w:rsidRPr="00CE70EC" w14:paraId="7AE656C1" w14:textId="77777777" w:rsidTr="00FC6239">
        <w:trPr>
          <w:jc w:val="center"/>
        </w:trPr>
        <w:tc>
          <w:tcPr>
            <w:tcW w:w="2093" w:type="dxa"/>
            <w:gridSpan w:val="3"/>
            <w:tcBorders>
              <w:top w:val="nil"/>
              <w:bottom w:val="nil"/>
            </w:tcBorders>
          </w:tcPr>
          <w:p w14:paraId="197D41F7"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Disclosure</w:t>
            </w:r>
          </w:p>
        </w:tc>
        <w:tc>
          <w:tcPr>
            <w:tcW w:w="992" w:type="dxa"/>
            <w:tcBorders>
              <w:top w:val="nil"/>
              <w:bottom w:val="nil"/>
            </w:tcBorders>
          </w:tcPr>
          <w:p w14:paraId="75586B35" w14:textId="1E0486BB" w:rsidR="00E35A06" w:rsidRPr="00CE70EC" w:rsidRDefault="00690B45"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9</w:t>
            </w:r>
          </w:p>
        </w:tc>
        <w:tc>
          <w:tcPr>
            <w:tcW w:w="992" w:type="dxa"/>
            <w:tcBorders>
              <w:top w:val="nil"/>
              <w:bottom w:val="nil"/>
            </w:tcBorders>
          </w:tcPr>
          <w:p w14:paraId="5C15BF39" w14:textId="667CFCF4" w:rsidR="00E35A06" w:rsidRPr="00CE70EC" w:rsidRDefault="00690B45" w:rsidP="004F4992">
            <w:pPr>
              <w:spacing w:line="360" w:lineRule="auto"/>
              <w:rPr>
                <w:rFonts w:ascii="Cambria Math" w:eastAsia="MS Gothic" w:hAnsi="Cambria Math"/>
                <w:color w:val="000000"/>
                <w:sz w:val="22"/>
                <w:szCs w:val="22"/>
              </w:rPr>
            </w:pPr>
            <w:r>
              <w:rPr>
                <w:rFonts w:ascii="Cambria Math" w:eastAsia="MS Gothic" w:hAnsi="Cambria Math"/>
                <w:color w:val="000000"/>
                <w:sz w:val="22"/>
                <w:szCs w:val="22"/>
              </w:rPr>
              <w:t>8</w:t>
            </w:r>
          </w:p>
        </w:tc>
        <w:tc>
          <w:tcPr>
            <w:tcW w:w="4962" w:type="dxa"/>
            <w:tcBorders>
              <w:top w:val="nil"/>
              <w:bottom w:val="nil"/>
            </w:tcBorders>
          </w:tcPr>
          <w:p w14:paraId="4955C7FF" w14:textId="77777777"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Cichowitz 2017 excluded because of continuous stigma scale; Tiruneh 2016 ‘stigma concern’ included.</w:t>
            </w:r>
          </w:p>
        </w:tc>
      </w:tr>
      <w:tr w:rsidR="00E35A06" w:rsidRPr="00CE70EC" w14:paraId="64ED62A0" w14:textId="77777777" w:rsidTr="00FC6239">
        <w:trPr>
          <w:jc w:val="center"/>
        </w:trPr>
        <w:tc>
          <w:tcPr>
            <w:tcW w:w="9039" w:type="dxa"/>
            <w:gridSpan w:val="6"/>
            <w:tcBorders>
              <w:top w:val="nil"/>
            </w:tcBorders>
          </w:tcPr>
          <w:p w14:paraId="719B1123" w14:textId="77777777"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22"/>
                <w:szCs w:val="22"/>
                <w:lang w:val="en-ZA"/>
              </w:rPr>
              <w:t>Other (1-4 studies): drug use, unsafe sex practice, mode of transmission, missed visits, medication possession ratio, becoming pregnant on ART, clinic attendance</w:t>
            </w:r>
          </w:p>
        </w:tc>
      </w:tr>
      <w:tr w:rsidR="00E35A06" w:rsidRPr="00CE70EC" w14:paraId="0E275CD1" w14:textId="77777777" w:rsidTr="00FC6239">
        <w:trPr>
          <w:jc w:val="center"/>
        </w:trPr>
        <w:tc>
          <w:tcPr>
            <w:tcW w:w="9039" w:type="dxa"/>
            <w:gridSpan w:val="6"/>
            <w:tcBorders>
              <w:bottom w:val="single" w:sz="2" w:space="0" w:color="808080" w:themeColor="background1" w:themeShade="80"/>
            </w:tcBorders>
          </w:tcPr>
          <w:p w14:paraId="01ED7829" w14:textId="77777777" w:rsidR="00E35A06" w:rsidRPr="00CE70EC" w:rsidRDefault="00E35A06" w:rsidP="004F4992">
            <w:pPr>
              <w:spacing w:line="360" w:lineRule="auto"/>
              <w:rPr>
                <w:rFonts w:ascii="Cambria Math" w:hAnsi="Cambria Math" w:cs="Lucida Grande"/>
                <w:b/>
                <w:color w:val="000000"/>
                <w:sz w:val="22"/>
                <w:szCs w:val="22"/>
              </w:rPr>
            </w:pPr>
            <w:r w:rsidRPr="00CE70EC">
              <w:rPr>
                <w:rFonts w:ascii="Cambria Math" w:hAnsi="Cambria Math"/>
                <w:b/>
                <w:sz w:val="22"/>
                <w:szCs w:val="22"/>
                <w:lang w:val="en-ZA"/>
              </w:rPr>
              <w:t>Treatment related</w:t>
            </w:r>
          </w:p>
        </w:tc>
      </w:tr>
      <w:tr w:rsidR="00E35A06" w:rsidRPr="00CE70EC" w14:paraId="1238B8A0" w14:textId="77777777" w:rsidTr="00FC6239">
        <w:trPr>
          <w:jc w:val="center"/>
        </w:trPr>
        <w:tc>
          <w:tcPr>
            <w:tcW w:w="2093" w:type="dxa"/>
            <w:gridSpan w:val="3"/>
            <w:tcBorders>
              <w:bottom w:val="nil"/>
            </w:tcBorders>
          </w:tcPr>
          <w:p w14:paraId="17207FF1"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Regimen</w:t>
            </w:r>
          </w:p>
        </w:tc>
        <w:tc>
          <w:tcPr>
            <w:tcW w:w="992" w:type="dxa"/>
            <w:tcBorders>
              <w:bottom w:val="nil"/>
            </w:tcBorders>
          </w:tcPr>
          <w:p w14:paraId="54D90C01" w14:textId="2CD46752"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826B00">
              <w:rPr>
                <w:rFonts w:ascii="Cambria Math" w:eastAsia="MS Gothic" w:hAnsi="Cambria Math"/>
                <w:color w:val="000000"/>
                <w:sz w:val="22"/>
                <w:szCs w:val="22"/>
              </w:rPr>
              <w:t>6</w:t>
            </w:r>
          </w:p>
        </w:tc>
        <w:tc>
          <w:tcPr>
            <w:tcW w:w="992" w:type="dxa"/>
            <w:tcBorders>
              <w:bottom w:val="nil"/>
            </w:tcBorders>
          </w:tcPr>
          <w:p w14:paraId="25AE58D5" w14:textId="084BBF0E"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1</w:t>
            </w:r>
            <w:r w:rsidR="00826B00">
              <w:rPr>
                <w:rFonts w:ascii="Cambria Math" w:eastAsia="MS Gothic" w:hAnsi="Cambria Math"/>
                <w:color w:val="000000"/>
                <w:sz w:val="22"/>
                <w:szCs w:val="22"/>
              </w:rPr>
              <w:t>4</w:t>
            </w:r>
          </w:p>
        </w:tc>
        <w:tc>
          <w:tcPr>
            <w:tcW w:w="4962" w:type="dxa"/>
            <w:tcBorders>
              <w:bottom w:val="nil"/>
            </w:tcBorders>
          </w:tcPr>
          <w:p w14:paraId="2C92AE62" w14:textId="4387402A" w:rsidR="00E35A06" w:rsidRPr="00CE70EC" w:rsidRDefault="00E35A06" w:rsidP="004F4992">
            <w:pPr>
              <w:spacing w:line="360" w:lineRule="auto"/>
              <w:rPr>
                <w:rFonts w:ascii="Cambria Math" w:hAnsi="Cambria Math" w:cs="Lucida Grande"/>
                <w:color w:val="000000"/>
                <w:sz w:val="18"/>
                <w:szCs w:val="18"/>
              </w:rPr>
            </w:pPr>
            <w:r w:rsidRPr="00CE70EC">
              <w:rPr>
                <w:rFonts w:ascii="Cambria Math" w:hAnsi="Cambria Math" w:cs="Lucida Grande"/>
                <w:color w:val="000000"/>
                <w:sz w:val="18"/>
                <w:szCs w:val="18"/>
              </w:rPr>
              <w:t>Blevins 2015 excluded because of comparing D4T vs other.</w:t>
            </w:r>
            <w:r w:rsidR="00253BD7">
              <w:rPr>
                <w:rFonts w:ascii="Cambria Math" w:hAnsi="Cambria Math" w:cs="Lucida Grande"/>
                <w:color w:val="000000"/>
                <w:sz w:val="18"/>
                <w:szCs w:val="18"/>
              </w:rPr>
              <w:t xml:space="preserve"> Bernard2018 excluded because other references  </w:t>
            </w:r>
          </w:p>
        </w:tc>
      </w:tr>
      <w:tr w:rsidR="00E35A06" w:rsidRPr="00CE70EC" w14:paraId="7BF06421" w14:textId="77777777" w:rsidTr="00FC6239">
        <w:trPr>
          <w:jc w:val="center"/>
        </w:trPr>
        <w:tc>
          <w:tcPr>
            <w:tcW w:w="2093" w:type="dxa"/>
            <w:gridSpan w:val="3"/>
            <w:tcBorders>
              <w:top w:val="nil"/>
              <w:bottom w:val="nil"/>
            </w:tcBorders>
          </w:tcPr>
          <w:p w14:paraId="250F8F7E"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Cotrimoxazol</w:t>
            </w:r>
          </w:p>
        </w:tc>
        <w:tc>
          <w:tcPr>
            <w:tcW w:w="992" w:type="dxa"/>
            <w:tcBorders>
              <w:top w:val="nil"/>
              <w:bottom w:val="nil"/>
            </w:tcBorders>
          </w:tcPr>
          <w:p w14:paraId="6100A58B"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6</w:t>
            </w:r>
          </w:p>
        </w:tc>
        <w:tc>
          <w:tcPr>
            <w:tcW w:w="992" w:type="dxa"/>
            <w:tcBorders>
              <w:top w:val="nil"/>
              <w:bottom w:val="nil"/>
            </w:tcBorders>
          </w:tcPr>
          <w:p w14:paraId="70DBBE5A" w14:textId="77777777" w:rsidR="00E35A06" w:rsidRPr="00CE70EC" w:rsidRDefault="00E35A06" w:rsidP="004F4992">
            <w:pPr>
              <w:spacing w:line="360" w:lineRule="auto"/>
              <w:rPr>
                <w:rFonts w:ascii="Cambria Math" w:eastAsia="MS Gothic" w:hAnsi="Cambria Math"/>
                <w:color w:val="000000"/>
                <w:sz w:val="22"/>
                <w:szCs w:val="22"/>
              </w:rPr>
            </w:pPr>
            <w:r w:rsidRPr="00CE70EC">
              <w:rPr>
                <w:rFonts w:ascii="Cambria Math" w:eastAsia="MS Gothic" w:hAnsi="Cambria Math"/>
                <w:color w:val="000000"/>
                <w:sz w:val="22"/>
                <w:szCs w:val="22"/>
              </w:rPr>
              <w:t>6</w:t>
            </w:r>
          </w:p>
        </w:tc>
        <w:tc>
          <w:tcPr>
            <w:tcW w:w="4962" w:type="dxa"/>
            <w:tcBorders>
              <w:top w:val="nil"/>
              <w:bottom w:val="nil"/>
            </w:tcBorders>
          </w:tcPr>
          <w:p w14:paraId="39228260" w14:textId="77777777" w:rsidR="00E35A06" w:rsidRPr="00CE70EC" w:rsidRDefault="00E35A06" w:rsidP="004F4992">
            <w:pPr>
              <w:spacing w:line="360" w:lineRule="auto"/>
              <w:rPr>
                <w:rFonts w:ascii="Cambria Math" w:hAnsi="Cambria Math" w:cs="Lucida Grande"/>
                <w:color w:val="000000"/>
                <w:sz w:val="22"/>
                <w:szCs w:val="22"/>
              </w:rPr>
            </w:pPr>
          </w:p>
        </w:tc>
      </w:tr>
      <w:tr w:rsidR="00E35A06" w:rsidRPr="00CE70EC" w14:paraId="7E9948D2" w14:textId="77777777" w:rsidTr="00FC6239">
        <w:trPr>
          <w:jc w:val="center"/>
        </w:trPr>
        <w:tc>
          <w:tcPr>
            <w:tcW w:w="9039" w:type="dxa"/>
            <w:gridSpan w:val="6"/>
            <w:tcBorders>
              <w:top w:val="nil"/>
            </w:tcBorders>
          </w:tcPr>
          <w:p w14:paraId="503E3C39" w14:textId="3902BFC2"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22"/>
                <w:szCs w:val="22"/>
                <w:lang w:val="en-ZA"/>
              </w:rPr>
              <w:t>Other (1-4 studies): IPT, previous ART, down-referral, Rx supporter, time to initiation, treatment success, start of ART, pre-ART, referral site, time on ART, regimen change, nutritional supplements</w:t>
            </w:r>
            <w:r w:rsidR="00A225D3">
              <w:rPr>
                <w:rFonts w:ascii="Cambria Math" w:hAnsi="Cambria Math"/>
                <w:sz w:val="22"/>
                <w:szCs w:val="22"/>
                <w:lang w:val="en-ZA"/>
              </w:rPr>
              <w:t>, referred to adherence club</w:t>
            </w:r>
          </w:p>
        </w:tc>
      </w:tr>
      <w:tr w:rsidR="00E35A06" w:rsidRPr="00CE70EC" w14:paraId="5A850B85" w14:textId="77777777" w:rsidTr="00FC6239">
        <w:trPr>
          <w:jc w:val="center"/>
        </w:trPr>
        <w:tc>
          <w:tcPr>
            <w:tcW w:w="9039" w:type="dxa"/>
            <w:gridSpan w:val="6"/>
            <w:tcBorders>
              <w:bottom w:val="single" w:sz="2" w:space="0" w:color="808080" w:themeColor="background1" w:themeShade="80"/>
            </w:tcBorders>
          </w:tcPr>
          <w:p w14:paraId="598B92A1" w14:textId="77777777" w:rsidR="00E35A06" w:rsidRPr="00CE70EC" w:rsidRDefault="00E35A06" w:rsidP="004F4992">
            <w:pPr>
              <w:spacing w:line="360" w:lineRule="auto"/>
              <w:rPr>
                <w:rFonts w:ascii="Cambria Math" w:hAnsi="Cambria Math"/>
                <w:b/>
                <w:sz w:val="22"/>
                <w:szCs w:val="22"/>
                <w:lang w:val="en-ZA"/>
              </w:rPr>
            </w:pPr>
            <w:r w:rsidRPr="00CE70EC">
              <w:rPr>
                <w:rFonts w:ascii="Cambria Math" w:hAnsi="Cambria Math"/>
                <w:b/>
                <w:sz w:val="22"/>
                <w:szCs w:val="22"/>
                <w:lang w:val="en-ZA"/>
              </w:rPr>
              <w:t>System/program related</w:t>
            </w:r>
          </w:p>
        </w:tc>
      </w:tr>
      <w:tr w:rsidR="00E35A06" w:rsidRPr="00CE70EC" w14:paraId="451FBDCA" w14:textId="77777777" w:rsidTr="00FC6239">
        <w:trPr>
          <w:jc w:val="center"/>
        </w:trPr>
        <w:tc>
          <w:tcPr>
            <w:tcW w:w="2093" w:type="dxa"/>
            <w:gridSpan w:val="3"/>
            <w:tcBorders>
              <w:bottom w:val="nil"/>
            </w:tcBorders>
          </w:tcPr>
          <w:p w14:paraId="3D17CFC6"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Geographical setting</w:t>
            </w:r>
          </w:p>
        </w:tc>
        <w:tc>
          <w:tcPr>
            <w:tcW w:w="992" w:type="dxa"/>
            <w:tcBorders>
              <w:bottom w:val="nil"/>
            </w:tcBorders>
          </w:tcPr>
          <w:p w14:paraId="558AAC54"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13</w:t>
            </w:r>
          </w:p>
        </w:tc>
        <w:tc>
          <w:tcPr>
            <w:tcW w:w="992" w:type="dxa"/>
            <w:tcBorders>
              <w:bottom w:val="nil"/>
            </w:tcBorders>
          </w:tcPr>
          <w:p w14:paraId="440204B5"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13</w:t>
            </w:r>
          </w:p>
        </w:tc>
        <w:tc>
          <w:tcPr>
            <w:tcW w:w="4962" w:type="dxa"/>
            <w:tcBorders>
              <w:bottom w:val="nil"/>
            </w:tcBorders>
          </w:tcPr>
          <w:p w14:paraId="1C7B66B4" w14:textId="77777777" w:rsidR="00E35A06" w:rsidRPr="00CE70EC" w:rsidRDefault="00E35A06" w:rsidP="004F4992">
            <w:pPr>
              <w:spacing w:line="360" w:lineRule="auto"/>
              <w:rPr>
                <w:rFonts w:ascii="Cambria Math" w:hAnsi="Cambria Math"/>
                <w:sz w:val="22"/>
                <w:szCs w:val="22"/>
                <w:lang w:val="en-ZA"/>
              </w:rPr>
            </w:pPr>
          </w:p>
        </w:tc>
      </w:tr>
      <w:tr w:rsidR="00E35A06" w:rsidRPr="00CE70EC" w14:paraId="116F2DE2" w14:textId="77777777" w:rsidTr="00FC6239">
        <w:trPr>
          <w:jc w:val="center"/>
        </w:trPr>
        <w:tc>
          <w:tcPr>
            <w:tcW w:w="2093" w:type="dxa"/>
            <w:gridSpan w:val="3"/>
            <w:tcBorders>
              <w:top w:val="nil"/>
              <w:bottom w:val="nil"/>
            </w:tcBorders>
          </w:tcPr>
          <w:p w14:paraId="6DC0C346"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Level of care</w:t>
            </w:r>
          </w:p>
        </w:tc>
        <w:tc>
          <w:tcPr>
            <w:tcW w:w="992" w:type="dxa"/>
            <w:tcBorders>
              <w:top w:val="nil"/>
              <w:bottom w:val="nil"/>
            </w:tcBorders>
          </w:tcPr>
          <w:p w14:paraId="17104CEB" w14:textId="0BB525DE"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1</w:t>
            </w:r>
            <w:r w:rsidR="00126411">
              <w:rPr>
                <w:rFonts w:ascii="Cambria Math" w:hAnsi="Cambria Math"/>
                <w:sz w:val="22"/>
                <w:szCs w:val="22"/>
                <w:lang w:val="en-ZA"/>
              </w:rPr>
              <w:t>4</w:t>
            </w:r>
          </w:p>
        </w:tc>
        <w:tc>
          <w:tcPr>
            <w:tcW w:w="992" w:type="dxa"/>
            <w:tcBorders>
              <w:top w:val="nil"/>
              <w:bottom w:val="nil"/>
            </w:tcBorders>
          </w:tcPr>
          <w:p w14:paraId="676389D8"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7</w:t>
            </w:r>
          </w:p>
        </w:tc>
        <w:tc>
          <w:tcPr>
            <w:tcW w:w="4962" w:type="dxa"/>
            <w:tcBorders>
              <w:top w:val="nil"/>
              <w:bottom w:val="nil"/>
            </w:tcBorders>
          </w:tcPr>
          <w:p w14:paraId="70ABFF54" w14:textId="0B7A7BEF" w:rsidR="00E35A06" w:rsidRPr="00CE70EC" w:rsidRDefault="00E35A06" w:rsidP="004F4992">
            <w:pPr>
              <w:spacing w:line="360" w:lineRule="auto"/>
              <w:rPr>
                <w:rFonts w:ascii="Cambria Math" w:hAnsi="Cambria Math"/>
                <w:sz w:val="18"/>
                <w:szCs w:val="18"/>
                <w:lang w:val="en-ZA"/>
              </w:rPr>
            </w:pPr>
            <w:r w:rsidRPr="00CE70EC">
              <w:rPr>
                <w:rFonts w:ascii="Cambria Math" w:hAnsi="Cambria Math" w:cs="Lucida Grande"/>
                <w:color w:val="000000"/>
                <w:sz w:val="18"/>
                <w:szCs w:val="18"/>
              </w:rPr>
              <w:t>Zhu2012: many different categories (eg. CDC, prison hosp, village clinic, health centre); Toure 2008: any clinic vs the m</w:t>
            </w:r>
            <w:r w:rsidR="00126411">
              <w:rPr>
                <w:rFonts w:ascii="Cambria Math" w:hAnsi="Cambria Math" w:cs="Lucida Grande"/>
                <w:color w:val="000000"/>
                <w:sz w:val="18"/>
                <w:szCs w:val="18"/>
              </w:rPr>
              <w:t xml:space="preserve">other clinic;  Khumalo 2016, </w:t>
            </w:r>
            <w:r w:rsidRPr="00CE70EC">
              <w:rPr>
                <w:rFonts w:ascii="Cambria Math" w:hAnsi="Cambria Math" w:cs="Lucida Grande"/>
                <w:color w:val="000000"/>
                <w:sz w:val="18"/>
                <w:szCs w:val="18"/>
              </w:rPr>
              <w:t>Rachlis 2016</w:t>
            </w:r>
            <w:r w:rsidR="00C827CA">
              <w:rPr>
                <w:rFonts w:ascii="Cambria Math" w:hAnsi="Cambria Math" w:cs="Lucida Grande"/>
                <w:color w:val="000000"/>
                <w:sz w:val="18"/>
                <w:szCs w:val="18"/>
              </w:rPr>
              <w:t xml:space="preserve"> and Nawugaba2018</w:t>
            </w:r>
            <w:r w:rsidRPr="00CE70EC">
              <w:rPr>
                <w:rFonts w:ascii="Cambria Math" w:hAnsi="Cambria Math" w:cs="Lucida Grande"/>
                <w:color w:val="000000"/>
                <w:sz w:val="18"/>
                <w:szCs w:val="18"/>
              </w:rPr>
              <w:t xml:space="preserve"> differentiate primary/secondary/tertiary. Odafe </w:t>
            </w:r>
            <w:r w:rsidR="00126411">
              <w:rPr>
                <w:rFonts w:ascii="Cambria Math" w:hAnsi="Cambria Math" w:cs="Lucida Grande"/>
                <w:color w:val="000000"/>
                <w:sz w:val="18"/>
                <w:szCs w:val="18"/>
              </w:rPr>
              <w:t>2012 only secondary vs tertiary; Opio 2019 HC III, HC IV and hospital</w:t>
            </w:r>
          </w:p>
        </w:tc>
      </w:tr>
      <w:tr w:rsidR="00E35A06" w:rsidRPr="00CE70EC" w14:paraId="7A4B107F" w14:textId="77777777" w:rsidTr="00FC6239">
        <w:trPr>
          <w:jc w:val="center"/>
        </w:trPr>
        <w:tc>
          <w:tcPr>
            <w:tcW w:w="2093" w:type="dxa"/>
            <w:gridSpan w:val="3"/>
            <w:tcBorders>
              <w:top w:val="nil"/>
              <w:bottom w:val="nil"/>
            </w:tcBorders>
          </w:tcPr>
          <w:p w14:paraId="713FEE05"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Clinic size</w:t>
            </w:r>
          </w:p>
        </w:tc>
        <w:tc>
          <w:tcPr>
            <w:tcW w:w="992" w:type="dxa"/>
            <w:tcBorders>
              <w:top w:val="nil"/>
              <w:bottom w:val="nil"/>
            </w:tcBorders>
          </w:tcPr>
          <w:p w14:paraId="3C9B3B7D" w14:textId="43C6EC52" w:rsidR="00E35A06" w:rsidRPr="00CE70EC" w:rsidRDefault="00C643D8" w:rsidP="004F4992">
            <w:pPr>
              <w:spacing w:line="360" w:lineRule="auto"/>
              <w:rPr>
                <w:rFonts w:ascii="Cambria Math" w:hAnsi="Cambria Math"/>
                <w:sz w:val="22"/>
                <w:szCs w:val="22"/>
                <w:lang w:val="en-ZA"/>
              </w:rPr>
            </w:pPr>
            <w:r>
              <w:rPr>
                <w:rFonts w:ascii="Cambria Math" w:hAnsi="Cambria Math"/>
                <w:sz w:val="22"/>
                <w:szCs w:val="22"/>
                <w:lang w:val="en-ZA"/>
              </w:rPr>
              <w:t>8</w:t>
            </w:r>
          </w:p>
        </w:tc>
        <w:tc>
          <w:tcPr>
            <w:tcW w:w="992" w:type="dxa"/>
            <w:tcBorders>
              <w:top w:val="nil"/>
              <w:bottom w:val="nil"/>
            </w:tcBorders>
          </w:tcPr>
          <w:p w14:paraId="2A46060D"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X</w:t>
            </w:r>
          </w:p>
        </w:tc>
        <w:tc>
          <w:tcPr>
            <w:tcW w:w="4962" w:type="dxa"/>
            <w:tcBorders>
              <w:top w:val="nil"/>
              <w:bottom w:val="nil"/>
            </w:tcBorders>
          </w:tcPr>
          <w:p w14:paraId="5B62D9D1" w14:textId="77777777" w:rsidR="00E35A06" w:rsidRPr="00CE70EC" w:rsidRDefault="00E35A06" w:rsidP="004F4992">
            <w:pPr>
              <w:spacing w:line="360" w:lineRule="auto"/>
              <w:rPr>
                <w:rFonts w:ascii="Cambria Math" w:hAnsi="Cambria Math"/>
                <w:sz w:val="18"/>
                <w:szCs w:val="18"/>
                <w:lang w:val="en-ZA"/>
              </w:rPr>
            </w:pPr>
            <w:r w:rsidRPr="00CE70EC">
              <w:rPr>
                <w:rFonts w:ascii="Cambria Math" w:hAnsi="Cambria Math" w:cs="Lucida Grande"/>
                <w:color w:val="000000"/>
                <w:sz w:val="18"/>
                <w:szCs w:val="18"/>
              </w:rPr>
              <w:t>Some studies work with low vs high volume or caseload; some with patient numbers in different categories; Auld2016a with quintiles.</w:t>
            </w:r>
          </w:p>
        </w:tc>
      </w:tr>
      <w:tr w:rsidR="00E35A06" w:rsidRPr="00CE70EC" w14:paraId="56767CCF" w14:textId="77777777" w:rsidTr="00FC6239">
        <w:trPr>
          <w:jc w:val="center"/>
        </w:trPr>
        <w:tc>
          <w:tcPr>
            <w:tcW w:w="2093" w:type="dxa"/>
            <w:gridSpan w:val="3"/>
            <w:tcBorders>
              <w:top w:val="nil"/>
              <w:bottom w:val="nil"/>
            </w:tcBorders>
          </w:tcPr>
          <w:p w14:paraId="2CC4D5B8"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 xml:space="preserve">Year of initiation </w:t>
            </w:r>
          </w:p>
        </w:tc>
        <w:tc>
          <w:tcPr>
            <w:tcW w:w="992" w:type="dxa"/>
            <w:tcBorders>
              <w:top w:val="nil"/>
              <w:bottom w:val="nil"/>
            </w:tcBorders>
          </w:tcPr>
          <w:p w14:paraId="1647B7CE" w14:textId="75AD2757" w:rsidR="00E35A06" w:rsidRPr="00CE70EC" w:rsidRDefault="00DB2F84" w:rsidP="004F4992">
            <w:pPr>
              <w:spacing w:line="360" w:lineRule="auto"/>
              <w:rPr>
                <w:rFonts w:ascii="Cambria Math" w:hAnsi="Cambria Math"/>
                <w:sz w:val="22"/>
                <w:szCs w:val="22"/>
                <w:lang w:val="en-ZA"/>
              </w:rPr>
            </w:pPr>
            <w:r>
              <w:rPr>
                <w:rFonts w:ascii="Cambria Math" w:hAnsi="Cambria Math"/>
                <w:sz w:val="22"/>
                <w:szCs w:val="22"/>
                <w:lang w:val="en-ZA"/>
              </w:rPr>
              <w:t>3</w:t>
            </w:r>
            <w:r w:rsidR="008872FF">
              <w:rPr>
                <w:rFonts w:ascii="Cambria Math" w:hAnsi="Cambria Math"/>
                <w:sz w:val="22"/>
                <w:szCs w:val="22"/>
                <w:lang w:val="en-ZA"/>
              </w:rPr>
              <w:t>3</w:t>
            </w:r>
          </w:p>
        </w:tc>
        <w:tc>
          <w:tcPr>
            <w:tcW w:w="992" w:type="dxa"/>
            <w:tcBorders>
              <w:top w:val="nil"/>
              <w:bottom w:val="nil"/>
            </w:tcBorders>
          </w:tcPr>
          <w:p w14:paraId="58632A02" w14:textId="77777777" w:rsidR="00E35A06" w:rsidRPr="00CE70EC" w:rsidRDefault="00E35A06" w:rsidP="004F4992">
            <w:pPr>
              <w:spacing w:line="360" w:lineRule="auto"/>
              <w:rPr>
                <w:rFonts w:ascii="Cambria Math" w:hAnsi="Cambria Math"/>
                <w:sz w:val="22"/>
                <w:szCs w:val="22"/>
                <w:lang w:val="en-ZA"/>
              </w:rPr>
            </w:pPr>
            <w:r w:rsidRPr="00CE70EC">
              <w:rPr>
                <w:rFonts w:ascii="Cambria Math" w:hAnsi="Cambria Math"/>
                <w:sz w:val="22"/>
                <w:szCs w:val="22"/>
                <w:lang w:val="en-ZA"/>
              </w:rPr>
              <w:t>11</w:t>
            </w:r>
          </w:p>
        </w:tc>
        <w:tc>
          <w:tcPr>
            <w:tcW w:w="4962" w:type="dxa"/>
            <w:tcBorders>
              <w:top w:val="nil"/>
              <w:bottom w:val="nil"/>
            </w:tcBorders>
          </w:tcPr>
          <w:p w14:paraId="6F4F7633" w14:textId="77777777" w:rsidR="00E35A06" w:rsidRPr="00CE70EC" w:rsidRDefault="00E35A06" w:rsidP="004F4992">
            <w:pPr>
              <w:spacing w:line="360" w:lineRule="auto"/>
              <w:rPr>
                <w:rFonts w:ascii="Cambria Math" w:hAnsi="Cambria Math"/>
                <w:sz w:val="18"/>
                <w:szCs w:val="18"/>
                <w:lang w:val="en-ZA"/>
              </w:rPr>
            </w:pPr>
            <w:r w:rsidRPr="00CE70EC">
              <w:rPr>
                <w:rFonts w:ascii="Cambria Math" w:hAnsi="Cambria Math" w:cs="Lucida Grande"/>
                <w:color w:val="000000"/>
                <w:sz w:val="18"/>
                <w:szCs w:val="18"/>
              </w:rPr>
              <w:t xml:space="preserve">Many studies excluded for meta-analysis due to large variety of categories. </w:t>
            </w:r>
          </w:p>
        </w:tc>
      </w:tr>
      <w:tr w:rsidR="00E35A06" w:rsidRPr="00CE70EC" w14:paraId="602F9356" w14:textId="77777777" w:rsidTr="00FC6239">
        <w:trPr>
          <w:jc w:val="center"/>
        </w:trPr>
        <w:tc>
          <w:tcPr>
            <w:tcW w:w="9039" w:type="dxa"/>
            <w:gridSpan w:val="6"/>
            <w:tcBorders>
              <w:top w:val="nil"/>
            </w:tcBorders>
          </w:tcPr>
          <w:p w14:paraId="1A9EFBD3" w14:textId="0ED51826"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22"/>
                <w:szCs w:val="22"/>
                <w:lang w:val="en-ZA"/>
              </w:rPr>
              <w:t>Other (1-4 studies): proximity clinic, travel time, sector, phase of enrollment, adherence intervention, community supp group, physician/nurse/bed density, staff experience, program design, staff turnover, staff burnout, age of program, patient-provider relationship score, drug dispensing in community, CD4 test on site, clinic opening hours, waiting time lab results</w:t>
            </w:r>
            <w:r w:rsidR="008872FF">
              <w:rPr>
                <w:rFonts w:ascii="Cambria Math" w:hAnsi="Cambria Math"/>
                <w:sz w:val="22"/>
                <w:szCs w:val="22"/>
                <w:lang w:val="en-ZA"/>
              </w:rPr>
              <w:t>, program,</w:t>
            </w:r>
            <w:r w:rsidR="00126411">
              <w:rPr>
                <w:rFonts w:ascii="Cambria Math" w:hAnsi="Cambria Math"/>
                <w:sz w:val="22"/>
                <w:szCs w:val="22"/>
                <w:lang w:val="en-ZA"/>
              </w:rPr>
              <w:t xml:space="preserve"> nutritional support, outreach/ telephone contact. </w:t>
            </w:r>
          </w:p>
        </w:tc>
      </w:tr>
      <w:tr w:rsidR="00E35A06" w:rsidRPr="00CE70EC" w14:paraId="6F9FAA84" w14:textId="77777777" w:rsidTr="00FC6239">
        <w:trPr>
          <w:jc w:val="center"/>
        </w:trPr>
        <w:tc>
          <w:tcPr>
            <w:tcW w:w="9039" w:type="dxa"/>
            <w:gridSpan w:val="6"/>
          </w:tcPr>
          <w:p w14:paraId="1C34213D" w14:textId="77777777" w:rsidR="00E35A06" w:rsidRPr="00CE70EC" w:rsidRDefault="00E35A06" w:rsidP="004F4992">
            <w:pPr>
              <w:pBdr>
                <w:top w:val="single" w:sz="4" w:space="1" w:color="auto"/>
              </w:pBdr>
              <w:spacing w:line="360" w:lineRule="auto"/>
              <w:rPr>
                <w:rFonts w:ascii="Cambria Math" w:hAnsi="Cambria Math"/>
                <w:sz w:val="18"/>
                <w:szCs w:val="18"/>
                <w:lang w:val="en-ZA"/>
              </w:rPr>
            </w:pPr>
            <w:r w:rsidRPr="00CE70EC">
              <w:rPr>
                <w:rFonts w:ascii="Cambria Math" w:hAnsi="Cambria Math"/>
                <w:sz w:val="18"/>
                <w:szCs w:val="18"/>
                <w:lang w:val="en-ZA"/>
              </w:rPr>
              <w:t>X: no meta-analysis could be performed due to variability of categories</w:t>
            </w:r>
          </w:p>
          <w:p w14:paraId="16EBD038" w14:textId="77777777" w:rsidR="00E35A06" w:rsidRPr="00CE70EC" w:rsidRDefault="00E35A06" w:rsidP="004F4992">
            <w:pPr>
              <w:spacing w:line="360" w:lineRule="auto"/>
              <w:rPr>
                <w:rFonts w:ascii="Cambria Math" w:hAnsi="Cambria Math" w:cs="Lucida Grande"/>
                <w:color w:val="000000"/>
                <w:sz w:val="22"/>
                <w:szCs w:val="22"/>
              </w:rPr>
            </w:pPr>
            <w:r w:rsidRPr="00CE70EC">
              <w:rPr>
                <w:rFonts w:ascii="Cambria Math" w:hAnsi="Cambria Math"/>
                <w:sz w:val="18"/>
                <w:szCs w:val="18"/>
                <w:lang w:val="en-ZA"/>
              </w:rPr>
              <w:t xml:space="preserve">Abbreviations:  ART = antiretroviral therapy; BMI = Body Mass Index; IPT= isoniazide prophylactic therpay; KG = kilograms; Rx = treatment; VL = viral load. </w:t>
            </w:r>
          </w:p>
        </w:tc>
      </w:tr>
    </w:tbl>
    <w:p w14:paraId="5B5D704E" w14:textId="77777777" w:rsidR="00E35A06" w:rsidRDefault="00E35A06" w:rsidP="004F4992">
      <w:pPr>
        <w:spacing w:line="360" w:lineRule="auto"/>
        <w:rPr>
          <w:b/>
          <w:sz w:val="36"/>
          <w:szCs w:val="36"/>
        </w:rPr>
      </w:pPr>
    </w:p>
    <w:p w14:paraId="2AAA3EF9" w14:textId="77777777" w:rsidR="00E35A06" w:rsidRDefault="00E35A06" w:rsidP="004F4992">
      <w:pPr>
        <w:spacing w:line="360" w:lineRule="auto"/>
      </w:pPr>
    </w:p>
    <w:sectPr w:rsidR="00E35A06" w:rsidSect="00C11E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A2"/>
    <w:rsid w:val="00035D90"/>
    <w:rsid w:val="00073AA2"/>
    <w:rsid w:val="000F3714"/>
    <w:rsid w:val="000F5D9A"/>
    <w:rsid w:val="00124E8C"/>
    <w:rsid w:val="00126411"/>
    <w:rsid w:val="00155F38"/>
    <w:rsid w:val="001E535B"/>
    <w:rsid w:val="002003A2"/>
    <w:rsid w:val="002211AF"/>
    <w:rsid w:val="002303C8"/>
    <w:rsid w:val="00253BD7"/>
    <w:rsid w:val="00286E3F"/>
    <w:rsid w:val="00485645"/>
    <w:rsid w:val="0049451E"/>
    <w:rsid w:val="004D5718"/>
    <w:rsid w:val="004F4992"/>
    <w:rsid w:val="00613BD1"/>
    <w:rsid w:val="00690B45"/>
    <w:rsid w:val="006E666F"/>
    <w:rsid w:val="00704B79"/>
    <w:rsid w:val="00826B00"/>
    <w:rsid w:val="008872FF"/>
    <w:rsid w:val="00A225D3"/>
    <w:rsid w:val="00B254C6"/>
    <w:rsid w:val="00B30346"/>
    <w:rsid w:val="00B838AF"/>
    <w:rsid w:val="00B83E2F"/>
    <w:rsid w:val="00B85406"/>
    <w:rsid w:val="00BE1D5F"/>
    <w:rsid w:val="00C11ECC"/>
    <w:rsid w:val="00C25E8B"/>
    <w:rsid w:val="00C643D8"/>
    <w:rsid w:val="00C827CA"/>
    <w:rsid w:val="00CD57A0"/>
    <w:rsid w:val="00DB2F84"/>
    <w:rsid w:val="00DE04A1"/>
    <w:rsid w:val="00E07E9A"/>
    <w:rsid w:val="00E35A06"/>
    <w:rsid w:val="00ED1B03"/>
    <w:rsid w:val="00ED399B"/>
    <w:rsid w:val="00ED6232"/>
    <w:rsid w:val="00ED777B"/>
    <w:rsid w:val="00EF724F"/>
    <w:rsid w:val="00F95E5D"/>
    <w:rsid w:val="00FC6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CEC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73A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3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73A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3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4103</Characters>
  <Application>Microsoft Macintosh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Frijters</dc:creator>
  <cp:keywords/>
  <dc:description/>
  <cp:lastModifiedBy>Marloes Frijters</cp:lastModifiedBy>
  <cp:revision>43</cp:revision>
  <dcterms:created xsi:type="dcterms:W3CDTF">2019-07-31T07:58:00Z</dcterms:created>
  <dcterms:modified xsi:type="dcterms:W3CDTF">2019-11-24T18:32:00Z</dcterms:modified>
</cp:coreProperties>
</file>