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23644" w14:textId="271D7DC2" w:rsidR="00C16EDA" w:rsidRPr="00ED33D9" w:rsidRDefault="00A1471B" w:rsidP="009D160D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33D9">
        <w:rPr>
          <w:rFonts w:ascii="Times New Roman" w:hAnsi="Times New Roman" w:cs="Times New Roman"/>
          <w:b/>
          <w:sz w:val="24"/>
          <w:szCs w:val="24"/>
        </w:rPr>
        <w:t xml:space="preserve">Supplement </w:t>
      </w:r>
      <w:r w:rsidR="00C16EDA" w:rsidRPr="00ED33D9">
        <w:rPr>
          <w:rFonts w:ascii="Times New Roman" w:hAnsi="Times New Roman" w:cs="Times New Roman"/>
          <w:b/>
          <w:sz w:val="24"/>
          <w:szCs w:val="24"/>
        </w:rPr>
        <w:t>Figure 1</w:t>
      </w:r>
      <w:r w:rsidR="00653B91">
        <w:rPr>
          <w:rFonts w:ascii="Times New Roman" w:hAnsi="Times New Roman" w:cs="Times New Roman"/>
          <w:b/>
          <w:sz w:val="24"/>
          <w:szCs w:val="24"/>
        </w:rPr>
        <w:t>a</w:t>
      </w:r>
      <w:r w:rsidR="00C16EDA" w:rsidRPr="00ED33D9">
        <w:rPr>
          <w:rFonts w:ascii="Times New Roman" w:hAnsi="Times New Roman" w:cs="Times New Roman"/>
          <w:b/>
          <w:sz w:val="24"/>
          <w:szCs w:val="24"/>
        </w:rPr>
        <w:t>. Examples of Differences between Definitions</w:t>
      </w:r>
      <w:r w:rsidR="009D160D" w:rsidRPr="00ED33D9">
        <w:rPr>
          <w:rFonts w:ascii="Times New Roman" w:hAnsi="Times New Roman" w:cs="Times New Roman"/>
          <w:b/>
          <w:sz w:val="24"/>
          <w:szCs w:val="24"/>
        </w:rPr>
        <w:tab/>
      </w:r>
    </w:p>
    <w:p w14:paraId="20DE62DF" w14:textId="5734615A" w:rsidR="005F367D" w:rsidRDefault="000C441F">
      <w:pPr>
        <w:rPr>
          <w:rFonts w:ascii="Times New Roman" w:hAnsi="Times New Roman" w:cs="Times New Roman"/>
          <w:sz w:val="24"/>
          <w:szCs w:val="24"/>
        </w:rPr>
      </w:pPr>
      <w:r w:rsidRPr="00ED33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EB1157" wp14:editId="32C01D7F">
            <wp:extent cx="5577840" cy="619486"/>
            <wp:effectExtent l="19050" t="19050" r="2286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1948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879676" w14:textId="0B303E3E" w:rsidR="00653B91" w:rsidRPr="00ED33D9" w:rsidRDefault="00653B91">
      <w:pPr>
        <w:rPr>
          <w:rFonts w:ascii="Times New Roman" w:hAnsi="Times New Roman" w:cs="Times New Roman"/>
          <w:sz w:val="24"/>
          <w:szCs w:val="24"/>
        </w:rPr>
      </w:pPr>
      <w:r w:rsidRPr="00ED33D9">
        <w:rPr>
          <w:rFonts w:ascii="Times New Roman" w:hAnsi="Times New Roman" w:cs="Times New Roman"/>
          <w:b/>
          <w:sz w:val="24"/>
          <w:szCs w:val="24"/>
        </w:rPr>
        <w:t>Supplement Figure 1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ED33D9">
        <w:rPr>
          <w:rFonts w:ascii="Times New Roman" w:hAnsi="Times New Roman" w:cs="Times New Roman"/>
          <w:b/>
          <w:sz w:val="24"/>
          <w:szCs w:val="24"/>
        </w:rPr>
        <w:t>. Examples of Differences between Definitions</w:t>
      </w:r>
    </w:p>
    <w:p w14:paraId="73EC8A39" w14:textId="215DA02D" w:rsidR="005F367D" w:rsidRPr="00ED33D9" w:rsidRDefault="004C2AD3">
      <w:pPr>
        <w:rPr>
          <w:rFonts w:ascii="Times New Roman" w:hAnsi="Times New Roman" w:cs="Times New Roman"/>
          <w:sz w:val="24"/>
          <w:szCs w:val="24"/>
        </w:rPr>
      </w:pPr>
      <w:r w:rsidRPr="00ED33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ADC194" wp14:editId="7EF1885E">
            <wp:extent cx="5943600" cy="173186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AE2E3" w14:textId="7C4068D1" w:rsidR="005738B4" w:rsidRPr="00665DED" w:rsidRDefault="005738B4" w:rsidP="005738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65DED">
        <w:rPr>
          <w:rFonts w:ascii="Times New Roman" w:hAnsi="Times New Roman" w:cs="Times New Roman"/>
          <w:sz w:val="20"/>
          <w:szCs w:val="20"/>
        </w:rPr>
        <w:t xml:space="preserve">Gaps in </w:t>
      </w:r>
      <w:proofErr w:type="spellStart"/>
      <w:r w:rsidRPr="00665DED">
        <w:rPr>
          <w:rFonts w:ascii="Times New Roman" w:hAnsi="Times New Roman" w:cs="Times New Roman"/>
          <w:sz w:val="20"/>
          <w:szCs w:val="20"/>
        </w:rPr>
        <w:t>PrEP</w:t>
      </w:r>
      <w:proofErr w:type="spellEnd"/>
      <w:r w:rsidRPr="00665DED">
        <w:rPr>
          <w:rFonts w:ascii="Times New Roman" w:hAnsi="Times New Roman" w:cs="Times New Roman"/>
          <w:sz w:val="20"/>
          <w:szCs w:val="20"/>
        </w:rPr>
        <w:t xml:space="preserve"> use </w:t>
      </w:r>
      <w:proofErr w:type="gramStart"/>
      <w:r w:rsidRPr="00665DED">
        <w:rPr>
          <w:rFonts w:ascii="Times New Roman" w:hAnsi="Times New Roman" w:cs="Times New Roman"/>
          <w:sz w:val="20"/>
          <w:szCs w:val="20"/>
        </w:rPr>
        <w:t>can be masked</w:t>
      </w:r>
      <w:proofErr w:type="gramEnd"/>
      <w:r w:rsidRPr="00665DED">
        <w:rPr>
          <w:rFonts w:ascii="Times New Roman" w:hAnsi="Times New Roman" w:cs="Times New Roman"/>
          <w:sz w:val="20"/>
          <w:szCs w:val="20"/>
        </w:rPr>
        <w:t xml:space="preserve"> by Total Time on </w:t>
      </w:r>
      <w:proofErr w:type="spellStart"/>
      <w:r w:rsidRPr="00665DED">
        <w:rPr>
          <w:rFonts w:ascii="Times New Roman" w:hAnsi="Times New Roman" w:cs="Times New Roman"/>
          <w:sz w:val="20"/>
          <w:szCs w:val="20"/>
        </w:rPr>
        <w:t>PrEP</w:t>
      </w:r>
      <w:proofErr w:type="spellEnd"/>
      <w:r w:rsidRPr="00665DED">
        <w:rPr>
          <w:rFonts w:ascii="Times New Roman" w:hAnsi="Times New Roman" w:cs="Times New Roman"/>
          <w:sz w:val="20"/>
          <w:szCs w:val="20"/>
        </w:rPr>
        <w:t xml:space="preserve"> and can lead to changes in the On </w:t>
      </w:r>
      <w:proofErr w:type="spellStart"/>
      <w:r w:rsidRPr="00665DED">
        <w:rPr>
          <w:rFonts w:ascii="Times New Roman" w:hAnsi="Times New Roman" w:cs="Times New Roman"/>
          <w:sz w:val="20"/>
          <w:szCs w:val="20"/>
        </w:rPr>
        <w:t>PrEP</w:t>
      </w:r>
      <w:proofErr w:type="spellEnd"/>
      <w:r w:rsidRPr="00665DED">
        <w:rPr>
          <w:rFonts w:ascii="Times New Roman" w:hAnsi="Times New Roman" w:cs="Times New Roman"/>
          <w:sz w:val="20"/>
          <w:szCs w:val="20"/>
        </w:rPr>
        <w:t xml:space="preserve"> measure over time. For instance, Total Time on </w:t>
      </w:r>
      <w:proofErr w:type="spellStart"/>
      <w:r w:rsidRPr="00665DED">
        <w:rPr>
          <w:rFonts w:ascii="Times New Roman" w:hAnsi="Times New Roman" w:cs="Times New Roman"/>
          <w:sz w:val="20"/>
          <w:szCs w:val="20"/>
        </w:rPr>
        <w:t>PrEP</w:t>
      </w:r>
      <w:proofErr w:type="spellEnd"/>
      <w:r w:rsidRPr="00665DED">
        <w:rPr>
          <w:rFonts w:ascii="Times New Roman" w:hAnsi="Times New Roman" w:cs="Times New Roman"/>
          <w:sz w:val="20"/>
          <w:szCs w:val="20"/>
        </w:rPr>
        <w:t xml:space="preserve"> measured at the first arrow is 3</w:t>
      </w:r>
      <w:r w:rsidR="00194003">
        <w:rPr>
          <w:rFonts w:ascii="Times New Roman" w:hAnsi="Times New Roman" w:cs="Times New Roman"/>
          <w:sz w:val="20"/>
          <w:szCs w:val="20"/>
        </w:rPr>
        <w:t>.</w:t>
      </w:r>
      <w:r w:rsidRPr="00665DED">
        <w:rPr>
          <w:rFonts w:ascii="Times New Roman" w:hAnsi="Times New Roman" w:cs="Times New Roman"/>
          <w:sz w:val="20"/>
          <w:szCs w:val="20"/>
        </w:rPr>
        <w:t xml:space="preserve">5 months and the patient would be considered not on </w:t>
      </w:r>
      <w:proofErr w:type="spellStart"/>
      <w:r w:rsidRPr="00665DED">
        <w:rPr>
          <w:rFonts w:ascii="Times New Roman" w:hAnsi="Times New Roman" w:cs="Times New Roman"/>
          <w:sz w:val="20"/>
          <w:szCs w:val="20"/>
        </w:rPr>
        <w:t>PrEP</w:t>
      </w:r>
      <w:proofErr w:type="spellEnd"/>
      <w:r w:rsidRPr="00665DED">
        <w:rPr>
          <w:rFonts w:ascii="Times New Roman" w:hAnsi="Times New Roman" w:cs="Times New Roman"/>
          <w:sz w:val="20"/>
          <w:szCs w:val="20"/>
        </w:rPr>
        <w:t xml:space="preserve"> at 6 months (3</w:t>
      </w:r>
      <w:r w:rsidR="00194003">
        <w:rPr>
          <w:rFonts w:ascii="Times New Roman" w:hAnsi="Times New Roman" w:cs="Times New Roman"/>
          <w:sz w:val="20"/>
          <w:szCs w:val="20"/>
        </w:rPr>
        <w:t>.</w:t>
      </w:r>
      <w:r w:rsidRPr="00665DED">
        <w:rPr>
          <w:rFonts w:ascii="Times New Roman" w:hAnsi="Times New Roman" w:cs="Times New Roman"/>
          <w:sz w:val="20"/>
          <w:szCs w:val="20"/>
        </w:rPr>
        <w:t xml:space="preserve">5&lt;6). However for the same patient, Total Time on </w:t>
      </w:r>
      <w:proofErr w:type="spellStart"/>
      <w:r w:rsidRPr="00665DED">
        <w:rPr>
          <w:rFonts w:ascii="Times New Roman" w:hAnsi="Times New Roman" w:cs="Times New Roman"/>
          <w:sz w:val="20"/>
          <w:szCs w:val="20"/>
        </w:rPr>
        <w:t>PrEP</w:t>
      </w:r>
      <w:proofErr w:type="spellEnd"/>
      <w:r w:rsidRPr="00665DED">
        <w:rPr>
          <w:rFonts w:ascii="Times New Roman" w:hAnsi="Times New Roman" w:cs="Times New Roman"/>
          <w:sz w:val="20"/>
          <w:szCs w:val="20"/>
        </w:rPr>
        <w:t xml:space="preserve"> measured at the latter arrow is 10</w:t>
      </w:r>
      <w:r w:rsidR="00194003">
        <w:rPr>
          <w:rFonts w:ascii="Times New Roman" w:hAnsi="Times New Roman" w:cs="Times New Roman"/>
          <w:sz w:val="20"/>
          <w:szCs w:val="20"/>
        </w:rPr>
        <w:t>.</w:t>
      </w:r>
      <w:r w:rsidRPr="00665DED">
        <w:rPr>
          <w:rFonts w:ascii="Times New Roman" w:hAnsi="Times New Roman" w:cs="Times New Roman"/>
          <w:sz w:val="20"/>
          <w:szCs w:val="20"/>
        </w:rPr>
        <w:t xml:space="preserve">5 months and therefore the patient would be considered to be on </w:t>
      </w:r>
      <w:proofErr w:type="spellStart"/>
      <w:r w:rsidRPr="00665DED">
        <w:rPr>
          <w:rFonts w:ascii="Times New Roman" w:hAnsi="Times New Roman" w:cs="Times New Roman"/>
          <w:sz w:val="20"/>
          <w:szCs w:val="20"/>
        </w:rPr>
        <w:t>PrEP</w:t>
      </w:r>
      <w:proofErr w:type="spellEnd"/>
      <w:r w:rsidRPr="00665DED">
        <w:rPr>
          <w:rFonts w:ascii="Times New Roman" w:hAnsi="Times New Roman" w:cs="Times New Roman"/>
          <w:sz w:val="20"/>
          <w:szCs w:val="20"/>
        </w:rPr>
        <w:t xml:space="preserve"> at 6 months (10</w:t>
      </w:r>
      <w:r w:rsidR="00194003">
        <w:rPr>
          <w:rFonts w:ascii="Times New Roman" w:hAnsi="Times New Roman" w:cs="Times New Roman"/>
          <w:sz w:val="20"/>
          <w:szCs w:val="20"/>
        </w:rPr>
        <w:t>.</w:t>
      </w:r>
      <w:r w:rsidRPr="00665DED">
        <w:rPr>
          <w:rFonts w:ascii="Times New Roman" w:hAnsi="Times New Roman" w:cs="Times New Roman"/>
          <w:sz w:val="20"/>
          <w:szCs w:val="20"/>
        </w:rPr>
        <w:t xml:space="preserve">5&gt;6). Shaded months indicate gaps in </w:t>
      </w:r>
      <w:proofErr w:type="spellStart"/>
      <w:r w:rsidRPr="00665DED">
        <w:rPr>
          <w:rFonts w:ascii="Times New Roman" w:hAnsi="Times New Roman" w:cs="Times New Roman"/>
          <w:sz w:val="20"/>
          <w:szCs w:val="20"/>
        </w:rPr>
        <w:t>PrEP</w:t>
      </w:r>
      <w:proofErr w:type="spellEnd"/>
      <w:r w:rsidRPr="00665DED">
        <w:rPr>
          <w:rFonts w:ascii="Times New Roman" w:hAnsi="Times New Roman" w:cs="Times New Roman"/>
          <w:sz w:val="20"/>
          <w:szCs w:val="20"/>
        </w:rPr>
        <w:t xml:space="preserve"> use.</w:t>
      </w:r>
    </w:p>
    <w:p w14:paraId="0AF44DBA" w14:textId="11E4C12D" w:rsidR="002719DD" w:rsidRPr="00665DED" w:rsidRDefault="004C2AD3" w:rsidP="00FF55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65DED">
        <w:rPr>
          <w:rFonts w:ascii="Times New Roman" w:hAnsi="Times New Roman" w:cs="Times New Roman"/>
          <w:sz w:val="20"/>
          <w:szCs w:val="20"/>
        </w:rPr>
        <w:t xml:space="preserve">The intervals used to calculate PDC </w:t>
      </w:r>
      <w:proofErr w:type="gramStart"/>
      <w:r w:rsidRPr="00665DED">
        <w:rPr>
          <w:rFonts w:ascii="Times New Roman" w:hAnsi="Times New Roman" w:cs="Times New Roman"/>
          <w:sz w:val="20"/>
          <w:szCs w:val="20"/>
        </w:rPr>
        <w:t>can</w:t>
      </w:r>
      <w:proofErr w:type="gramEnd"/>
      <w:r w:rsidRPr="00665DED">
        <w:rPr>
          <w:rFonts w:ascii="Times New Roman" w:hAnsi="Times New Roman" w:cs="Times New Roman"/>
          <w:sz w:val="20"/>
          <w:szCs w:val="20"/>
        </w:rPr>
        <w:t xml:space="preserve"> alter interpretations. The three examples shown would be ≥</w:t>
      </w:r>
      <w:proofErr w:type="gramStart"/>
      <w:r w:rsidRPr="00665DED">
        <w:rPr>
          <w:rFonts w:ascii="Times New Roman" w:hAnsi="Times New Roman" w:cs="Times New Roman"/>
          <w:sz w:val="20"/>
          <w:szCs w:val="20"/>
        </w:rPr>
        <w:t>85%</w:t>
      </w:r>
      <w:proofErr w:type="gramEnd"/>
      <w:r w:rsidRPr="00665DED">
        <w:rPr>
          <w:rFonts w:ascii="Times New Roman" w:hAnsi="Times New Roman" w:cs="Times New Roman"/>
          <w:sz w:val="20"/>
          <w:szCs w:val="20"/>
        </w:rPr>
        <w:t xml:space="preserve"> PDC if calculated over the full 6-months (180 day) period. However, if calculated as ≥</w:t>
      </w:r>
      <w:proofErr w:type="gramStart"/>
      <w:r w:rsidRPr="00665DED">
        <w:rPr>
          <w:rFonts w:ascii="Times New Roman" w:hAnsi="Times New Roman" w:cs="Times New Roman"/>
          <w:sz w:val="20"/>
          <w:szCs w:val="20"/>
        </w:rPr>
        <w:t>85%</w:t>
      </w:r>
      <w:proofErr w:type="gramEnd"/>
      <w:r w:rsidRPr="00665DED">
        <w:rPr>
          <w:rFonts w:ascii="Times New Roman" w:hAnsi="Times New Roman" w:cs="Times New Roman"/>
          <w:sz w:val="20"/>
          <w:szCs w:val="20"/>
        </w:rPr>
        <w:t xml:space="preserve"> for each of the first 6 months, none would meet the criteria (gaps are shaded).</w:t>
      </w:r>
      <w:r w:rsidR="0077571A" w:rsidRPr="00665DED">
        <w:rPr>
          <w:rFonts w:ascii="Times New Roman" w:hAnsi="Times New Roman" w:cs="Times New Roman"/>
          <w:sz w:val="20"/>
          <w:szCs w:val="20"/>
        </w:rPr>
        <w:tab/>
      </w:r>
    </w:p>
    <w:p w14:paraId="0FD39439" w14:textId="2B3154D6" w:rsidR="007153AC" w:rsidRPr="00ED33D9" w:rsidRDefault="007153AC" w:rsidP="007153AC">
      <w:pPr>
        <w:rPr>
          <w:rFonts w:ascii="Times New Roman" w:hAnsi="Times New Roman" w:cs="Times New Roman"/>
          <w:sz w:val="24"/>
          <w:szCs w:val="24"/>
        </w:rPr>
      </w:pPr>
    </w:p>
    <w:p w14:paraId="03CB4748" w14:textId="77777777" w:rsidR="00665DED" w:rsidRDefault="00665D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A28E76" w14:textId="1F5B11EC" w:rsidR="007153AC" w:rsidRPr="00ED33D9" w:rsidRDefault="007153AC" w:rsidP="007153AC">
      <w:pPr>
        <w:rPr>
          <w:rFonts w:ascii="Times New Roman" w:hAnsi="Times New Roman" w:cs="Times New Roman"/>
          <w:b/>
          <w:sz w:val="24"/>
          <w:szCs w:val="24"/>
        </w:rPr>
      </w:pPr>
      <w:r w:rsidRPr="00ED33D9">
        <w:rPr>
          <w:rFonts w:ascii="Times New Roman" w:hAnsi="Times New Roman" w:cs="Times New Roman"/>
          <w:b/>
          <w:sz w:val="24"/>
          <w:szCs w:val="24"/>
        </w:rPr>
        <w:t>Supplemental Table 1. Sensitivity and Specificity of PDC compared to TFV-DP, Among a Subsample of Patients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415"/>
        <w:gridCol w:w="1552"/>
        <w:gridCol w:w="1552"/>
        <w:gridCol w:w="1415"/>
        <w:gridCol w:w="1416"/>
      </w:tblGrid>
      <w:tr w:rsidR="007153AC" w:rsidRPr="00665DED" w14:paraId="42DCBA0D" w14:textId="77777777" w:rsidTr="007153AC">
        <w:tc>
          <w:tcPr>
            <w:tcW w:w="3415" w:type="dxa"/>
          </w:tcPr>
          <w:p w14:paraId="50402320" w14:textId="77777777" w:rsidR="007153AC" w:rsidRPr="00665DED" w:rsidRDefault="007153AC" w:rsidP="00715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47906FCC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TFVDP &gt;=700 </w:t>
            </w:r>
            <w:proofErr w:type="spellStart"/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fmol</w:t>
            </w:r>
            <w:proofErr w:type="spellEnd"/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/punch</w:t>
            </w:r>
          </w:p>
        </w:tc>
        <w:tc>
          <w:tcPr>
            <w:tcW w:w="1552" w:type="dxa"/>
          </w:tcPr>
          <w:p w14:paraId="0B1DB18A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TFVDP &lt;700 </w:t>
            </w:r>
            <w:proofErr w:type="spellStart"/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fmol</w:t>
            </w:r>
            <w:proofErr w:type="spellEnd"/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/punch</w:t>
            </w:r>
          </w:p>
        </w:tc>
        <w:tc>
          <w:tcPr>
            <w:tcW w:w="1415" w:type="dxa"/>
          </w:tcPr>
          <w:p w14:paraId="0D30B91A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Sens</w:t>
            </w:r>
          </w:p>
        </w:tc>
        <w:tc>
          <w:tcPr>
            <w:tcW w:w="1416" w:type="dxa"/>
          </w:tcPr>
          <w:p w14:paraId="2139D63E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Spec</w:t>
            </w:r>
          </w:p>
        </w:tc>
      </w:tr>
      <w:tr w:rsidR="007153AC" w:rsidRPr="00665DED" w14:paraId="3805E03B" w14:textId="77777777" w:rsidTr="007153AC">
        <w:tc>
          <w:tcPr>
            <w:tcW w:w="3415" w:type="dxa"/>
          </w:tcPr>
          <w:p w14:paraId="28DA6109" w14:textId="77777777" w:rsidR="007153AC" w:rsidRPr="00665DED" w:rsidRDefault="007153AC" w:rsidP="00715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PDC ≥57% (in prior month)</w:t>
            </w:r>
          </w:p>
        </w:tc>
        <w:tc>
          <w:tcPr>
            <w:tcW w:w="1552" w:type="dxa"/>
          </w:tcPr>
          <w:p w14:paraId="5CC967B7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552" w:type="dxa"/>
          </w:tcPr>
          <w:p w14:paraId="359CC254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5" w:type="dxa"/>
            <w:vMerge w:val="restart"/>
            <w:vAlign w:val="center"/>
          </w:tcPr>
          <w:p w14:paraId="59D7EB1A" w14:textId="408C02ED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1940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1416" w:type="dxa"/>
            <w:vMerge w:val="restart"/>
            <w:vAlign w:val="center"/>
          </w:tcPr>
          <w:p w14:paraId="4B633570" w14:textId="33B2FB74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940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</w:tr>
      <w:tr w:rsidR="007153AC" w:rsidRPr="00665DED" w14:paraId="0ED5E9C9" w14:textId="77777777" w:rsidTr="007153AC">
        <w:tc>
          <w:tcPr>
            <w:tcW w:w="3415" w:type="dxa"/>
          </w:tcPr>
          <w:p w14:paraId="54780967" w14:textId="77777777" w:rsidR="007153AC" w:rsidRPr="00665DED" w:rsidRDefault="007153AC" w:rsidP="00715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PDC&lt;57% (in prior month)</w:t>
            </w:r>
          </w:p>
        </w:tc>
        <w:tc>
          <w:tcPr>
            <w:tcW w:w="1552" w:type="dxa"/>
          </w:tcPr>
          <w:p w14:paraId="1C0DA9AF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2" w:type="dxa"/>
          </w:tcPr>
          <w:p w14:paraId="53335C50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5" w:type="dxa"/>
            <w:vMerge/>
          </w:tcPr>
          <w:p w14:paraId="74695CAD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14:paraId="09153D1B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3AC" w:rsidRPr="00665DED" w14:paraId="62FE0A76" w14:textId="77777777" w:rsidTr="007153AC">
        <w:tc>
          <w:tcPr>
            <w:tcW w:w="3415" w:type="dxa"/>
          </w:tcPr>
          <w:p w14:paraId="3F76879B" w14:textId="77777777" w:rsidR="007153AC" w:rsidRPr="00665DED" w:rsidRDefault="007153AC" w:rsidP="00715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14:paraId="413D1901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TFVDP &gt;=1050 </w:t>
            </w:r>
            <w:proofErr w:type="spellStart"/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fmol</w:t>
            </w:r>
            <w:proofErr w:type="spellEnd"/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/punch</w:t>
            </w:r>
          </w:p>
        </w:tc>
        <w:tc>
          <w:tcPr>
            <w:tcW w:w="1552" w:type="dxa"/>
          </w:tcPr>
          <w:p w14:paraId="5FF51114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TFVDP &lt;1050 </w:t>
            </w:r>
            <w:proofErr w:type="spellStart"/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fmol</w:t>
            </w:r>
            <w:proofErr w:type="spellEnd"/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/punch</w:t>
            </w:r>
          </w:p>
        </w:tc>
        <w:tc>
          <w:tcPr>
            <w:tcW w:w="1415" w:type="dxa"/>
          </w:tcPr>
          <w:p w14:paraId="579D24AD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Sens</w:t>
            </w:r>
          </w:p>
        </w:tc>
        <w:tc>
          <w:tcPr>
            <w:tcW w:w="1416" w:type="dxa"/>
          </w:tcPr>
          <w:p w14:paraId="4294D6B7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Spec</w:t>
            </w:r>
          </w:p>
        </w:tc>
      </w:tr>
      <w:tr w:rsidR="007153AC" w:rsidRPr="00665DED" w14:paraId="3D63A0EB" w14:textId="77777777" w:rsidTr="007153AC">
        <w:tc>
          <w:tcPr>
            <w:tcW w:w="3415" w:type="dxa"/>
          </w:tcPr>
          <w:p w14:paraId="46E444DB" w14:textId="77777777" w:rsidR="007153AC" w:rsidRPr="00665DED" w:rsidRDefault="007153AC" w:rsidP="00715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PDC ≥85% (in prior month)</w:t>
            </w:r>
          </w:p>
        </w:tc>
        <w:tc>
          <w:tcPr>
            <w:tcW w:w="1552" w:type="dxa"/>
          </w:tcPr>
          <w:p w14:paraId="3E32664B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552" w:type="dxa"/>
          </w:tcPr>
          <w:p w14:paraId="2E8B11D4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5" w:type="dxa"/>
            <w:vMerge w:val="restart"/>
            <w:vAlign w:val="center"/>
          </w:tcPr>
          <w:p w14:paraId="2837CFE7" w14:textId="71CE90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1940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1416" w:type="dxa"/>
            <w:vMerge w:val="restart"/>
            <w:vAlign w:val="center"/>
          </w:tcPr>
          <w:p w14:paraId="002F9B40" w14:textId="52853B0E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940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</w:tr>
      <w:tr w:rsidR="007153AC" w:rsidRPr="00665DED" w14:paraId="4D7FC116" w14:textId="77777777" w:rsidTr="007153AC">
        <w:tc>
          <w:tcPr>
            <w:tcW w:w="3415" w:type="dxa"/>
          </w:tcPr>
          <w:p w14:paraId="322139D4" w14:textId="77777777" w:rsidR="007153AC" w:rsidRPr="00665DED" w:rsidRDefault="007153AC" w:rsidP="00715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b/>
                <w:sz w:val="16"/>
                <w:szCs w:val="16"/>
              </w:rPr>
              <w:t>PDC&lt;85% (in prior month)</w:t>
            </w:r>
          </w:p>
        </w:tc>
        <w:tc>
          <w:tcPr>
            <w:tcW w:w="1552" w:type="dxa"/>
          </w:tcPr>
          <w:p w14:paraId="3FB455CE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</w:tcPr>
          <w:p w14:paraId="044C86DF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5" w:type="dxa"/>
            <w:vMerge/>
          </w:tcPr>
          <w:p w14:paraId="06DED3FC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14:paraId="2D771C27" w14:textId="77777777" w:rsidR="007153AC" w:rsidRPr="00665DED" w:rsidRDefault="007153AC" w:rsidP="0071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91F3652" w14:textId="77777777" w:rsidR="007153AC" w:rsidRPr="00665DED" w:rsidRDefault="007153AC" w:rsidP="007153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DED">
        <w:rPr>
          <w:rFonts w:ascii="Times New Roman" w:hAnsi="Times New Roman" w:cs="Times New Roman"/>
          <w:sz w:val="20"/>
          <w:szCs w:val="20"/>
        </w:rPr>
        <w:t>Over 1</w:t>
      </w:r>
      <w:r w:rsidRPr="00665D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665DED">
        <w:rPr>
          <w:rFonts w:ascii="Times New Roman" w:hAnsi="Times New Roman" w:cs="Times New Roman"/>
          <w:sz w:val="20"/>
          <w:szCs w:val="20"/>
        </w:rPr>
        <w:t xml:space="preserve"> 6 month only (n=224)</w:t>
      </w:r>
    </w:p>
    <w:p w14:paraId="1E904FAA" w14:textId="77777777" w:rsidR="007153AC" w:rsidRPr="00ED33D9" w:rsidRDefault="007153AC" w:rsidP="007153AC">
      <w:pPr>
        <w:rPr>
          <w:rFonts w:ascii="Times New Roman" w:hAnsi="Times New Roman" w:cs="Times New Roman"/>
          <w:sz w:val="24"/>
          <w:szCs w:val="24"/>
        </w:rPr>
      </w:pPr>
    </w:p>
    <w:sectPr w:rsidR="007153AC" w:rsidRPr="00ED33D9" w:rsidSect="004B33E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16368" w14:textId="77777777" w:rsidR="00DE128D" w:rsidRDefault="00DE128D" w:rsidP="00C3004F">
      <w:pPr>
        <w:spacing w:after="0" w:line="240" w:lineRule="auto"/>
      </w:pPr>
      <w:r>
        <w:separator/>
      </w:r>
    </w:p>
  </w:endnote>
  <w:endnote w:type="continuationSeparator" w:id="0">
    <w:p w14:paraId="2BBF5941" w14:textId="77777777" w:rsidR="00DE128D" w:rsidRDefault="00DE128D" w:rsidP="00C3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23D8" w14:textId="77777777" w:rsidR="00DE128D" w:rsidRDefault="00DE128D" w:rsidP="00C3004F">
      <w:pPr>
        <w:spacing w:after="0" w:line="240" w:lineRule="auto"/>
      </w:pPr>
      <w:r>
        <w:separator/>
      </w:r>
    </w:p>
  </w:footnote>
  <w:footnote w:type="continuationSeparator" w:id="0">
    <w:p w14:paraId="12AD8F17" w14:textId="77777777" w:rsidR="00DE128D" w:rsidRDefault="00DE128D" w:rsidP="00C3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769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212E9A" w14:textId="5E9F606D" w:rsidR="00DE128D" w:rsidRDefault="00DE12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467B3A" w14:textId="77777777" w:rsidR="00DE128D" w:rsidRDefault="00DE1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F58"/>
    <w:multiLevelType w:val="hybridMultilevel"/>
    <w:tmpl w:val="7A60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344"/>
    <w:multiLevelType w:val="hybridMultilevel"/>
    <w:tmpl w:val="CF6C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10EF"/>
    <w:multiLevelType w:val="hybridMultilevel"/>
    <w:tmpl w:val="D76A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D58D9"/>
    <w:multiLevelType w:val="hybridMultilevel"/>
    <w:tmpl w:val="0A583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0DDC"/>
    <w:multiLevelType w:val="hybridMultilevel"/>
    <w:tmpl w:val="B8982B08"/>
    <w:lvl w:ilvl="0" w:tplc="24CC1B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C224A2">
      <w:start w:val="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845D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8A26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A1831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A983EF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FFCAF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1EA9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163D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F790071"/>
    <w:multiLevelType w:val="hybridMultilevel"/>
    <w:tmpl w:val="739A6790"/>
    <w:lvl w:ilvl="0" w:tplc="0674CF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D0285"/>
    <w:multiLevelType w:val="multilevel"/>
    <w:tmpl w:val="8AF44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C71FA"/>
    <w:multiLevelType w:val="hybridMultilevel"/>
    <w:tmpl w:val="B856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C7"/>
    <w:rsid w:val="00002010"/>
    <w:rsid w:val="00020917"/>
    <w:rsid w:val="000212AE"/>
    <w:rsid w:val="000855CF"/>
    <w:rsid w:val="00091BE4"/>
    <w:rsid w:val="000956D8"/>
    <w:rsid w:val="000B5B70"/>
    <w:rsid w:val="000B6FD4"/>
    <w:rsid w:val="000C1130"/>
    <w:rsid w:val="000C441F"/>
    <w:rsid w:val="000D7016"/>
    <w:rsid w:val="000D7C32"/>
    <w:rsid w:val="000E7FF9"/>
    <w:rsid w:val="00105E4B"/>
    <w:rsid w:val="00113C91"/>
    <w:rsid w:val="00120F25"/>
    <w:rsid w:val="001410FD"/>
    <w:rsid w:val="00156F8B"/>
    <w:rsid w:val="00162D27"/>
    <w:rsid w:val="0018101C"/>
    <w:rsid w:val="001819D3"/>
    <w:rsid w:val="0018707A"/>
    <w:rsid w:val="00194003"/>
    <w:rsid w:val="00195F7D"/>
    <w:rsid w:val="001A23AB"/>
    <w:rsid w:val="001D7A8A"/>
    <w:rsid w:val="001E2CC2"/>
    <w:rsid w:val="001F07D3"/>
    <w:rsid w:val="001F1F1E"/>
    <w:rsid w:val="0021659E"/>
    <w:rsid w:val="00216C39"/>
    <w:rsid w:val="00231CFB"/>
    <w:rsid w:val="00241ADA"/>
    <w:rsid w:val="00242EAE"/>
    <w:rsid w:val="00243A27"/>
    <w:rsid w:val="0024500B"/>
    <w:rsid w:val="00257885"/>
    <w:rsid w:val="002719DD"/>
    <w:rsid w:val="0028410E"/>
    <w:rsid w:val="00291C40"/>
    <w:rsid w:val="00295934"/>
    <w:rsid w:val="002B3184"/>
    <w:rsid w:val="002F799D"/>
    <w:rsid w:val="00302A91"/>
    <w:rsid w:val="003461EC"/>
    <w:rsid w:val="003543C7"/>
    <w:rsid w:val="0035454A"/>
    <w:rsid w:val="00363A7E"/>
    <w:rsid w:val="003657D1"/>
    <w:rsid w:val="00372FE9"/>
    <w:rsid w:val="00390B4D"/>
    <w:rsid w:val="003D27E1"/>
    <w:rsid w:val="003D6053"/>
    <w:rsid w:val="003E4269"/>
    <w:rsid w:val="00400A5B"/>
    <w:rsid w:val="00403BC9"/>
    <w:rsid w:val="00404886"/>
    <w:rsid w:val="004530BD"/>
    <w:rsid w:val="00454800"/>
    <w:rsid w:val="0046064D"/>
    <w:rsid w:val="004651AF"/>
    <w:rsid w:val="004714D1"/>
    <w:rsid w:val="00495EF6"/>
    <w:rsid w:val="004A5E2B"/>
    <w:rsid w:val="004B33AF"/>
    <w:rsid w:val="004B33EA"/>
    <w:rsid w:val="004C2AD3"/>
    <w:rsid w:val="004D6F79"/>
    <w:rsid w:val="004F252D"/>
    <w:rsid w:val="0051185D"/>
    <w:rsid w:val="00524A5C"/>
    <w:rsid w:val="00527463"/>
    <w:rsid w:val="00550B74"/>
    <w:rsid w:val="0055760D"/>
    <w:rsid w:val="005627D8"/>
    <w:rsid w:val="005738B4"/>
    <w:rsid w:val="00573BCB"/>
    <w:rsid w:val="00584616"/>
    <w:rsid w:val="005867EA"/>
    <w:rsid w:val="00595C21"/>
    <w:rsid w:val="005A4206"/>
    <w:rsid w:val="005A66D0"/>
    <w:rsid w:val="005B0EC1"/>
    <w:rsid w:val="005B2383"/>
    <w:rsid w:val="005C3F8B"/>
    <w:rsid w:val="005C5184"/>
    <w:rsid w:val="005C559E"/>
    <w:rsid w:val="005D45FE"/>
    <w:rsid w:val="005D78EF"/>
    <w:rsid w:val="005E1B04"/>
    <w:rsid w:val="005E3A0A"/>
    <w:rsid w:val="005F367D"/>
    <w:rsid w:val="00602F85"/>
    <w:rsid w:val="006204F2"/>
    <w:rsid w:val="00620953"/>
    <w:rsid w:val="006233DB"/>
    <w:rsid w:val="00633262"/>
    <w:rsid w:val="00635486"/>
    <w:rsid w:val="006471B9"/>
    <w:rsid w:val="006472AC"/>
    <w:rsid w:val="00653B91"/>
    <w:rsid w:val="0066222C"/>
    <w:rsid w:val="0066382A"/>
    <w:rsid w:val="00665DED"/>
    <w:rsid w:val="0066777E"/>
    <w:rsid w:val="00671B2B"/>
    <w:rsid w:val="006813C9"/>
    <w:rsid w:val="00694379"/>
    <w:rsid w:val="006C3E0E"/>
    <w:rsid w:val="006D55D9"/>
    <w:rsid w:val="006D60B7"/>
    <w:rsid w:val="006E35CD"/>
    <w:rsid w:val="006E56D3"/>
    <w:rsid w:val="006F7DF9"/>
    <w:rsid w:val="00714779"/>
    <w:rsid w:val="007153AC"/>
    <w:rsid w:val="00731AD2"/>
    <w:rsid w:val="00731BE4"/>
    <w:rsid w:val="00742DDB"/>
    <w:rsid w:val="00752561"/>
    <w:rsid w:val="00772657"/>
    <w:rsid w:val="0077571A"/>
    <w:rsid w:val="007871E1"/>
    <w:rsid w:val="007926F8"/>
    <w:rsid w:val="007A5647"/>
    <w:rsid w:val="007D51A9"/>
    <w:rsid w:val="007F103E"/>
    <w:rsid w:val="007F4340"/>
    <w:rsid w:val="0081210A"/>
    <w:rsid w:val="00822EA9"/>
    <w:rsid w:val="00836B80"/>
    <w:rsid w:val="008439F3"/>
    <w:rsid w:val="008443A7"/>
    <w:rsid w:val="00847E81"/>
    <w:rsid w:val="00847FC1"/>
    <w:rsid w:val="008572E0"/>
    <w:rsid w:val="00864CEA"/>
    <w:rsid w:val="00871BB9"/>
    <w:rsid w:val="008835E8"/>
    <w:rsid w:val="0088569F"/>
    <w:rsid w:val="008864CC"/>
    <w:rsid w:val="00891FBE"/>
    <w:rsid w:val="0089624E"/>
    <w:rsid w:val="008B1470"/>
    <w:rsid w:val="008D23A4"/>
    <w:rsid w:val="008D3CB3"/>
    <w:rsid w:val="008D4B28"/>
    <w:rsid w:val="008D79AB"/>
    <w:rsid w:val="008E1B05"/>
    <w:rsid w:val="008F5B89"/>
    <w:rsid w:val="0090045A"/>
    <w:rsid w:val="00903086"/>
    <w:rsid w:val="00904B44"/>
    <w:rsid w:val="0090537F"/>
    <w:rsid w:val="00922AC7"/>
    <w:rsid w:val="00937236"/>
    <w:rsid w:val="009445E9"/>
    <w:rsid w:val="009466B4"/>
    <w:rsid w:val="00977AE8"/>
    <w:rsid w:val="00983F51"/>
    <w:rsid w:val="009855C9"/>
    <w:rsid w:val="009A02F8"/>
    <w:rsid w:val="009A4299"/>
    <w:rsid w:val="009B14AE"/>
    <w:rsid w:val="009B3497"/>
    <w:rsid w:val="009B6121"/>
    <w:rsid w:val="009C693B"/>
    <w:rsid w:val="009D160D"/>
    <w:rsid w:val="009D43F2"/>
    <w:rsid w:val="009E6BC9"/>
    <w:rsid w:val="009F3F95"/>
    <w:rsid w:val="009F4976"/>
    <w:rsid w:val="009F7007"/>
    <w:rsid w:val="00A0061D"/>
    <w:rsid w:val="00A02285"/>
    <w:rsid w:val="00A056B8"/>
    <w:rsid w:val="00A1471B"/>
    <w:rsid w:val="00A14B79"/>
    <w:rsid w:val="00A23BF2"/>
    <w:rsid w:val="00A64528"/>
    <w:rsid w:val="00A65E9F"/>
    <w:rsid w:val="00A74736"/>
    <w:rsid w:val="00A778F0"/>
    <w:rsid w:val="00A85C75"/>
    <w:rsid w:val="00AB1733"/>
    <w:rsid w:val="00AB300D"/>
    <w:rsid w:val="00AB6C6C"/>
    <w:rsid w:val="00AB72CE"/>
    <w:rsid w:val="00AC069E"/>
    <w:rsid w:val="00AC6C5F"/>
    <w:rsid w:val="00AD0A26"/>
    <w:rsid w:val="00AD2EA3"/>
    <w:rsid w:val="00AF68E9"/>
    <w:rsid w:val="00B05B57"/>
    <w:rsid w:val="00B11CE5"/>
    <w:rsid w:val="00B22FB8"/>
    <w:rsid w:val="00B235D3"/>
    <w:rsid w:val="00B25588"/>
    <w:rsid w:val="00B35FE5"/>
    <w:rsid w:val="00B44FF1"/>
    <w:rsid w:val="00B46E85"/>
    <w:rsid w:val="00B511E8"/>
    <w:rsid w:val="00B51E38"/>
    <w:rsid w:val="00B655CD"/>
    <w:rsid w:val="00B66D89"/>
    <w:rsid w:val="00B816B3"/>
    <w:rsid w:val="00B84F6B"/>
    <w:rsid w:val="00BA6FE0"/>
    <w:rsid w:val="00BB3D2B"/>
    <w:rsid w:val="00BC03A7"/>
    <w:rsid w:val="00BD26F1"/>
    <w:rsid w:val="00BD6A76"/>
    <w:rsid w:val="00BE17DB"/>
    <w:rsid w:val="00BE2FCE"/>
    <w:rsid w:val="00BF39E3"/>
    <w:rsid w:val="00BF6C92"/>
    <w:rsid w:val="00C0012D"/>
    <w:rsid w:val="00C014BE"/>
    <w:rsid w:val="00C16EDA"/>
    <w:rsid w:val="00C3004F"/>
    <w:rsid w:val="00C32E44"/>
    <w:rsid w:val="00C4515A"/>
    <w:rsid w:val="00C559D2"/>
    <w:rsid w:val="00C61C38"/>
    <w:rsid w:val="00C75873"/>
    <w:rsid w:val="00C95C7B"/>
    <w:rsid w:val="00CA31BE"/>
    <w:rsid w:val="00CA5340"/>
    <w:rsid w:val="00CB62F7"/>
    <w:rsid w:val="00CB7C74"/>
    <w:rsid w:val="00CC510F"/>
    <w:rsid w:val="00CD1E27"/>
    <w:rsid w:val="00CD2BCD"/>
    <w:rsid w:val="00CD2EE8"/>
    <w:rsid w:val="00CD3996"/>
    <w:rsid w:val="00CD4989"/>
    <w:rsid w:val="00CE53EC"/>
    <w:rsid w:val="00D03B8F"/>
    <w:rsid w:val="00D155C6"/>
    <w:rsid w:val="00D26275"/>
    <w:rsid w:val="00D34320"/>
    <w:rsid w:val="00D375A9"/>
    <w:rsid w:val="00D56C2E"/>
    <w:rsid w:val="00D622F6"/>
    <w:rsid w:val="00D6263A"/>
    <w:rsid w:val="00D638FF"/>
    <w:rsid w:val="00D65232"/>
    <w:rsid w:val="00D740F7"/>
    <w:rsid w:val="00D86B41"/>
    <w:rsid w:val="00DB6912"/>
    <w:rsid w:val="00DC059A"/>
    <w:rsid w:val="00DC3309"/>
    <w:rsid w:val="00DD2D11"/>
    <w:rsid w:val="00DE128D"/>
    <w:rsid w:val="00DE4F57"/>
    <w:rsid w:val="00DF1914"/>
    <w:rsid w:val="00DF4CD3"/>
    <w:rsid w:val="00DF6BB3"/>
    <w:rsid w:val="00E012C5"/>
    <w:rsid w:val="00E03169"/>
    <w:rsid w:val="00E1517D"/>
    <w:rsid w:val="00E41D57"/>
    <w:rsid w:val="00E85454"/>
    <w:rsid w:val="00E85A88"/>
    <w:rsid w:val="00EA102F"/>
    <w:rsid w:val="00EA243C"/>
    <w:rsid w:val="00EB097F"/>
    <w:rsid w:val="00EC370F"/>
    <w:rsid w:val="00EC44A1"/>
    <w:rsid w:val="00ED29AE"/>
    <w:rsid w:val="00ED33D9"/>
    <w:rsid w:val="00EE156A"/>
    <w:rsid w:val="00EE27B5"/>
    <w:rsid w:val="00EE56A6"/>
    <w:rsid w:val="00F00317"/>
    <w:rsid w:val="00F00F6A"/>
    <w:rsid w:val="00F1123B"/>
    <w:rsid w:val="00F12BEA"/>
    <w:rsid w:val="00F12FF5"/>
    <w:rsid w:val="00F21843"/>
    <w:rsid w:val="00F35B92"/>
    <w:rsid w:val="00F6272E"/>
    <w:rsid w:val="00F74AD5"/>
    <w:rsid w:val="00F76D86"/>
    <w:rsid w:val="00F939FE"/>
    <w:rsid w:val="00F97319"/>
    <w:rsid w:val="00FC095D"/>
    <w:rsid w:val="00FC43F9"/>
    <w:rsid w:val="00FC4C4D"/>
    <w:rsid w:val="00FF1592"/>
    <w:rsid w:val="00FF1ED2"/>
    <w:rsid w:val="00FF2F59"/>
    <w:rsid w:val="00FF4BA9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BBD4"/>
  <w15:docId w15:val="{F6E4E71C-204A-4D09-8D10-A9A409A2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04F"/>
  </w:style>
  <w:style w:type="paragraph" w:styleId="Footer">
    <w:name w:val="footer"/>
    <w:basedOn w:val="Normal"/>
    <w:link w:val="FooterChar"/>
    <w:uiPriority w:val="99"/>
    <w:unhideWhenUsed/>
    <w:rsid w:val="00C3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4F"/>
  </w:style>
  <w:style w:type="table" w:styleId="TableGrid">
    <w:name w:val="Table Grid"/>
    <w:basedOn w:val="TableNormal"/>
    <w:uiPriority w:val="39"/>
    <w:rsid w:val="0090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B51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AB30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6E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A4299"/>
    <w:pPr>
      <w:tabs>
        <w:tab w:val="left" w:pos="384"/>
      </w:tabs>
      <w:spacing w:after="240" w:line="240" w:lineRule="auto"/>
      <w:ind w:left="384" w:hanging="384"/>
    </w:pPr>
  </w:style>
  <w:style w:type="paragraph" w:styleId="Revision">
    <w:name w:val="Revision"/>
    <w:hidden/>
    <w:uiPriority w:val="99"/>
    <w:semiHidden/>
    <w:rsid w:val="00772657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A23AB"/>
  </w:style>
  <w:style w:type="character" w:styleId="Emphasis">
    <w:name w:val="Emphasis"/>
    <w:basedOn w:val="DefaultParagraphFont"/>
    <w:uiPriority w:val="20"/>
    <w:qFormat/>
    <w:rsid w:val="00162D27"/>
    <w:rPr>
      <w:i/>
      <w:iCs/>
    </w:rPr>
  </w:style>
  <w:style w:type="character" w:styleId="Strong">
    <w:name w:val="Strong"/>
    <w:basedOn w:val="DefaultParagraphFont"/>
    <w:uiPriority w:val="22"/>
    <w:qFormat/>
    <w:rsid w:val="00162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7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3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1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0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70FA-68DE-49B2-BF77-BC4104FE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HBHC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Pyra</dc:creator>
  <cp:lastModifiedBy>Maria Pyra</cp:lastModifiedBy>
  <cp:revision>3</cp:revision>
  <dcterms:created xsi:type="dcterms:W3CDTF">2020-09-02T14:41:00Z</dcterms:created>
  <dcterms:modified xsi:type="dcterms:W3CDTF">2020-09-02T14:42:00Z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id="O7hCV80x"/&gt;&lt;style id="http://www.zotero.org/styles/aids" hasBibliography="1" bibliographyStyleHasBeenSet="1"/&gt;&lt;prefs&gt;&lt;pref name="fieldType" value="Field"/&gt;&lt;/prefs&gt;&lt;/data&gt;</vt:lpwstr>
  </property>
</Properties>
</file>