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5E" w:rsidRPr="00AD695E" w:rsidRDefault="00AD695E" w:rsidP="00AD695E">
      <w:pPr>
        <w:spacing w:after="0" w:line="480" w:lineRule="auto"/>
        <w:rPr>
          <w:rFonts w:ascii="Arial" w:hAnsi="Arial" w:cs="Arial"/>
          <w:b/>
          <w:bCs/>
          <w:iCs/>
          <w:lang w:val="en-US"/>
        </w:rPr>
      </w:pPr>
      <w:r w:rsidRPr="00AD695E">
        <w:rPr>
          <w:rFonts w:ascii="Arial" w:hAnsi="Arial" w:cs="Arial"/>
          <w:b/>
          <w:bCs/>
          <w:iCs/>
          <w:lang w:val="en-US"/>
        </w:rPr>
        <w:t>Supplementary material</w:t>
      </w:r>
    </w:p>
    <w:p w:rsidR="00AD695E" w:rsidRDefault="00AD695E" w:rsidP="00AD695E">
      <w:pPr>
        <w:spacing w:after="0" w:line="480" w:lineRule="auto"/>
        <w:rPr>
          <w:rFonts w:ascii="Arial" w:hAnsi="Arial" w:cs="Arial"/>
          <w:b/>
          <w:bCs/>
          <w:lang w:val="en-US"/>
        </w:rPr>
      </w:pPr>
      <w:r w:rsidRPr="00FF5D13">
        <w:rPr>
          <w:rFonts w:ascii="Arial" w:hAnsi="Arial" w:cs="Arial"/>
          <w:b/>
          <w:bCs/>
          <w:lang w:val="en-US"/>
        </w:rPr>
        <w:t>Laboratory procedures:</w:t>
      </w:r>
    </w:p>
    <w:p w:rsidR="00F03D25" w:rsidRDefault="008D0DB3" w:rsidP="00AD695E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participating healthcare facility</w:t>
      </w:r>
      <w:r w:rsidR="004F5B5A">
        <w:rPr>
          <w:rFonts w:ascii="Arial" w:hAnsi="Arial" w:cs="Arial"/>
          <w:lang w:val="en-US"/>
        </w:rPr>
        <w:t xml:space="preserve"> (HFC)</w:t>
      </w:r>
      <w:r>
        <w:rPr>
          <w:rFonts w:ascii="Arial" w:hAnsi="Arial" w:cs="Arial"/>
          <w:lang w:val="en-US"/>
        </w:rPr>
        <w:t xml:space="preserve"> </w:t>
      </w:r>
      <w:r w:rsidR="00F03D25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>as</w:t>
      </w:r>
      <w:r w:rsidR="00F03D25">
        <w:rPr>
          <w:rFonts w:ascii="Arial" w:hAnsi="Arial" w:cs="Arial"/>
          <w:lang w:val="en-US"/>
        </w:rPr>
        <w:t xml:space="preserve"> requested to send samples </w:t>
      </w:r>
      <w:r w:rsidR="00F03D25" w:rsidRPr="00843544">
        <w:rPr>
          <w:rFonts w:ascii="Arial" w:hAnsi="Arial" w:cs="Arial"/>
          <w:lang w:val="en-US"/>
        </w:rPr>
        <w:t>of sputum</w:t>
      </w:r>
      <w:r w:rsidR="00F03D25">
        <w:rPr>
          <w:rFonts w:ascii="Arial" w:hAnsi="Arial" w:cs="Arial"/>
          <w:lang w:val="en-US"/>
        </w:rPr>
        <w:t>,</w:t>
      </w:r>
      <w:r w:rsidR="00F03D25" w:rsidRPr="00255150">
        <w:rPr>
          <w:rFonts w:ascii="Arial" w:hAnsi="Arial" w:cs="Arial"/>
          <w:lang w:val="en-US"/>
        </w:rPr>
        <w:t xml:space="preserve"> </w:t>
      </w:r>
      <w:r w:rsidR="00F03D25" w:rsidRPr="00843544">
        <w:rPr>
          <w:rFonts w:ascii="Arial" w:hAnsi="Arial" w:cs="Arial"/>
          <w:lang w:val="en-US"/>
        </w:rPr>
        <w:t>urine, serum</w:t>
      </w:r>
      <w:r w:rsidR="00F03D25">
        <w:rPr>
          <w:rFonts w:ascii="Arial" w:hAnsi="Arial" w:cs="Arial"/>
          <w:lang w:val="en-US"/>
        </w:rPr>
        <w:t>, and 10 ml of blood in an Isolator® tube (</w:t>
      </w:r>
      <w:proofErr w:type="spellStart"/>
      <w:r w:rsidR="00F03D25" w:rsidRPr="00AC729B">
        <w:rPr>
          <w:rFonts w:ascii="Arial" w:hAnsi="Arial" w:cs="Arial"/>
          <w:lang w:val="en-US"/>
        </w:rPr>
        <w:t>Wampole</w:t>
      </w:r>
      <w:proofErr w:type="spellEnd"/>
      <w:r w:rsidR="00F03D25" w:rsidRPr="00AC729B">
        <w:rPr>
          <w:rFonts w:ascii="Arial" w:hAnsi="Arial" w:cs="Arial"/>
          <w:lang w:val="en-US"/>
        </w:rPr>
        <w:t xml:space="preserve"> Laboratories, Cranbury, N.J.</w:t>
      </w:r>
      <w:r w:rsidR="00F03D25">
        <w:rPr>
          <w:rFonts w:ascii="Arial" w:hAnsi="Arial" w:cs="Arial"/>
          <w:lang w:val="en-US"/>
        </w:rPr>
        <w:t>). A</w:t>
      </w:r>
      <w:r w:rsidR="00F03D25" w:rsidRPr="00843544">
        <w:rPr>
          <w:rFonts w:ascii="Arial" w:hAnsi="Arial" w:cs="Arial"/>
          <w:lang w:val="en-US"/>
        </w:rPr>
        <w:t>dditional samples</w:t>
      </w:r>
      <w:r>
        <w:rPr>
          <w:rFonts w:ascii="Arial" w:hAnsi="Arial" w:cs="Arial"/>
          <w:lang w:val="en-US"/>
        </w:rPr>
        <w:t>, such as CSF,</w:t>
      </w:r>
      <w:r w:rsidR="00F03D25" w:rsidRPr="00843544">
        <w:rPr>
          <w:rFonts w:ascii="Arial" w:hAnsi="Arial" w:cs="Arial"/>
          <w:lang w:val="en-US"/>
        </w:rPr>
        <w:t xml:space="preserve"> were also received</w:t>
      </w:r>
      <w:r w:rsidR="00F03D25">
        <w:rPr>
          <w:rFonts w:ascii="Arial" w:hAnsi="Arial" w:cs="Arial"/>
          <w:lang w:val="en-US"/>
        </w:rPr>
        <w:t xml:space="preserve"> </w:t>
      </w:r>
      <w:r w:rsidR="00F03D25" w:rsidRPr="00150E45">
        <w:rPr>
          <w:rFonts w:ascii="Arial" w:hAnsi="Arial" w:cs="Arial"/>
          <w:lang w:val="en-US"/>
        </w:rPr>
        <w:t xml:space="preserve">depending on the </w:t>
      </w:r>
      <w:r w:rsidR="00F03D25">
        <w:rPr>
          <w:rFonts w:ascii="Arial" w:hAnsi="Arial" w:cs="Arial"/>
          <w:lang w:val="en-US"/>
        </w:rPr>
        <w:t>clinical criteria.</w:t>
      </w:r>
    </w:p>
    <w:p w:rsidR="00F03D25" w:rsidRPr="00FF5D13" w:rsidRDefault="00F03D25" w:rsidP="00AD695E">
      <w:pPr>
        <w:spacing w:after="0" w:line="480" w:lineRule="auto"/>
        <w:rPr>
          <w:rFonts w:ascii="Arial" w:hAnsi="Arial" w:cs="Arial"/>
          <w:b/>
          <w:bCs/>
          <w:lang w:val="en-US"/>
        </w:rPr>
      </w:pPr>
    </w:p>
    <w:p w:rsidR="00AD695E" w:rsidRPr="00A40E29" w:rsidRDefault="00AD695E" w:rsidP="00AD695E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Direct microscopy</w:t>
      </w:r>
      <w:r>
        <w:rPr>
          <w:rFonts w:ascii="Arial" w:hAnsi="Arial" w:cs="Arial"/>
          <w:lang w:val="en-US"/>
        </w:rPr>
        <w:t xml:space="preserve">: sputum specimens were </w:t>
      </w:r>
      <w:r w:rsidRPr="00E85B38">
        <w:rPr>
          <w:rFonts w:ascii="Arial" w:hAnsi="Arial" w:cs="Arial"/>
          <w:lang w:val="en-US"/>
        </w:rPr>
        <w:t xml:space="preserve">analyzed by means of </w:t>
      </w:r>
      <w:proofErr w:type="spellStart"/>
      <w:r w:rsidRPr="00E85B38">
        <w:rPr>
          <w:rFonts w:ascii="Arial" w:hAnsi="Arial" w:cs="Arial"/>
          <w:lang w:val="en-US"/>
        </w:rPr>
        <w:t>Ziehl</w:t>
      </w:r>
      <w:proofErr w:type="spellEnd"/>
      <w:r w:rsidRPr="00E85B38">
        <w:rPr>
          <w:rFonts w:ascii="Arial" w:hAnsi="Arial" w:cs="Arial"/>
          <w:lang w:val="en-US"/>
        </w:rPr>
        <w:t>–</w:t>
      </w:r>
      <w:proofErr w:type="spellStart"/>
      <w:r w:rsidRPr="00E85B38">
        <w:rPr>
          <w:rFonts w:ascii="Arial" w:hAnsi="Arial" w:cs="Arial"/>
          <w:lang w:val="en-US"/>
        </w:rPr>
        <w:t>Neelsen</w:t>
      </w:r>
      <w:proofErr w:type="spellEnd"/>
      <w:r>
        <w:rPr>
          <w:rFonts w:ascii="Arial" w:hAnsi="Arial" w:cs="Arial"/>
          <w:lang w:val="en-US"/>
        </w:rPr>
        <w:t xml:space="preserve"> (ZN)</w:t>
      </w:r>
      <w:r w:rsidR="008D0DB3">
        <w:rPr>
          <w:rFonts w:ascii="Arial" w:hAnsi="Arial" w:cs="Arial"/>
          <w:lang w:val="en-US"/>
        </w:rPr>
        <w:t xml:space="preserve"> stain</w:t>
      </w:r>
      <w:r>
        <w:rPr>
          <w:rFonts w:ascii="Arial" w:hAnsi="Arial" w:cs="Arial"/>
          <w:lang w:val="en-US"/>
        </w:rPr>
        <w:t xml:space="preserve">, </w:t>
      </w:r>
      <w:r w:rsidRPr="0014450E">
        <w:rPr>
          <w:rFonts w:ascii="Arial" w:hAnsi="Arial" w:cs="Arial"/>
          <w:iCs/>
          <w:lang w:val="en-US"/>
        </w:rPr>
        <w:t>observed under 100× (oil immersion)</w:t>
      </w:r>
      <w:r>
        <w:rPr>
          <w:rFonts w:ascii="Arial" w:hAnsi="Arial" w:cs="Arial"/>
          <w:iCs/>
          <w:lang w:val="en-US"/>
        </w:rPr>
        <w:t xml:space="preserve">. </w:t>
      </w:r>
      <w:r>
        <w:rPr>
          <w:rFonts w:ascii="Arial" w:hAnsi="Arial" w:cs="Arial"/>
          <w:lang w:val="en-US"/>
        </w:rPr>
        <w:t>A</w:t>
      </w:r>
      <w:r w:rsidRPr="00E85B38">
        <w:rPr>
          <w:rFonts w:ascii="Arial" w:hAnsi="Arial" w:cs="Arial"/>
          <w:lang w:val="en-US"/>
        </w:rPr>
        <w:t>uramine–</w:t>
      </w:r>
      <w:r>
        <w:rPr>
          <w:rFonts w:ascii="Arial" w:hAnsi="Arial" w:cs="Arial"/>
          <w:lang w:val="en-US"/>
        </w:rPr>
        <w:t xml:space="preserve">rhodamine was also used and </w:t>
      </w:r>
      <w:r w:rsidRPr="00A40E29">
        <w:rPr>
          <w:rFonts w:ascii="Arial" w:hAnsi="Arial" w:cs="Arial"/>
          <w:lang w:val="en-US"/>
        </w:rPr>
        <w:t>examined under fluorescent microscope using a blue excitation filter (450</w:t>
      </w:r>
      <w:r>
        <w:rPr>
          <w:rFonts w:ascii="Arial" w:hAnsi="Arial" w:cs="Arial"/>
          <w:lang w:val="en-US"/>
        </w:rPr>
        <w:t xml:space="preserve"> </w:t>
      </w:r>
      <w:r w:rsidRPr="00A40E29">
        <w:rPr>
          <w:rFonts w:ascii="Arial" w:hAnsi="Arial" w:cs="Arial"/>
          <w:lang w:val="en-US"/>
        </w:rPr>
        <w:t>nm)</w:t>
      </w:r>
      <w:r>
        <w:rPr>
          <w:rFonts w:ascii="Arial" w:hAnsi="Arial" w:cs="Arial"/>
          <w:lang w:val="en-US"/>
        </w:rPr>
        <w:t xml:space="preserve">. </w:t>
      </w:r>
    </w:p>
    <w:p w:rsidR="00AD695E" w:rsidRPr="00712977" w:rsidRDefault="00AD695E" w:rsidP="00AD695E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Cultures: </w:t>
      </w:r>
      <w:r w:rsidRPr="00F07ECB">
        <w:rPr>
          <w:rFonts w:ascii="Arial" w:hAnsi="Arial" w:cs="Arial"/>
          <w:i/>
          <w:lang w:val="en-US"/>
        </w:rPr>
        <w:t>(</w:t>
      </w:r>
      <w:proofErr w:type="spellStart"/>
      <w:r w:rsidRPr="00F07ECB">
        <w:rPr>
          <w:rFonts w:ascii="Arial" w:hAnsi="Arial" w:cs="Arial"/>
          <w:i/>
          <w:lang w:val="en-US"/>
        </w:rPr>
        <w:t>i</w:t>
      </w:r>
      <w:proofErr w:type="spellEnd"/>
      <w:r w:rsidRPr="00F07ECB">
        <w:rPr>
          <w:rFonts w:ascii="Arial" w:hAnsi="Arial" w:cs="Arial"/>
          <w:i/>
          <w:lang w:val="en-US"/>
        </w:rPr>
        <w:t xml:space="preserve">) sputum: </w:t>
      </w:r>
      <w:r>
        <w:rPr>
          <w:rFonts w:ascii="Arial" w:hAnsi="Arial" w:cs="Arial"/>
          <w:lang w:val="en-US"/>
        </w:rPr>
        <w:t xml:space="preserve">for mycobacteria, </w:t>
      </w:r>
      <w:r w:rsidRPr="00043839">
        <w:rPr>
          <w:rFonts w:ascii="Arial" w:hAnsi="Arial" w:cs="Arial"/>
          <w:lang w:val="en-US"/>
        </w:rPr>
        <w:t xml:space="preserve">specimens were decontaminated </w:t>
      </w:r>
      <w:r w:rsidRPr="00701BE8">
        <w:rPr>
          <w:rFonts w:ascii="Arial" w:hAnsi="Arial" w:cs="Arial"/>
          <w:lang w:val="en-US"/>
        </w:rPr>
        <w:t>with N-acetyl-l-cysteine and 2% NaOH</w:t>
      </w:r>
      <w:r>
        <w:rPr>
          <w:rFonts w:ascii="Arial" w:hAnsi="Arial" w:cs="Arial"/>
          <w:lang w:val="en-US"/>
        </w:rPr>
        <w:t xml:space="preserve"> (</w:t>
      </w:r>
      <w:proofErr w:type="spellStart"/>
      <w:r w:rsidRPr="00701BE8">
        <w:rPr>
          <w:rFonts w:ascii="Arial" w:hAnsi="Arial" w:cs="Arial"/>
          <w:lang w:val="en-US"/>
        </w:rPr>
        <w:t>MycoPrep</w:t>
      </w:r>
      <w:proofErr w:type="spellEnd"/>
      <w:r w:rsidRPr="00701BE8">
        <w:rPr>
          <w:rFonts w:ascii="Arial" w:hAnsi="Arial" w:cs="Arial"/>
          <w:lang w:val="en-US"/>
        </w:rPr>
        <w:t>™</w:t>
      </w:r>
      <w:r>
        <w:rPr>
          <w:rFonts w:ascii="Arial" w:hAnsi="Arial" w:cs="Arial"/>
          <w:lang w:val="en-US"/>
        </w:rPr>
        <w:t xml:space="preserve">, </w:t>
      </w:r>
      <w:r w:rsidRPr="00701BE8">
        <w:rPr>
          <w:rFonts w:ascii="Arial" w:hAnsi="Arial" w:cs="Arial"/>
          <w:lang w:val="en-US"/>
        </w:rPr>
        <w:t>Becton</w:t>
      </w:r>
      <w:r>
        <w:rPr>
          <w:rFonts w:ascii="Arial" w:hAnsi="Arial" w:cs="Arial"/>
          <w:lang w:val="en-US"/>
        </w:rPr>
        <w:t xml:space="preserve"> </w:t>
      </w:r>
      <w:r w:rsidRPr="00701BE8">
        <w:rPr>
          <w:rFonts w:ascii="Arial" w:hAnsi="Arial" w:cs="Arial"/>
          <w:lang w:val="en-US"/>
        </w:rPr>
        <w:t xml:space="preserve">Dickinson, </w:t>
      </w:r>
      <w:r w:rsidRPr="00C91CE4">
        <w:rPr>
          <w:rFonts w:ascii="Arial" w:hAnsi="Arial" w:cs="Arial"/>
          <w:lang w:val="en-US"/>
        </w:rPr>
        <w:t>Cockeysville, Md</w:t>
      </w:r>
      <w:r>
        <w:rPr>
          <w:rFonts w:ascii="Arial" w:hAnsi="Arial" w:cs="Arial"/>
          <w:lang w:val="en-US"/>
        </w:rPr>
        <w:t>).</w:t>
      </w:r>
      <w:r w:rsidRPr="00043839">
        <w:rPr>
          <w:rFonts w:ascii="Arial" w:hAnsi="Arial" w:cs="Arial"/>
          <w:lang w:val="en-US"/>
        </w:rPr>
        <w:t xml:space="preserve"> The supernatant of each specimen was </w:t>
      </w:r>
      <w:r>
        <w:rPr>
          <w:rFonts w:ascii="Arial" w:hAnsi="Arial" w:cs="Arial"/>
          <w:lang w:val="en-US"/>
        </w:rPr>
        <w:t>inoculated onto Lowenstein-Jensen medium (LJ) (</w:t>
      </w:r>
      <w:r w:rsidRPr="00C91CE4">
        <w:rPr>
          <w:rFonts w:ascii="Arial" w:hAnsi="Arial" w:cs="Arial"/>
          <w:lang w:val="en-US"/>
        </w:rPr>
        <w:t>Becton Dickinson</w:t>
      </w:r>
      <w:r>
        <w:rPr>
          <w:rFonts w:ascii="Arial" w:hAnsi="Arial" w:cs="Arial"/>
          <w:lang w:val="en-US"/>
        </w:rPr>
        <w:t xml:space="preserve">, </w:t>
      </w:r>
      <w:r w:rsidRPr="00C91CE4">
        <w:rPr>
          <w:rFonts w:ascii="Arial" w:hAnsi="Arial" w:cs="Arial"/>
          <w:lang w:val="en-US"/>
        </w:rPr>
        <w:t>Cockeysville, Md</w:t>
      </w:r>
      <w:r>
        <w:rPr>
          <w:rFonts w:ascii="Arial" w:hAnsi="Arial" w:cs="Arial"/>
          <w:lang w:val="en-US"/>
        </w:rPr>
        <w:t xml:space="preserve">) </w:t>
      </w:r>
      <w:r w:rsidRPr="00641BEF">
        <w:rPr>
          <w:rFonts w:ascii="Arial" w:hAnsi="Arial" w:cs="Arial"/>
          <w:lang w:val="en-US"/>
        </w:rPr>
        <w:t xml:space="preserve">and </w:t>
      </w:r>
      <w:r w:rsidRPr="00C934B2">
        <w:rPr>
          <w:rFonts w:ascii="Arial" w:hAnsi="Arial" w:cs="Arial"/>
          <w:i/>
          <w:iCs/>
          <w:lang w:val="en-US"/>
        </w:rPr>
        <w:t>Mycobacterium</w:t>
      </w:r>
      <w:r w:rsidRPr="00641BEF">
        <w:rPr>
          <w:rFonts w:ascii="Arial" w:hAnsi="Arial" w:cs="Arial"/>
          <w:lang w:val="en-US"/>
        </w:rPr>
        <w:t xml:space="preserve"> growth indicator tubes </w:t>
      </w:r>
      <w:r>
        <w:rPr>
          <w:rFonts w:ascii="Arial" w:hAnsi="Arial" w:cs="Arial"/>
          <w:lang w:val="en-US"/>
        </w:rPr>
        <w:t>(</w:t>
      </w:r>
      <w:r w:rsidRPr="00641BEF">
        <w:rPr>
          <w:rFonts w:ascii="Arial" w:hAnsi="Arial" w:cs="Arial"/>
          <w:lang w:val="en-US"/>
        </w:rPr>
        <w:t>MGIT® Becton Dickinson)</w:t>
      </w:r>
      <w:r>
        <w:rPr>
          <w:rFonts w:ascii="Arial" w:hAnsi="Arial" w:cs="Arial"/>
          <w:lang w:val="en-US"/>
        </w:rPr>
        <w:t xml:space="preserve">. For fungal infections, sputum specimens were directly inoculated onto </w:t>
      </w:r>
      <w:proofErr w:type="spellStart"/>
      <w:r>
        <w:rPr>
          <w:rFonts w:ascii="Arial" w:hAnsi="Arial" w:cs="Arial"/>
          <w:lang w:val="en-US"/>
        </w:rPr>
        <w:t>Sab</w:t>
      </w:r>
      <w:r w:rsidRPr="00C91CE4">
        <w:rPr>
          <w:rFonts w:ascii="Arial" w:hAnsi="Arial" w:cs="Arial"/>
          <w:lang w:val="en-US"/>
        </w:rPr>
        <w:t>ouraud</w:t>
      </w:r>
      <w:proofErr w:type="spellEnd"/>
      <w:r w:rsidRPr="00C91CE4">
        <w:rPr>
          <w:rFonts w:ascii="Arial" w:hAnsi="Arial" w:cs="Arial"/>
          <w:lang w:val="en-US"/>
        </w:rPr>
        <w:t xml:space="preserve"> dextrose agar </w:t>
      </w:r>
      <w:r>
        <w:rPr>
          <w:rFonts w:ascii="Arial" w:hAnsi="Arial" w:cs="Arial"/>
          <w:lang w:val="en-US"/>
        </w:rPr>
        <w:t xml:space="preserve">4% </w:t>
      </w:r>
      <w:r w:rsidRPr="00C91CE4">
        <w:rPr>
          <w:rFonts w:ascii="Arial" w:hAnsi="Arial" w:cs="Arial"/>
          <w:lang w:val="en-US"/>
        </w:rPr>
        <w:t>(SDA)</w:t>
      </w:r>
      <w:r>
        <w:rPr>
          <w:rFonts w:ascii="Arial" w:hAnsi="Arial" w:cs="Arial"/>
          <w:lang w:val="en-US"/>
        </w:rPr>
        <w:t xml:space="preserve"> </w:t>
      </w:r>
      <w:r w:rsidRPr="00C91CE4">
        <w:rPr>
          <w:rFonts w:ascii="Arial" w:hAnsi="Arial" w:cs="Arial"/>
          <w:lang w:val="en-US"/>
        </w:rPr>
        <w:t>(Becton Dickinson, Cockeysville, Md</w:t>
      </w:r>
      <w:r>
        <w:rPr>
          <w:rFonts w:ascii="Arial" w:hAnsi="Arial" w:cs="Arial"/>
          <w:lang w:val="en-US"/>
        </w:rPr>
        <w:t>)</w:t>
      </w:r>
      <w:r w:rsidRPr="00C91CE4">
        <w:rPr>
          <w:rFonts w:ascii="Arial" w:hAnsi="Arial" w:cs="Arial"/>
          <w:lang w:val="en-US"/>
        </w:rPr>
        <w:t xml:space="preserve"> and </w:t>
      </w:r>
      <w:proofErr w:type="spellStart"/>
      <w:r w:rsidRPr="00C91CE4">
        <w:rPr>
          <w:rFonts w:ascii="Arial" w:hAnsi="Arial" w:cs="Arial"/>
          <w:lang w:val="en-US"/>
        </w:rPr>
        <w:t>Mycosel</w:t>
      </w:r>
      <w:proofErr w:type="spellEnd"/>
      <w:r w:rsidRPr="00C91CE4">
        <w:rPr>
          <w:rFonts w:ascii="Arial" w:hAnsi="Arial" w:cs="Arial"/>
          <w:lang w:val="en-US"/>
        </w:rPr>
        <w:t xml:space="preserve"> agar (Becton Dickinson, Cockeysville, Md</w:t>
      </w:r>
      <w:r>
        <w:rPr>
          <w:rFonts w:ascii="Arial" w:hAnsi="Arial" w:cs="Arial"/>
          <w:lang w:val="en-US"/>
        </w:rPr>
        <w:t xml:space="preserve">). </w:t>
      </w:r>
      <w:r w:rsidRPr="000A373D">
        <w:rPr>
          <w:rFonts w:ascii="Arial" w:hAnsi="Arial" w:cs="Arial"/>
          <w:i/>
          <w:lang w:val="en-US"/>
        </w:rPr>
        <w:t xml:space="preserve">(ii) Cerebrospinal </w:t>
      </w:r>
      <w:r w:rsidR="00D15AE4">
        <w:rPr>
          <w:rFonts w:ascii="Arial" w:hAnsi="Arial" w:cs="Arial"/>
          <w:i/>
          <w:lang w:val="en-US"/>
        </w:rPr>
        <w:t>f</w:t>
      </w:r>
      <w:r w:rsidRPr="000A373D">
        <w:rPr>
          <w:rFonts w:ascii="Arial" w:hAnsi="Arial" w:cs="Arial"/>
          <w:i/>
          <w:lang w:val="en-US"/>
        </w:rPr>
        <w:t>luid (C</w:t>
      </w:r>
      <w:r>
        <w:rPr>
          <w:rFonts w:ascii="Arial" w:hAnsi="Arial" w:cs="Arial"/>
          <w:i/>
          <w:lang w:val="en-US"/>
        </w:rPr>
        <w:t>S</w:t>
      </w:r>
      <w:r w:rsidRPr="000A373D">
        <w:rPr>
          <w:rFonts w:ascii="Arial" w:hAnsi="Arial" w:cs="Arial"/>
          <w:i/>
          <w:lang w:val="en-US"/>
        </w:rPr>
        <w:t xml:space="preserve">F): </w:t>
      </w:r>
      <w:r>
        <w:rPr>
          <w:rFonts w:ascii="Arial" w:hAnsi="Arial" w:cs="Arial"/>
          <w:lang w:val="en-US"/>
        </w:rPr>
        <w:t>specimens were</w:t>
      </w:r>
      <w:r w:rsidRPr="000A373D">
        <w:rPr>
          <w:rFonts w:ascii="Arial" w:hAnsi="Arial" w:cs="Arial"/>
          <w:lang w:val="en-US"/>
        </w:rPr>
        <w:t xml:space="preserve"> centrifuged at </w:t>
      </w:r>
      <w:r>
        <w:rPr>
          <w:rFonts w:ascii="Arial" w:hAnsi="Arial" w:cs="Arial"/>
          <w:lang w:val="en-US"/>
        </w:rPr>
        <w:t xml:space="preserve">3,000 </w:t>
      </w:r>
      <w:r w:rsidRPr="00F07ECB">
        <w:rPr>
          <w:rFonts w:ascii="Arial" w:hAnsi="Arial" w:cs="Arial"/>
          <w:lang w:val="en-US"/>
        </w:rPr>
        <w:t xml:space="preserve">g </w:t>
      </w:r>
      <w:r>
        <w:rPr>
          <w:rFonts w:ascii="Arial" w:hAnsi="Arial" w:cs="Arial"/>
          <w:lang w:val="en-US"/>
        </w:rPr>
        <w:t xml:space="preserve">for 15 min, </w:t>
      </w:r>
      <w:r w:rsidRPr="00F07ECB">
        <w:rPr>
          <w:rFonts w:ascii="Arial" w:hAnsi="Arial" w:cs="Arial"/>
          <w:lang w:val="en-US"/>
        </w:rPr>
        <w:t>and the sediment was</w:t>
      </w:r>
      <w:r>
        <w:rPr>
          <w:rFonts w:ascii="Arial" w:hAnsi="Arial" w:cs="Arial"/>
          <w:lang w:val="en-US"/>
        </w:rPr>
        <w:t xml:space="preserve"> directly </w:t>
      </w:r>
      <w:r w:rsidRPr="000F0F94">
        <w:rPr>
          <w:rFonts w:ascii="Arial" w:hAnsi="Arial" w:cs="Arial"/>
          <w:lang w:val="en-US"/>
        </w:rPr>
        <w:t>cultured onto SDA</w:t>
      </w:r>
      <w:r>
        <w:rPr>
          <w:rFonts w:ascii="Arial" w:hAnsi="Arial" w:cs="Arial"/>
          <w:lang w:val="en-US"/>
        </w:rPr>
        <w:t>,</w:t>
      </w:r>
      <w:r w:rsidRPr="000F0F94">
        <w:rPr>
          <w:rFonts w:ascii="Arial" w:hAnsi="Arial" w:cs="Arial"/>
          <w:lang w:val="en-US"/>
        </w:rPr>
        <w:t xml:space="preserve"> </w:t>
      </w:r>
      <w:proofErr w:type="spellStart"/>
      <w:r w:rsidRPr="000F0F94">
        <w:rPr>
          <w:rFonts w:ascii="Arial" w:hAnsi="Arial" w:cs="Arial"/>
          <w:lang w:val="en-US"/>
        </w:rPr>
        <w:t>Mycosel</w:t>
      </w:r>
      <w:proofErr w:type="spellEnd"/>
      <w:r>
        <w:rPr>
          <w:rFonts w:ascii="Arial" w:hAnsi="Arial" w:cs="Arial"/>
          <w:lang w:val="en-US"/>
        </w:rPr>
        <w:t xml:space="preserve">, LJ and MIGIT media </w:t>
      </w:r>
      <w:r w:rsidRPr="00712977">
        <w:rPr>
          <w:rFonts w:ascii="Arial" w:hAnsi="Arial" w:cs="Arial"/>
          <w:i/>
          <w:lang w:val="en-US"/>
        </w:rPr>
        <w:t>(iii) Isolator tube</w:t>
      </w:r>
      <w:r>
        <w:rPr>
          <w:rFonts w:ascii="Arial" w:hAnsi="Arial" w:cs="Arial"/>
          <w:lang w:val="en-US"/>
        </w:rPr>
        <w:t xml:space="preserve">: blood samples </w:t>
      </w:r>
      <w:r w:rsidRPr="0084640C">
        <w:rPr>
          <w:rFonts w:ascii="Arial" w:hAnsi="Arial" w:cs="Arial"/>
          <w:lang w:val="en-US"/>
        </w:rPr>
        <w:t xml:space="preserve">were processed </w:t>
      </w:r>
      <w:r>
        <w:rPr>
          <w:rFonts w:ascii="Arial" w:hAnsi="Arial" w:cs="Arial"/>
          <w:lang w:val="en-US"/>
        </w:rPr>
        <w:t xml:space="preserve">by the </w:t>
      </w:r>
      <w:r w:rsidRPr="00712977">
        <w:rPr>
          <w:rFonts w:ascii="Arial" w:hAnsi="Arial" w:cs="Arial"/>
          <w:lang w:val="en-US"/>
        </w:rPr>
        <w:t xml:space="preserve">lysis-centrifugation system (Isolator; Du Pont Co., Wilmington, Del.). Isolator tubes were centrifuged for 30 minutes at </w:t>
      </w:r>
      <w:r>
        <w:rPr>
          <w:rFonts w:ascii="Arial" w:hAnsi="Arial" w:cs="Arial"/>
          <w:lang w:val="en-US"/>
        </w:rPr>
        <w:t>1800 g. a</w:t>
      </w:r>
      <w:r w:rsidRPr="00712977">
        <w:rPr>
          <w:rFonts w:ascii="Arial" w:hAnsi="Arial" w:cs="Arial"/>
          <w:lang w:val="en-US"/>
        </w:rPr>
        <w:t xml:space="preserve">nd sediment inoculated onto LJ media for mycobacteria and SDA and </w:t>
      </w:r>
      <w:proofErr w:type="spellStart"/>
      <w:r>
        <w:rPr>
          <w:rFonts w:ascii="Arial" w:hAnsi="Arial" w:cs="Arial"/>
          <w:lang w:val="en-US"/>
        </w:rPr>
        <w:t>M</w:t>
      </w:r>
      <w:r w:rsidRPr="00712977">
        <w:rPr>
          <w:rFonts w:ascii="Arial" w:hAnsi="Arial" w:cs="Arial"/>
          <w:lang w:val="en-US"/>
        </w:rPr>
        <w:t>ycosel</w:t>
      </w:r>
      <w:proofErr w:type="spellEnd"/>
      <w:r w:rsidRPr="0071297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tubes</w:t>
      </w:r>
      <w:r w:rsidRPr="00712977"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  <w:lang w:val="en-US"/>
        </w:rPr>
        <w:t>fungi</w:t>
      </w:r>
      <w:r w:rsidRPr="007129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FC17F0">
        <w:rPr>
          <w:rFonts w:ascii="Arial" w:hAnsi="Arial" w:cs="Arial"/>
          <w:lang w:val="en-US"/>
        </w:rPr>
        <w:t>MIGIT and LJ medium were incubated at 37°C</w:t>
      </w:r>
      <w:r>
        <w:rPr>
          <w:rFonts w:ascii="Arial" w:hAnsi="Arial" w:cs="Arial"/>
          <w:lang w:val="en-US"/>
        </w:rPr>
        <w:t>, and</w:t>
      </w:r>
      <w:r w:rsidRPr="00EC1857">
        <w:rPr>
          <w:rFonts w:ascii="Arial" w:hAnsi="Arial" w:cs="Arial"/>
          <w:lang w:val="en-US"/>
        </w:rPr>
        <w:t xml:space="preserve"> readings were done daily for a period of </w:t>
      </w:r>
      <w:r>
        <w:rPr>
          <w:rFonts w:ascii="Arial" w:hAnsi="Arial" w:cs="Arial"/>
          <w:lang w:val="en-US"/>
        </w:rPr>
        <w:t xml:space="preserve">7 </w:t>
      </w:r>
      <w:r w:rsidRPr="00EC1857">
        <w:rPr>
          <w:rFonts w:ascii="Arial" w:hAnsi="Arial" w:cs="Arial"/>
          <w:lang w:val="en-US"/>
        </w:rPr>
        <w:t xml:space="preserve">days and then once a week for </w:t>
      </w:r>
      <w:r w:rsidRPr="00FC17F0">
        <w:rPr>
          <w:rFonts w:ascii="Arial" w:hAnsi="Arial" w:cs="Arial"/>
          <w:lang w:val="en-US"/>
        </w:rPr>
        <w:t>6 and 8 weeks, respectively.</w:t>
      </w:r>
      <w:r>
        <w:rPr>
          <w:rFonts w:ascii="Arial" w:hAnsi="Arial" w:cs="Arial"/>
          <w:lang w:val="en-US"/>
        </w:rPr>
        <w:t xml:space="preserve"> </w:t>
      </w:r>
      <w:r w:rsidRPr="00FC17F0">
        <w:rPr>
          <w:rFonts w:ascii="Arial" w:hAnsi="Arial" w:cs="Arial"/>
          <w:lang w:val="en-US"/>
        </w:rPr>
        <w:t xml:space="preserve">Identification was performed using </w:t>
      </w:r>
      <w:proofErr w:type="spellStart"/>
      <w:r w:rsidRPr="00FC17F0">
        <w:rPr>
          <w:rFonts w:ascii="Arial" w:hAnsi="Arial" w:cs="Arial"/>
          <w:lang w:val="en-US"/>
        </w:rPr>
        <w:t>GenoType</w:t>
      </w:r>
      <w:proofErr w:type="spellEnd"/>
      <w:r w:rsidRPr="00FC17F0">
        <w:rPr>
          <w:rFonts w:ascii="Arial" w:hAnsi="Arial" w:cs="Arial"/>
          <w:lang w:val="en-US"/>
        </w:rPr>
        <w:t xml:space="preserve"> </w:t>
      </w:r>
      <w:r w:rsidRPr="00C934B2">
        <w:rPr>
          <w:rFonts w:ascii="Arial" w:hAnsi="Arial" w:cs="Arial"/>
          <w:i/>
          <w:iCs/>
          <w:lang w:val="en-US"/>
        </w:rPr>
        <w:t>Mycobacterium</w:t>
      </w:r>
      <w:r w:rsidRPr="00FC17F0">
        <w:rPr>
          <w:rFonts w:ascii="Arial" w:hAnsi="Arial" w:cs="Arial"/>
          <w:lang w:val="en-US"/>
        </w:rPr>
        <w:t xml:space="preserve"> CM and AS hybridization strips (Hain </w:t>
      </w:r>
      <w:proofErr w:type="spellStart"/>
      <w:r w:rsidRPr="00FC17F0">
        <w:rPr>
          <w:rFonts w:ascii="Arial" w:hAnsi="Arial" w:cs="Arial"/>
          <w:lang w:val="en-US"/>
        </w:rPr>
        <w:t>Lifescience</w:t>
      </w:r>
      <w:proofErr w:type="spellEnd"/>
      <w:r w:rsidRPr="00FC17F0">
        <w:rPr>
          <w:rFonts w:ascii="Arial" w:hAnsi="Arial" w:cs="Arial"/>
          <w:lang w:val="en-US"/>
        </w:rPr>
        <w:t xml:space="preserve"> GmbH). </w:t>
      </w:r>
      <w:proofErr w:type="spellStart"/>
      <w:r w:rsidRPr="00FC17F0">
        <w:rPr>
          <w:rFonts w:ascii="Arial" w:hAnsi="Arial" w:cs="Arial"/>
          <w:lang w:val="en-US"/>
        </w:rPr>
        <w:t>Mycosel</w:t>
      </w:r>
      <w:proofErr w:type="spellEnd"/>
      <w:r w:rsidRPr="00FC17F0">
        <w:rPr>
          <w:rFonts w:ascii="Arial" w:hAnsi="Arial" w:cs="Arial"/>
          <w:lang w:val="en-US"/>
        </w:rPr>
        <w:t xml:space="preserve"> and SDA media were incubated at 25°C and </w:t>
      </w:r>
      <w:r w:rsidRPr="00EC1857">
        <w:rPr>
          <w:rFonts w:ascii="Arial" w:hAnsi="Arial" w:cs="Arial"/>
          <w:lang w:val="en-US"/>
        </w:rPr>
        <w:t xml:space="preserve">the readings were done daily for a period of </w:t>
      </w:r>
      <w:r>
        <w:rPr>
          <w:rFonts w:ascii="Arial" w:hAnsi="Arial" w:cs="Arial"/>
          <w:lang w:val="en-US"/>
        </w:rPr>
        <w:t xml:space="preserve">7 </w:t>
      </w:r>
      <w:r w:rsidRPr="00EC1857">
        <w:rPr>
          <w:rFonts w:ascii="Arial" w:hAnsi="Arial" w:cs="Arial"/>
          <w:lang w:val="en-US"/>
        </w:rPr>
        <w:lastRenderedPageBreak/>
        <w:t xml:space="preserve">days and then once a week for </w:t>
      </w:r>
      <w:r w:rsidRPr="00FC17F0">
        <w:rPr>
          <w:rFonts w:ascii="Arial" w:hAnsi="Arial" w:cs="Arial"/>
          <w:lang w:val="en-US"/>
        </w:rPr>
        <w:t xml:space="preserve">6 weeks. </w:t>
      </w:r>
      <w:r>
        <w:rPr>
          <w:rFonts w:ascii="Arial" w:hAnsi="Arial" w:cs="Arial"/>
          <w:lang w:val="en-US"/>
        </w:rPr>
        <w:t xml:space="preserve">Filamentous fungi growing on the plates </w:t>
      </w:r>
      <w:r w:rsidRPr="00FC17F0">
        <w:rPr>
          <w:rFonts w:ascii="Arial" w:hAnsi="Arial" w:cs="Arial"/>
          <w:lang w:val="en-US"/>
        </w:rPr>
        <w:t>were identified based on macroscopic and microscopic features.</w:t>
      </w:r>
      <w:r>
        <w:rPr>
          <w:rFonts w:ascii="Arial" w:hAnsi="Arial" w:cs="Arial"/>
          <w:lang w:val="en-US"/>
        </w:rPr>
        <w:t xml:space="preserve"> For yeast identification, </w:t>
      </w:r>
      <w:r w:rsidRPr="007F3413">
        <w:rPr>
          <w:rFonts w:ascii="Arial" w:hAnsi="Arial" w:cs="Arial"/>
          <w:lang w:val="en-US"/>
        </w:rPr>
        <w:t>VITEK 2 system (</w:t>
      </w:r>
      <w:proofErr w:type="spellStart"/>
      <w:r w:rsidRPr="007F3413">
        <w:rPr>
          <w:rFonts w:ascii="Arial" w:hAnsi="Arial" w:cs="Arial"/>
          <w:lang w:val="en-US"/>
        </w:rPr>
        <w:t>bioMérieux</w:t>
      </w:r>
      <w:proofErr w:type="spellEnd"/>
      <w:r w:rsidRPr="007F3413">
        <w:rPr>
          <w:rFonts w:ascii="Arial" w:hAnsi="Arial" w:cs="Arial"/>
          <w:lang w:val="en-US"/>
        </w:rPr>
        <w:t>, Inc., Hazelwood, MO)</w:t>
      </w:r>
      <w:r>
        <w:rPr>
          <w:rFonts w:ascii="Arial" w:hAnsi="Arial" w:cs="Arial"/>
          <w:lang w:val="en-US"/>
        </w:rPr>
        <w:t xml:space="preserve"> was used. </w:t>
      </w:r>
    </w:p>
    <w:p w:rsidR="00AD695E" w:rsidRDefault="00AD695E" w:rsidP="00AD695E">
      <w:pPr>
        <w:spacing w:after="0" w:line="480" w:lineRule="auto"/>
        <w:rPr>
          <w:rFonts w:ascii="Arial" w:hAnsi="Arial" w:cs="Arial"/>
          <w:lang w:val="en-US"/>
        </w:rPr>
      </w:pPr>
      <w:r w:rsidRPr="00CA5655">
        <w:rPr>
          <w:rFonts w:ascii="Arial" w:hAnsi="Arial" w:cs="Arial"/>
          <w:i/>
          <w:lang w:val="en-US"/>
        </w:rPr>
        <w:t>Histoplasma Antigen</w:t>
      </w:r>
      <w:r>
        <w:rPr>
          <w:rFonts w:ascii="Arial" w:hAnsi="Arial" w:cs="Arial"/>
          <w:lang w:val="en-US"/>
        </w:rPr>
        <w:t xml:space="preserve">: </w:t>
      </w:r>
      <w:r w:rsidRPr="0084640C">
        <w:rPr>
          <w:rFonts w:ascii="Arial" w:hAnsi="Arial" w:cs="Arial"/>
          <w:lang w:val="en-US"/>
        </w:rPr>
        <w:t xml:space="preserve">Urine samples were </w:t>
      </w:r>
      <w:r>
        <w:rPr>
          <w:rFonts w:ascii="Arial" w:hAnsi="Arial" w:cs="Arial"/>
          <w:lang w:val="en-US"/>
        </w:rPr>
        <w:t>evaluated using a commercial enzyme</w:t>
      </w:r>
      <w:r w:rsidRPr="00D05BB3">
        <w:rPr>
          <w:rFonts w:ascii="Arial" w:hAnsi="Arial" w:cs="Arial"/>
          <w:lang w:val="en-US"/>
        </w:rPr>
        <w:t>-linked immunosorbent assay (ELISA)</w:t>
      </w:r>
      <w:r>
        <w:rPr>
          <w:rFonts w:ascii="Arial" w:hAnsi="Arial" w:cs="Arial"/>
          <w:lang w:val="en-US"/>
        </w:rPr>
        <w:t xml:space="preserve"> for </w:t>
      </w:r>
      <w:r w:rsidRPr="00D05BB3">
        <w:rPr>
          <w:rFonts w:ascii="Arial" w:hAnsi="Arial" w:cs="Arial"/>
          <w:lang w:val="en-US"/>
        </w:rPr>
        <w:t xml:space="preserve">detection </w:t>
      </w:r>
      <w:r>
        <w:rPr>
          <w:rFonts w:ascii="Arial" w:hAnsi="Arial" w:cs="Arial"/>
          <w:lang w:val="en-US"/>
        </w:rPr>
        <w:t xml:space="preserve">of </w:t>
      </w:r>
      <w:r w:rsidRPr="00B81223">
        <w:rPr>
          <w:rFonts w:ascii="Arial" w:hAnsi="Arial" w:cs="Arial"/>
          <w:i/>
          <w:lang w:val="en-US"/>
        </w:rPr>
        <w:t>Histoplasma</w:t>
      </w:r>
      <w:r>
        <w:rPr>
          <w:rFonts w:ascii="Arial" w:hAnsi="Arial" w:cs="Arial"/>
          <w:i/>
          <w:lang w:val="en-US"/>
        </w:rPr>
        <w:t xml:space="preserve"> capsulatum</w:t>
      </w:r>
      <w:r>
        <w:rPr>
          <w:rFonts w:ascii="Arial" w:hAnsi="Arial" w:cs="Arial"/>
          <w:lang w:val="en-US"/>
        </w:rPr>
        <w:t xml:space="preserve"> </w:t>
      </w:r>
      <w:r w:rsidRPr="00D05BB3">
        <w:rPr>
          <w:rFonts w:ascii="Arial" w:hAnsi="Arial" w:cs="Arial"/>
          <w:lang w:val="en-US"/>
        </w:rPr>
        <w:t xml:space="preserve">antigen </w:t>
      </w:r>
      <w:r w:rsidRPr="003D70C3">
        <w:rPr>
          <w:rFonts w:ascii="Arial" w:hAnsi="Arial" w:cs="Arial"/>
          <w:lang w:val="en-US"/>
        </w:rPr>
        <w:t>(IMMY, Norman, OK, USA</w:t>
      </w:r>
      <w:r>
        <w:rPr>
          <w:rFonts w:ascii="Arial" w:hAnsi="Arial" w:cs="Arial"/>
          <w:lang w:val="en-US"/>
        </w:rPr>
        <w:t xml:space="preserve">). This assay was performed </w:t>
      </w:r>
      <w:r w:rsidRPr="008B5C3A">
        <w:rPr>
          <w:rFonts w:ascii="Arial" w:hAnsi="Arial" w:cs="Arial"/>
          <w:lang w:val="en-US"/>
        </w:rPr>
        <w:t>according to the manufacturer’s instructions</w:t>
      </w:r>
      <w:r>
        <w:rPr>
          <w:rFonts w:ascii="Arial" w:hAnsi="Arial" w:cs="Arial"/>
          <w:lang w:val="en-US"/>
        </w:rPr>
        <w:t>.</w:t>
      </w:r>
    </w:p>
    <w:p w:rsidR="00AD695E" w:rsidRDefault="00AD695E" w:rsidP="00AD695E">
      <w:pPr>
        <w:spacing w:after="0" w:line="480" w:lineRule="auto"/>
        <w:rPr>
          <w:rFonts w:ascii="Arial" w:hAnsi="Arial" w:cs="Arial"/>
          <w:lang w:val="en-US"/>
        </w:rPr>
      </w:pPr>
    </w:p>
    <w:p w:rsidR="00AD695E" w:rsidRDefault="00AD695E" w:rsidP="00AD695E">
      <w:pPr>
        <w:spacing w:after="0" w:line="480" w:lineRule="auto"/>
        <w:rPr>
          <w:rFonts w:ascii="Arial" w:hAnsi="Arial" w:cs="Arial"/>
          <w:lang w:val="en-US"/>
        </w:rPr>
      </w:pPr>
      <w:r w:rsidRPr="00CA5655">
        <w:rPr>
          <w:rFonts w:ascii="Arial" w:hAnsi="Arial" w:cs="Arial"/>
          <w:i/>
          <w:lang w:val="en-US"/>
        </w:rPr>
        <w:t>Cryptococcal antigen (</w:t>
      </w:r>
      <w:proofErr w:type="spellStart"/>
      <w:r w:rsidRPr="00CA5655">
        <w:rPr>
          <w:rFonts w:ascii="Arial" w:hAnsi="Arial" w:cs="Arial"/>
          <w:i/>
          <w:lang w:val="en-US"/>
        </w:rPr>
        <w:t>CrAg</w:t>
      </w:r>
      <w:proofErr w:type="spellEnd"/>
      <w:r w:rsidRPr="00CA5655">
        <w:rPr>
          <w:rFonts w:ascii="Arial" w:hAnsi="Arial" w:cs="Arial"/>
          <w:i/>
          <w:lang w:val="en-US"/>
        </w:rPr>
        <w:t>):</w:t>
      </w:r>
      <w:r>
        <w:rPr>
          <w:rFonts w:ascii="Arial" w:hAnsi="Arial" w:cs="Arial"/>
          <w:lang w:val="en-US"/>
        </w:rPr>
        <w:t xml:space="preserve"> Serum and CSF were processed using a </w:t>
      </w:r>
      <w:r w:rsidRPr="003D7368">
        <w:rPr>
          <w:rFonts w:ascii="Arial" w:hAnsi="Arial" w:cs="Arial"/>
          <w:iCs/>
          <w:lang w:val="en-US"/>
        </w:rPr>
        <w:t>lateral flow assay</w:t>
      </w:r>
      <w:r>
        <w:rPr>
          <w:rFonts w:ascii="Arial" w:hAnsi="Arial" w:cs="Arial"/>
          <w:i/>
          <w:lang w:val="en-US"/>
        </w:rPr>
        <w:t xml:space="preserve"> </w:t>
      </w:r>
      <w:r w:rsidRPr="003D7368">
        <w:rPr>
          <w:rFonts w:ascii="Arial" w:hAnsi="Arial" w:cs="Arial"/>
          <w:iCs/>
          <w:lang w:val="en-US"/>
        </w:rPr>
        <w:t>(LFA)</w:t>
      </w:r>
      <w:r>
        <w:rPr>
          <w:rFonts w:ascii="Arial" w:hAnsi="Arial" w:cs="Arial"/>
          <w:lang w:val="en-US"/>
        </w:rPr>
        <w:t xml:space="preserve"> test </w:t>
      </w:r>
      <w:r w:rsidRPr="003D70C3">
        <w:rPr>
          <w:rFonts w:ascii="Arial" w:hAnsi="Arial" w:cs="Arial"/>
          <w:lang w:val="en-US"/>
        </w:rPr>
        <w:t>(IMMY, Norman, OK, USA</w:t>
      </w:r>
      <w:r>
        <w:rPr>
          <w:rFonts w:ascii="Arial" w:hAnsi="Arial" w:cs="Arial"/>
          <w:lang w:val="en-US"/>
        </w:rPr>
        <w:t xml:space="preserve">) which was performed </w:t>
      </w:r>
      <w:r w:rsidRPr="005F7148">
        <w:rPr>
          <w:rFonts w:ascii="Arial" w:hAnsi="Arial" w:cs="Arial"/>
          <w:lang w:val="en-US"/>
        </w:rPr>
        <w:t>according to the manufacturer's instructions</w:t>
      </w:r>
      <w:r>
        <w:rPr>
          <w:rFonts w:ascii="Arial" w:hAnsi="Arial" w:cs="Arial"/>
          <w:lang w:val="en-US"/>
        </w:rPr>
        <w:t xml:space="preserve">. Serum samples were analyzed at the HCFs. </w:t>
      </w:r>
      <w:r w:rsidRPr="00D222E4">
        <w:rPr>
          <w:rFonts w:ascii="Arial" w:hAnsi="Arial" w:cs="Arial"/>
          <w:lang w:val="en-US"/>
        </w:rPr>
        <w:t xml:space="preserve">To ensure </w:t>
      </w:r>
      <w:r>
        <w:rPr>
          <w:rFonts w:ascii="Arial" w:hAnsi="Arial" w:cs="Arial"/>
          <w:lang w:val="en-US"/>
        </w:rPr>
        <w:t xml:space="preserve">the </w:t>
      </w:r>
      <w:r w:rsidRPr="00D222E4">
        <w:rPr>
          <w:rFonts w:ascii="Arial" w:hAnsi="Arial" w:cs="Arial"/>
          <w:lang w:val="en-US"/>
        </w:rPr>
        <w:t>quality assurance</w:t>
      </w:r>
      <w:r>
        <w:rPr>
          <w:rFonts w:ascii="Arial" w:hAnsi="Arial" w:cs="Arial"/>
          <w:lang w:val="en-US"/>
        </w:rPr>
        <w:t xml:space="preserve"> of these results a </w:t>
      </w:r>
      <w:r w:rsidRPr="00E00DE0">
        <w:rPr>
          <w:rFonts w:ascii="Arial" w:hAnsi="Arial" w:cs="Arial"/>
          <w:lang w:val="en-US"/>
        </w:rPr>
        <w:t>training p</w:t>
      </w:r>
      <w:r>
        <w:rPr>
          <w:rFonts w:ascii="Arial" w:hAnsi="Arial" w:cs="Arial"/>
          <w:lang w:val="en-US"/>
        </w:rPr>
        <w:t xml:space="preserve">rogram </w:t>
      </w:r>
      <w:r w:rsidRPr="00E00DE0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quality control</w:t>
      </w:r>
      <w:r w:rsidRPr="00E00DE0">
        <w:rPr>
          <w:rFonts w:ascii="Arial" w:hAnsi="Arial" w:cs="Arial"/>
          <w:lang w:val="en-US"/>
        </w:rPr>
        <w:t xml:space="preserve"> were developed</w:t>
      </w:r>
      <w:r>
        <w:rPr>
          <w:rFonts w:ascii="Arial" w:hAnsi="Arial" w:cs="Arial"/>
          <w:lang w:val="en-US"/>
        </w:rPr>
        <w:t xml:space="preserve"> by the DLH. For those patients with a positive </w:t>
      </w:r>
      <w:proofErr w:type="spellStart"/>
      <w:r>
        <w:rPr>
          <w:rFonts w:ascii="Arial" w:hAnsi="Arial" w:cs="Arial"/>
          <w:lang w:val="en-US"/>
        </w:rPr>
        <w:t>CrAg</w:t>
      </w:r>
      <w:proofErr w:type="spellEnd"/>
      <w:r>
        <w:rPr>
          <w:rFonts w:ascii="Arial" w:hAnsi="Arial" w:cs="Arial"/>
          <w:lang w:val="en-US"/>
        </w:rPr>
        <w:t xml:space="preserve"> in serum, a lumbar puncture (LP) was recommended and the CSF obtained was sent to the DLH for </w:t>
      </w:r>
      <w:proofErr w:type="spellStart"/>
      <w:r>
        <w:rPr>
          <w:rFonts w:ascii="Arial" w:hAnsi="Arial" w:cs="Arial"/>
          <w:lang w:val="en-US"/>
        </w:rPr>
        <w:t>CrAg</w:t>
      </w:r>
      <w:proofErr w:type="spellEnd"/>
      <w:r>
        <w:rPr>
          <w:rFonts w:ascii="Arial" w:hAnsi="Arial" w:cs="Arial"/>
          <w:lang w:val="en-US"/>
        </w:rPr>
        <w:t xml:space="preserve"> determination and culture. </w:t>
      </w:r>
    </w:p>
    <w:p w:rsidR="00AD695E" w:rsidRPr="005F7148" w:rsidRDefault="00AD695E" w:rsidP="00AD695E">
      <w:pPr>
        <w:spacing w:after="0" w:line="480" w:lineRule="auto"/>
        <w:rPr>
          <w:rFonts w:ascii="Arial" w:hAnsi="Arial" w:cs="Arial"/>
          <w:lang w:val="en-US"/>
        </w:rPr>
      </w:pPr>
    </w:p>
    <w:p w:rsidR="00AD695E" w:rsidRDefault="00AD695E" w:rsidP="00AD695E">
      <w:pPr>
        <w:spacing w:after="0" w:line="480" w:lineRule="auto"/>
        <w:rPr>
          <w:rFonts w:ascii="Arial" w:hAnsi="Arial" w:cs="Arial"/>
          <w:lang w:val="en-US"/>
        </w:rPr>
      </w:pPr>
      <w:r w:rsidRPr="00D56DAC">
        <w:rPr>
          <w:rFonts w:ascii="Arial" w:hAnsi="Arial" w:cs="Arial"/>
          <w:i/>
          <w:lang w:val="en-US"/>
        </w:rPr>
        <w:t>Polymerase-Chain-Reaction (PCR):</w:t>
      </w:r>
      <w:r>
        <w:rPr>
          <w:rFonts w:ascii="Arial" w:hAnsi="Arial" w:cs="Arial"/>
          <w:lang w:val="en-US"/>
        </w:rPr>
        <w:t xml:space="preserve">  S</w:t>
      </w:r>
      <w:r w:rsidRPr="00D56DAC">
        <w:rPr>
          <w:rFonts w:ascii="Arial" w:hAnsi="Arial" w:cs="Arial"/>
          <w:lang w:val="en-US"/>
        </w:rPr>
        <w:t xml:space="preserve">putum </w:t>
      </w:r>
      <w:r>
        <w:rPr>
          <w:rFonts w:ascii="Arial" w:hAnsi="Arial" w:cs="Arial"/>
          <w:lang w:val="en-US"/>
        </w:rPr>
        <w:t xml:space="preserve">and other </w:t>
      </w:r>
      <w:r w:rsidRPr="00D56DAC">
        <w:rPr>
          <w:rFonts w:ascii="Arial" w:hAnsi="Arial" w:cs="Arial"/>
          <w:lang w:val="en-US"/>
        </w:rPr>
        <w:t>specimens were tested with</w:t>
      </w:r>
      <w:r>
        <w:rPr>
          <w:rFonts w:ascii="Arial" w:hAnsi="Arial" w:cs="Arial"/>
          <w:lang w:val="en-US"/>
        </w:rPr>
        <w:t xml:space="preserve"> a</w:t>
      </w:r>
      <w:r w:rsidRPr="00D56DA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nested PCR assays targeting t</w:t>
      </w:r>
      <w:r w:rsidRPr="00D56DAC">
        <w:rPr>
          <w:rFonts w:ascii="Arial" w:hAnsi="Arial" w:cs="Arial"/>
          <w:lang w:val="en-US"/>
        </w:rPr>
        <w:t xml:space="preserve">he IS6110 insertion </w:t>
      </w:r>
      <w:r>
        <w:rPr>
          <w:rFonts w:ascii="Arial" w:hAnsi="Arial" w:cs="Arial"/>
          <w:lang w:val="en-US"/>
        </w:rPr>
        <w:t xml:space="preserve">for </w:t>
      </w:r>
      <w:r w:rsidRPr="00D56DAC">
        <w:rPr>
          <w:rFonts w:ascii="Arial" w:hAnsi="Arial" w:cs="Arial"/>
          <w:i/>
          <w:lang w:val="en-US"/>
        </w:rPr>
        <w:t>M. tuberculosis</w:t>
      </w:r>
      <w:r>
        <w:rPr>
          <w:rFonts w:ascii="Arial" w:hAnsi="Arial" w:cs="Arial"/>
          <w:i/>
          <w:lang w:val="en-US"/>
        </w:rPr>
        <w:t xml:space="preserve"> </w:t>
      </w:r>
      <w:r w:rsidRPr="00F15D37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a gene for a</w:t>
      </w:r>
      <w:r w:rsidRPr="00F17382">
        <w:rPr>
          <w:rFonts w:ascii="Arial" w:hAnsi="Arial" w:cs="Arial"/>
          <w:lang w:val="en-US"/>
        </w:rPr>
        <w:t>100-kDa protein (Hc100 PCR)</w:t>
      </w:r>
      <w:r>
        <w:rPr>
          <w:rFonts w:ascii="Arial" w:hAnsi="Arial" w:cs="Arial"/>
          <w:lang w:val="en-US"/>
        </w:rPr>
        <w:t xml:space="preserve"> for </w:t>
      </w:r>
      <w:r w:rsidRPr="00F15D37">
        <w:rPr>
          <w:rFonts w:ascii="Arial" w:hAnsi="Arial" w:cs="Arial"/>
          <w:i/>
          <w:lang w:val="en-US"/>
        </w:rPr>
        <w:t>H. capsulatum</w:t>
      </w:r>
      <w:r>
        <w:rPr>
          <w:rFonts w:ascii="Arial" w:hAnsi="Arial" w:cs="Arial"/>
          <w:lang w:val="en-US"/>
        </w:rPr>
        <w:t xml:space="preserve">. </w:t>
      </w:r>
      <w:r w:rsidRPr="00F17382">
        <w:rPr>
          <w:rFonts w:ascii="Arial" w:hAnsi="Arial" w:cs="Arial"/>
          <w:lang w:val="en-US"/>
        </w:rPr>
        <w:t>The primers were synthes</w:t>
      </w:r>
      <w:r>
        <w:rPr>
          <w:rFonts w:ascii="Arial" w:hAnsi="Arial" w:cs="Arial"/>
          <w:lang w:val="en-US"/>
        </w:rPr>
        <w:t xml:space="preserve">ized by Sigma-Aldrich, Inc., and </w:t>
      </w:r>
      <w:r w:rsidRPr="00A77082">
        <w:rPr>
          <w:rFonts w:ascii="Arial" w:hAnsi="Arial" w:cs="Arial"/>
          <w:lang w:val="en-US"/>
        </w:rPr>
        <w:t xml:space="preserve">the DNA extraction and PCR analysis </w:t>
      </w:r>
      <w:r>
        <w:rPr>
          <w:rFonts w:ascii="Arial" w:hAnsi="Arial" w:cs="Arial"/>
          <w:lang w:val="en-US"/>
        </w:rPr>
        <w:t xml:space="preserve">were </w:t>
      </w:r>
      <w:r w:rsidRPr="00293824">
        <w:rPr>
          <w:rFonts w:ascii="Arial" w:hAnsi="Arial" w:cs="Arial"/>
          <w:lang w:val="en-US"/>
        </w:rPr>
        <w:t>performed as previously described</w:t>
      </w:r>
      <w:r>
        <w:rPr>
          <w:rFonts w:ascii="Arial" w:hAnsi="Arial" w:cs="Arial"/>
          <w:lang w:val="en-US"/>
        </w:rPr>
        <w:t xml:space="preserve"> </w:t>
      </w:r>
      <w:r w:rsidRPr="00920A2B">
        <w:rPr>
          <w:rFonts w:ascii="Arial" w:hAnsi="Arial" w:cs="Arial"/>
          <w:lang w:val="en-US"/>
        </w:rPr>
        <w:t>[</w:t>
      </w:r>
      <w:r w:rsidR="00445970">
        <w:rPr>
          <w:rFonts w:ascii="Arial" w:hAnsi="Arial" w:cs="Arial"/>
          <w:lang w:val="en-US"/>
        </w:rPr>
        <w:t>8,9</w:t>
      </w:r>
      <w:r w:rsidRPr="00920A2B">
        <w:rPr>
          <w:rFonts w:ascii="Arial" w:hAnsi="Arial" w:cs="Arial"/>
          <w:lang w:val="en-US"/>
        </w:rPr>
        <w:t>].</w:t>
      </w:r>
    </w:p>
    <w:p w:rsidR="00AD695E" w:rsidRDefault="00AD695E" w:rsidP="00AD695E">
      <w:pPr>
        <w:spacing w:after="0" w:line="480" w:lineRule="auto"/>
        <w:rPr>
          <w:rFonts w:ascii="Arial" w:hAnsi="Arial" w:cs="Arial"/>
          <w:lang w:val="en-US"/>
        </w:rPr>
      </w:pPr>
    </w:p>
    <w:p w:rsidR="00AD695E" w:rsidRPr="00AD695E" w:rsidRDefault="00AD695E" w:rsidP="000B69C7">
      <w:pPr>
        <w:spacing w:after="0" w:line="480" w:lineRule="auto"/>
        <w:rPr>
          <w:lang w:val="en-US"/>
        </w:rPr>
      </w:pPr>
      <w:r>
        <w:rPr>
          <w:rFonts w:ascii="Arial" w:hAnsi="Arial" w:cs="Arial"/>
          <w:lang w:val="en-US"/>
        </w:rPr>
        <w:t xml:space="preserve">Molecular and immunology </w:t>
      </w:r>
      <w:r w:rsidRPr="00FC17F0">
        <w:rPr>
          <w:rFonts w:ascii="Arial" w:hAnsi="Arial" w:cs="Arial"/>
          <w:lang w:val="en-US"/>
        </w:rPr>
        <w:t xml:space="preserve">procedures </w:t>
      </w:r>
      <w:r>
        <w:rPr>
          <w:rFonts w:ascii="Arial" w:hAnsi="Arial" w:cs="Arial"/>
          <w:lang w:val="en-US"/>
        </w:rPr>
        <w:t xml:space="preserve">were </w:t>
      </w:r>
      <w:r w:rsidRPr="00FC17F0">
        <w:rPr>
          <w:rFonts w:ascii="Arial" w:hAnsi="Arial" w:cs="Arial"/>
          <w:lang w:val="en-US"/>
        </w:rPr>
        <w:t xml:space="preserve">performed </w:t>
      </w:r>
      <w:r>
        <w:rPr>
          <w:rFonts w:ascii="Arial" w:hAnsi="Arial" w:cs="Arial"/>
          <w:lang w:val="en-US"/>
        </w:rPr>
        <w:t xml:space="preserve">in </w:t>
      </w:r>
      <w:r w:rsidRPr="00FC17F0">
        <w:rPr>
          <w:rFonts w:ascii="Arial" w:hAnsi="Arial" w:cs="Arial"/>
          <w:lang w:val="en-US"/>
        </w:rPr>
        <w:t xml:space="preserve">the biosafety level </w:t>
      </w:r>
      <w:r>
        <w:rPr>
          <w:rFonts w:ascii="Arial" w:hAnsi="Arial" w:cs="Arial"/>
          <w:lang w:val="en-US"/>
        </w:rPr>
        <w:t>2 (BSL-2) and s</w:t>
      </w:r>
      <w:r w:rsidRPr="009D75F5">
        <w:rPr>
          <w:rFonts w:ascii="Arial" w:hAnsi="Arial" w:cs="Arial"/>
          <w:lang w:val="en-US"/>
        </w:rPr>
        <w:t xml:space="preserve">ample </w:t>
      </w:r>
      <w:r>
        <w:rPr>
          <w:rFonts w:ascii="Arial" w:hAnsi="Arial" w:cs="Arial"/>
          <w:lang w:val="en-US"/>
        </w:rPr>
        <w:t>p</w:t>
      </w:r>
      <w:r w:rsidRPr="009D75F5">
        <w:rPr>
          <w:rFonts w:ascii="Arial" w:hAnsi="Arial" w:cs="Arial"/>
          <w:lang w:val="en-US"/>
        </w:rPr>
        <w:t>rocessing</w:t>
      </w:r>
      <w:r>
        <w:rPr>
          <w:rFonts w:ascii="Arial" w:hAnsi="Arial" w:cs="Arial"/>
          <w:lang w:val="en-US"/>
        </w:rPr>
        <w:t xml:space="preserve"> in BSL-3</w:t>
      </w:r>
      <w:r w:rsidRPr="00FC17F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Tests were </w:t>
      </w:r>
      <w:r w:rsidRPr="00982B4F">
        <w:rPr>
          <w:rFonts w:ascii="Arial" w:hAnsi="Arial" w:cs="Arial"/>
          <w:lang w:val="en-US"/>
        </w:rPr>
        <w:t xml:space="preserve">performed daily Monday to </w:t>
      </w:r>
      <w:r>
        <w:rPr>
          <w:rFonts w:ascii="Arial" w:hAnsi="Arial" w:cs="Arial"/>
          <w:lang w:val="en-US"/>
        </w:rPr>
        <w:t>Friday, and m</w:t>
      </w:r>
      <w:r w:rsidRPr="00FC17F0">
        <w:rPr>
          <w:rFonts w:ascii="Arial" w:hAnsi="Arial" w:cs="Arial"/>
          <w:lang w:val="en-US"/>
        </w:rPr>
        <w:t xml:space="preserve">icroscopic </w:t>
      </w:r>
      <w:r>
        <w:rPr>
          <w:rFonts w:ascii="Arial" w:hAnsi="Arial" w:cs="Arial"/>
          <w:lang w:val="en-US"/>
        </w:rPr>
        <w:t xml:space="preserve">and antigen </w:t>
      </w:r>
      <w:r w:rsidRPr="00FC17F0">
        <w:rPr>
          <w:rFonts w:ascii="Arial" w:hAnsi="Arial" w:cs="Arial"/>
          <w:lang w:val="en-US"/>
        </w:rPr>
        <w:t>results</w:t>
      </w:r>
      <w:r>
        <w:rPr>
          <w:rFonts w:ascii="Arial" w:hAnsi="Arial" w:cs="Arial"/>
          <w:lang w:val="en-US"/>
        </w:rPr>
        <w:t xml:space="preserve"> </w:t>
      </w:r>
      <w:r w:rsidRPr="00FC17F0">
        <w:rPr>
          <w:rFonts w:ascii="Arial" w:hAnsi="Arial" w:cs="Arial"/>
          <w:lang w:val="en-US"/>
        </w:rPr>
        <w:t>were reported within 24 hrs, molecular assays within 72 hrs</w:t>
      </w:r>
      <w:r w:rsidR="00910D69" w:rsidRPr="000B69C7">
        <w:rPr>
          <w:rFonts w:ascii="Arial" w:hAnsi="Arial" w:cs="Arial"/>
          <w:lang w:val="en-US"/>
        </w:rPr>
        <w:t>, cultures within 24 hours of turning positive</w:t>
      </w:r>
    </w:p>
    <w:sectPr w:rsidR="00AD695E" w:rsidRPr="00AD69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5E"/>
    <w:rsid w:val="000B69C7"/>
    <w:rsid w:val="00445970"/>
    <w:rsid w:val="004F5B5A"/>
    <w:rsid w:val="008D0DB3"/>
    <w:rsid w:val="00910D69"/>
    <w:rsid w:val="0091719D"/>
    <w:rsid w:val="00AD695E"/>
    <w:rsid w:val="00D15AE4"/>
    <w:rsid w:val="00F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F62D111-33A9-4839-912A-F32FA300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9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5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5AE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AE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AE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AE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Narda Medina</dc:creator>
  <cp:keywords/>
  <dc:description/>
  <cp:lastModifiedBy>Narda Medina</cp:lastModifiedBy>
  <cp:revision>4</cp:revision>
  <dcterms:created xsi:type="dcterms:W3CDTF">2020-04-28T21:42:00Z</dcterms:created>
  <dcterms:modified xsi:type="dcterms:W3CDTF">2020-04-30T12:12:00Z</dcterms:modified>
</cp:coreProperties>
</file>