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A96E3" w14:textId="77777777" w:rsidR="00E70FE9" w:rsidRPr="001D1ABC" w:rsidRDefault="00E70FE9" w:rsidP="00E70FE9">
      <w:pPr>
        <w:pStyle w:val="Ttulo2"/>
        <w:keepLines/>
        <w:tabs>
          <w:tab w:val="clear" w:pos="709"/>
        </w:tabs>
        <w:spacing w:beforeLines="20" w:after="0" w:line="360" w:lineRule="auto"/>
        <w:rPr>
          <w:rFonts w:ascii="Cambria" w:hAnsi="Cambria"/>
          <w:snapToGrid/>
          <w:color w:val="auto"/>
          <w:sz w:val="28"/>
          <w:szCs w:val="28"/>
          <w:lang w:val="en-US"/>
        </w:rPr>
      </w:pPr>
      <w:r w:rsidRPr="001D1ABC">
        <w:rPr>
          <w:rFonts w:ascii="Cambria" w:hAnsi="Cambria"/>
          <w:snapToGrid/>
          <w:color w:val="auto"/>
          <w:sz w:val="28"/>
          <w:szCs w:val="28"/>
          <w:lang w:val="en-US"/>
        </w:rPr>
        <w:t>Flow cytometry</w:t>
      </w:r>
    </w:p>
    <w:p w14:paraId="008B4AC6" w14:textId="10261E61" w:rsidR="00E70FE9" w:rsidRDefault="00E70FE9" w:rsidP="00E70FE9">
      <w:pPr>
        <w:widowControl w:val="0"/>
        <w:spacing w:after="120" w:line="360" w:lineRule="auto"/>
        <w:rPr>
          <w:rFonts w:ascii="Cambria" w:hAnsi="Cambria"/>
          <w:spacing w:val="-3"/>
          <w:sz w:val="24"/>
          <w:szCs w:val="24"/>
          <w:lang w:val="en-US"/>
        </w:rPr>
      </w:pPr>
      <w:r w:rsidRPr="00E70FE9">
        <w:rPr>
          <w:rFonts w:ascii="Cambria" w:hAnsi="Cambria"/>
          <w:sz w:val="24"/>
          <w:szCs w:val="24"/>
          <w:lang w:val="en-US"/>
        </w:rPr>
        <w:t>Samples of fresh, uncoagulated whole blood</w:t>
      </w:r>
      <w:r w:rsidRPr="00E70FE9">
        <w:rPr>
          <w:rFonts w:ascii="Cambria" w:hAnsi="Cambria"/>
          <w:spacing w:val="-3"/>
          <w:sz w:val="24"/>
          <w:szCs w:val="24"/>
          <w:lang w:val="en-US"/>
        </w:rPr>
        <w:t xml:space="preserve"> (</w:t>
      </w:r>
      <w:r w:rsidRPr="00E70FE9">
        <w:rPr>
          <w:rFonts w:ascii="Cambria" w:hAnsi="Cambria"/>
          <w:sz w:val="24"/>
          <w:szCs w:val="24"/>
          <w:lang w:val="en-US"/>
        </w:rPr>
        <w:t xml:space="preserve">100 </w:t>
      </w:r>
      <w:r w:rsidRPr="001D1ABC">
        <w:rPr>
          <w:rFonts w:ascii="Cambria" w:hAnsi="Cambria"/>
          <w:sz w:val="24"/>
          <w:szCs w:val="24"/>
        </w:rPr>
        <w:t>μ</w:t>
      </w:r>
      <w:r w:rsidRPr="00E70FE9">
        <w:rPr>
          <w:rFonts w:ascii="Cambria" w:hAnsi="Cambria"/>
          <w:sz w:val="24"/>
          <w:szCs w:val="24"/>
          <w:lang w:val="en-US"/>
        </w:rPr>
        <w:t>L</w:t>
      </w:r>
      <w:r w:rsidRPr="00E70FE9">
        <w:rPr>
          <w:rFonts w:ascii="Cambria" w:hAnsi="Cambria"/>
          <w:spacing w:val="-3"/>
          <w:sz w:val="24"/>
          <w:szCs w:val="24"/>
          <w:lang w:val="en-US"/>
        </w:rPr>
        <w:t xml:space="preserve">) were incubated with the antibody mix for 20 minutes at room temperature in the dark. Next, </w:t>
      </w:r>
      <w:proofErr w:type="spellStart"/>
      <w:r w:rsidRPr="00E70FE9">
        <w:rPr>
          <w:rFonts w:ascii="Cambria" w:hAnsi="Cambria"/>
          <w:spacing w:val="-3"/>
          <w:sz w:val="24"/>
          <w:szCs w:val="24"/>
          <w:lang w:val="en-US"/>
        </w:rPr>
        <w:t>Immunoprep</w:t>
      </w:r>
      <w:proofErr w:type="spellEnd"/>
      <w:r w:rsidRPr="00E70FE9">
        <w:rPr>
          <w:rFonts w:ascii="Cambria" w:hAnsi="Cambria"/>
          <w:spacing w:val="-3"/>
          <w:sz w:val="24"/>
          <w:szCs w:val="24"/>
          <w:lang w:val="en-US"/>
        </w:rPr>
        <w:t xml:space="preserve"> Reagent System (Beckman Coulter, Galway, Ireland) </w:t>
      </w:r>
      <w:r w:rsidRPr="00E70FE9">
        <w:rPr>
          <w:rFonts w:ascii="Cambria" w:hAnsi="Cambria"/>
          <w:noProof/>
          <w:spacing w:val="-3"/>
          <w:sz w:val="24"/>
          <w:szCs w:val="24"/>
          <w:lang w:val="en-US"/>
        </w:rPr>
        <w:t>was added</w:t>
      </w:r>
      <w:r w:rsidRPr="00E70FE9">
        <w:rPr>
          <w:rFonts w:ascii="Cambria" w:hAnsi="Cambria"/>
          <w:spacing w:val="-3"/>
          <w:sz w:val="24"/>
          <w:szCs w:val="24"/>
          <w:lang w:val="en-US"/>
        </w:rPr>
        <w:t xml:space="preserve"> to fix and lyse each sample. The fluorescence </w:t>
      </w:r>
      <w:r w:rsidRPr="00E70FE9">
        <w:rPr>
          <w:rFonts w:ascii="Cambria" w:hAnsi="Cambria"/>
          <w:noProof/>
          <w:spacing w:val="-3"/>
          <w:sz w:val="24"/>
          <w:szCs w:val="24"/>
          <w:lang w:val="en-US"/>
        </w:rPr>
        <w:t>was evaluated</w:t>
      </w:r>
      <w:r w:rsidRPr="00E70FE9">
        <w:rPr>
          <w:rFonts w:ascii="Cambria" w:hAnsi="Cambria"/>
          <w:spacing w:val="-3"/>
          <w:sz w:val="24"/>
          <w:szCs w:val="24"/>
          <w:lang w:val="en-US"/>
        </w:rPr>
        <w:t xml:space="preserve"> using a </w:t>
      </w:r>
      <w:proofErr w:type="spellStart"/>
      <w:r w:rsidRPr="00E70FE9">
        <w:rPr>
          <w:rFonts w:ascii="Cambria" w:hAnsi="Cambria"/>
          <w:spacing w:val="-3"/>
          <w:sz w:val="24"/>
          <w:szCs w:val="24"/>
          <w:lang w:val="en-US"/>
        </w:rPr>
        <w:t>Gallios</w:t>
      </w:r>
      <w:proofErr w:type="spellEnd"/>
      <w:r w:rsidRPr="00E70FE9">
        <w:rPr>
          <w:rFonts w:ascii="Cambria" w:hAnsi="Cambria"/>
          <w:spacing w:val="-3"/>
          <w:sz w:val="24"/>
          <w:szCs w:val="24"/>
          <w:lang w:val="en-US"/>
        </w:rPr>
        <w:t xml:space="preserve">™ Flow Cytometer (Beckman Coulter, Miami, FL), establishing a cut-off of 200,000 cells in the lymphocyte gate for each sample. The </w:t>
      </w:r>
      <w:proofErr w:type="spellStart"/>
      <w:r w:rsidRPr="00E70FE9">
        <w:rPr>
          <w:rFonts w:ascii="Cambria" w:hAnsi="Cambria"/>
          <w:spacing w:val="-3"/>
          <w:sz w:val="24"/>
          <w:szCs w:val="24"/>
          <w:lang w:val="en-US"/>
        </w:rPr>
        <w:t>Kaluza</w:t>
      </w:r>
      <w:proofErr w:type="spellEnd"/>
      <w:r w:rsidRPr="00E70FE9">
        <w:rPr>
          <w:rFonts w:ascii="Cambria" w:hAnsi="Cambria"/>
          <w:spacing w:val="-3"/>
          <w:sz w:val="24"/>
          <w:szCs w:val="24"/>
          <w:lang w:val="en-US"/>
        </w:rPr>
        <w:t xml:space="preserve">™ acquisition software (version 1.5; Beckman Coulter, Miami, FL) </w:t>
      </w:r>
      <w:r w:rsidRPr="00E70FE9">
        <w:rPr>
          <w:rFonts w:ascii="Cambria" w:hAnsi="Cambria"/>
          <w:noProof/>
          <w:spacing w:val="-3"/>
          <w:sz w:val="24"/>
          <w:szCs w:val="24"/>
          <w:lang w:val="en-US"/>
        </w:rPr>
        <w:t>was used</w:t>
      </w:r>
      <w:r w:rsidRPr="00E70FE9">
        <w:rPr>
          <w:rFonts w:ascii="Cambria" w:hAnsi="Cambria"/>
          <w:spacing w:val="-3"/>
          <w:sz w:val="24"/>
          <w:szCs w:val="24"/>
          <w:lang w:val="en-US"/>
        </w:rPr>
        <w:t xml:space="preserve"> for the analysis of the flow cytometry data. </w:t>
      </w:r>
      <w:r w:rsidRPr="00E70FE9">
        <w:rPr>
          <w:rFonts w:ascii="Cambria" w:hAnsi="Cambria"/>
          <w:sz w:val="24"/>
          <w:szCs w:val="24"/>
          <w:lang w:val="en-US"/>
        </w:rPr>
        <w:t xml:space="preserve">The antibodies used were the following: </w:t>
      </w:r>
      <w:r w:rsidRPr="00E70FE9">
        <w:rPr>
          <w:rFonts w:ascii="Cambria" w:hAnsi="Cambria"/>
          <w:spacing w:val="-3"/>
          <w:sz w:val="24"/>
          <w:szCs w:val="24"/>
          <w:lang w:val="en-US"/>
        </w:rPr>
        <w:t>anti-CD38-APC-Cyanine 5.5 (APC-Cy5.5) and anti-CD3-PO (Pacific Orange) from Invitrogen (Frederick, MD, USA); anti-CD28-PE (Phycoerythrin), anti-CD57-FITC (Fluorescein), anti-CD127-PC7 (Phycoerythrin-</w:t>
      </w:r>
      <w:proofErr w:type="spellStart"/>
      <w:r w:rsidRPr="00E70FE9">
        <w:rPr>
          <w:rFonts w:ascii="Cambria" w:hAnsi="Cambria"/>
          <w:spacing w:val="-3"/>
          <w:sz w:val="24"/>
          <w:szCs w:val="24"/>
          <w:lang w:val="en-US"/>
        </w:rPr>
        <w:t>Cyanin</w:t>
      </w:r>
      <w:proofErr w:type="spellEnd"/>
      <w:r w:rsidRPr="00E70FE9">
        <w:rPr>
          <w:rFonts w:ascii="Cambria" w:hAnsi="Cambria"/>
          <w:spacing w:val="-3"/>
          <w:sz w:val="24"/>
          <w:szCs w:val="24"/>
          <w:lang w:val="en-US"/>
        </w:rPr>
        <w:t xml:space="preserve"> 7), anti-CD25-PC5 (Phycoerythrin-</w:t>
      </w:r>
      <w:proofErr w:type="spellStart"/>
      <w:r w:rsidRPr="00E70FE9">
        <w:rPr>
          <w:rFonts w:ascii="Cambria" w:hAnsi="Cambria"/>
          <w:spacing w:val="-3"/>
          <w:sz w:val="24"/>
          <w:szCs w:val="24"/>
          <w:lang w:val="en-US"/>
        </w:rPr>
        <w:t>Cyanin</w:t>
      </w:r>
      <w:proofErr w:type="spellEnd"/>
      <w:r w:rsidRPr="00E70FE9">
        <w:rPr>
          <w:rFonts w:ascii="Cambria" w:hAnsi="Cambria"/>
          <w:spacing w:val="-3"/>
          <w:sz w:val="24"/>
          <w:szCs w:val="24"/>
          <w:lang w:val="en-US"/>
        </w:rPr>
        <w:t xml:space="preserve"> 5.1), anti-CD45RA-ECD (Phycoerythrin-Texas Red X) from Beckman Coulter (Marseille, France); and anti-CD8-PB (Pacific Blue) and anti-CD4-APC-Cy7 (APC-Cyanine 7) from </w:t>
      </w:r>
      <w:proofErr w:type="spellStart"/>
      <w:r w:rsidRPr="00E70FE9">
        <w:rPr>
          <w:rFonts w:ascii="Cambria" w:hAnsi="Cambria"/>
          <w:spacing w:val="-3"/>
          <w:sz w:val="24"/>
          <w:szCs w:val="24"/>
          <w:lang w:val="en-US"/>
        </w:rPr>
        <w:t>BioLegend</w:t>
      </w:r>
      <w:proofErr w:type="spellEnd"/>
      <w:r w:rsidRPr="00E70FE9">
        <w:rPr>
          <w:rFonts w:ascii="Cambria" w:hAnsi="Cambria"/>
          <w:spacing w:val="-3"/>
          <w:sz w:val="24"/>
          <w:szCs w:val="24"/>
          <w:lang w:val="en-US"/>
        </w:rPr>
        <w:t xml:space="preserve"> (San Diego, CA, USA).</w:t>
      </w:r>
    </w:p>
    <w:p w14:paraId="0870F9E7" w14:textId="4B79EAE5" w:rsidR="0003248C" w:rsidRPr="00DC5042" w:rsidRDefault="0003248C" w:rsidP="00E81D2C">
      <w:pPr>
        <w:widowControl w:val="0"/>
        <w:spacing w:after="120" w:line="360" w:lineRule="auto"/>
        <w:rPr>
          <w:rFonts w:ascii="Cambria" w:hAnsi="Cambria" w:cs="Arial"/>
          <w:sz w:val="24"/>
          <w:szCs w:val="24"/>
          <w:highlight w:val="yellow"/>
          <w:lang w:val="en-US" w:eastAsia="es-ES"/>
        </w:rPr>
      </w:pPr>
      <w:r w:rsidRPr="00DC5042">
        <w:rPr>
          <w:rFonts w:ascii="Cambria" w:hAnsi="Cambria"/>
          <w:spacing w:val="-3"/>
          <w:sz w:val="24"/>
          <w:szCs w:val="24"/>
          <w:highlight w:val="yellow"/>
          <w:lang w:val="en-US"/>
        </w:rPr>
        <w:t xml:space="preserve">The representative flow cytometer plots and gating strategy are shown in </w:t>
      </w:r>
      <w:r w:rsidRPr="00DC5042">
        <w:rPr>
          <w:rFonts w:ascii="Cambria" w:hAnsi="Cambria"/>
          <w:b/>
          <w:bCs/>
          <w:spacing w:val="-3"/>
          <w:sz w:val="24"/>
          <w:szCs w:val="24"/>
          <w:highlight w:val="yellow"/>
          <w:lang w:val="en-US"/>
        </w:rPr>
        <w:t>Supplementary</w:t>
      </w:r>
      <w:r w:rsidRPr="00DC5042">
        <w:rPr>
          <w:rFonts w:ascii="Cambria" w:hAnsi="Cambria"/>
          <w:spacing w:val="-3"/>
          <w:sz w:val="24"/>
          <w:szCs w:val="24"/>
          <w:highlight w:val="yellow"/>
          <w:lang w:val="en-US"/>
        </w:rPr>
        <w:t xml:space="preserve"> </w:t>
      </w:r>
      <w:r w:rsidRPr="00DC5042">
        <w:rPr>
          <w:rFonts w:ascii="Cambria" w:hAnsi="Cambria"/>
          <w:b/>
          <w:bCs/>
          <w:spacing w:val="-3"/>
          <w:sz w:val="24"/>
          <w:szCs w:val="24"/>
          <w:highlight w:val="yellow"/>
          <w:lang w:val="en-US"/>
        </w:rPr>
        <w:t>Figure 1</w:t>
      </w:r>
      <w:r w:rsidRPr="00DC5042">
        <w:rPr>
          <w:rFonts w:ascii="Cambria" w:hAnsi="Cambria"/>
          <w:spacing w:val="-3"/>
          <w:sz w:val="24"/>
          <w:szCs w:val="24"/>
          <w:highlight w:val="yellow"/>
          <w:lang w:val="en-US"/>
        </w:rPr>
        <w:t xml:space="preserve">. </w:t>
      </w:r>
      <w:r w:rsidR="00DD1FD3">
        <w:rPr>
          <w:rFonts w:ascii="Cambria" w:hAnsi="Cambria"/>
          <w:spacing w:val="-3"/>
          <w:sz w:val="24"/>
          <w:szCs w:val="24"/>
          <w:highlight w:val="yellow"/>
          <w:lang w:val="en-US"/>
        </w:rPr>
        <w:t>Here, we show</w:t>
      </w:r>
      <w:r w:rsidRPr="00DC5042">
        <w:rPr>
          <w:rFonts w:ascii="Cambria" w:hAnsi="Cambria"/>
          <w:spacing w:val="-3"/>
          <w:sz w:val="24"/>
          <w:szCs w:val="24"/>
          <w:highlight w:val="yellow"/>
          <w:lang w:val="en-US"/>
        </w:rPr>
        <w:t xml:space="preserve"> the gating strategy to </w:t>
      </w:r>
      <w:r w:rsidRPr="00DC5042">
        <w:rPr>
          <w:rFonts w:ascii="Cambria" w:hAnsi="Cambria" w:cs="Arial"/>
          <w:sz w:val="24"/>
          <w:szCs w:val="24"/>
          <w:highlight w:val="yellow"/>
          <w:lang w:val="en-US" w:eastAsia="es-ES"/>
        </w:rPr>
        <w:t xml:space="preserve">visualize Treg cells. First of all, </w:t>
      </w:r>
      <w:r w:rsidR="00EE2644" w:rsidRPr="00DC5042">
        <w:rPr>
          <w:rFonts w:ascii="Cambria" w:hAnsi="Cambria" w:cs="Arial"/>
          <w:sz w:val="24"/>
          <w:szCs w:val="24"/>
          <w:highlight w:val="yellow"/>
          <w:lang w:val="en-US" w:eastAsia="es-ES"/>
        </w:rPr>
        <w:t>lymphocytes were gate</w:t>
      </w:r>
      <w:r w:rsidR="00DD1FD3">
        <w:rPr>
          <w:rFonts w:ascii="Cambria" w:hAnsi="Cambria" w:cs="Arial"/>
          <w:sz w:val="24"/>
          <w:szCs w:val="24"/>
          <w:highlight w:val="yellow"/>
          <w:lang w:val="en-US" w:eastAsia="es-ES"/>
        </w:rPr>
        <w:t>d</w:t>
      </w:r>
      <w:r w:rsidR="00EE2644" w:rsidRPr="00DC5042">
        <w:rPr>
          <w:rFonts w:ascii="Cambria" w:hAnsi="Cambria" w:cs="Arial"/>
          <w:sz w:val="24"/>
          <w:szCs w:val="24"/>
          <w:highlight w:val="yellow"/>
          <w:lang w:val="en-US" w:eastAsia="es-ES"/>
        </w:rPr>
        <w:t xml:space="preserve"> on a forward scatter/side scatter (FSC-A/SSC-A) dot-plot</w:t>
      </w:r>
      <w:r w:rsidRPr="00DC5042">
        <w:rPr>
          <w:rFonts w:ascii="Cambria" w:hAnsi="Cambria" w:cs="Arial"/>
          <w:sz w:val="24"/>
          <w:szCs w:val="24"/>
          <w:highlight w:val="yellow"/>
          <w:lang w:val="en-US" w:eastAsia="es-ES"/>
        </w:rPr>
        <w:t>. Next, lymphocytes were displayed using a CD3/CD4 dot-plot and CD4</w:t>
      </w:r>
      <w:r w:rsidRPr="00DC5042">
        <w:rPr>
          <w:rFonts w:ascii="Cambria" w:hAnsi="Cambria" w:cs="Arial"/>
          <w:sz w:val="24"/>
          <w:szCs w:val="24"/>
          <w:highlight w:val="yellow"/>
          <w:vertAlign w:val="superscript"/>
          <w:lang w:val="en-US" w:eastAsia="es-ES"/>
        </w:rPr>
        <w:t>+</w:t>
      </w:r>
      <w:r w:rsidRPr="00DC5042">
        <w:rPr>
          <w:rFonts w:ascii="Cambria" w:hAnsi="Cambria" w:cs="Arial"/>
          <w:sz w:val="24"/>
          <w:szCs w:val="24"/>
          <w:highlight w:val="yellow"/>
          <w:lang w:val="en-US" w:eastAsia="es-ES"/>
        </w:rPr>
        <w:t xml:space="preserve"> T-cells were selected on a gate of CD4+. </w:t>
      </w:r>
      <w:r w:rsidR="00222DBE" w:rsidRPr="00DC5042">
        <w:rPr>
          <w:rFonts w:ascii="Cambria" w:hAnsi="Cambria" w:cs="Arial"/>
          <w:sz w:val="24"/>
          <w:szCs w:val="24"/>
          <w:highlight w:val="yellow"/>
          <w:lang w:val="en-US" w:eastAsia="es-ES"/>
        </w:rPr>
        <w:t>These CD4</w:t>
      </w:r>
      <w:r w:rsidR="00222DBE" w:rsidRPr="00DC5042">
        <w:rPr>
          <w:rFonts w:ascii="Cambria" w:hAnsi="Cambria" w:cs="Arial"/>
          <w:sz w:val="24"/>
          <w:szCs w:val="24"/>
          <w:highlight w:val="yellow"/>
          <w:vertAlign w:val="superscript"/>
          <w:lang w:val="en-US" w:eastAsia="es-ES"/>
        </w:rPr>
        <w:t>+</w:t>
      </w:r>
      <w:r w:rsidR="00222DBE" w:rsidRPr="00DC5042">
        <w:rPr>
          <w:rFonts w:ascii="Cambria" w:hAnsi="Cambria" w:cs="Arial"/>
          <w:sz w:val="24"/>
          <w:szCs w:val="24"/>
          <w:highlight w:val="yellow"/>
          <w:lang w:val="en-US" w:eastAsia="es-ES"/>
        </w:rPr>
        <w:t xml:space="preserve"> T-cells are displayed on a CD127/CD25 dot-plot to visualize Treg cells (CD4</w:t>
      </w:r>
      <w:r w:rsidR="00222DBE" w:rsidRPr="00DC5042">
        <w:rPr>
          <w:rFonts w:ascii="Cambria" w:hAnsi="Cambria" w:cs="Arial"/>
          <w:sz w:val="24"/>
          <w:szCs w:val="24"/>
          <w:highlight w:val="yellow"/>
          <w:vertAlign w:val="superscript"/>
          <w:lang w:val="en-US" w:eastAsia="es-ES"/>
        </w:rPr>
        <w:t>+</w:t>
      </w:r>
      <w:r w:rsidR="00222DBE" w:rsidRPr="00DC5042">
        <w:rPr>
          <w:rFonts w:ascii="Cambria" w:hAnsi="Cambria" w:cs="Arial"/>
          <w:sz w:val="24"/>
          <w:szCs w:val="24"/>
          <w:highlight w:val="yellow"/>
          <w:lang w:val="en-US" w:eastAsia="es-ES"/>
        </w:rPr>
        <w:t>CD127</w:t>
      </w:r>
      <w:r w:rsidR="00222DBE" w:rsidRPr="00DC5042">
        <w:rPr>
          <w:rFonts w:ascii="Cambria" w:hAnsi="Cambria" w:cs="Arial"/>
          <w:sz w:val="24"/>
          <w:szCs w:val="24"/>
          <w:highlight w:val="yellow"/>
          <w:vertAlign w:val="superscript"/>
          <w:lang w:val="en-US" w:eastAsia="es-ES"/>
        </w:rPr>
        <w:t>low/-</w:t>
      </w:r>
      <w:r w:rsidR="00222DBE" w:rsidRPr="00DC5042">
        <w:rPr>
          <w:rFonts w:ascii="Cambria" w:hAnsi="Cambria" w:cs="Arial"/>
          <w:sz w:val="24"/>
          <w:szCs w:val="24"/>
          <w:highlight w:val="yellow"/>
          <w:lang w:val="en-US" w:eastAsia="es-ES"/>
        </w:rPr>
        <w:t>CD25</w:t>
      </w:r>
      <w:r w:rsidR="00222DBE" w:rsidRPr="00DC5042">
        <w:rPr>
          <w:rFonts w:ascii="Cambria" w:hAnsi="Cambria" w:cs="Arial"/>
          <w:sz w:val="24"/>
          <w:szCs w:val="24"/>
          <w:highlight w:val="yellow"/>
          <w:vertAlign w:val="superscript"/>
          <w:lang w:val="en-US" w:eastAsia="es-ES"/>
        </w:rPr>
        <w:t>+</w:t>
      </w:r>
      <w:r w:rsidR="00222DBE" w:rsidRPr="00DC5042">
        <w:rPr>
          <w:rFonts w:ascii="Cambria" w:hAnsi="Cambria" w:cs="Arial"/>
          <w:sz w:val="24"/>
          <w:szCs w:val="24"/>
          <w:highlight w:val="yellow"/>
          <w:lang w:val="en-US" w:eastAsia="es-ES"/>
        </w:rPr>
        <w:t xml:space="preserve">) in a gate. At the same time, </w:t>
      </w:r>
      <w:r w:rsidRPr="00DC5042">
        <w:rPr>
          <w:rFonts w:ascii="Cambria" w:hAnsi="Cambria" w:cs="Arial"/>
          <w:sz w:val="24"/>
          <w:szCs w:val="24"/>
          <w:highlight w:val="yellow"/>
          <w:lang w:val="en-US" w:eastAsia="es-ES"/>
        </w:rPr>
        <w:t>CD4</w:t>
      </w:r>
      <w:r w:rsidRPr="00DC5042">
        <w:rPr>
          <w:rFonts w:ascii="Cambria" w:hAnsi="Cambria" w:cs="Arial"/>
          <w:sz w:val="24"/>
          <w:szCs w:val="24"/>
          <w:highlight w:val="yellow"/>
          <w:vertAlign w:val="superscript"/>
          <w:lang w:val="en-US" w:eastAsia="es-ES"/>
        </w:rPr>
        <w:t>+</w:t>
      </w:r>
      <w:r w:rsidRPr="00DC5042">
        <w:rPr>
          <w:rFonts w:ascii="Cambria" w:hAnsi="Cambria" w:cs="Arial"/>
          <w:sz w:val="24"/>
          <w:szCs w:val="24"/>
          <w:highlight w:val="yellow"/>
          <w:lang w:val="en-US" w:eastAsia="es-ES"/>
        </w:rPr>
        <w:t xml:space="preserve"> T-cells were </w:t>
      </w:r>
      <w:r w:rsidR="00E81D2C" w:rsidRPr="00DC5042">
        <w:rPr>
          <w:rFonts w:ascii="Cambria" w:hAnsi="Cambria" w:cs="Arial"/>
          <w:sz w:val="24"/>
          <w:szCs w:val="24"/>
          <w:highlight w:val="yellow"/>
          <w:lang w:val="en-US" w:eastAsia="es-ES"/>
        </w:rPr>
        <w:t xml:space="preserve">displayed </w:t>
      </w:r>
      <w:r w:rsidRPr="00DC5042">
        <w:rPr>
          <w:rFonts w:ascii="Cambria" w:hAnsi="Cambria" w:cs="Arial"/>
          <w:sz w:val="24"/>
          <w:szCs w:val="24"/>
          <w:highlight w:val="yellow"/>
          <w:lang w:val="en-US" w:eastAsia="es-ES"/>
        </w:rPr>
        <w:t>in</w:t>
      </w:r>
      <w:r w:rsidR="00E81D2C" w:rsidRPr="00DC5042">
        <w:rPr>
          <w:rFonts w:ascii="Cambria" w:hAnsi="Cambria" w:cs="Arial"/>
          <w:sz w:val="24"/>
          <w:szCs w:val="24"/>
          <w:highlight w:val="yellow"/>
          <w:lang w:val="en-US" w:eastAsia="es-ES"/>
        </w:rPr>
        <w:t xml:space="preserve"> </w:t>
      </w:r>
      <w:r w:rsidR="00222DBE" w:rsidRPr="00DC5042">
        <w:rPr>
          <w:rFonts w:ascii="Cambria" w:hAnsi="Cambria" w:cs="Arial"/>
          <w:sz w:val="24"/>
          <w:szCs w:val="24"/>
          <w:highlight w:val="yellow"/>
          <w:lang w:val="en-US" w:eastAsia="es-ES"/>
        </w:rPr>
        <w:t xml:space="preserve">a </w:t>
      </w:r>
      <w:r w:rsidRPr="00DC5042">
        <w:rPr>
          <w:rFonts w:ascii="Cambria" w:hAnsi="Cambria" w:cs="Arial"/>
          <w:sz w:val="24"/>
          <w:szCs w:val="24"/>
          <w:highlight w:val="yellow"/>
          <w:lang w:val="en-US" w:eastAsia="es-ES"/>
        </w:rPr>
        <w:t>CD45RA histogram, gat</w:t>
      </w:r>
      <w:r w:rsidR="00222DBE" w:rsidRPr="00DC5042">
        <w:rPr>
          <w:rFonts w:ascii="Cambria" w:hAnsi="Cambria" w:cs="Arial"/>
          <w:sz w:val="24"/>
          <w:szCs w:val="24"/>
          <w:highlight w:val="yellow"/>
          <w:lang w:val="en-US" w:eastAsia="es-ES"/>
        </w:rPr>
        <w:t>ing</w:t>
      </w:r>
      <w:r w:rsidRPr="00DC5042">
        <w:rPr>
          <w:rFonts w:ascii="Cambria" w:hAnsi="Cambria" w:cs="Arial"/>
          <w:sz w:val="24"/>
          <w:szCs w:val="24"/>
          <w:highlight w:val="yellow"/>
          <w:lang w:val="en-US" w:eastAsia="es-ES"/>
        </w:rPr>
        <w:t xml:space="preserve"> CD4+CD45RA- and CD4+CD45RA+</w:t>
      </w:r>
      <w:r w:rsidR="00222DBE" w:rsidRPr="00DC5042">
        <w:rPr>
          <w:rFonts w:ascii="Cambria" w:hAnsi="Cambria" w:cs="Arial"/>
          <w:sz w:val="24"/>
          <w:szCs w:val="24"/>
          <w:highlight w:val="yellow"/>
          <w:lang w:val="en-US" w:eastAsia="es-ES"/>
        </w:rPr>
        <w:t xml:space="preserve"> on a CD127/CD25 dot-plot to visualize </w:t>
      </w:r>
      <w:proofErr w:type="spellStart"/>
      <w:r w:rsidR="00222DBE" w:rsidRPr="00DC5042">
        <w:rPr>
          <w:rFonts w:ascii="Cambria" w:hAnsi="Cambria" w:cs="Arial"/>
          <w:sz w:val="24"/>
          <w:szCs w:val="24"/>
          <w:highlight w:val="yellow"/>
          <w:lang w:val="en-US" w:eastAsia="es-ES"/>
        </w:rPr>
        <w:t>mTreg</w:t>
      </w:r>
      <w:proofErr w:type="spellEnd"/>
      <w:r w:rsidR="00222DBE" w:rsidRPr="00DC5042">
        <w:rPr>
          <w:rFonts w:ascii="Cambria" w:hAnsi="Cambria" w:cs="Arial"/>
          <w:sz w:val="24"/>
          <w:szCs w:val="24"/>
          <w:highlight w:val="yellow"/>
          <w:lang w:val="en-US" w:eastAsia="es-ES"/>
        </w:rPr>
        <w:t xml:space="preserve"> and </w:t>
      </w:r>
      <w:proofErr w:type="spellStart"/>
      <w:r w:rsidR="00222DBE" w:rsidRPr="00DC5042">
        <w:rPr>
          <w:rFonts w:ascii="Cambria" w:hAnsi="Cambria" w:cs="Arial"/>
          <w:sz w:val="24"/>
          <w:szCs w:val="24"/>
          <w:highlight w:val="yellow"/>
          <w:lang w:val="en-US" w:eastAsia="es-ES"/>
        </w:rPr>
        <w:t>rTreg</w:t>
      </w:r>
      <w:proofErr w:type="spellEnd"/>
      <w:r w:rsidR="00222DBE" w:rsidRPr="00DC5042">
        <w:rPr>
          <w:rFonts w:ascii="Cambria" w:hAnsi="Cambria" w:cs="Arial"/>
          <w:sz w:val="24"/>
          <w:szCs w:val="24"/>
          <w:highlight w:val="yellow"/>
          <w:lang w:val="en-US" w:eastAsia="es-ES"/>
        </w:rPr>
        <w:t xml:space="preserve"> cells.</w:t>
      </w:r>
    </w:p>
    <w:p w14:paraId="667791C4" w14:textId="77777777" w:rsidR="00F76FD0" w:rsidRPr="00F76FD0" w:rsidRDefault="00F76FD0" w:rsidP="00F76FD0">
      <w:pPr>
        <w:widowControl w:val="0"/>
        <w:spacing w:after="120" w:line="360" w:lineRule="auto"/>
        <w:rPr>
          <w:rFonts w:ascii="Cambria" w:hAnsi="Cambria" w:cs="Arial"/>
          <w:sz w:val="24"/>
          <w:szCs w:val="24"/>
          <w:highlight w:val="yellow"/>
          <w:lang w:val="en-US" w:eastAsia="es-ES"/>
        </w:rPr>
      </w:pPr>
      <w:r w:rsidRPr="00F76FD0">
        <w:rPr>
          <w:rFonts w:ascii="Cambria" w:hAnsi="Cambria" w:cs="Arial"/>
          <w:b/>
          <w:bCs/>
          <w:sz w:val="24"/>
          <w:szCs w:val="24"/>
          <w:highlight w:val="yellow"/>
          <w:lang w:val="en-US" w:eastAsia="es-ES"/>
        </w:rPr>
        <w:t>Supplementary Figure 1</w:t>
      </w:r>
      <w:r w:rsidRPr="00F76FD0">
        <w:rPr>
          <w:rFonts w:ascii="Cambria" w:hAnsi="Cambria" w:cs="Arial"/>
          <w:sz w:val="24"/>
          <w:szCs w:val="24"/>
          <w:highlight w:val="yellow"/>
          <w:lang w:val="en-US" w:eastAsia="es-ES"/>
        </w:rPr>
        <w:t>. Flow cytometry gating strategy for regulatory CD4+ T-cells subsets in a representative sample.</w:t>
      </w:r>
    </w:p>
    <w:p w14:paraId="2D181635" w14:textId="450F3F9E" w:rsidR="00E81D2C" w:rsidRDefault="00EE2644" w:rsidP="00E70FE9">
      <w:pPr>
        <w:widowControl w:val="0"/>
        <w:spacing w:after="120" w:line="360" w:lineRule="auto"/>
        <w:rPr>
          <w:rFonts w:ascii="Cambria" w:hAnsi="Cambria"/>
          <w:spacing w:val="-3"/>
          <w:sz w:val="24"/>
          <w:szCs w:val="24"/>
          <w:lang w:val="en-US"/>
        </w:rPr>
      </w:pPr>
      <w:r w:rsidRPr="00464BD1">
        <w:rPr>
          <w:noProof/>
          <w:szCs w:val="20"/>
          <w:shd w:val="clear" w:color="auto" w:fill="FFFFFF"/>
          <w:lang w:val="es-ES_tradnl" w:eastAsia="es-ES_tradnl"/>
        </w:rPr>
        <w:lastRenderedPageBreak/>
        <w:drawing>
          <wp:inline distT="0" distB="0" distL="0" distR="0" wp14:anchorId="7508678A" wp14:editId="5E78FC7C">
            <wp:extent cx="5615940" cy="5258382"/>
            <wp:effectExtent l="0" t="0" r="3810" b="0"/>
            <wp:docPr id="5" name="Imagen 5" descr="d:\users\sresino\Dropbox\SRG\Datos\01. En REVISIÓN\2018. GESIDA - Treg &amp; cytokine (Cells)\Artículo\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resino\Dropbox\SRG\Datos\01. En REVISIÓN\2018. GESIDA - Treg &amp; cytokine (Cells)\Artículo\Figure 1.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5940" cy="5258382"/>
                    </a:xfrm>
                    <a:prstGeom prst="rect">
                      <a:avLst/>
                    </a:prstGeom>
                    <a:noFill/>
                    <a:ln>
                      <a:noFill/>
                    </a:ln>
                  </pic:spPr>
                </pic:pic>
              </a:graphicData>
            </a:graphic>
          </wp:inline>
        </w:drawing>
      </w:r>
    </w:p>
    <w:p w14:paraId="7AC04C44" w14:textId="77777777" w:rsidR="00E70FE9" w:rsidRPr="001D1ABC" w:rsidRDefault="00E70FE9" w:rsidP="00E70FE9">
      <w:pPr>
        <w:pStyle w:val="Ttulo2"/>
        <w:keepLines/>
        <w:tabs>
          <w:tab w:val="clear" w:pos="709"/>
        </w:tabs>
        <w:spacing w:beforeLines="20" w:after="0" w:line="360" w:lineRule="auto"/>
        <w:rPr>
          <w:rFonts w:ascii="Cambria" w:hAnsi="Cambria"/>
          <w:snapToGrid/>
          <w:color w:val="auto"/>
          <w:sz w:val="28"/>
          <w:szCs w:val="28"/>
          <w:lang w:val="en-US"/>
        </w:rPr>
      </w:pPr>
      <w:r w:rsidRPr="001D1ABC">
        <w:rPr>
          <w:rFonts w:ascii="Cambria" w:hAnsi="Cambria"/>
          <w:snapToGrid/>
          <w:color w:val="auto"/>
          <w:sz w:val="28"/>
          <w:szCs w:val="28"/>
          <w:lang w:val="en-US"/>
        </w:rPr>
        <w:t>Multiplex assay and ELISA</w:t>
      </w:r>
    </w:p>
    <w:p w14:paraId="3E3AD1B4" w14:textId="77777777" w:rsidR="00E70FE9" w:rsidRPr="00E70FE9" w:rsidRDefault="00E70FE9" w:rsidP="00E70FE9">
      <w:pPr>
        <w:spacing w:beforeLines="40" w:before="96" w:line="360" w:lineRule="auto"/>
        <w:rPr>
          <w:rFonts w:ascii="Cambria" w:hAnsi="Cambria"/>
          <w:color w:val="333333"/>
          <w:sz w:val="24"/>
          <w:szCs w:val="24"/>
          <w:shd w:val="clear" w:color="auto" w:fill="FFFFFF"/>
          <w:lang w:val="en-US"/>
        </w:rPr>
      </w:pPr>
      <w:r w:rsidRPr="00E70FE9">
        <w:rPr>
          <w:rFonts w:ascii="Cambria" w:hAnsi="Cambria"/>
          <w:sz w:val="24"/>
          <w:szCs w:val="24"/>
          <w:lang w:val="en-US"/>
        </w:rPr>
        <w:t xml:space="preserve">The measure of the plasma biomarkers </w:t>
      </w:r>
      <w:r w:rsidRPr="00E70FE9">
        <w:rPr>
          <w:rFonts w:ascii="Cambria" w:hAnsi="Cambria"/>
          <w:noProof/>
          <w:sz w:val="24"/>
          <w:szCs w:val="24"/>
          <w:lang w:val="en-US"/>
        </w:rPr>
        <w:t>was performed</w:t>
      </w:r>
      <w:r w:rsidRPr="00E70FE9">
        <w:rPr>
          <w:rFonts w:ascii="Cambria" w:hAnsi="Cambria"/>
          <w:sz w:val="24"/>
          <w:szCs w:val="24"/>
          <w:lang w:val="en-US"/>
        </w:rPr>
        <w:t xml:space="preserve"> using a Luminex 200™ analyzer (Luminex Corporation, Austin, TX, United States) with the </w:t>
      </w:r>
      <w:proofErr w:type="spellStart"/>
      <w:r w:rsidRPr="00E70FE9">
        <w:rPr>
          <w:rFonts w:ascii="Cambria" w:hAnsi="Cambria"/>
          <w:sz w:val="24"/>
          <w:szCs w:val="24"/>
          <w:lang w:val="en-US"/>
        </w:rPr>
        <w:t>ProcartaPlexTM</w:t>
      </w:r>
      <w:proofErr w:type="spellEnd"/>
      <w:r w:rsidRPr="00E70FE9">
        <w:rPr>
          <w:rFonts w:ascii="Cambria" w:hAnsi="Cambria"/>
          <w:sz w:val="24"/>
          <w:szCs w:val="24"/>
          <w:lang w:val="en-US"/>
        </w:rPr>
        <w:t xml:space="preserve"> multiplex immunoassay (Bender </w:t>
      </w:r>
      <w:proofErr w:type="spellStart"/>
      <w:r w:rsidRPr="00E70FE9">
        <w:rPr>
          <w:rFonts w:ascii="Cambria" w:hAnsi="Cambria"/>
          <w:sz w:val="24"/>
          <w:szCs w:val="24"/>
          <w:lang w:val="en-US"/>
        </w:rPr>
        <w:t>MedSystems</w:t>
      </w:r>
      <w:proofErr w:type="spellEnd"/>
      <w:r w:rsidRPr="00E70FE9">
        <w:rPr>
          <w:rFonts w:ascii="Cambria" w:hAnsi="Cambria"/>
          <w:sz w:val="24"/>
          <w:szCs w:val="24"/>
          <w:lang w:val="en-US"/>
        </w:rPr>
        <w:t xml:space="preserve"> GmbH, Vienna, Austria) and following the manufacturer’s specifications. The 28 plasma biomarkers measured by ELISA multiplex were: </w:t>
      </w:r>
      <w:r w:rsidRPr="00E70FE9">
        <w:rPr>
          <w:rFonts w:ascii="Cambria" w:hAnsi="Cambria"/>
          <w:color w:val="000000"/>
          <w:sz w:val="24"/>
          <w:szCs w:val="24"/>
          <w:shd w:val="clear" w:color="auto" w:fill="FFFFFF"/>
          <w:lang w:val="en-US"/>
        </w:rPr>
        <w:t xml:space="preserve">IL-10, </w:t>
      </w:r>
      <w:r w:rsidRPr="00E70FE9">
        <w:rPr>
          <w:rFonts w:ascii="Cambria" w:hAnsi="Cambria"/>
          <w:color w:val="333333"/>
          <w:sz w:val="24"/>
          <w:szCs w:val="24"/>
          <w:shd w:val="clear" w:color="auto" w:fill="FFFFFF"/>
          <w:lang w:val="en-US"/>
        </w:rPr>
        <w:t>IL-1 receptor antagonist</w:t>
      </w:r>
      <w:r w:rsidRPr="00E70FE9">
        <w:rPr>
          <w:rFonts w:ascii="Cambria" w:hAnsi="Cambria"/>
          <w:color w:val="000000"/>
          <w:sz w:val="24"/>
          <w:szCs w:val="24"/>
          <w:shd w:val="clear" w:color="auto" w:fill="FFFFFF"/>
          <w:lang w:val="en-US"/>
        </w:rPr>
        <w:t xml:space="preserve"> (IL-1RA), IL-4, </w:t>
      </w:r>
      <w:r w:rsidRPr="00E70FE9">
        <w:rPr>
          <w:rFonts w:ascii="Cambria" w:hAnsi="Cambria"/>
          <w:color w:val="333333"/>
          <w:sz w:val="24"/>
          <w:szCs w:val="24"/>
          <w:shd w:val="clear" w:color="auto" w:fill="FFFFFF"/>
          <w:lang w:val="en-US"/>
        </w:rPr>
        <w:t>IFN-</w:t>
      </w:r>
      <w:r w:rsidRPr="001D1ABC">
        <w:rPr>
          <w:rFonts w:ascii="Cambria" w:hAnsi="Cambria"/>
          <w:color w:val="333333"/>
          <w:sz w:val="24"/>
          <w:szCs w:val="24"/>
          <w:shd w:val="clear" w:color="auto" w:fill="FFFFFF"/>
        </w:rPr>
        <w:t>γ</w:t>
      </w:r>
      <w:r w:rsidRPr="00E70FE9">
        <w:rPr>
          <w:rFonts w:ascii="Cambria" w:hAnsi="Cambria"/>
          <w:color w:val="333333"/>
          <w:sz w:val="24"/>
          <w:szCs w:val="24"/>
          <w:shd w:val="clear" w:color="auto" w:fill="FFFFFF"/>
          <w:lang w:val="en-US"/>
        </w:rPr>
        <w:t>-inducible protein 10 (IP-10), IL-8 (chemokine (C-X-C motif) ligand 8, CXCL8), monocyte chemoattractant protein-1 (MCP-1)], IL-1</w:t>
      </w:r>
      <w:r w:rsidRPr="001D1ABC">
        <w:rPr>
          <w:rFonts w:ascii="Cambria" w:hAnsi="Cambria"/>
          <w:color w:val="333333"/>
          <w:sz w:val="24"/>
          <w:szCs w:val="24"/>
          <w:shd w:val="clear" w:color="auto" w:fill="FFFFFF"/>
        </w:rPr>
        <w:t>β</w:t>
      </w:r>
      <w:r w:rsidRPr="00E70FE9">
        <w:rPr>
          <w:rFonts w:ascii="Cambria" w:hAnsi="Cambria"/>
          <w:color w:val="333333"/>
          <w:sz w:val="24"/>
          <w:szCs w:val="24"/>
          <w:shd w:val="clear" w:color="auto" w:fill="FFFFFF"/>
          <w:lang w:val="en-US"/>
        </w:rPr>
        <w:t>, IL-18, IL-6, tumor necrosis factor-alpha (TNF-</w:t>
      </w:r>
      <w:r w:rsidRPr="001D1ABC">
        <w:rPr>
          <w:rFonts w:ascii="Cambria" w:hAnsi="Cambria"/>
          <w:color w:val="333333"/>
          <w:sz w:val="24"/>
          <w:szCs w:val="24"/>
          <w:shd w:val="clear" w:color="auto" w:fill="FFFFFF"/>
        </w:rPr>
        <w:t>α</w:t>
      </w:r>
      <w:r w:rsidRPr="00E70FE9">
        <w:rPr>
          <w:rFonts w:ascii="Cambria" w:hAnsi="Cambria"/>
          <w:color w:val="333333"/>
          <w:sz w:val="24"/>
          <w:szCs w:val="24"/>
          <w:shd w:val="clear" w:color="auto" w:fill="FFFFFF"/>
          <w:lang w:val="en-US"/>
        </w:rPr>
        <w:t>), interferon (IFN)-</w:t>
      </w:r>
      <w:r w:rsidRPr="001D1ABC">
        <w:rPr>
          <w:rFonts w:ascii="Cambria" w:hAnsi="Cambria"/>
          <w:color w:val="333333"/>
          <w:sz w:val="24"/>
          <w:szCs w:val="24"/>
          <w:shd w:val="clear" w:color="auto" w:fill="FFFFFF"/>
        </w:rPr>
        <w:t>γ</w:t>
      </w:r>
      <w:r w:rsidRPr="00E70FE9">
        <w:rPr>
          <w:rFonts w:ascii="Cambria" w:hAnsi="Cambria"/>
          <w:color w:val="333333"/>
          <w:sz w:val="24"/>
          <w:szCs w:val="24"/>
          <w:shd w:val="clear" w:color="auto" w:fill="FFFFFF"/>
          <w:lang w:val="en-US"/>
        </w:rPr>
        <w:t>, IL-12p70, IL-2, IL-17A, soluble intercellular cell adhesion molecule 1 (sICAM-1), soluble tumor necrosis factor receptor 1 (</w:t>
      </w:r>
      <w:r w:rsidRPr="00E70FE9">
        <w:rPr>
          <w:rFonts w:ascii="Cambria" w:hAnsi="Cambria"/>
          <w:noProof/>
          <w:color w:val="333333"/>
          <w:sz w:val="24"/>
          <w:szCs w:val="24"/>
          <w:shd w:val="clear" w:color="auto" w:fill="FFFFFF"/>
          <w:lang w:val="en-US"/>
        </w:rPr>
        <w:t>sTNFR</w:t>
      </w:r>
      <w:r w:rsidRPr="00E70FE9">
        <w:rPr>
          <w:rFonts w:ascii="Cambria" w:hAnsi="Cambria"/>
          <w:color w:val="333333"/>
          <w:sz w:val="24"/>
          <w:szCs w:val="24"/>
          <w:shd w:val="clear" w:color="auto" w:fill="FFFFFF"/>
          <w:lang w:val="en-US"/>
        </w:rPr>
        <w:t>-1)</w:t>
      </w:r>
      <w:r w:rsidRPr="00E70FE9">
        <w:rPr>
          <w:rFonts w:ascii="Cambria" w:hAnsi="Cambria"/>
          <w:color w:val="000000"/>
          <w:sz w:val="24"/>
          <w:szCs w:val="24"/>
          <w:shd w:val="clear" w:color="auto" w:fill="FFFFFF"/>
          <w:lang w:val="en-US"/>
        </w:rPr>
        <w:t xml:space="preserve">, plasminogen activator inhibitor-1 (PAI-1), D-Dimer, </w:t>
      </w:r>
      <w:r w:rsidRPr="00E70FE9">
        <w:rPr>
          <w:rFonts w:ascii="Cambria" w:hAnsi="Cambria"/>
          <w:color w:val="333333"/>
          <w:sz w:val="24"/>
          <w:szCs w:val="24"/>
          <w:shd w:val="clear" w:color="auto" w:fill="FFFFFF"/>
          <w:lang w:val="en-US"/>
        </w:rPr>
        <w:t>soluble receptor activator of nuclear factor-</w:t>
      </w:r>
      <w:proofErr w:type="spellStart"/>
      <w:r w:rsidRPr="00E70FE9">
        <w:rPr>
          <w:rFonts w:ascii="Cambria" w:hAnsi="Cambria"/>
          <w:color w:val="333333"/>
          <w:sz w:val="24"/>
          <w:szCs w:val="24"/>
          <w:shd w:val="clear" w:color="auto" w:fill="FFFFFF"/>
          <w:lang w:val="en-US"/>
        </w:rPr>
        <w:t>kappaB</w:t>
      </w:r>
      <w:proofErr w:type="spellEnd"/>
      <w:r w:rsidRPr="00E70FE9">
        <w:rPr>
          <w:rFonts w:ascii="Cambria" w:hAnsi="Cambria"/>
          <w:color w:val="333333"/>
          <w:sz w:val="24"/>
          <w:szCs w:val="24"/>
          <w:shd w:val="clear" w:color="auto" w:fill="FFFFFF"/>
          <w:lang w:val="en-US"/>
        </w:rPr>
        <w:t xml:space="preserve"> ligand (</w:t>
      </w:r>
      <w:proofErr w:type="spellStart"/>
      <w:r w:rsidRPr="00E70FE9">
        <w:rPr>
          <w:rFonts w:ascii="Cambria" w:hAnsi="Cambria"/>
          <w:color w:val="333333"/>
          <w:sz w:val="24"/>
          <w:szCs w:val="24"/>
          <w:shd w:val="clear" w:color="auto" w:fill="FFFFFF"/>
          <w:lang w:val="en-US"/>
        </w:rPr>
        <w:t>sRANKL</w:t>
      </w:r>
      <w:proofErr w:type="spellEnd"/>
      <w:r w:rsidRPr="00E70FE9">
        <w:rPr>
          <w:rFonts w:ascii="Cambria" w:hAnsi="Cambria"/>
          <w:color w:val="333333"/>
          <w:sz w:val="24"/>
          <w:szCs w:val="24"/>
          <w:shd w:val="clear" w:color="auto" w:fill="FFFFFF"/>
          <w:lang w:val="en-US"/>
        </w:rPr>
        <w:t xml:space="preserve">), </w:t>
      </w:r>
      <w:proofErr w:type="spellStart"/>
      <w:r w:rsidRPr="00E70FE9">
        <w:rPr>
          <w:rFonts w:ascii="Cambria" w:hAnsi="Cambria"/>
          <w:color w:val="333333"/>
          <w:sz w:val="24"/>
          <w:szCs w:val="24"/>
          <w:shd w:val="clear" w:color="auto" w:fill="FFFFFF"/>
          <w:lang w:val="en-US"/>
        </w:rPr>
        <w:t>osteoprotegerin</w:t>
      </w:r>
      <w:proofErr w:type="spellEnd"/>
      <w:r w:rsidRPr="00E70FE9">
        <w:rPr>
          <w:rFonts w:ascii="Cambria" w:hAnsi="Cambria"/>
          <w:color w:val="333333"/>
          <w:sz w:val="24"/>
          <w:szCs w:val="24"/>
          <w:shd w:val="clear" w:color="auto" w:fill="FFFFFF"/>
          <w:lang w:val="en-US"/>
        </w:rPr>
        <w:t xml:space="preserve"> (OPG), insulin, leptin, vascular endothelial growth factor A (VEGF-A), soluble receptors for vascular endothelial growth factor (</w:t>
      </w:r>
      <w:r w:rsidRPr="00E70FE9">
        <w:rPr>
          <w:rFonts w:ascii="Cambria" w:hAnsi="Cambria"/>
          <w:noProof/>
          <w:color w:val="333333"/>
          <w:sz w:val="24"/>
          <w:szCs w:val="24"/>
          <w:shd w:val="clear" w:color="auto" w:fill="FFFFFF"/>
          <w:lang w:val="en-US"/>
        </w:rPr>
        <w:t>sVEGF</w:t>
      </w:r>
      <w:r w:rsidRPr="00E70FE9">
        <w:rPr>
          <w:rFonts w:ascii="Cambria" w:hAnsi="Cambria"/>
          <w:color w:val="333333"/>
          <w:sz w:val="24"/>
          <w:szCs w:val="24"/>
          <w:shd w:val="clear" w:color="auto" w:fill="FFFFFF"/>
          <w:lang w:val="en-US"/>
        </w:rPr>
        <w:t>-R1), soluble programmed death protein 1 (</w:t>
      </w:r>
      <w:r w:rsidRPr="00E70FE9">
        <w:rPr>
          <w:rFonts w:ascii="Cambria" w:hAnsi="Cambria"/>
          <w:noProof/>
          <w:color w:val="333333"/>
          <w:sz w:val="24"/>
          <w:szCs w:val="24"/>
          <w:shd w:val="clear" w:color="auto" w:fill="FFFFFF"/>
          <w:lang w:val="en-US"/>
        </w:rPr>
        <w:t>sPD</w:t>
      </w:r>
      <w:r w:rsidRPr="00E70FE9">
        <w:rPr>
          <w:rFonts w:ascii="Cambria" w:hAnsi="Cambria"/>
          <w:color w:val="333333"/>
          <w:sz w:val="24"/>
          <w:szCs w:val="24"/>
          <w:shd w:val="clear" w:color="auto" w:fill="FFFFFF"/>
          <w:lang w:val="en-US"/>
        </w:rPr>
        <w:t>-1), and soluble programmed cell death ligand 1 (</w:t>
      </w:r>
      <w:r w:rsidRPr="00E70FE9">
        <w:rPr>
          <w:rFonts w:ascii="Cambria" w:hAnsi="Cambria"/>
          <w:noProof/>
          <w:color w:val="333333"/>
          <w:sz w:val="24"/>
          <w:szCs w:val="24"/>
          <w:shd w:val="clear" w:color="auto" w:fill="FFFFFF"/>
          <w:lang w:val="en-US"/>
        </w:rPr>
        <w:t>sPD</w:t>
      </w:r>
      <w:r w:rsidRPr="00E70FE9">
        <w:rPr>
          <w:rFonts w:ascii="Cambria" w:hAnsi="Cambria"/>
          <w:color w:val="333333"/>
          <w:sz w:val="24"/>
          <w:szCs w:val="24"/>
          <w:shd w:val="clear" w:color="auto" w:fill="FFFFFF"/>
          <w:lang w:val="en-US"/>
        </w:rPr>
        <w:t>-L1).</w:t>
      </w:r>
    </w:p>
    <w:p w14:paraId="718BB54A" w14:textId="77777777" w:rsidR="00E70FE9" w:rsidRPr="00E70FE9" w:rsidRDefault="00E70FE9" w:rsidP="00E70FE9">
      <w:pPr>
        <w:spacing w:beforeLines="40" w:before="96" w:line="360" w:lineRule="auto"/>
        <w:rPr>
          <w:rFonts w:ascii="Cambria" w:hAnsi="Cambria"/>
          <w:color w:val="000000"/>
          <w:sz w:val="24"/>
          <w:szCs w:val="24"/>
          <w:shd w:val="clear" w:color="auto" w:fill="FFFFFF"/>
          <w:lang w:val="en-US"/>
        </w:rPr>
      </w:pPr>
      <w:r w:rsidRPr="00E70FE9">
        <w:rPr>
          <w:rFonts w:ascii="Cambria" w:hAnsi="Cambria"/>
          <w:color w:val="000000"/>
          <w:sz w:val="24"/>
          <w:szCs w:val="24"/>
          <w:shd w:val="clear" w:color="auto" w:fill="FFFFFF"/>
          <w:lang w:val="en-US"/>
        </w:rPr>
        <w:lastRenderedPageBreak/>
        <w:t xml:space="preserve">Besides, we used four single </w:t>
      </w:r>
      <w:r w:rsidRPr="00E70FE9">
        <w:rPr>
          <w:rFonts w:ascii="Cambria" w:hAnsi="Cambria"/>
          <w:color w:val="333333"/>
          <w:sz w:val="24"/>
          <w:szCs w:val="24"/>
          <w:shd w:val="clear" w:color="auto" w:fill="FFFFFF"/>
          <w:lang w:val="en-US"/>
        </w:rPr>
        <w:t>commercial</w:t>
      </w:r>
      <w:r w:rsidRPr="00E70FE9">
        <w:rPr>
          <w:rFonts w:ascii="Cambria" w:hAnsi="Cambria"/>
          <w:color w:val="000000"/>
          <w:sz w:val="24"/>
          <w:szCs w:val="24"/>
          <w:shd w:val="clear" w:color="auto" w:fill="FFFFFF"/>
          <w:lang w:val="en-US"/>
        </w:rPr>
        <w:t xml:space="preserve"> ELISA kits for biomarkers that were not available by multiplex ELISA: </w:t>
      </w:r>
      <w:r w:rsidRPr="00E70FE9">
        <w:rPr>
          <w:rFonts w:ascii="Cambria" w:hAnsi="Cambria"/>
          <w:color w:val="000000"/>
          <w:spacing w:val="-3"/>
          <w:sz w:val="24"/>
          <w:szCs w:val="24"/>
          <w:lang w:val="en-US"/>
        </w:rPr>
        <w:t xml:space="preserve">Lipopolysaccharide binding protein (LBP) </w:t>
      </w:r>
      <w:r w:rsidRPr="00E70FE9">
        <w:rPr>
          <w:rFonts w:ascii="Cambria" w:hAnsi="Cambria"/>
          <w:color w:val="000000"/>
          <w:sz w:val="24"/>
          <w:szCs w:val="24"/>
          <w:shd w:val="clear" w:color="auto" w:fill="FFFFFF"/>
          <w:lang w:val="en-US"/>
        </w:rPr>
        <w:t xml:space="preserve">(R&amp;D Systems, Minneapolis, USA), </w:t>
      </w:r>
      <w:r w:rsidRPr="00E70FE9">
        <w:rPr>
          <w:rFonts w:ascii="Cambria" w:hAnsi="Cambria"/>
          <w:color w:val="333333"/>
          <w:sz w:val="24"/>
          <w:szCs w:val="24"/>
          <w:shd w:val="clear" w:color="auto" w:fill="FFFFFF"/>
          <w:lang w:val="en-US"/>
        </w:rPr>
        <w:t>sCD14 and Fatty acid-binding protein 2 (FABP-2) (</w:t>
      </w:r>
      <w:proofErr w:type="spellStart"/>
      <w:r w:rsidRPr="00E70FE9">
        <w:rPr>
          <w:rFonts w:ascii="Cambria" w:hAnsi="Cambria"/>
          <w:color w:val="000000"/>
          <w:sz w:val="24"/>
          <w:szCs w:val="24"/>
          <w:shd w:val="clear" w:color="auto" w:fill="FFFFFF"/>
          <w:lang w:val="en-US"/>
        </w:rPr>
        <w:t>Raybiotech</w:t>
      </w:r>
      <w:proofErr w:type="spellEnd"/>
      <w:r w:rsidRPr="00E70FE9">
        <w:rPr>
          <w:rFonts w:ascii="Cambria" w:hAnsi="Cambria"/>
          <w:color w:val="000000"/>
          <w:sz w:val="24"/>
          <w:szCs w:val="24"/>
          <w:shd w:val="clear" w:color="auto" w:fill="FFFFFF"/>
          <w:lang w:val="en-US"/>
        </w:rPr>
        <w:t xml:space="preserve">, Georgia, USA), and </w:t>
      </w:r>
      <w:r w:rsidRPr="00E70FE9">
        <w:rPr>
          <w:rFonts w:ascii="Cambria" w:hAnsi="Cambria"/>
          <w:color w:val="000000"/>
          <w:sz w:val="24"/>
          <w:szCs w:val="24"/>
          <w:lang w:val="en-US"/>
        </w:rPr>
        <w:t>transforming growth factor-beta 1 (</w:t>
      </w:r>
      <w:r w:rsidRPr="00E70FE9">
        <w:rPr>
          <w:rFonts w:ascii="Cambria" w:hAnsi="Cambria"/>
          <w:color w:val="000000"/>
          <w:sz w:val="24"/>
          <w:szCs w:val="24"/>
          <w:shd w:val="clear" w:color="auto" w:fill="FFFFFF"/>
          <w:lang w:val="en-US"/>
        </w:rPr>
        <w:t>TGF-</w:t>
      </w:r>
      <w:r w:rsidRPr="001D1ABC">
        <w:rPr>
          <w:rFonts w:ascii="Cambria" w:hAnsi="Cambria"/>
          <w:color w:val="000000"/>
          <w:sz w:val="24"/>
          <w:szCs w:val="24"/>
          <w:shd w:val="clear" w:color="auto" w:fill="FFFFFF"/>
        </w:rPr>
        <w:t>β</w:t>
      </w:r>
      <w:r w:rsidRPr="00E70FE9">
        <w:rPr>
          <w:rFonts w:ascii="Cambria" w:hAnsi="Cambria"/>
          <w:color w:val="000000"/>
          <w:sz w:val="24"/>
          <w:szCs w:val="24"/>
          <w:shd w:val="clear" w:color="auto" w:fill="FFFFFF"/>
          <w:lang w:val="en-US"/>
        </w:rPr>
        <w:t xml:space="preserve">1; Bender </w:t>
      </w:r>
      <w:proofErr w:type="spellStart"/>
      <w:r w:rsidRPr="00E70FE9">
        <w:rPr>
          <w:rFonts w:ascii="Cambria" w:hAnsi="Cambria"/>
          <w:color w:val="000000"/>
          <w:sz w:val="24"/>
          <w:szCs w:val="24"/>
          <w:shd w:val="clear" w:color="auto" w:fill="FFFFFF"/>
          <w:lang w:val="en-US"/>
        </w:rPr>
        <w:t>MedSystems</w:t>
      </w:r>
      <w:proofErr w:type="spellEnd"/>
      <w:r w:rsidRPr="00E70FE9">
        <w:rPr>
          <w:rFonts w:ascii="Cambria" w:hAnsi="Cambria"/>
          <w:color w:val="000000"/>
          <w:sz w:val="24"/>
          <w:szCs w:val="24"/>
          <w:shd w:val="clear" w:color="auto" w:fill="FFFFFF"/>
          <w:lang w:val="en-US"/>
        </w:rPr>
        <w:t xml:space="preserve"> GmbH, Vienna, Austria). </w:t>
      </w:r>
      <w:bookmarkStart w:id="0" w:name="_Hlk17197032"/>
      <w:r w:rsidRPr="00E70FE9">
        <w:rPr>
          <w:rFonts w:ascii="Cambria" w:hAnsi="Cambria"/>
          <w:color w:val="000000"/>
          <w:sz w:val="24"/>
          <w:szCs w:val="24"/>
          <w:shd w:val="clear" w:color="auto" w:fill="FFFFFF"/>
          <w:lang w:val="en-US"/>
        </w:rPr>
        <w:t xml:space="preserve">The </w:t>
      </w:r>
      <w:r w:rsidRPr="00E70FE9">
        <w:rPr>
          <w:rFonts w:ascii="Cambria" w:hAnsi="Cambria"/>
          <w:color w:val="333333"/>
          <w:sz w:val="24"/>
          <w:szCs w:val="24"/>
          <w:shd w:val="clear" w:color="auto" w:fill="FFFFFF"/>
          <w:lang w:val="en-US"/>
        </w:rPr>
        <w:t xml:space="preserve">lipopolysaccharide (LPS; </w:t>
      </w:r>
      <w:proofErr w:type="spellStart"/>
      <w:r w:rsidRPr="00E70FE9">
        <w:rPr>
          <w:rFonts w:ascii="Cambria" w:hAnsi="Cambria"/>
          <w:color w:val="000000"/>
          <w:sz w:val="24"/>
          <w:szCs w:val="24"/>
          <w:shd w:val="clear" w:color="auto" w:fill="FFFFFF"/>
          <w:lang w:val="en-US"/>
        </w:rPr>
        <w:t>Hycult</w:t>
      </w:r>
      <w:proofErr w:type="spellEnd"/>
      <w:r w:rsidRPr="00E70FE9">
        <w:rPr>
          <w:rFonts w:ascii="Cambria" w:hAnsi="Cambria"/>
          <w:color w:val="000000"/>
          <w:sz w:val="24"/>
          <w:szCs w:val="24"/>
          <w:shd w:val="clear" w:color="auto" w:fill="FFFFFF"/>
          <w:lang w:val="en-US"/>
        </w:rPr>
        <w:t xml:space="preserve"> Biotech, </w:t>
      </w:r>
      <w:proofErr w:type="spellStart"/>
      <w:r w:rsidRPr="00E70FE9">
        <w:rPr>
          <w:rFonts w:ascii="Cambria" w:hAnsi="Cambria"/>
          <w:color w:val="000000"/>
          <w:sz w:val="24"/>
          <w:szCs w:val="24"/>
          <w:shd w:val="clear" w:color="auto" w:fill="FFFFFF"/>
          <w:lang w:val="en-US"/>
        </w:rPr>
        <w:t>Uden</w:t>
      </w:r>
      <w:proofErr w:type="spellEnd"/>
      <w:r w:rsidRPr="00E70FE9">
        <w:rPr>
          <w:rFonts w:ascii="Cambria" w:hAnsi="Cambria"/>
          <w:color w:val="000000"/>
          <w:sz w:val="24"/>
          <w:szCs w:val="24"/>
          <w:shd w:val="clear" w:color="auto" w:fill="FFFFFF"/>
          <w:lang w:val="en-US"/>
        </w:rPr>
        <w:t xml:space="preserve">, The Netherlands) </w:t>
      </w:r>
      <w:r w:rsidRPr="00E70FE9">
        <w:rPr>
          <w:rFonts w:ascii="Cambria" w:hAnsi="Cambria"/>
          <w:noProof/>
          <w:color w:val="000000"/>
          <w:sz w:val="24"/>
          <w:szCs w:val="24"/>
          <w:shd w:val="clear" w:color="auto" w:fill="FFFFFF"/>
          <w:lang w:val="en-US"/>
        </w:rPr>
        <w:t>was evaluated</w:t>
      </w:r>
      <w:r w:rsidRPr="00E70FE9">
        <w:rPr>
          <w:rFonts w:ascii="Cambria" w:hAnsi="Cambria"/>
          <w:color w:val="000000"/>
          <w:sz w:val="24"/>
          <w:szCs w:val="24"/>
          <w:shd w:val="clear" w:color="auto" w:fill="FFFFFF"/>
          <w:lang w:val="en-US"/>
        </w:rPr>
        <w:t xml:space="preserve"> by a Limulus amebocyte lysate chromogenic endpoint ELISA.</w:t>
      </w:r>
      <w:bookmarkEnd w:id="0"/>
    </w:p>
    <w:p w14:paraId="17B6BBFD" w14:textId="77777777" w:rsidR="00E70FE9" w:rsidRPr="001D1ABC" w:rsidRDefault="00E70FE9" w:rsidP="00E70FE9">
      <w:pPr>
        <w:pStyle w:val="Ttulo2"/>
        <w:keepLines/>
        <w:tabs>
          <w:tab w:val="clear" w:pos="709"/>
        </w:tabs>
        <w:spacing w:beforeLines="20" w:after="0" w:line="360" w:lineRule="auto"/>
        <w:rPr>
          <w:rFonts w:ascii="Cambria" w:hAnsi="Cambria"/>
          <w:snapToGrid/>
          <w:color w:val="auto"/>
          <w:sz w:val="28"/>
          <w:szCs w:val="28"/>
          <w:lang w:val="en-US"/>
        </w:rPr>
      </w:pPr>
      <w:r w:rsidRPr="001D1ABC">
        <w:rPr>
          <w:rFonts w:ascii="Cambria" w:hAnsi="Cambria"/>
          <w:snapToGrid/>
          <w:color w:val="auto"/>
          <w:sz w:val="28"/>
          <w:szCs w:val="28"/>
          <w:lang w:val="en-US"/>
        </w:rPr>
        <w:t xml:space="preserve">RNA extraction, library preparation, and </w:t>
      </w:r>
      <w:r w:rsidR="009E1C25">
        <w:rPr>
          <w:rFonts w:ascii="Cambria" w:hAnsi="Cambria"/>
          <w:snapToGrid/>
          <w:color w:val="auto"/>
          <w:sz w:val="28"/>
          <w:szCs w:val="28"/>
          <w:lang w:val="en-US"/>
        </w:rPr>
        <w:t xml:space="preserve">RNA </w:t>
      </w:r>
      <w:r w:rsidRPr="001D1ABC">
        <w:rPr>
          <w:rFonts w:ascii="Cambria" w:hAnsi="Cambria"/>
          <w:snapToGrid/>
          <w:color w:val="auto"/>
          <w:sz w:val="28"/>
          <w:szCs w:val="28"/>
          <w:lang w:val="en-US"/>
        </w:rPr>
        <w:t>sequencing</w:t>
      </w:r>
    </w:p>
    <w:p w14:paraId="5856A629" w14:textId="77777777" w:rsidR="00E70FE9" w:rsidRPr="00E70FE9" w:rsidRDefault="00E70FE9" w:rsidP="00E70FE9">
      <w:pPr>
        <w:spacing w:beforeLines="40" w:before="96" w:line="360" w:lineRule="auto"/>
        <w:rPr>
          <w:rFonts w:ascii="Cambria" w:hAnsi="Cambria"/>
          <w:sz w:val="24"/>
          <w:szCs w:val="24"/>
          <w:lang w:val="en-US"/>
        </w:rPr>
      </w:pPr>
      <w:r w:rsidRPr="00E70FE9">
        <w:rPr>
          <w:rFonts w:ascii="Cambria" w:hAnsi="Cambria"/>
          <w:sz w:val="24"/>
          <w:szCs w:val="24"/>
          <w:lang w:val="en-US"/>
        </w:rPr>
        <w:t xml:space="preserve">Total RNA was extracted from PBMC with the RNeasy </w:t>
      </w:r>
      <w:r w:rsidRPr="00E70FE9">
        <w:rPr>
          <w:rFonts w:ascii="Cambria" w:hAnsi="Cambria"/>
          <w:noProof/>
          <w:sz w:val="24"/>
          <w:szCs w:val="24"/>
          <w:lang w:val="en-US"/>
        </w:rPr>
        <w:t>Minikit</w:t>
      </w:r>
      <w:r w:rsidRPr="00E70FE9">
        <w:rPr>
          <w:rFonts w:ascii="Cambria" w:hAnsi="Cambria"/>
          <w:sz w:val="24"/>
          <w:szCs w:val="24"/>
          <w:lang w:val="en-US"/>
        </w:rPr>
        <w:t xml:space="preserve"> (Qiagen™</w:t>
      </w:r>
      <w:r w:rsidRPr="00E70FE9">
        <w:rPr>
          <w:rFonts w:ascii="Cambria" w:hAnsi="Cambria"/>
          <w:noProof/>
          <w:sz w:val="24"/>
          <w:szCs w:val="24"/>
          <w:lang w:val="en-US"/>
        </w:rPr>
        <w:t>),</w:t>
      </w:r>
      <w:r w:rsidRPr="00E70FE9">
        <w:rPr>
          <w:rFonts w:ascii="Cambria" w:hAnsi="Cambria"/>
          <w:sz w:val="24"/>
          <w:szCs w:val="24"/>
          <w:lang w:val="en-US"/>
        </w:rPr>
        <w:t xml:space="preserve"> according to the manufacturer’s instructions. RNA quantity </w:t>
      </w:r>
      <w:r w:rsidRPr="00E70FE9">
        <w:rPr>
          <w:rFonts w:ascii="Cambria" w:hAnsi="Cambria"/>
          <w:noProof/>
          <w:sz w:val="24"/>
          <w:szCs w:val="24"/>
          <w:lang w:val="en-US"/>
        </w:rPr>
        <w:t>was evaluated</w:t>
      </w:r>
      <w:r w:rsidRPr="00E70FE9">
        <w:rPr>
          <w:rFonts w:ascii="Cambria" w:hAnsi="Cambria"/>
          <w:sz w:val="24"/>
          <w:szCs w:val="24"/>
          <w:lang w:val="en-US"/>
        </w:rPr>
        <w:t xml:space="preserve"> with Nanodrop 2000 </w:t>
      </w:r>
      <w:r w:rsidRPr="00E70FE9">
        <w:rPr>
          <w:rFonts w:ascii="Cambria" w:hAnsi="Cambria"/>
          <w:noProof/>
          <w:sz w:val="24"/>
          <w:szCs w:val="24"/>
          <w:lang w:val="en-US"/>
        </w:rPr>
        <w:t>and</w:t>
      </w:r>
      <w:r w:rsidRPr="00E70FE9">
        <w:rPr>
          <w:rFonts w:ascii="Cambria" w:hAnsi="Cambria"/>
          <w:sz w:val="24"/>
          <w:szCs w:val="24"/>
          <w:lang w:val="en-US"/>
        </w:rPr>
        <w:t xml:space="preserve"> quality was assessed with the 2100 Bioanalyzer RNA NANO assay (Agilent), and only those samples with RNA integrity </w:t>
      </w:r>
      <w:r w:rsidRPr="00E70FE9">
        <w:rPr>
          <w:rFonts w:ascii="Cambria" w:hAnsi="Cambria"/>
          <w:noProof/>
          <w:sz w:val="24"/>
          <w:szCs w:val="24"/>
          <w:lang w:val="en-US"/>
        </w:rPr>
        <w:t>numbers</w:t>
      </w:r>
      <w:r w:rsidRPr="00E70FE9">
        <w:rPr>
          <w:rFonts w:ascii="Cambria" w:hAnsi="Cambria"/>
          <w:sz w:val="24"/>
          <w:szCs w:val="24"/>
          <w:lang w:val="en-US"/>
        </w:rPr>
        <w:t xml:space="preserve"> higher than 7.5 </w:t>
      </w:r>
      <w:r w:rsidRPr="00E70FE9">
        <w:rPr>
          <w:rFonts w:ascii="Cambria" w:hAnsi="Cambria"/>
          <w:noProof/>
          <w:sz w:val="24"/>
          <w:szCs w:val="24"/>
          <w:lang w:val="en-US"/>
        </w:rPr>
        <w:t>were selected</w:t>
      </w:r>
      <w:r w:rsidRPr="00E70FE9">
        <w:rPr>
          <w:rFonts w:ascii="Cambria" w:hAnsi="Cambria"/>
          <w:sz w:val="24"/>
          <w:szCs w:val="24"/>
          <w:lang w:val="en-US"/>
        </w:rPr>
        <w:t xml:space="preserve"> for sequencing. Libraries and sequencing of poly-A RNA were performed at the Centre for Genomic Regulation </w:t>
      </w:r>
      <w:r w:rsidRPr="00E70FE9">
        <w:rPr>
          <w:rFonts w:ascii="Cambria" w:hAnsi="Cambria"/>
          <w:noProof/>
          <w:sz w:val="24"/>
          <w:szCs w:val="24"/>
          <w:lang w:val="en-US"/>
        </w:rPr>
        <w:t>in</w:t>
      </w:r>
      <w:r w:rsidRPr="00E70FE9">
        <w:rPr>
          <w:rFonts w:ascii="Cambria" w:hAnsi="Cambria"/>
          <w:sz w:val="24"/>
          <w:szCs w:val="24"/>
          <w:lang w:val="en-US"/>
        </w:rPr>
        <w:t xml:space="preserve"> Barcelona (Spain). Firstly, libraries were synthesized with the Illumina’s </w:t>
      </w:r>
      <w:proofErr w:type="spellStart"/>
      <w:r w:rsidRPr="00E70FE9">
        <w:rPr>
          <w:rFonts w:ascii="Cambria" w:hAnsi="Cambria"/>
          <w:sz w:val="24"/>
          <w:szCs w:val="24"/>
          <w:lang w:val="en-US"/>
        </w:rPr>
        <w:t>TruSeq</w:t>
      </w:r>
      <w:proofErr w:type="spellEnd"/>
      <w:r w:rsidRPr="00E70FE9">
        <w:rPr>
          <w:rFonts w:ascii="Cambria" w:hAnsi="Cambria"/>
          <w:sz w:val="24"/>
          <w:szCs w:val="24"/>
          <w:lang w:val="en-US"/>
        </w:rPr>
        <w:t xml:space="preserve"> Stranded mRNA Sample Prep Kit v2 using 500 nanograms of total RNA following the manufacturer’s protocol. This procedure captures both coding RNA and multiple forms of noncoding polyadenylated RNAs. Ten libraries were multiplexed and pooled for sequencing in the same line, to obtain 25 million reads per sample, on average. Sequencing </w:t>
      </w:r>
      <w:r w:rsidRPr="00E70FE9">
        <w:rPr>
          <w:rFonts w:ascii="Cambria" w:hAnsi="Cambria"/>
          <w:noProof/>
          <w:sz w:val="24"/>
          <w:szCs w:val="24"/>
          <w:lang w:val="en-US"/>
        </w:rPr>
        <w:t>was performed</w:t>
      </w:r>
      <w:r w:rsidRPr="00E70FE9">
        <w:rPr>
          <w:rFonts w:ascii="Cambria" w:hAnsi="Cambria"/>
          <w:sz w:val="24"/>
          <w:szCs w:val="24"/>
          <w:lang w:val="en-US"/>
        </w:rPr>
        <w:t xml:space="preserve"> on an Illumina HiSeq2500, single read, 50nts (1x50).</w:t>
      </w:r>
    </w:p>
    <w:p w14:paraId="0666EE21" w14:textId="7DEF07FC" w:rsidR="00672956" w:rsidRPr="00E70FE9" w:rsidRDefault="00E70FE9" w:rsidP="00672956">
      <w:pPr>
        <w:spacing w:beforeLines="40" w:before="96" w:line="360" w:lineRule="auto"/>
        <w:rPr>
          <w:rFonts w:ascii="Cambria" w:hAnsi="Cambria"/>
          <w:sz w:val="24"/>
          <w:szCs w:val="24"/>
          <w:lang w:val="en-US"/>
        </w:rPr>
      </w:pPr>
      <w:r w:rsidRPr="00E70FE9">
        <w:rPr>
          <w:rFonts w:ascii="Cambria" w:hAnsi="Cambria"/>
          <w:sz w:val="24"/>
          <w:szCs w:val="24"/>
          <w:lang w:val="en-US"/>
        </w:rPr>
        <w:t xml:space="preserve">Raw sequences were analyzed as follow: quality control </w:t>
      </w:r>
      <w:r w:rsidRPr="00E70FE9">
        <w:rPr>
          <w:rFonts w:ascii="Cambria" w:hAnsi="Cambria"/>
          <w:noProof/>
          <w:sz w:val="24"/>
          <w:szCs w:val="24"/>
          <w:lang w:val="en-US"/>
        </w:rPr>
        <w:t>was carried</w:t>
      </w:r>
      <w:r w:rsidRPr="00E70FE9">
        <w:rPr>
          <w:rFonts w:ascii="Cambria" w:hAnsi="Cambria"/>
          <w:sz w:val="24"/>
          <w:szCs w:val="24"/>
          <w:lang w:val="en-US"/>
        </w:rPr>
        <w:t xml:space="preserve"> out before and after trimming with </w:t>
      </w:r>
      <w:proofErr w:type="spellStart"/>
      <w:r w:rsidRPr="00E70FE9">
        <w:rPr>
          <w:rFonts w:ascii="Cambria" w:hAnsi="Cambria"/>
          <w:sz w:val="24"/>
          <w:szCs w:val="24"/>
          <w:lang w:val="en-US"/>
        </w:rPr>
        <w:t>FastQC</w:t>
      </w:r>
      <w:proofErr w:type="spellEnd"/>
      <w:r w:rsidRPr="00E70FE9">
        <w:rPr>
          <w:rFonts w:ascii="Cambria" w:hAnsi="Cambria"/>
          <w:sz w:val="24"/>
          <w:szCs w:val="24"/>
          <w:lang w:val="en-US"/>
        </w:rPr>
        <w:t xml:space="preserve"> (v. 0.11.8), adapter sequences </w:t>
      </w:r>
      <w:r w:rsidRPr="00E70FE9">
        <w:rPr>
          <w:rFonts w:ascii="Cambria" w:hAnsi="Cambria"/>
          <w:noProof/>
          <w:sz w:val="24"/>
          <w:szCs w:val="24"/>
          <w:lang w:val="en-US"/>
        </w:rPr>
        <w:t>were trimmed</w:t>
      </w:r>
      <w:r w:rsidRPr="00E70FE9">
        <w:rPr>
          <w:rFonts w:ascii="Cambria" w:hAnsi="Cambria"/>
          <w:sz w:val="24"/>
          <w:szCs w:val="24"/>
          <w:lang w:val="en-US"/>
        </w:rPr>
        <w:t xml:space="preserve"> with </w:t>
      </w:r>
      <w:proofErr w:type="spellStart"/>
      <w:r w:rsidRPr="00E70FE9">
        <w:rPr>
          <w:rFonts w:ascii="Cambria" w:hAnsi="Cambria"/>
          <w:sz w:val="24"/>
          <w:szCs w:val="24"/>
          <w:lang w:val="en-US"/>
        </w:rPr>
        <w:t>Trimmomatic</w:t>
      </w:r>
      <w:proofErr w:type="spellEnd"/>
      <w:r w:rsidRPr="00E70FE9">
        <w:rPr>
          <w:rFonts w:ascii="Cambria" w:hAnsi="Cambria"/>
          <w:sz w:val="24"/>
          <w:szCs w:val="24"/>
          <w:lang w:val="en-US"/>
        </w:rPr>
        <w:t xml:space="preserve"> (v. 0.33), alignment was performed with </w:t>
      </w:r>
      <w:proofErr w:type="spellStart"/>
      <w:r w:rsidRPr="00E70FE9">
        <w:rPr>
          <w:rFonts w:ascii="Cambria" w:hAnsi="Cambria"/>
          <w:sz w:val="24"/>
          <w:szCs w:val="24"/>
          <w:lang w:val="en-US"/>
        </w:rPr>
        <w:t>TopHat</w:t>
      </w:r>
      <w:proofErr w:type="spellEnd"/>
      <w:r w:rsidRPr="00E70FE9">
        <w:rPr>
          <w:rFonts w:ascii="Cambria" w:hAnsi="Cambria"/>
          <w:sz w:val="24"/>
          <w:szCs w:val="24"/>
          <w:lang w:val="en-US"/>
        </w:rPr>
        <w:t xml:space="preserve"> (v. 2.0.14) using GRCH38 as a reference genome, </w:t>
      </w:r>
      <w:r w:rsidRPr="00E70FE9">
        <w:rPr>
          <w:rFonts w:ascii="Cambria" w:hAnsi="Cambria"/>
          <w:noProof/>
          <w:sz w:val="24"/>
          <w:szCs w:val="24"/>
          <w:lang w:val="en-US"/>
        </w:rPr>
        <w:t>and</w:t>
      </w:r>
      <w:r w:rsidRPr="00E70FE9">
        <w:rPr>
          <w:rFonts w:ascii="Cambria" w:hAnsi="Cambria"/>
          <w:sz w:val="24"/>
          <w:szCs w:val="24"/>
          <w:lang w:val="en-US"/>
        </w:rPr>
        <w:t xml:space="preserve"> the read counts </w:t>
      </w:r>
      <w:r w:rsidRPr="00E70FE9">
        <w:rPr>
          <w:rFonts w:ascii="Cambria" w:hAnsi="Cambria"/>
          <w:noProof/>
          <w:sz w:val="24"/>
          <w:szCs w:val="24"/>
          <w:lang w:val="en-US"/>
        </w:rPr>
        <w:t>were extracted</w:t>
      </w:r>
      <w:r w:rsidRPr="00E70FE9">
        <w:rPr>
          <w:rFonts w:ascii="Cambria" w:hAnsi="Cambria"/>
          <w:sz w:val="24"/>
          <w:szCs w:val="24"/>
          <w:lang w:val="en-US"/>
        </w:rPr>
        <w:t xml:space="preserve"> by </w:t>
      </w:r>
      <w:proofErr w:type="spellStart"/>
      <w:r w:rsidRPr="00E70FE9">
        <w:rPr>
          <w:rFonts w:ascii="Cambria" w:hAnsi="Cambria"/>
          <w:sz w:val="24"/>
          <w:szCs w:val="24"/>
          <w:lang w:val="en-US"/>
        </w:rPr>
        <w:t>HTSeq</w:t>
      </w:r>
      <w:proofErr w:type="spellEnd"/>
      <w:r w:rsidRPr="00E70FE9">
        <w:rPr>
          <w:rFonts w:ascii="Cambria" w:hAnsi="Cambria"/>
          <w:sz w:val="24"/>
          <w:szCs w:val="24"/>
          <w:lang w:val="en-US"/>
        </w:rPr>
        <w:t xml:space="preserve"> (v. 0.6.1).</w:t>
      </w:r>
      <w:r w:rsidR="00672956">
        <w:rPr>
          <w:rFonts w:ascii="Cambria" w:hAnsi="Cambria"/>
          <w:sz w:val="24"/>
          <w:szCs w:val="24"/>
          <w:lang w:val="en-US"/>
        </w:rPr>
        <w:t xml:space="preserve"> </w:t>
      </w:r>
      <w:r w:rsidR="00672956" w:rsidRPr="00672956">
        <w:rPr>
          <w:rFonts w:ascii="Cambria" w:hAnsi="Cambria"/>
          <w:sz w:val="24"/>
          <w:szCs w:val="24"/>
          <w:lang w:val="en-US"/>
        </w:rPr>
        <w:t xml:space="preserve">The raw RNA data </w:t>
      </w:r>
      <w:r w:rsidR="00672956" w:rsidRPr="00672956">
        <w:rPr>
          <w:rFonts w:ascii="Cambria" w:hAnsi="Cambria"/>
          <w:color w:val="000000"/>
          <w:sz w:val="24"/>
          <w:lang w:val="en-US"/>
        </w:rPr>
        <w:t xml:space="preserve">are publicly available at the </w:t>
      </w:r>
      <w:proofErr w:type="spellStart"/>
      <w:r w:rsidR="00672956" w:rsidRPr="00672956">
        <w:rPr>
          <w:rFonts w:ascii="Cambria" w:hAnsi="Cambria"/>
          <w:color w:val="000000"/>
          <w:sz w:val="24"/>
          <w:lang w:val="en-US"/>
        </w:rPr>
        <w:t>ArrayExpress</w:t>
      </w:r>
      <w:proofErr w:type="spellEnd"/>
      <w:r w:rsidR="00672956" w:rsidRPr="00672956">
        <w:rPr>
          <w:rFonts w:ascii="Cambria" w:hAnsi="Cambria"/>
          <w:color w:val="000000"/>
          <w:sz w:val="24"/>
          <w:lang w:val="en-US"/>
        </w:rPr>
        <w:t xml:space="preserve"> </w:t>
      </w:r>
      <w:r w:rsidR="00672956" w:rsidRPr="00672956">
        <w:rPr>
          <w:rFonts w:ascii="Cambria" w:hAnsi="Cambria"/>
          <w:color w:val="000000"/>
          <w:sz w:val="24"/>
          <w:szCs w:val="24"/>
          <w:lang w:val="en-US"/>
        </w:rPr>
        <w:t xml:space="preserve">repository (EMBL-EBI; </w:t>
      </w:r>
      <w:hyperlink r:id="rId6" w:history="1">
        <w:r w:rsidR="00672956" w:rsidRPr="00672956">
          <w:rPr>
            <w:rStyle w:val="Hipervnculo"/>
            <w:rFonts w:ascii="Cambria" w:hAnsi="Cambria"/>
            <w:sz w:val="24"/>
            <w:szCs w:val="24"/>
            <w:lang w:val="en-US"/>
          </w:rPr>
          <w:t>https://www.ebi.ac.uk/</w:t>
        </w:r>
      </w:hyperlink>
      <w:r w:rsidR="00672956" w:rsidRPr="00672956">
        <w:rPr>
          <w:rFonts w:ascii="Cambria" w:hAnsi="Cambria"/>
          <w:color w:val="000000"/>
          <w:sz w:val="24"/>
          <w:szCs w:val="24"/>
          <w:lang w:val="en-US"/>
        </w:rPr>
        <w:t xml:space="preserve">) </w:t>
      </w:r>
      <w:r w:rsidR="00672956" w:rsidRPr="00672956">
        <w:rPr>
          <w:rFonts w:ascii="Cambria" w:hAnsi="Cambria"/>
          <w:color w:val="000000"/>
          <w:sz w:val="24"/>
          <w:lang w:val="en-US"/>
        </w:rPr>
        <w:t xml:space="preserve">under the accession number </w:t>
      </w:r>
      <w:r w:rsidR="00672956" w:rsidRPr="00672956">
        <w:rPr>
          <w:rFonts w:ascii="Cambria" w:hAnsi="Cambria"/>
          <w:sz w:val="24"/>
          <w:szCs w:val="24"/>
          <w:lang w:val="en-US"/>
        </w:rPr>
        <w:t>E-MTAB-8249.</w:t>
      </w:r>
    </w:p>
    <w:p w14:paraId="72E927FD" w14:textId="77777777" w:rsidR="00E70FE9" w:rsidRPr="00E70FE9" w:rsidRDefault="00E70FE9" w:rsidP="00E70FE9">
      <w:pPr>
        <w:spacing w:beforeLines="40" w:before="96" w:line="360" w:lineRule="auto"/>
        <w:rPr>
          <w:rFonts w:ascii="Cambria" w:hAnsi="Cambria"/>
          <w:sz w:val="24"/>
          <w:szCs w:val="24"/>
          <w:lang w:val="en-US"/>
        </w:rPr>
      </w:pPr>
      <w:r w:rsidRPr="00E70FE9">
        <w:rPr>
          <w:rFonts w:ascii="Cambria" w:hAnsi="Cambria"/>
          <w:sz w:val="24"/>
          <w:szCs w:val="24"/>
          <w:lang w:val="en-US"/>
        </w:rPr>
        <w:t xml:space="preserve">Raw sequences were analyzed following the bioinformatics protocol. Quality control was carried out before and after trimming with </w:t>
      </w:r>
      <w:proofErr w:type="spellStart"/>
      <w:r w:rsidRPr="00E70FE9">
        <w:rPr>
          <w:rFonts w:ascii="Cambria" w:hAnsi="Cambria"/>
          <w:sz w:val="24"/>
          <w:szCs w:val="24"/>
          <w:lang w:val="en-US"/>
        </w:rPr>
        <w:t>FastQC</w:t>
      </w:r>
      <w:proofErr w:type="spellEnd"/>
      <w:r w:rsidRPr="00E70FE9">
        <w:rPr>
          <w:rFonts w:ascii="Cambria" w:hAnsi="Cambria"/>
          <w:sz w:val="24"/>
          <w:szCs w:val="24"/>
          <w:lang w:val="en-US"/>
        </w:rPr>
        <w:t xml:space="preserve"> (v. 0.11.8), adapter sequences were trimmed with </w:t>
      </w:r>
      <w:proofErr w:type="spellStart"/>
      <w:r w:rsidRPr="00E70FE9">
        <w:rPr>
          <w:rFonts w:ascii="Cambria" w:hAnsi="Cambria"/>
          <w:sz w:val="24"/>
          <w:szCs w:val="24"/>
          <w:lang w:val="en-US"/>
        </w:rPr>
        <w:t>Trimmomatic</w:t>
      </w:r>
      <w:proofErr w:type="spellEnd"/>
      <w:r w:rsidRPr="00E70FE9">
        <w:rPr>
          <w:rFonts w:ascii="Cambria" w:hAnsi="Cambria"/>
          <w:sz w:val="24"/>
          <w:szCs w:val="24"/>
          <w:lang w:val="en-US"/>
        </w:rPr>
        <w:t xml:space="preserve"> (v. 0.33), alignment was performed with </w:t>
      </w:r>
      <w:proofErr w:type="spellStart"/>
      <w:r w:rsidRPr="00E70FE9">
        <w:rPr>
          <w:rFonts w:ascii="Cambria" w:hAnsi="Cambria"/>
          <w:sz w:val="24"/>
          <w:szCs w:val="24"/>
          <w:lang w:val="en-US"/>
        </w:rPr>
        <w:t>TopHat</w:t>
      </w:r>
      <w:proofErr w:type="spellEnd"/>
      <w:r w:rsidRPr="00E70FE9">
        <w:rPr>
          <w:rFonts w:ascii="Cambria" w:hAnsi="Cambria"/>
          <w:sz w:val="24"/>
          <w:szCs w:val="24"/>
          <w:lang w:val="en-US"/>
        </w:rPr>
        <w:t xml:space="preserve"> (v. 2.0.14) using GRCH38 as a reference genome and the read counts were extracted by </w:t>
      </w:r>
      <w:proofErr w:type="spellStart"/>
      <w:r w:rsidRPr="00E70FE9">
        <w:rPr>
          <w:rFonts w:ascii="Cambria" w:hAnsi="Cambria"/>
          <w:sz w:val="24"/>
          <w:szCs w:val="24"/>
          <w:lang w:val="en-US"/>
        </w:rPr>
        <w:t>HTSeq</w:t>
      </w:r>
      <w:proofErr w:type="spellEnd"/>
      <w:r w:rsidRPr="00E70FE9">
        <w:rPr>
          <w:rFonts w:ascii="Cambria" w:hAnsi="Cambria"/>
          <w:sz w:val="24"/>
          <w:szCs w:val="24"/>
          <w:lang w:val="en-US"/>
        </w:rPr>
        <w:t xml:space="preserve"> (v. 0.6.1).</w:t>
      </w:r>
    </w:p>
    <w:p w14:paraId="75B01748" w14:textId="77777777" w:rsidR="00E70FE9" w:rsidRDefault="00E70FE9" w:rsidP="00793395">
      <w:pPr>
        <w:spacing w:after="0" w:line="240" w:lineRule="auto"/>
        <w:rPr>
          <w:rFonts w:ascii="Cambria" w:hAnsi="Cambria"/>
          <w:b/>
          <w:bCs/>
          <w:sz w:val="24"/>
          <w:szCs w:val="24"/>
          <w:lang w:val="en-US"/>
        </w:rPr>
      </w:pPr>
    </w:p>
    <w:p w14:paraId="7F7A2774" w14:textId="77777777" w:rsidR="00793395" w:rsidRPr="002A32FC" w:rsidRDefault="00793395" w:rsidP="00E70FE9">
      <w:pPr>
        <w:pBdr>
          <w:top w:val="single" w:sz="4" w:space="1" w:color="auto"/>
          <w:left w:val="single" w:sz="4" w:space="1" w:color="auto"/>
          <w:bottom w:val="single" w:sz="4" w:space="1" w:color="auto"/>
          <w:right w:val="single" w:sz="4" w:space="4" w:color="auto"/>
        </w:pBdr>
        <w:spacing w:after="0" w:line="240" w:lineRule="auto"/>
        <w:rPr>
          <w:rFonts w:ascii="Cambria" w:hAnsi="Cambria"/>
          <w:sz w:val="24"/>
          <w:szCs w:val="24"/>
          <w:lang w:val="en-US"/>
        </w:rPr>
      </w:pPr>
      <w:r w:rsidRPr="002A32FC">
        <w:rPr>
          <w:rFonts w:ascii="Cambria" w:hAnsi="Cambria"/>
          <w:b/>
          <w:bCs/>
          <w:sz w:val="24"/>
          <w:szCs w:val="24"/>
          <w:lang w:val="en-US"/>
        </w:rPr>
        <w:t xml:space="preserve">Supplementary Table </w:t>
      </w:r>
      <w:r>
        <w:rPr>
          <w:rFonts w:ascii="Cambria" w:hAnsi="Cambria"/>
          <w:b/>
          <w:bCs/>
          <w:sz w:val="24"/>
          <w:szCs w:val="24"/>
          <w:lang w:val="en-US"/>
        </w:rPr>
        <w:t>1</w:t>
      </w:r>
      <w:r w:rsidRPr="002A32FC">
        <w:rPr>
          <w:rFonts w:ascii="Cambria" w:hAnsi="Cambria"/>
          <w:b/>
          <w:bCs/>
          <w:sz w:val="24"/>
          <w:szCs w:val="24"/>
          <w:lang w:val="en-US"/>
        </w:rPr>
        <w:t xml:space="preserve">. </w:t>
      </w:r>
      <w:r w:rsidRPr="00793395">
        <w:rPr>
          <w:rFonts w:ascii="Cambria" w:hAnsi="Cambria"/>
          <w:sz w:val="24"/>
          <w:szCs w:val="24"/>
          <w:lang w:val="en-US"/>
        </w:rPr>
        <w:t>Bioinformatic pipeline</w:t>
      </w:r>
      <w:r w:rsidRPr="002A32FC">
        <w:rPr>
          <w:rFonts w:ascii="Cambria" w:hAnsi="Cambria"/>
          <w:sz w:val="24"/>
          <w:szCs w:val="24"/>
          <w:lang w:val="en-US"/>
        </w:rPr>
        <w:t xml:space="preserve"> </w:t>
      </w:r>
      <w:r>
        <w:rPr>
          <w:rFonts w:ascii="Cambria" w:hAnsi="Cambria"/>
          <w:sz w:val="24"/>
          <w:szCs w:val="24"/>
          <w:lang w:val="en-US"/>
        </w:rPr>
        <w:t>to analyze r</w:t>
      </w:r>
      <w:r w:rsidRPr="00793395">
        <w:rPr>
          <w:rFonts w:ascii="Cambria" w:hAnsi="Cambria"/>
          <w:sz w:val="24"/>
          <w:szCs w:val="24"/>
          <w:lang w:val="en-US"/>
        </w:rPr>
        <w:t xml:space="preserve">aw sequences </w:t>
      </w:r>
      <w:r>
        <w:rPr>
          <w:rFonts w:ascii="Cambria" w:hAnsi="Cambria"/>
          <w:sz w:val="24"/>
          <w:szCs w:val="24"/>
          <w:lang w:val="en-US"/>
        </w:rPr>
        <w:t>from RNA-seq</w:t>
      </w:r>
      <w:r w:rsidRPr="002A32FC">
        <w:rPr>
          <w:rFonts w:ascii="Cambria" w:hAnsi="Cambria"/>
          <w:sz w:val="24"/>
          <w:szCs w:val="24"/>
          <w:lang w:val="en-US"/>
        </w:rPr>
        <w:t xml:space="preserve"> </w:t>
      </w:r>
      <w:r>
        <w:rPr>
          <w:rFonts w:ascii="Cambria" w:hAnsi="Cambria"/>
          <w:sz w:val="24"/>
          <w:szCs w:val="24"/>
          <w:lang w:val="en-US"/>
        </w:rPr>
        <w:t>of</w:t>
      </w:r>
      <w:r w:rsidRPr="002A32FC">
        <w:rPr>
          <w:rFonts w:ascii="Cambria" w:hAnsi="Cambria"/>
          <w:sz w:val="24"/>
          <w:szCs w:val="24"/>
          <w:lang w:val="en-US"/>
        </w:rPr>
        <w:t xml:space="preserve"> HIV-infected </w:t>
      </w:r>
      <w:r w:rsidR="00E8425A">
        <w:rPr>
          <w:rFonts w:ascii="Cambria" w:hAnsi="Cambria"/>
          <w:sz w:val="24"/>
          <w:szCs w:val="24"/>
          <w:lang w:val="en-US"/>
        </w:rPr>
        <w:t>and</w:t>
      </w:r>
      <w:r w:rsidRPr="002A32FC">
        <w:rPr>
          <w:rFonts w:ascii="Cambria" w:hAnsi="Cambria"/>
          <w:sz w:val="24"/>
          <w:szCs w:val="24"/>
          <w:lang w:val="en-US"/>
        </w:rPr>
        <w:t xml:space="preserve"> healthy controls.</w:t>
      </w:r>
    </w:p>
    <w:p w14:paraId="0C48888D" w14:textId="77777777" w:rsidR="000D3736" w:rsidRDefault="000D3736" w:rsidP="00E70FE9">
      <w:pPr>
        <w:pBdr>
          <w:top w:val="single" w:sz="4" w:space="1" w:color="auto"/>
          <w:left w:val="single" w:sz="4" w:space="1" w:color="auto"/>
          <w:bottom w:val="single" w:sz="4" w:space="1" w:color="auto"/>
          <w:right w:val="single" w:sz="4" w:space="4" w:color="auto"/>
        </w:pBdr>
        <w:spacing w:after="0" w:line="240" w:lineRule="auto"/>
        <w:rPr>
          <w:rFonts w:ascii="Cambria" w:hAnsi="Cambria"/>
          <w:sz w:val="24"/>
          <w:szCs w:val="24"/>
          <w:lang w:val="en-US"/>
        </w:rPr>
      </w:pPr>
    </w:p>
    <w:tbl>
      <w:tblPr>
        <w:tblStyle w:val="Tablaconcuadrcula"/>
        <w:tblW w:w="97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793395" w:rsidRPr="00F76FD0" w14:paraId="6FD55803" w14:textId="77777777" w:rsidTr="00E70FE9">
        <w:tc>
          <w:tcPr>
            <w:tcW w:w="9746" w:type="dxa"/>
          </w:tcPr>
          <w:p w14:paraId="55AB42FE" w14:textId="77777777" w:rsidR="00793395" w:rsidRPr="009E6739" w:rsidRDefault="00793395" w:rsidP="00E70FE9">
            <w:pPr>
              <w:pBdr>
                <w:top w:val="single" w:sz="4" w:space="1" w:color="auto"/>
                <w:left w:val="single" w:sz="4" w:space="4" w:color="auto"/>
                <w:bottom w:val="single" w:sz="4" w:space="1" w:color="auto"/>
                <w:right w:val="single" w:sz="4" w:space="4" w:color="auto"/>
              </w:pBdr>
              <w:rPr>
                <w:rFonts w:ascii="Cambria" w:hAnsi="Cambria"/>
                <w:i/>
                <w:sz w:val="24"/>
                <w:szCs w:val="24"/>
                <w:lang w:val="en-US"/>
              </w:rPr>
            </w:pPr>
            <w:r w:rsidRPr="009E6739">
              <w:rPr>
                <w:rFonts w:ascii="Cambria" w:hAnsi="Cambria"/>
                <w:i/>
                <w:sz w:val="24"/>
                <w:szCs w:val="24"/>
                <w:lang w:val="en-US"/>
              </w:rPr>
              <w:t>1. Filtering step</w:t>
            </w:r>
          </w:p>
          <w:p w14:paraId="2635E5D6" w14:textId="77777777" w:rsidR="00793395" w:rsidRPr="009E6739" w:rsidRDefault="00793395" w:rsidP="00E70FE9">
            <w:pPr>
              <w:pBdr>
                <w:top w:val="single" w:sz="4" w:space="1" w:color="auto"/>
                <w:left w:val="single" w:sz="4" w:space="4" w:color="auto"/>
                <w:bottom w:val="single" w:sz="4" w:space="1" w:color="auto"/>
                <w:right w:val="single" w:sz="4" w:space="4" w:color="auto"/>
              </w:pBdr>
              <w:rPr>
                <w:rFonts w:ascii="Cambria" w:hAnsi="Cambria"/>
                <w:sz w:val="24"/>
                <w:szCs w:val="24"/>
                <w:lang w:val="en-US"/>
              </w:rPr>
            </w:pPr>
            <w:r w:rsidRPr="009E6739">
              <w:rPr>
                <w:rFonts w:ascii="Cambria" w:hAnsi="Cambria"/>
                <w:sz w:val="24"/>
                <w:szCs w:val="24"/>
                <w:lang w:val="en-US"/>
              </w:rPr>
              <w:t>Settings employed to eliminate adapters and low quality reads.</w:t>
            </w:r>
          </w:p>
          <w:p w14:paraId="7CBF1B3B" w14:textId="77777777" w:rsidR="00793395" w:rsidRPr="00793395" w:rsidRDefault="00793395" w:rsidP="00E70FE9">
            <w:pPr>
              <w:pBdr>
                <w:top w:val="single" w:sz="4" w:space="1" w:color="auto"/>
                <w:left w:val="single" w:sz="4" w:space="4" w:color="auto"/>
                <w:bottom w:val="single" w:sz="4" w:space="1" w:color="auto"/>
                <w:right w:val="single" w:sz="4" w:space="4" w:color="auto"/>
              </w:pBdr>
              <w:rPr>
                <w:rFonts w:ascii="Cambria" w:hAnsi="Cambria"/>
                <w:sz w:val="24"/>
                <w:szCs w:val="24"/>
                <w:lang w:val="en-US"/>
              </w:rPr>
            </w:pPr>
            <w:r w:rsidRPr="00793395">
              <w:rPr>
                <w:rFonts w:ascii="Cambria" w:hAnsi="Cambria"/>
                <w:sz w:val="24"/>
                <w:szCs w:val="24"/>
                <w:lang w:val="en-US"/>
              </w:rPr>
              <w:lastRenderedPageBreak/>
              <w:t xml:space="preserve">- Software: </w:t>
            </w:r>
          </w:p>
          <w:p w14:paraId="4A849421" w14:textId="77777777" w:rsidR="00793395" w:rsidRPr="00793395" w:rsidRDefault="00793395" w:rsidP="00E70FE9">
            <w:pPr>
              <w:pBdr>
                <w:top w:val="single" w:sz="4" w:space="1" w:color="auto"/>
                <w:left w:val="single" w:sz="4" w:space="4" w:color="auto"/>
                <w:bottom w:val="single" w:sz="4" w:space="1" w:color="auto"/>
                <w:right w:val="single" w:sz="4" w:space="4" w:color="auto"/>
              </w:pBdr>
              <w:rPr>
                <w:rFonts w:ascii="Cambria" w:hAnsi="Cambria"/>
                <w:sz w:val="24"/>
                <w:szCs w:val="24"/>
                <w:lang w:val="en-US"/>
              </w:rPr>
            </w:pPr>
            <w:proofErr w:type="spellStart"/>
            <w:r w:rsidRPr="00793395">
              <w:rPr>
                <w:rFonts w:ascii="Cambria" w:hAnsi="Cambria"/>
                <w:sz w:val="24"/>
                <w:szCs w:val="24"/>
                <w:lang w:val="en-US"/>
              </w:rPr>
              <w:t>Trimmomatic</w:t>
            </w:r>
            <w:proofErr w:type="spellEnd"/>
          </w:p>
          <w:p w14:paraId="5B338CD4" w14:textId="77777777" w:rsidR="00793395" w:rsidRPr="00793395" w:rsidRDefault="00793395" w:rsidP="00E70FE9">
            <w:pPr>
              <w:pBdr>
                <w:top w:val="single" w:sz="4" w:space="1" w:color="auto"/>
                <w:left w:val="single" w:sz="4" w:space="4" w:color="auto"/>
                <w:bottom w:val="single" w:sz="4" w:space="1" w:color="auto"/>
                <w:right w:val="single" w:sz="4" w:space="4" w:color="auto"/>
              </w:pBdr>
              <w:rPr>
                <w:rFonts w:ascii="Cambria" w:hAnsi="Cambria"/>
                <w:sz w:val="24"/>
                <w:szCs w:val="24"/>
                <w:lang w:val="en-US"/>
              </w:rPr>
            </w:pPr>
            <w:r w:rsidRPr="00793395">
              <w:rPr>
                <w:rFonts w:ascii="Cambria" w:hAnsi="Cambria"/>
                <w:sz w:val="24"/>
                <w:szCs w:val="24"/>
                <w:lang w:val="en-US"/>
              </w:rPr>
              <w:t xml:space="preserve">- Version: </w:t>
            </w:r>
          </w:p>
          <w:p w14:paraId="63AE8EDC" w14:textId="77777777" w:rsidR="00793395" w:rsidRPr="009E6739" w:rsidRDefault="00793395" w:rsidP="00E70FE9">
            <w:pPr>
              <w:pBdr>
                <w:top w:val="single" w:sz="4" w:space="1" w:color="auto"/>
                <w:left w:val="single" w:sz="4" w:space="4" w:color="auto"/>
                <w:bottom w:val="single" w:sz="4" w:space="1" w:color="auto"/>
                <w:right w:val="single" w:sz="4" w:space="4" w:color="auto"/>
              </w:pBdr>
              <w:rPr>
                <w:rFonts w:ascii="Cambria" w:hAnsi="Cambria"/>
                <w:sz w:val="24"/>
                <w:szCs w:val="24"/>
                <w:lang w:val="en-US"/>
              </w:rPr>
            </w:pPr>
            <w:r w:rsidRPr="009E6739">
              <w:rPr>
                <w:rFonts w:ascii="Cambria" w:hAnsi="Cambria"/>
                <w:sz w:val="24"/>
                <w:szCs w:val="24"/>
                <w:lang w:val="en-US"/>
              </w:rPr>
              <w:t>0.33</w:t>
            </w:r>
          </w:p>
          <w:p w14:paraId="3AAB72B3" w14:textId="77777777" w:rsidR="00793395" w:rsidRPr="009E6739" w:rsidRDefault="00793395" w:rsidP="00E70FE9">
            <w:pPr>
              <w:pBdr>
                <w:top w:val="single" w:sz="4" w:space="1" w:color="auto"/>
                <w:left w:val="single" w:sz="4" w:space="4" w:color="auto"/>
                <w:bottom w:val="single" w:sz="4" w:space="1" w:color="auto"/>
                <w:right w:val="single" w:sz="4" w:space="4" w:color="auto"/>
              </w:pBdr>
              <w:rPr>
                <w:rFonts w:ascii="Cambria" w:hAnsi="Cambria"/>
                <w:sz w:val="24"/>
                <w:szCs w:val="24"/>
                <w:lang w:val="en-US"/>
              </w:rPr>
            </w:pPr>
            <w:r w:rsidRPr="009E6739">
              <w:rPr>
                <w:rFonts w:ascii="Cambria" w:hAnsi="Cambria"/>
                <w:sz w:val="24"/>
                <w:szCs w:val="24"/>
                <w:lang w:val="en-US"/>
              </w:rPr>
              <w:t>- Code:</w:t>
            </w:r>
          </w:p>
          <w:p w14:paraId="5E5C22A1" w14:textId="77777777" w:rsidR="00793395" w:rsidRPr="009E6739" w:rsidRDefault="00793395" w:rsidP="00E70FE9">
            <w:pPr>
              <w:pBdr>
                <w:top w:val="single" w:sz="4" w:space="1" w:color="auto"/>
                <w:left w:val="single" w:sz="4" w:space="4" w:color="auto"/>
                <w:bottom w:val="single" w:sz="4" w:space="1" w:color="auto"/>
                <w:right w:val="single" w:sz="4" w:space="4" w:color="auto"/>
              </w:pBdr>
              <w:rPr>
                <w:rFonts w:ascii="Cambria" w:hAnsi="Cambria"/>
                <w:sz w:val="24"/>
                <w:szCs w:val="24"/>
                <w:lang w:val="en-US"/>
              </w:rPr>
            </w:pPr>
            <w:r w:rsidRPr="009E6739">
              <w:rPr>
                <w:rFonts w:ascii="Cambria" w:hAnsi="Cambria"/>
                <w:sz w:val="24"/>
                <w:szCs w:val="24"/>
                <w:lang w:val="en-US"/>
              </w:rPr>
              <w:t>java -jar PATH-TO-TRIMMOMATIC/trimmomatic-0.33.jar SE -threads 10 -phred33 PATH-TO-SAMPLES/”sample</w:t>
            </w:r>
            <w:proofErr w:type="gramStart"/>
            <w:r w:rsidRPr="009E6739">
              <w:rPr>
                <w:rFonts w:ascii="Cambria" w:hAnsi="Cambria"/>
                <w:sz w:val="24"/>
                <w:szCs w:val="24"/>
                <w:lang w:val="en-US"/>
              </w:rPr>
              <w:t>”.fastq.gz</w:t>
            </w:r>
            <w:proofErr w:type="gramEnd"/>
            <w:r w:rsidRPr="009E6739">
              <w:rPr>
                <w:rFonts w:ascii="Cambria" w:hAnsi="Cambria"/>
                <w:sz w:val="24"/>
                <w:szCs w:val="24"/>
                <w:lang w:val="en-US"/>
              </w:rPr>
              <w:t xml:space="preserve"> “sample”/”sample”_</w:t>
            </w:r>
            <w:proofErr w:type="spellStart"/>
            <w:r w:rsidRPr="009E6739">
              <w:rPr>
                <w:rFonts w:ascii="Cambria" w:hAnsi="Cambria"/>
                <w:sz w:val="24"/>
                <w:szCs w:val="24"/>
                <w:lang w:val="en-US"/>
              </w:rPr>
              <w:t>filtered.fastq</w:t>
            </w:r>
            <w:proofErr w:type="spellEnd"/>
            <w:r w:rsidRPr="009E6739">
              <w:rPr>
                <w:rFonts w:ascii="Cambria" w:hAnsi="Cambria"/>
                <w:sz w:val="24"/>
                <w:szCs w:val="24"/>
                <w:lang w:val="en-US"/>
              </w:rPr>
              <w:t xml:space="preserve"> ILLUMINACLIP:all_PE.fa:2:30:10 SLIDINGWINDOW:4:15 MINLEN:50  </w:t>
            </w:r>
          </w:p>
          <w:p w14:paraId="0FA96005" w14:textId="77777777" w:rsidR="00793395" w:rsidRDefault="00793395" w:rsidP="00E70FE9">
            <w:pPr>
              <w:pBdr>
                <w:top w:val="single" w:sz="4" w:space="1" w:color="auto"/>
                <w:left w:val="single" w:sz="4" w:space="4" w:color="auto"/>
                <w:bottom w:val="single" w:sz="4" w:space="1" w:color="auto"/>
                <w:right w:val="single" w:sz="4" w:space="4" w:color="auto"/>
              </w:pBdr>
              <w:rPr>
                <w:rFonts w:ascii="Cambria" w:hAnsi="Cambria"/>
                <w:sz w:val="24"/>
                <w:szCs w:val="24"/>
                <w:lang w:val="en-US"/>
              </w:rPr>
            </w:pPr>
          </w:p>
        </w:tc>
      </w:tr>
      <w:tr w:rsidR="00793395" w:rsidRPr="00F76FD0" w14:paraId="65F9E831" w14:textId="77777777" w:rsidTr="00E70FE9">
        <w:tc>
          <w:tcPr>
            <w:tcW w:w="9746" w:type="dxa"/>
          </w:tcPr>
          <w:p w14:paraId="669E4DC5" w14:textId="77777777" w:rsidR="00793395" w:rsidRPr="009E6739" w:rsidRDefault="00793395" w:rsidP="00E70FE9">
            <w:pPr>
              <w:pBdr>
                <w:top w:val="single" w:sz="4" w:space="1" w:color="auto"/>
                <w:left w:val="single" w:sz="4" w:space="4" w:color="auto"/>
                <w:bottom w:val="single" w:sz="4" w:space="1" w:color="auto"/>
                <w:right w:val="single" w:sz="4" w:space="4" w:color="auto"/>
              </w:pBdr>
              <w:rPr>
                <w:rFonts w:ascii="Cambria" w:hAnsi="Cambria"/>
                <w:i/>
                <w:sz w:val="24"/>
                <w:szCs w:val="24"/>
                <w:lang w:val="en-US"/>
              </w:rPr>
            </w:pPr>
            <w:r w:rsidRPr="009E6739">
              <w:rPr>
                <w:rFonts w:ascii="Cambria" w:hAnsi="Cambria"/>
                <w:i/>
                <w:sz w:val="24"/>
                <w:szCs w:val="24"/>
                <w:lang w:val="en-US"/>
              </w:rPr>
              <w:lastRenderedPageBreak/>
              <w:t>2. Mapping Step</w:t>
            </w:r>
          </w:p>
          <w:p w14:paraId="621A60F2" w14:textId="77777777" w:rsidR="00793395" w:rsidRPr="009E6739" w:rsidRDefault="00793395" w:rsidP="00E70FE9">
            <w:pPr>
              <w:pBdr>
                <w:top w:val="single" w:sz="4" w:space="1" w:color="auto"/>
                <w:left w:val="single" w:sz="4" w:space="4" w:color="auto"/>
                <w:bottom w:val="single" w:sz="4" w:space="1" w:color="auto"/>
                <w:right w:val="single" w:sz="4" w:space="4" w:color="auto"/>
              </w:pBdr>
              <w:rPr>
                <w:rFonts w:ascii="Cambria" w:hAnsi="Cambria"/>
                <w:sz w:val="24"/>
                <w:szCs w:val="24"/>
                <w:lang w:val="en-US"/>
              </w:rPr>
            </w:pPr>
            <w:r w:rsidRPr="009E6739">
              <w:rPr>
                <w:rFonts w:ascii="Cambria" w:hAnsi="Cambria"/>
                <w:sz w:val="24"/>
                <w:szCs w:val="24"/>
                <w:lang w:val="en-US"/>
              </w:rPr>
              <w:t>Settings employed for mapping the filtered counts.</w:t>
            </w:r>
          </w:p>
          <w:p w14:paraId="290610B6" w14:textId="77777777" w:rsidR="00793395" w:rsidRPr="008A15CD" w:rsidRDefault="00793395" w:rsidP="00E70FE9">
            <w:pPr>
              <w:pBdr>
                <w:top w:val="single" w:sz="4" w:space="1" w:color="auto"/>
                <w:left w:val="single" w:sz="4" w:space="4" w:color="auto"/>
                <w:bottom w:val="single" w:sz="4" w:space="1" w:color="auto"/>
                <w:right w:val="single" w:sz="4" w:space="4" w:color="auto"/>
              </w:pBdr>
              <w:rPr>
                <w:rFonts w:ascii="Cambria" w:hAnsi="Cambria"/>
                <w:sz w:val="24"/>
                <w:szCs w:val="24"/>
                <w:lang w:val="en-US"/>
              </w:rPr>
            </w:pPr>
            <w:r w:rsidRPr="008A15CD">
              <w:rPr>
                <w:rFonts w:ascii="Cambria" w:hAnsi="Cambria"/>
                <w:sz w:val="24"/>
                <w:szCs w:val="24"/>
                <w:lang w:val="en-US"/>
              </w:rPr>
              <w:t>- Software:</w:t>
            </w:r>
          </w:p>
          <w:p w14:paraId="68BBE610" w14:textId="77777777" w:rsidR="00793395" w:rsidRPr="008A15CD" w:rsidRDefault="00793395" w:rsidP="00E70FE9">
            <w:pPr>
              <w:pBdr>
                <w:top w:val="single" w:sz="4" w:space="1" w:color="auto"/>
                <w:left w:val="single" w:sz="4" w:space="4" w:color="auto"/>
                <w:bottom w:val="single" w:sz="4" w:space="1" w:color="auto"/>
                <w:right w:val="single" w:sz="4" w:space="4" w:color="auto"/>
              </w:pBdr>
              <w:rPr>
                <w:rFonts w:ascii="Cambria" w:hAnsi="Cambria"/>
                <w:sz w:val="24"/>
                <w:szCs w:val="24"/>
                <w:lang w:val="en-US"/>
              </w:rPr>
            </w:pPr>
            <w:r w:rsidRPr="008A15CD">
              <w:rPr>
                <w:rFonts w:ascii="Cambria" w:hAnsi="Cambria"/>
                <w:sz w:val="24"/>
                <w:szCs w:val="24"/>
                <w:lang w:val="en-US"/>
              </w:rPr>
              <w:t>Tophat2</w:t>
            </w:r>
          </w:p>
          <w:p w14:paraId="0B75ECC0" w14:textId="77777777" w:rsidR="00793395" w:rsidRPr="008A15CD" w:rsidRDefault="00793395" w:rsidP="00E70FE9">
            <w:pPr>
              <w:pBdr>
                <w:top w:val="single" w:sz="4" w:space="1" w:color="auto"/>
                <w:left w:val="single" w:sz="4" w:space="4" w:color="auto"/>
                <w:bottom w:val="single" w:sz="4" w:space="1" w:color="auto"/>
                <w:right w:val="single" w:sz="4" w:space="4" w:color="auto"/>
              </w:pBdr>
              <w:rPr>
                <w:rFonts w:ascii="Cambria" w:hAnsi="Cambria"/>
                <w:sz w:val="24"/>
                <w:szCs w:val="24"/>
                <w:lang w:val="en-US"/>
              </w:rPr>
            </w:pPr>
            <w:r w:rsidRPr="008A15CD">
              <w:rPr>
                <w:rFonts w:ascii="Cambria" w:hAnsi="Cambria"/>
                <w:sz w:val="24"/>
                <w:szCs w:val="24"/>
                <w:lang w:val="en-US"/>
              </w:rPr>
              <w:t>- Version:</w:t>
            </w:r>
          </w:p>
          <w:p w14:paraId="46083BAB" w14:textId="77777777" w:rsidR="00793395" w:rsidRPr="008A15CD" w:rsidRDefault="00793395" w:rsidP="00E70FE9">
            <w:pPr>
              <w:pBdr>
                <w:top w:val="single" w:sz="4" w:space="1" w:color="auto"/>
                <w:left w:val="single" w:sz="4" w:space="4" w:color="auto"/>
                <w:bottom w:val="single" w:sz="4" w:space="1" w:color="auto"/>
                <w:right w:val="single" w:sz="4" w:space="4" w:color="auto"/>
              </w:pBdr>
              <w:rPr>
                <w:rFonts w:ascii="Cambria" w:hAnsi="Cambria"/>
                <w:sz w:val="24"/>
                <w:szCs w:val="24"/>
                <w:lang w:val="en-US"/>
              </w:rPr>
            </w:pPr>
            <w:r w:rsidRPr="008A15CD">
              <w:rPr>
                <w:rFonts w:ascii="Cambria" w:hAnsi="Cambria"/>
                <w:sz w:val="24"/>
                <w:szCs w:val="24"/>
                <w:lang w:val="en-US"/>
              </w:rPr>
              <w:t>2.0.14</w:t>
            </w:r>
          </w:p>
          <w:p w14:paraId="44E5F89F" w14:textId="77777777" w:rsidR="00793395" w:rsidRPr="008A15CD" w:rsidRDefault="00793395" w:rsidP="00E70FE9">
            <w:pPr>
              <w:pBdr>
                <w:top w:val="single" w:sz="4" w:space="1" w:color="auto"/>
                <w:left w:val="single" w:sz="4" w:space="4" w:color="auto"/>
                <w:bottom w:val="single" w:sz="4" w:space="1" w:color="auto"/>
                <w:right w:val="single" w:sz="4" w:space="4" w:color="auto"/>
              </w:pBdr>
              <w:rPr>
                <w:rFonts w:ascii="Cambria" w:hAnsi="Cambria"/>
                <w:sz w:val="24"/>
                <w:szCs w:val="24"/>
                <w:lang w:val="en-US"/>
              </w:rPr>
            </w:pPr>
            <w:r w:rsidRPr="008A15CD">
              <w:rPr>
                <w:rFonts w:ascii="Cambria" w:hAnsi="Cambria"/>
                <w:sz w:val="24"/>
                <w:szCs w:val="24"/>
                <w:lang w:val="en-US"/>
              </w:rPr>
              <w:t>- Human genome:</w:t>
            </w:r>
          </w:p>
          <w:p w14:paraId="457FBC03" w14:textId="77777777" w:rsidR="00793395" w:rsidRPr="00672956" w:rsidRDefault="00793395" w:rsidP="00E70FE9">
            <w:pPr>
              <w:pBdr>
                <w:top w:val="single" w:sz="4" w:space="1" w:color="auto"/>
                <w:left w:val="single" w:sz="4" w:space="4" w:color="auto"/>
                <w:bottom w:val="single" w:sz="4" w:space="1" w:color="auto"/>
                <w:right w:val="single" w:sz="4" w:space="4" w:color="auto"/>
              </w:pBdr>
              <w:rPr>
                <w:rFonts w:ascii="Cambria" w:hAnsi="Cambria"/>
                <w:sz w:val="24"/>
                <w:szCs w:val="24"/>
                <w:lang w:val="en-US"/>
              </w:rPr>
            </w:pPr>
            <w:r w:rsidRPr="00672956">
              <w:rPr>
                <w:rFonts w:ascii="Cambria" w:hAnsi="Cambria"/>
                <w:sz w:val="24"/>
                <w:szCs w:val="24"/>
                <w:lang w:val="en-US"/>
              </w:rPr>
              <w:t>GRCh38</w:t>
            </w:r>
          </w:p>
          <w:p w14:paraId="505C872C" w14:textId="77777777" w:rsidR="00793395" w:rsidRPr="00672956" w:rsidRDefault="00793395" w:rsidP="00E70FE9">
            <w:pPr>
              <w:pBdr>
                <w:top w:val="single" w:sz="4" w:space="1" w:color="auto"/>
                <w:left w:val="single" w:sz="4" w:space="4" w:color="auto"/>
                <w:bottom w:val="single" w:sz="4" w:space="1" w:color="auto"/>
                <w:right w:val="single" w:sz="4" w:space="4" w:color="auto"/>
              </w:pBdr>
              <w:rPr>
                <w:rFonts w:ascii="Cambria" w:hAnsi="Cambria"/>
                <w:sz w:val="24"/>
                <w:szCs w:val="24"/>
                <w:lang w:val="en-US"/>
              </w:rPr>
            </w:pPr>
            <w:r w:rsidRPr="00672956">
              <w:rPr>
                <w:rFonts w:ascii="Cambria" w:hAnsi="Cambria"/>
                <w:sz w:val="24"/>
                <w:szCs w:val="24"/>
                <w:lang w:val="en-US"/>
              </w:rPr>
              <w:t>- Code:</w:t>
            </w:r>
          </w:p>
          <w:p w14:paraId="08BA72C9" w14:textId="77777777" w:rsidR="00793395" w:rsidRPr="00E13C61" w:rsidRDefault="00793395" w:rsidP="00E70FE9">
            <w:pPr>
              <w:pBdr>
                <w:top w:val="single" w:sz="4" w:space="1" w:color="auto"/>
                <w:left w:val="single" w:sz="4" w:space="4" w:color="auto"/>
                <w:bottom w:val="single" w:sz="4" w:space="1" w:color="auto"/>
                <w:right w:val="single" w:sz="4" w:space="4" w:color="auto"/>
              </w:pBdr>
              <w:rPr>
                <w:rFonts w:ascii="Cambria" w:hAnsi="Cambria"/>
                <w:sz w:val="24"/>
                <w:szCs w:val="24"/>
                <w:lang w:val="en-US"/>
              </w:rPr>
            </w:pPr>
            <w:proofErr w:type="spellStart"/>
            <w:r w:rsidRPr="00E13C61">
              <w:rPr>
                <w:rFonts w:ascii="Cambria" w:hAnsi="Cambria"/>
                <w:sz w:val="24"/>
                <w:szCs w:val="24"/>
                <w:lang w:val="en-US"/>
              </w:rPr>
              <w:t>mkdir</w:t>
            </w:r>
            <w:proofErr w:type="spellEnd"/>
            <w:r w:rsidRPr="00E13C61">
              <w:rPr>
                <w:rFonts w:ascii="Cambria" w:hAnsi="Cambria"/>
                <w:sz w:val="24"/>
                <w:szCs w:val="24"/>
                <w:lang w:val="en-US"/>
              </w:rPr>
              <w:t xml:space="preserve"> -p “sample”; </w:t>
            </w:r>
            <w:proofErr w:type="spellStart"/>
            <w:r w:rsidRPr="00E13C61">
              <w:rPr>
                <w:rFonts w:ascii="Cambria" w:hAnsi="Cambria"/>
                <w:sz w:val="24"/>
                <w:szCs w:val="24"/>
                <w:lang w:val="en-US"/>
              </w:rPr>
              <w:t>qsub</w:t>
            </w:r>
            <w:proofErr w:type="spellEnd"/>
            <w:r w:rsidRPr="00E13C61">
              <w:rPr>
                <w:rFonts w:ascii="Cambria" w:hAnsi="Cambria"/>
                <w:sz w:val="24"/>
                <w:szCs w:val="24"/>
                <w:lang w:val="en-US"/>
              </w:rPr>
              <w:t xml:space="preserve"> -V -b y -j y -</w:t>
            </w:r>
            <w:proofErr w:type="spellStart"/>
            <w:r w:rsidRPr="00E13C61">
              <w:rPr>
                <w:rFonts w:ascii="Cambria" w:hAnsi="Cambria"/>
                <w:sz w:val="24"/>
                <w:szCs w:val="24"/>
                <w:lang w:val="en-US"/>
              </w:rPr>
              <w:t>cwd</w:t>
            </w:r>
            <w:proofErr w:type="spellEnd"/>
            <w:r w:rsidRPr="00E13C61">
              <w:rPr>
                <w:rFonts w:ascii="Cambria" w:hAnsi="Cambria"/>
                <w:sz w:val="24"/>
                <w:szCs w:val="24"/>
                <w:lang w:val="en-US"/>
              </w:rPr>
              <w:t xml:space="preserve"> -N TOPHATALIGNMENT -q </w:t>
            </w:r>
            <w:proofErr w:type="spellStart"/>
            <w:r w:rsidRPr="00E13C61">
              <w:rPr>
                <w:rFonts w:ascii="Cambria" w:hAnsi="Cambria"/>
                <w:sz w:val="24"/>
                <w:szCs w:val="24"/>
                <w:lang w:val="en-US"/>
              </w:rPr>
              <w:t>all.q</w:t>
            </w:r>
            <w:proofErr w:type="spellEnd"/>
            <w:r w:rsidRPr="00E13C61">
              <w:rPr>
                <w:rFonts w:ascii="Cambria" w:hAnsi="Cambria"/>
                <w:sz w:val="24"/>
                <w:szCs w:val="24"/>
                <w:lang w:val="en-US"/>
              </w:rPr>
              <w:t xml:space="preserve"> -pe </w:t>
            </w:r>
            <w:proofErr w:type="spellStart"/>
            <w:r w:rsidRPr="00E13C61">
              <w:rPr>
                <w:rFonts w:ascii="Cambria" w:hAnsi="Cambria"/>
                <w:sz w:val="24"/>
                <w:szCs w:val="24"/>
                <w:lang w:val="en-US"/>
              </w:rPr>
              <w:t>openmp</w:t>
            </w:r>
            <w:proofErr w:type="spellEnd"/>
            <w:r w:rsidRPr="00E13C61">
              <w:rPr>
                <w:rFonts w:ascii="Cambria" w:hAnsi="Cambria"/>
                <w:sz w:val="24"/>
                <w:szCs w:val="24"/>
                <w:lang w:val="en-US"/>
              </w:rPr>
              <w:t xml:space="preserve"> 10 tophat2 -p 10 -o 026C -G ../../REFERENCES/GRCh38_refseq.gtf --transcriptome-index ../../REFERENCES/ ../../REFERENCES/hg38.fullAnalysisSet.fa ../02-preprocessing/”sample”/”sample”_filtered.fastq.gz  </w:t>
            </w:r>
          </w:p>
          <w:p w14:paraId="73D24DA7" w14:textId="77777777" w:rsidR="00793395" w:rsidRPr="00E13C61" w:rsidRDefault="00793395" w:rsidP="00E70FE9">
            <w:pPr>
              <w:pBdr>
                <w:top w:val="single" w:sz="4" w:space="1" w:color="auto"/>
                <w:left w:val="single" w:sz="4" w:space="4" w:color="auto"/>
                <w:bottom w:val="single" w:sz="4" w:space="1" w:color="auto"/>
                <w:right w:val="single" w:sz="4" w:space="4" w:color="auto"/>
              </w:pBdr>
              <w:rPr>
                <w:rFonts w:ascii="Cambria" w:hAnsi="Cambria"/>
                <w:sz w:val="24"/>
                <w:szCs w:val="24"/>
                <w:lang w:val="en-US"/>
              </w:rPr>
            </w:pPr>
          </w:p>
        </w:tc>
      </w:tr>
      <w:tr w:rsidR="00793395" w:rsidRPr="00F76FD0" w14:paraId="038BA410" w14:textId="77777777" w:rsidTr="00E70FE9">
        <w:tc>
          <w:tcPr>
            <w:tcW w:w="9746" w:type="dxa"/>
          </w:tcPr>
          <w:p w14:paraId="3F4D88A0" w14:textId="77777777" w:rsidR="00793395" w:rsidRPr="009E6739" w:rsidRDefault="00793395" w:rsidP="00E70FE9">
            <w:pPr>
              <w:pBdr>
                <w:top w:val="single" w:sz="4" w:space="1" w:color="auto"/>
                <w:left w:val="single" w:sz="4" w:space="4" w:color="auto"/>
                <w:bottom w:val="single" w:sz="4" w:space="1" w:color="auto"/>
                <w:right w:val="single" w:sz="4" w:space="4" w:color="auto"/>
              </w:pBdr>
              <w:rPr>
                <w:rFonts w:ascii="Cambria" w:hAnsi="Cambria"/>
                <w:i/>
                <w:sz w:val="24"/>
                <w:szCs w:val="24"/>
                <w:lang w:val="en-US"/>
              </w:rPr>
            </w:pPr>
            <w:r w:rsidRPr="009E6739">
              <w:rPr>
                <w:rFonts w:ascii="Cambria" w:hAnsi="Cambria"/>
                <w:i/>
                <w:sz w:val="24"/>
                <w:szCs w:val="24"/>
                <w:lang w:val="en-US"/>
              </w:rPr>
              <w:t>3. Count step</w:t>
            </w:r>
          </w:p>
          <w:p w14:paraId="1C7F4063" w14:textId="77777777" w:rsidR="00793395" w:rsidRPr="009E6739" w:rsidRDefault="00793395" w:rsidP="00E70FE9">
            <w:pPr>
              <w:pBdr>
                <w:top w:val="single" w:sz="4" w:space="1" w:color="auto"/>
                <w:left w:val="single" w:sz="4" w:space="4" w:color="auto"/>
                <w:bottom w:val="single" w:sz="4" w:space="1" w:color="auto"/>
                <w:right w:val="single" w:sz="4" w:space="4" w:color="auto"/>
              </w:pBdr>
              <w:rPr>
                <w:rFonts w:ascii="Cambria" w:hAnsi="Cambria"/>
                <w:sz w:val="24"/>
                <w:szCs w:val="24"/>
                <w:lang w:val="en-US"/>
              </w:rPr>
            </w:pPr>
            <w:r w:rsidRPr="009E6739">
              <w:rPr>
                <w:rFonts w:ascii="Cambria" w:hAnsi="Cambria"/>
                <w:sz w:val="24"/>
                <w:szCs w:val="24"/>
                <w:lang w:val="en-US"/>
              </w:rPr>
              <w:t>Settings employed to obtain the number of counts per gene and sample</w:t>
            </w:r>
          </w:p>
          <w:p w14:paraId="58D5DCC5" w14:textId="77777777" w:rsidR="00793395" w:rsidRPr="009E6739" w:rsidRDefault="00793395" w:rsidP="00E70FE9">
            <w:pPr>
              <w:pBdr>
                <w:top w:val="single" w:sz="4" w:space="1" w:color="auto"/>
                <w:left w:val="single" w:sz="4" w:space="4" w:color="auto"/>
                <w:bottom w:val="single" w:sz="4" w:space="1" w:color="auto"/>
                <w:right w:val="single" w:sz="4" w:space="4" w:color="auto"/>
              </w:pBdr>
              <w:rPr>
                <w:rFonts w:ascii="Cambria" w:hAnsi="Cambria"/>
                <w:sz w:val="24"/>
                <w:szCs w:val="24"/>
                <w:lang w:val="de-LU"/>
              </w:rPr>
            </w:pPr>
            <w:r w:rsidRPr="009E6739">
              <w:rPr>
                <w:rFonts w:ascii="Cambria" w:hAnsi="Cambria"/>
                <w:sz w:val="24"/>
                <w:szCs w:val="24"/>
                <w:lang w:val="de-LU"/>
              </w:rPr>
              <w:t>- Software:</w:t>
            </w:r>
          </w:p>
          <w:p w14:paraId="1F83645C" w14:textId="77777777" w:rsidR="00793395" w:rsidRPr="009E6739" w:rsidRDefault="00793395" w:rsidP="00E70FE9">
            <w:pPr>
              <w:pBdr>
                <w:top w:val="single" w:sz="4" w:space="1" w:color="auto"/>
                <w:left w:val="single" w:sz="4" w:space="4" w:color="auto"/>
                <w:bottom w:val="single" w:sz="4" w:space="1" w:color="auto"/>
                <w:right w:val="single" w:sz="4" w:space="4" w:color="auto"/>
              </w:pBdr>
              <w:rPr>
                <w:rFonts w:ascii="Cambria" w:hAnsi="Cambria"/>
                <w:sz w:val="24"/>
                <w:szCs w:val="24"/>
                <w:lang w:val="de-LU"/>
              </w:rPr>
            </w:pPr>
            <w:r w:rsidRPr="009E6739">
              <w:rPr>
                <w:rFonts w:ascii="Cambria" w:hAnsi="Cambria"/>
                <w:sz w:val="24"/>
                <w:szCs w:val="24"/>
                <w:lang w:val="de-LU"/>
              </w:rPr>
              <w:t>HTSeq</w:t>
            </w:r>
          </w:p>
          <w:p w14:paraId="0EADDB64" w14:textId="77777777" w:rsidR="00793395" w:rsidRPr="009E6739" w:rsidRDefault="00793395" w:rsidP="00E70FE9">
            <w:pPr>
              <w:pBdr>
                <w:top w:val="single" w:sz="4" w:space="1" w:color="auto"/>
                <w:left w:val="single" w:sz="4" w:space="4" w:color="auto"/>
                <w:bottom w:val="single" w:sz="4" w:space="1" w:color="auto"/>
                <w:right w:val="single" w:sz="4" w:space="4" w:color="auto"/>
              </w:pBdr>
              <w:rPr>
                <w:rFonts w:ascii="Cambria" w:hAnsi="Cambria"/>
                <w:sz w:val="24"/>
                <w:szCs w:val="24"/>
                <w:lang w:val="de-LU"/>
              </w:rPr>
            </w:pPr>
            <w:r w:rsidRPr="009E6739">
              <w:rPr>
                <w:rFonts w:ascii="Cambria" w:hAnsi="Cambria"/>
                <w:sz w:val="24"/>
                <w:szCs w:val="24"/>
                <w:lang w:val="de-LU"/>
              </w:rPr>
              <w:t>- Version:</w:t>
            </w:r>
          </w:p>
          <w:p w14:paraId="3EC6471F" w14:textId="77777777" w:rsidR="00793395" w:rsidRPr="009E6739" w:rsidRDefault="00793395" w:rsidP="00E70FE9">
            <w:pPr>
              <w:pBdr>
                <w:top w:val="single" w:sz="4" w:space="1" w:color="auto"/>
                <w:left w:val="single" w:sz="4" w:space="4" w:color="auto"/>
                <w:bottom w:val="single" w:sz="4" w:space="1" w:color="auto"/>
                <w:right w:val="single" w:sz="4" w:space="4" w:color="auto"/>
              </w:pBdr>
              <w:rPr>
                <w:rFonts w:ascii="Cambria" w:hAnsi="Cambria"/>
                <w:sz w:val="24"/>
                <w:szCs w:val="24"/>
                <w:lang w:val="de-LU"/>
              </w:rPr>
            </w:pPr>
            <w:r w:rsidRPr="009E6739">
              <w:rPr>
                <w:rFonts w:ascii="Cambria" w:hAnsi="Cambria"/>
                <w:sz w:val="24"/>
                <w:szCs w:val="24"/>
                <w:lang w:val="de-LU"/>
              </w:rPr>
              <w:t>0.6.1</w:t>
            </w:r>
          </w:p>
          <w:p w14:paraId="57A34827" w14:textId="77777777" w:rsidR="00793395" w:rsidRPr="009E6739" w:rsidRDefault="00793395" w:rsidP="00E70FE9">
            <w:pPr>
              <w:pBdr>
                <w:top w:val="single" w:sz="4" w:space="1" w:color="auto"/>
                <w:left w:val="single" w:sz="4" w:space="4" w:color="auto"/>
                <w:bottom w:val="single" w:sz="4" w:space="1" w:color="auto"/>
                <w:right w:val="single" w:sz="4" w:space="4" w:color="auto"/>
              </w:pBdr>
              <w:rPr>
                <w:rFonts w:ascii="Cambria" w:hAnsi="Cambria"/>
                <w:sz w:val="24"/>
                <w:szCs w:val="24"/>
                <w:lang w:val="de-LU"/>
              </w:rPr>
            </w:pPr>
            <w:r w:rsidRPr="009E6739">
              <w:rPr>
                <w:rFonts w:ascii="Cambria" w:hAnsi="Cambria"/>
                <w:sz w:val="24"/>
                <w:szCs w:val="24"/>
                <w:lang w:val="de-LU"/>
              </w:rPr>
              <w:t>- Code:</w:t>
            </w:r>
          </w:p>
          <w:p w14:paraId="2E13DC7B" w14:textId="77777777" w:rsidR="00793395" w:rsidRPr="009E6739" w:rsidRDefault="00793395" w:rsidP="00E70FE9">
            <w:pPr>
              <w:pBdr>
                <w:top w:val="single" w:sz="4" w:space="1" w:color="auto"/>
                <w:left w:val="single" w:sz="4" w:space="4" w:color="auto"/>
                <w:bottom w:val="single" w:sz="4" w:space="1" w:color="auto"/>
                <w:right w:val="single" w:sz="4" w:space="4" w:color="auto"/>
              </w:pBdr>
              <w:rPr>
                <w:rFonts w:ascii="Cambria" w:hAnsi="Cambria"/>
                <w:sz w:val="24"/>
                <w:szCs w:val="24"/>
                <w:lang w:val="de-LU"/>
              </w:rPr>
            </w:pPr>
            <w:r w:rsidRPr="009E6739">
              <w:rPr>
                <w:rFonts w:ascii="Cambria" w:hAnsi="Cambria"/>
                <w:sz w:val="24"/>
                <w:szCs w:val="24"/>
                <w:lang w:val="de-LU"/>
              </w:rPr>
              <w:t>#!/bin/bash</w:t>
            </w:r>
          </w:p>
          <w:p w14:paraId="4AFE2C21" w14:textId="77777777" w:rsidR="00793395" w:rsidRPr="00793395" w:rsidRDefault="00793395" w:rsidP="00E70FE9">
            <w:pPr>
              <w:pBdr>
                <w:top w:val="single" w:sz="4" w:space="1" w:color="auto"/>
                <w:left w:val="single" w:sz="4" w:space="4" w:color="auto"/>
                <w:bottom w:val="single" w:sz="4" w:space="1" w:color="auto"/>
                <w:right w:val="single" w:sz="4" w:space="4" w:color="auto"/>
              </w:pBdr>
              <w:rPr>
                <w:rFonts w:ascii="Cambria" w:hAnsi="Cambria"/>
                <w:sz w:val="24"/>
                <w:szCs w:val="24"/>
              </w:rPr>
            </w:pPr>
            <w:r w:rsidRPr="00793395">
              <w:rPr>
                <w:rFonts w:ascii="Cambria" w:hAnsi="Cambria"/>
                <w:sz w:val="24"/>
                <w:szCs w:val="24"/>
              </w:rPr>
              <w:t>#$ -V</w:t>
            </w:r>
          </w:p>
          <w:p w14:paraId="13EFD8D7" w14:textId="77777777" w:rsidR="00793395" w:rsidRPr="009E6739" w:rsidRDefault="00793395" w:rsidP="00E70FE9">
            <w:pPr>
              <w:pBdr>
                <w:top w:val="single" w:sz="4" w:space="1" w:color="auto"/>
                <w:left w:val="single" w:sz="4" w:space="4" w:color="auto"/>
                <w:bottom w:val="single" w:sz="4" w:space="1" w:color="auto"/>
                <w:right w:val="single" w:sz="4" w:space="4" w:color="auto"/>
              </w:pBdr>
              <w:rPr>
                <w:rFonts w:ascii="Cambria" w:hAnsi="Cambria"/>
                <w:sz w:val="24"/>
                <w:szCs w:val="24"/>
              </w:rPr>
            </w:pPr>
            <w:r w:rsidRPr="009E6739">
              <w:rPr>
                <w:rFonts w:ascii="Cambria" w:hAnsi="Cambria"/>
                <w:sz w:val="24"/>
                <w:szCs w:val="24"/>
              </w:rPr>
              <w:t>#$ -b y</w:t>
            </w:r>
          </w:p>
          <w:p w14:paraId="735E6454" w14:textId="77777777" w:rsidR="00793395" w:rsidRPr="009E6739" w:rsidRDefault="00793395" w:rsidP="00E70FE9">
            <w:pPr>
              <w:pBdr>
                <w:top w:val="single" w:sz="4" w:space="1" w:color="auto"/>
                <w:left w:val="single" w:sz="4" w:space="4" w:color="auto"/>
                <w:bottom w:val="single" w:sz="4" w:space="1" w:color="auto"/>
                <w:right w:val="single" w:sz="4" w:space="4" w:color="auto"/>
              </w:pBdr>
              <w:rPr>
                <w:rFonts w:ascii="Cambria" w:hAnsi="Cambria"/>
                <w:sz w:val="24"/>
                <w:szCs w:val="24"/>
              </w:rPr>
            </w:pPr>
            <w:r w:rsidRPr="009E6739">
              <w:rPr>
                <w:rFonts w:ascii="Cambria" w:hAnsi="Cambria"/>
                <w:sz w:val="24"/>
                <w:szCs w:val="24"/>
              </w:rPr>
              <w:t>#$ -j y</w:t>
            </w:r>
          </w:p>
          <w:p w14:paraId="073BDB83" w14:textId="77777777" w:rsidR="00793395" w:rsidRPr="009E6739" w:rsidRDefault="00793395" w:rsidP="00E70FE9">
            <w:pPr>
              <w:pBdr>
                <w:top w:val="single" w:sz="4" w:space="1" w:color="auto"/>
                <w:left w:val="single" w:sz="4" w:space="4" w:color="auto"/>
                <w:bottom w:val="single" w:sz="4" w:space="1" w:color="auto"/>
                <w:right w:val="single" w:sz="4" w:space="4" w:color="auto"/>
              </w:pBdr>
              <w:rPr>
                <w:rFonts w:ascii="Cambria" w:hAnsi="Cambria"/>
                <w:sz w:val="24"/>
                <w:szCs w:val="24"/>
              </w:rPr>
            </w:pPr>
            <w:r w:rsidRPr="009E6739">
              <w:rPr>
                <w:rFonts w:ascii="Cambria" w:hAnsi="Cambria"/>
                <w:sz w:val="24"/>
                <w:szCs w:val="24"/>
              </w:rPr>
              <w:t>#$ -</w:t>
            </w:r>
            <w:proofErr w:type="spellStart"/>
            <w:r w:rsidRPr="009E6739">
              <w:rPr>
                <w:rFonts w:ascii="Cambria" w:hAnsi="Cambria"/>
                <w:sz w:val="24"/>
                <w:szCs w:val="24"/>
              </w:rPr>
              <w:t>cwd</w:t>
            </w:r>
            <w:proofErr w:type="spellEnd"/>
          </w:p>
          <w:p w14:paraId="1E60E0C5" w14:textId="77777777" w:rsidR="00793395" w:rsidRPr="009E6739" w:rsidRDefault="00793395" w:rsidP="00E70FE9">
            <w:pPr>
              <w:pBdr>
                <w:top w:val="single" w:sz="4" w:space="1" w:color="auto"/>
                <w:left w:val="single" w:sz="4" w:space="4" w:color="auto"/>
                <w:bottom w:val="single" w:sz="4" w:space="1" w:color="auto"/>
                <w:right w:val="single" w:sz="4" w:space="4" w:color="auto"/>
              </w:pBdr>
              <w:rPr>
                <w:rFonts w:ascii="Cambria" w:hAnsi="Cambria"/>
                <w:sz w:val="24"/>
                <w:szCs w:val="24"/>
              </w:rPr>
            </w:pPr>
            <w:r w:rsidRPr="009E6739">
              <w:rPr>
                <w:rFonts w:ascii="Cambria" w:hAnsi="Cambria"/>
                <w:sz w:val="24"/>
                <w:szCs w:val="24"/>
              </w:rPr>
              <w:t>#$ -N HTSEQCOUNT</w:t>
            </w:r>
          </w:p>
          <w:p w14:paraId="059BB78B" w14:textId="77777777" w:rsidR="00793395" w:rsidRPr="00CA6291" w:rsidRDefault="00793395" w:rsidP="00E70FE9">
            <w:pPr>
              <w:pBdr>
                <w:top w:val="single" w:sz="4" w:space="1" w:color="auto"/>
                <w:left w:val="single" w:sz="4" w:space="4" w:color="auto"/>
                <w:bottom w:val="single" w:sz="4" w:space="1" w:color="auto"/>
                <w:right w:val="single" w:sz="4" w:space="4" w:color="auto"/>
              </w:pBdr>
              <w:rPr>
                <w:rFonts w:ascii="Cambria" w:hAnsi="Cambria"/>
                <w:sz w:val="24"/>
                <w:szCs w:val="24"/>
                <w:lang w:val="de-LU"/>
              </w:rPr>
            </w:pPr>
            <w:r w:rsidRPr="00CA6291">
              <w:rPr>
                <w:rFonts w:ascii="Cambria" w:hAnsi="Cambria"/>
                <w:sz w:val="24"/>
                <w:szCs w:val="24"/>
                <w:lang w:val="de-LU"/>
              </w:rPr>
              <w:t>#$ -q all.q</w:t>
            </w:r>
          </w:p>
          <w:p w14:paraId="41DCF808" w14:textId="77777777" w:rsidR="00793395" w:rsidRPr="00CA6291" w:rsidRDefault="00793395" w:rsidP="00E70FE9">
            <w:pPr>
              <w:pBdr>
                <w:top w:val="single" w:sz="4" w:space="1" w:color="auto"/>
                <w:left w:val="single" w:sz="4" w:space="4" w:color="auto"/>
                <w:bottom w:val="single" w:sz="4" w:space="1" w:color="auto"/>
                <w:right w:val="single" w:sz="4" w:space="4" w:color="auto"/>
              </w:pBdr>
              <w:rPr>
                <w:rFonts w:ascii="Cambria" w:hAnsi="Cambria"/>
                <w:sz w:val="24"/>
                <w:szCs w:val="24"/>
                <w:lang w:val="de-LU"/>
              </w:rPr>
            </w:pPr>
            <w:r w:rsidRPr="00CA6291">
              <w:rPr>
                <w:rFonts w:ascii="Cambria" w:hAnsi="Cambria"/>
                <w:sz w:val="24"/>
                <w:szCs w:val="24"/>
                <w:lang w:val="de-LU"/>
              </w:rPr>
              <w:t>#$ -t 1-100</w:t>
            </w:r>
          </w:p>
          <w:p w14:paraId="55242F02" w14:textId="77777777" w:rsidR="00793395" w:rsidRPr="00CA6291" w:rsidRDefault="00793395" w:rsidP="00E70FE9">
            <w:pPr>
              <w:pBdr>
                <w:top w:val="single" w:sz="4" w:space="1" w:color="auto"/>
                <w:left w:val="single" w:sz="4" w:space="4" w:color="auto"/>
                <w:bottom w:val="single" w:sz="4" w:space="1" w:color="auto"/>
                <w:right w:val="single" w:sz="4" w:space="4" w:color="auto"/>
              </w:pBdr>
              <w:rPr>
                <w:rFonts w:ascii="Cambria" w:hAnsi="Cambria"/>
                <w:sz w:val="24"/>
                <w:szCs w:val="24"/>
                <w:lang w:val="de-LU"/>
              </w:rPr>
            </w:pPr>
            <w:r w:rsidRPr="00CA6291">
              <w:rPr>
                <w:rFonts w:ascii="Cambria" w:hAnsi="Cambria"/>
                <w:sz w:val="24"/>
                <w:szCs w:val="24"/>
                <w:lang w:val="de-LU"/>
              </w:rPr>
              <w:t>set -e</w:t>
            </w:r>
          </w:p>
          <w:p w14:paraId="682C5357" w14:textId="77777777" w:rsidR="00793395" w:rsidRPr="00CA6291" w:rsidRDefault="00793395" w:rsidP="00E70FE9">
            <w:pPr>
              <w:pBdr>
                <w:top w:val="single" w:sz="4" w:space="1" w:color="auto"/>
                <w:left w:val="single" w:sz="4" w:space="4" w:color="auto"/>
                <w:bottom w:val="single" w:sz="4" w:space="1" w:color="auto"/>
                <w:right w:val="single" w:sz="4" w:space="4" w:color="auto"/>
              </w:pBdr>
              <w:rPr>
                <w:rFonts w:ascii="Cambria" w:hAnsi="Cambria"/>
                <w:sz w:val="24"/>
                <w:szCs w:val="24"/>
                <w:lang w:val="de-LU"/>
              </w:rPr>
            </w:pPr>
            <w:r w:rsidRPr="00CA6291">
              <w:rPr>
                <w:rFonts w:ascii="Cambria" w:hAnsi="Cambria"/>
                <w:sz w:val="24"/>
                <w:szCs w:val="24"/>
                <w:lang w:val="de-LU"/>
              </w:rPr>
              <w:t>set -x</w:t>
            </w:r>
          </w:p>
          <w:p w14:paraId="078614DD" w14:textId="77777777" w:rsidR="00793395" w:rsidRPr="009E6739" w:rsidRDefault="00793395" w:rsidP="00E70FE9">
            <w:pPr>
              <w:pBdr>
                <w:top w:val="single" w:sz="4" w:space="1" w:color="auto"/>
                <w:left w:val="single" w:sz="4" w:space="4" w:color="auto"/>
                <w:bottom w:val="single" w:sz="4" w:space="1" w:color="auto"/>
                <w:right w:val="single" w:sz="4" w:space="4" w:color="auto"/>
              </w:pBdr>
              <w:rPr>
                <w:rFonts w:ascii="Cambria" w:hAnsi="Cambria"/>
                <w:sz w:val="24"/>
                <w:szCs w:val="24"/>
                <w:lang w:val="en-US"/>
              </w:rPr>
            </w:pPr>
            <w:proofErr w:type="spellStart"/>
            <w:r w:rsidRPr="009E6739">
              <w:rPr>
                <w:rFonts w:ascii="Cambria" w:hAnsi="Cambria"/>
                <w:sz w:val="24"/>
                <w:szCs w:val="24"/>
                <w:lang w:val="en-US"/>
              </w:rPr>
              <w:t>infile</w:t>
            </w:r>
            <w:proofErr w:type="spellEnd"/>
            <w:r w:rsidRPr="009E6739">
              <w:rPr>
                <w:rFonts w:ascii="Cambria" w:hAnsi="Cambria"/>
                <w:sz w:val="24"/>
                <w:szCs w:val="24"/>
                <w:lang w:val="en-US"/>
              </w:rPr>
              <w:t>=../samples_id.txt</w:t>
            </w:r>
          </w:p>
          <w:p w14:paraId="3DDB171C" w14:textId="77777777" w:rsidR="00793395" w:rsidRDefault="00793395" w:rsidP="00E70FE9">
            <w:pPr>
              <w:pBdr>
                <w:top w:val="single" w:sz="4" w:space="1" w:color="auto"/>
                <w:left w:val="single" w:sz="4" w:space="4" w:color="auto"/>
                <w:bottom w:val="single" w:sz="4" w:space="1" w:color="auto"/>
                <w:right w:val="single" w:sz="4" w:space="4" w:color="auto"/>
              </w:pBdr>
              <w:rPr>
                <w:rFonts w:ascii="Cambria" w:hAnsi="Cambria"/>
                <w:sz w:val="24"/>
                <w:szCs w:val="24"/>
                <w:lang w:val="en-US"/>
              </w:rPr>
            </w:pPr>
            <w:r w:rsidRPr="009E6739">
              <w:rPr>
                <w:rFonts w:ascii="Cambria" w:hAnsi="Cambria"/>
                <w:sz w:val="24"/>
                <w:szCs w:val="24"/>
                <w:lang w:val="en-US"/>
              </w:rPr>
              <w:t>in=$(</w:t>
            </w:r>
            <w:proofErr w:type="spellStart"/>
            <w:r w:rsidRPr="009E6739">
              <w:rPr>
                <w:rFonts w:ascii="Cambria" w:hAnsi="Cambria"/>
                <w:sz w:val="24"/>
                <w:szCs w:val="24"/>
                <w:lang w:val="en-US"/>
              </w:rPr>
              <w:t>awk</w:t>
            </w:r>
            <w:proofErr w:type="spellEnd"/>
            <w:r w:rsidRPr="009E6739">
              <w:rPr>
                <w:rFonts w:ascii="Cambria" w:hAnsi="Cambria"/>
                <w:sz w:val="24"/>
                <w:szCs w:val="24"/>
                <w:lang w:val="en-US"/>
              </w:rPr>
              <w:t xml:space="preserve"> "NR==$SGE_TASK_ID" $</w:t>
            </w:r>
            <w:proofErr w:type="spellStart"/>
            <w:r w:rsidRPr="009E6739">
              <w:rPr>
                <w:rFonts w:ascii="Cambria" w:hAnsi="Cambria"/>
                <w:sz w:val="24"/>
                <w:szCs w:val="24"/>
                <w:lang w:val="en-US"/>
              </w:rPr>
              <w:t>infile</w:t>
            </w:r>
            <w:proofErr w:type="spellEnd"/>
            <w:r w:rsidRPr="009E6739">
              <w:rPr>
                <w:rFonts w:ascii="Cambria" w:hAnsi="Cambria"/>
                <w:sz w:val="24"/>
                <w:szCs w:val="24"/>
                <w:lang w:val="en-US"/>
              </w:rPr>
              <w:t>)</w:t>
            </w:r>
          </w:p>
          <w:p w14:paraId="19126930" w14:textId="77777777" w:rsidR="00793395" w:rsidRPr="009E6739" w:rsidRDefault="00793395" w:rsidP="00E70FE9">
            <w:pPr>
              <w:pBdr>
                <w:top w:val="single" w:sz="4" w:space="1" w:color="auto"/>
                <w:left w:val="single" w:sz="4" w:space="4" w:color="auto"/>
                <w:bottom w:val="single" w:sz="4" w:space="1" w:color="auto"/>
                <w:right w:val="single" w:sz="4" w:space="4" w:color="auto"/>
              </w:pBdr>
              <w:rPr>
                <w:rFonts w:ascii="Cambria" w:hAnsi="Cambria"/>
                <w:sz w:val="24"/>
                <w:szCs w:val="24"/>
                <w:lang w:val="en-US"/>
              </w:rPr>
            </w:pPr>
            <w:proofErr w:type="spellStart"/>
            <w:r w:rsidRPr="009E6739">
              <w:rPr>
                <w:rFonts w:ascii="Cambria" w:hAnsi="Cambria"/>
                <w:sz w:val="24"/>
                <w:szCs w:val="24"/>
                <w:lang w:val="en-US"/>
              </w:rPr>
              <w:t>mkdir</w:t>
            </w:r>
            <w:proofErr w:type="spellEnd"/>
            <w:r w:rsidRPr="009E6739">
              <w:rPr>
                <w:rFonts w:ascii="Cambria" w:hAnsi="Cambria"/>
                <w:sz w:val="24"/>
                <w:szCs w:val="24"/>
                <w:lang w:val="en-US"/>
              </w:rPr>
              <w:t xml:space="preserve"> -p $in</w:t>
            </w:r>
          </w:p>
          <w:p w14:paraId="725A0C02" w14:textId="77777777" w:rsidR="00793395" w:rsidRDefault="00793395" w:rsidP="00E70FE9">
            <w:pPr>
              <w:pBdr>
                <w:top w:val="single" w:sz="4" w:space="1" w:color="auto"/>
                <w:left w:val="single" w:sz="4" w:space="4" w:color="auto"/>
                <w:bottom w:val="single" w:sz="4" w:space="1" w:color="auto"/>
                <w:right w:val="single" w:sz="4" w:space="4" w:color="auto"/>
              </w:pBdr>
              <w:rPr>
                <w:rFonts w:ascii="Cambria" w:hAnsi="Cambria"/>
                <w:sz w:val="24"/>
                <w:szCs w:val="24"/>
                <w:lang w:val="en-US"/>
              </w:rPr>
            </w:pPr>
            <w:proofErr w:type="spellStart"/>
            <w:r w:rsidRPr="009E6739">
              <w:rPr>
                <w:rFonts w:ascii="Cambria" w:hAnsi="Cambria"/>
                <w:sz w:val="24"/>
                <w:szCs w:val="24"/>
                <w:lang w:val="en-US"/>
              </w:rPr>
              <w:t>htseq</w:t>
            </w:r>
            <w:proofErr w:type="spellEnd"/>
            <w:r w:rsidRPr="009E6739">
              <w:rPr>
                <w:rFonts w:ascii="Cambria" w:hAnsi="Cambria"/>
                <w:sz w:val="24"/>
                <w:szCs w:val="24"/>
                <w:lang w:val="en-US"/>
              </w:rPr>
              <w:t>-count -f bam ../04-tophat/$in/"$in"_</w:t>
            </w:r>
            <w:proofErr w:type="spellStart"/>
            <w:r w:rsidRPr="009E6739">
              <w:rPr>
                <w:rFonts w:ascii="Cambria" w:hAnsi="Cambria"/>
                <w:sz w:val="24"/>
                <w:szCs w:val="24"/>
                <w:lang w:val="en-US"/>
              </w:rPr>
              <w:t>accepted_hits.bam</w:t>
            </w:r>
            <w:proofErr w:type="spellEnd"/>
            <w:r w:rsidRPr="009E6739">
              <w:rPr>
                <w:rFonts w:ascii="Cambria" w:hAnsi="Cambria"/>
                <w:sz w:val="24"/>
                <w:szCs w:val="24"/>
                <w:lang w:val="en-US"/>
              </w:rPr>
              <w:t xml:space="preserve"> ../../REFERENCES/GRCh38_refseq.gtf &gt; $in/"$in"_htseqCount.txt</w:t>
            </w:r>
          </w:p>
        </w:tc>
      </w:tr>
    </w:tbl>
    <w:p w14:paraId="1F21ACB1" w14:textId="77777777" w:rsidR="00F80EAD" w:rsidRPr="00793395" w:rsidRDefault="00F80EAD" w:rsidP="008A15CD">
      <w:pPr>
        <w:spacing w:after="0" w:line="240" w:lineRule="auto"/>
        <w:rPr>
          <w:rFonts w:ascii="Cambria" w:hAnsi="Cambria"/>
          <w:sz w:val="24"/>
          <w:szCs w:val="24"/>
          <w:lang w:val="en-US"/>
        </w:rPr>
      </w:pPr>
    </w:p>
    <w:sectPr w:rsidR="00F80EAD" w:rsidRPr="00793395" w:rsidSect="009E673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CInNTYxMLMwNjY1NzQyUdpeDU4uLM/DyQApNaAJ5bIYssAAAA"/>
  </w:docVars>
  <w:rsids>
    <w:rsidRoot w:val="000D3736"/>
    <w:rsid w:val="0003248C"/>
    <w:rsid w:val="0003620E"/>
    <w:rsid w:val="00055264"/>
    <w:rsid w:val="0006233B"/>
    <w:rsid w:val="00086775"/>
    <w:rsid w:val="00090A3B"/>
    <w:rsid w:val="000D3736"/>
    <w:rsid w:val="000D452D"/>
    <w:rsid w:val="000F28EA"/>
    <w:rsid w:val="00124E8C"/>
    <w:rsid w:val="001864CD"/>
    <w:rsid w:val="001A524E"/>
    <w:rsid w:val="001E136A"/>
    <w:rsid w:val="001E4E6E"/>
    <w:rsid w:val="00222DBE"/>
    <w:rsid w:val="00236478"/>
    <w:rsid w:val="002C3F76"/>
    <w:rsid w:val="00320B53"/>
    <w:rsid w:val="003772FC"/>
    <w:rsid w:val="003C039F"/>
    <w:rsid w:val="003C4AF7"/>
    <w:rsid w:val="0041589E"/>
    <w:rsid w:val="00460AEB"/>
    <w:rsid w:val="004A3747"/>
    <w:rsid w:val="004C7C58"/>
    <w:rsid w:val="005029AC"/>
    <w:rsid w:val="00517EC9"/>
    <w:rsid w:val="005328FA"/>
    <w:rsid w:val="00534269"/>
    <w:rsid w:val="00582FF3"/>
    <w:rsid w:val="005A49A8"/>
    <w:rsid w:val="005B2C75"/>
    <w:rsid w:val="005E185C"/>
    <w:rsid w:val="00620A98"/>
    <w:rsid w:val="00672956"/>
    <w:rsid w:val="00793395"/>
    <w:rsid w:val="008A15CD"/>
    <w:rsid w:val="008C2841"/>
    <w:rsid w:val="009A181E"/>
    <w:rsid w:val="009C0FF5"/>
    <w:rsid w:val="009E0728"/>
    <w:rsid w:val="009E1C25"/>
    <w:rsid w:val="009E6739"/>
    <w:rsid w:val="00A0673F"/>
    <w:rsid w:val="00AB5982"/>
    <w:rsid w:val="00AD399C"/>
    <w:rsid w:val="00B164E6"/>
    <w:rsid w:val="00B61B02"/>
    <w:rsid w:val="00B7357A"/>
    <w:rsid w:val="00B80A24"/>
    <w:rsid w:val="00BA723E"/>
    <w:rsid w:val="00BB2B63"/>
    <w:rsid w:val="00C601CA"/>
    <w:rsid w:val="00C84017"/>
    <w:rsid w:val="00CA6291"/>
    <w:rsid w:val="00CE3FD0"/>
    <w:rsid w:val="00CE7273"/>
    <w:rsid w:val="00D03059"/>
    <w:rsid w:val="00D20F8F"/>
    <w:rsid w:val="00D56C5F"/>
    <w:rsid w:val="00DC5042"/>
    <w:rsid w:val="00DD1FD3"/>
    <w:rsid w:val="00E13C61"/>
    <w:rsid w:val="00E15860"/>
    <w:rsid w:val="00E70FE9"/>
    <w:rsid w:val="00E81D2C"/>
    <w:rsid w:val="00E8425A"/>
    <w:rsid w:val="00EA3B37"/>
    <w:rsid w:val="00EA64F3"/>
    <w:rsid w:val="00EB3210"/>
    <w:rsid w:val="00EE2644"/>
    <w:rsid w:val="00F76FD0"/>
    <w:rsid w:val="00F80EAD"/>
    <w:rsid w:val="00FB5A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7EED9"/>
  <w15:chartTrackingRefBased/>
  <w15:docId w15:val="{3466D1C4-DEAC-47A0-948A-6F303FF84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qFormat/>
    <w:rsid w:val="00E70FE9"/>
    <w:pPr>
      <w:keepNext/>
      <w:tabs>
        <w:tab w:val="left" w:pos="709"/>
      </w:tabs>
      <w:spacing w:before="48" w:after="48" w:line="240" w:lineRule="auto"/>
      <w:outlineLvl w:val="1"/>
    </w:pPr>
    <w:rPr>
      <w:rFonts w:ascii="Times New Roman" w:eastAsia="Times New Roman" w:hAnsi="Times New Roman" w:cs="Times New Roman"/>
      <w:b/>
      <w:snapToGrid w:val="0"/>
      <w:color w:val="000000"/>
      <w:szCs w:val="20"/>
      <w:lang w:val="en-GB"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93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E70FE9"/>
    <w:rPr>
      <w:rFonts w:ascii="Times New Roman" w:eastAsia="Times New Roman" w:hAnsi="Times New Roman" w:cs="Times New Roman"/>
      <w:b/>
      <w:snapToGrid w:val="0"/>
      <w:color w:val="000000"/>
      <w:szCs w:val="20"/>
      <w:lang w:val="en-GB" w:eastAsia="x-none"/>
    </w:rPr>
  </w:style>
  <w:style w:type="paragraph" w:styleId="Textodeglobo">
    <w:name w:val="Balloon Text"/>
    <w:basedOn w:val="Normal"/>
    <w:link w:val="TextodegloboCar"/>
    <w:uiPriority w:val="99"/>
    <w:semiHidden/>
    <w:unhideWhenUsed/>
    <w:rsid w:val="006729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2956"/>
    <w:rPr>
      <w:rFonts w:ascii="Segoe UI" w:hAnsi="Segoe UI" w:cs="Segoe UI"/>
      <w:sz w:val="18"/>
      <w:szCs w:val="18"/>
    </w:rPr>
  </w:style>
  <w:style w:type="character" w:styleId="Hipervnculo">
    <w:name w:val="Hyperlink"/>
    <w:uiPriority w:val="99"/>
    <w:rsid w:val="00672956"/>
    <w:rPr>
      <w:color w:val="0033CC"/>
      <w:u w:val="single"/>
    </w:rPr>
  </w:style>
  <w:style w:type="paragraph" w:customStyle="1" w:styleId="MDPI31text">
    <w:name w:val="MDPI_3.1_text"/>
    <w:qFormat/>
    <w:rsid w:val="00E81D2C"/>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51figurecaption">
    <w:name w:val="MDPI_5.1_figure_caption"/>
    <w:basedOn w:val="Normal"/>
    <w:qFormat/>
    <w:rsid w:val="00E81D2C"/>
    <w:pPr>
      <w:adjustRightInd w:val="0"/>
      <w:snapToGrid w:val="0"/>
      <w:spacing w:before="120" w:after="240" w:line="260" w:lineRule="atLeast"/>
      <w:ind w:left="425" w:right="425"/>
      <w:jc w:val="both"/>
    </w:pPr>
    <w:rPr>
      <w:rFonts w:ascii="Palatino Linotype" w:eastAsia="Times New Roman" w:hAnsi="Palatino Linotype" w:cs="Times New Roman"/>
      <w:color w:val="000000"/>
      <w:sz w:val="18"/>
      <w:szCs w:val="20"/>
      <w:lang w:val="en-US" w:eastAsia="de-DE" w:bidi="en-US"/>
    </w:rPr>
  </w:style>
  <w:style w:type="character" w:styleId="Textoennegrita">
    <w:name w:val="Strong"/>
    <w:basedOn w:val="Fuentedeprrafopredeter"/>
    <w:uiPriority w:val="22"/>
    <w:qFormat/>
    <w:rsid w:val="000324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196071">
      <w:bodyDiv w:val="1"/>
      <w:marLeft w:val="0"/>
      <w:marRight w:val="0"/>
      <w:marTop w:val="0"/>
      <w:marBottom w:val="0"/>
      <w:divBdr>
        <w:top w:val="none" w:sz="0" w:space="0" w:color="auto"/>
        <w:left w:val="none" w:sz="0" w:space="0" w:color="auto"/>
        <w:bottom w:val="none" w:sz="0" w:space="0" w:color="auto"/>
        <w:right w:val="none" w:sz="0" w:space="0" w:color="auto"/>
      </w:divBdr>
    </w:div>
    <w:div w:id="1065377071">
      <w:bodyDiv w:val="1"/>
      <w:marLeft w:val="0"/>
      <w:marRight w:val="0"/>
      <w:marTop w:val="0"/>
      <w:marBottom w:val="0"/>
      <w:divBdr>
        <w:top w:val="none" w:sz="0" w:space="0" w:color="auto"/>
        <w:left w:val="none" w:sz="0" w:space="0" w:color="auto"/>
        <w:bottom w:val="none" w:sz="0" w:space="0" w:color="auto"/>
        <w:right w:val="none" w:sz="0" w:space="0" w:color="auto"/>
      </w:divBdr>
    </w:div>
    <w:div w:id="129266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ebi.ac.uk/"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1254A-4ADA-435D-BC25-9908D2D98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1004</Words>
  <Characters>5528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BROCHADO GONZALEZ</dc:creator>
  <cp:keywords/>
  <dc:description/>
  <cp:lastModifiedBy>Salvador Resino</cp:lastModifiedBy>
  <cp:revision>20</cp:revision>
  <dcterms:created xsi:type="dcterms:W3CDTF">2019-09-15T07:58:00Z</dcterms:created>
  <dcterms:modified xsi:type="dcterms:W3CDTF">2020-04-25T09:36:00Z</dcterms:modified>
</cp:coreProperties>
</file>