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A7" w:rsidRDefault="00AD1EA7" w:rsidP="00AD1EA7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Supplemental Digital Content </w:t>
      </w:r>
    </w:p>
    <w:p w:rsidR="00AD1EA7" w:rsidRPr="00802F80" w:rsidRDefault="00AD1EA7" w:rsidP="00AD1EA7">
      <w:pPr>
        <w:spacing w:line="480" w:lineRule="auto"/>
        <w:jc w:val="center"/>
        <w:rPr>
          <w:rFonts w:ascii="Calibri" w:hAnsi="Calibri" w:cs="Calibri"/>
          <w:b/>
        </w:rPr>
      </w:pPr>
      <w:r w:rsidRPr="00802F80">
        <w:rPr>
          <w:rFonts w:ascii="Calibri" w:hAnsi="Calibri" w:cs="Calibri"/>
          <w:b/>
        </w:rPr>
        <w:t xml:space="preserve">Table </w:t>
      </w:r>
      <w:r>
        <w:rPr>
          <w:rFonts w:ascii="Calibri" w:hAnsi="Calibri" w:cs="Calibri"/>
          <w:b/>
        </w:rPr>
        <w:t>S</w:t>
      </w:r>
      <w:r w:rsidRPr="00802F80">
        <w:rPr>
          <w:rFonts w:ascii="Calibri" w:hAnsi="Calibri" w:cs="Calibri"/>
          <w:b/>
        </w:rPr>
        <w:t>1. Description of the study population</w:t>
      </w:r>
    </w:p>
    <w:tbl>
      <w:tblPr>
        <w:tblStyle w:val="Grilledutablea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337"/>
        <w:gridCol w:w="2340"/>
      </w:tblGrid>
      <w:tr w:rsidR="00AD1EA7" w:rsidRPr="004C4350" w:rsidTr="00DF499A">
        <w:trPr>
          <w:trHeight w:val="537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EA7" w:rsidRPr="00D62107" w:rsidRDefault="00AD1EA7" w:rsidP="00DF499A">
            <w:pPr>
              <w:spacing w:line="480" w:lineRule="auto"/>
              <w:rPr>
                <w:rFonts w:ascii="Calibri" w:hAnsi="Calibri" w:cs="Calibri"/>
              </w:rPr>
            </w:pPr>
            <w:r w:rsidRPr="00D62107">
              <w:rPr>
                <w:rFonts w:ascii="Calibri" w:hAnsi="Calibri" w:cs="Calibri"/>
                <w:b/>
              </w:rPr>
              <w:t>Characteristics</w:t>
            </w: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EA7" w:rsidRPr="00D62107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 w:rsidRPr="00D62107">
              <w:rPr>
                <w:rFonts w:asciiTheme="minorHAnsi" w:hAnsiTheme="minorHAnsi" w:cs="Calibri"/>
                <w:color w:val="000000" w:themeColor="text1"/>
                <w:highlight w:val="yellow"/>
              </w:rPr>
              <w:t>At first biopsy</w:t>
            </w:r>
          </w:p>
          <w:p w:rsidR="00AD1EA7" w:rsidRPr="00D62107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</w:rPr>
            </w:pPr>
            <w:r w:rsidRPr="00D62107">
              <w:rPr>
                <w:rFonts w:asciiTheme="minorHAnsi" w:hAnsiTheme="minorHAnsi" w:cs="Calibri"/>
                <w:color w:val="000000" w:themeColor="text1"/>
                <w:highlight w:val="yellow"/>
              </w:rPr>
              <w:t>(N=31)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1EA7" w:rsidRPr="001F46D1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 w:rsidRPr="001F46D1">
              <w:rPr>
                <w:rFonts w:asciiTheme="minorHAnsi" w:hAnsiTheme="minorHAnsi" w:cs="Calibri"/>
                <w:color w:val="000000" w:themeColor="text1"/>
                <w:highlight w:val="yellow"/>
              </w:rPr>
              <w:t>At second biopsy</w:t>
            </w:r>
          </w:p>
          <w:p w:rsidR="00AD1EA7" w:rsidRPr="00D62107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1F46D1">
              <w:rPr>
                <w:rFonts w:asciiTheme="minorHAnsi" w:hAnsiTheme="minorHAnsi" w:cs="Calibri"/>
                <w:color w:val="000000" w:themeColor="text1"/>
                <w:highlight w:val="yellow"/>
              </w:rPr>
              <w:t>(N=7)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  <w:b/>
              </w:rPr>
            </w:pPr>
            <w:r w:rsidRPr="00D62107">
              <w:rPr>
                <w:rFonts w:ascii="Calibri" w:hAnsi="Calibri" w:cs="Calibri"/>
                <w:b/>
              </w:rPr>
              <w:t>Demographics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proofErr w:type="spellStart"/>
            <w:r w:rsidRPr="00D62107">
              <w:rPr>
                <w:rFonts w:ascii="Calibri" w:hAnsi="Calibri" w:cs="Calibri"/>
              </w:rPr>
              <w:t>Male:female</w:t>
            </w:r>
            <w:proofErr w:type="spellEnd"/>
            <w:r w:rsidRPr="00D62107">
              <w:rPr>
                <w:rFonts w:ascii="Calibri" w:hAnsi="Calibri" w:cs="Calibri"/>
              </w:rPr>
              <w:t xml:space="preserve"> ratio (% male) 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D62107">
              <w:rPr>
                <w:rFonts w:asciiTheme="minorHAnsi" w:hAnsiTheme="minorHAnsi" w:cs="Calibri"/>
              </w:rPr>
              <w:t>28/3 (90.3)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 w:rsidRPr="000C2FE0">
              <w:rPr>
                <w:rFonts w:asciiTheme="minorHAnsi" w:hAnsiTheme="minorHAnsi" w:cs="Calibri"/>
                <w:color w:val="000000" w:themeColor="text1"/>
                <w:highlight w:val="yellow"/>
              </w:rPr>
              <w:t>6</w:t>
            </w: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/</w:t>
            </w:r>
            <w:r w:rsidRPr="000C2FE0">
              <w:rPr>
                <w:rFonts w:asciiTheme="minorHAnsi" w:hAnsiTheme="minorHAnsi" w:cs="Calibri"/>
                <w:color w:val="000000" w:themeColor="text1"/>
                <w:highlight w:val="yellow"/>
              </w:rPr>
              <w:t>1 (</w:t>
            </w: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85.7)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Pr="004C4350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Age, years</w:t>
            </w:r>
            <w:r w:rsidRPr="004C4350">
              <w:rPr>
                <w:rFonts w:ascii="Calibri" w:hAnsi="Calibri" w:cs="Calibri"/>
                <w:vertAlign w:val="superscript"/>
              </w:rPr>
              <w:t>†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D62107">
              <w:rPr>
                <w:rFonts w:asciiTheme="minorHAnsi" w:hAnsiTheme="minorHAnsi" w:cs="Calibri"/>
              </w:rPr>
              <w:t>42 (37 – 53)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43 (37 – 45)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Pr="003F679B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 w:rsidRPr="003F679B">
              <w:rPr>
                <w:rFonts w:ascii="Calibri" w:hAnsi="Calibri" w:cs="Calibri"/>
              </w:rPr>
              <w:t>From zone of high HBV-endemicity</w:t>
            </w:r>
            <w:r w:rsidRPr="003F679B">
              <w:rPr>
                <w:rFonts w:ascii="Calibri" w:hAnsi="Calibri" w:cs="Calibri"/>
                <w:vertAlign w:val="superscript"/>
              </w:rPr>
              <w:t xml:space="preserve"> 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D62107">
              <w:rPr>
                <w:rFonts w:asciiTheme="minorHAnsi" w:hAnsiTheme="minorHAnsi" w:cs="Calibri"/>
              </w:rPr>
              <w:t>3 (9.7)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1 (14.3)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Pr="004C4350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  <w:b/>
              </w:rPr>
            </w:pPr>
            <w:r w:rsidRPr="004C4350">
              <w:rPr>
                <w:rFonts w:ascii="Calibri" w:hAnsi="Calibri" w:cs="Calibri"/>
                <w:b/>
              </w:rPr>
              <w:t>HIV-related characteristics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</w:p>
        </w:tc>
      </w:tr>
      <w:tr w:rsidR="00AD1EA7" w:rsidRPr="00842B5E" w:rsidTr="00DF499A">
        <w:trPr>
          <w:jc w:val="center"/>
        </w:trPr>
        <w:tc>
          <w:tcPr>
            <w:tcW w:w="4395" w:type="dxa"/>
          </w:tcPr>
          <w:p w:rsidR="00AD1EA7" w:rsidRPr="003F679B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 w:rsidRPr="00A05271">
              <w:rPr>
                <w:rFonts w:ascii="Calibri" w:hAnsi="Calibri" w:cs="Calibri"/>
                <w:highlight w:val="yellow"/>
              </w:rPr>
              <w:t>Time since first HIV-positive test</w:t>
            </w:r>
            <w:r w:rsidRPr="003F679B">
              <w:rPr>
                <w:rFonts w:ascii="Calibri" w:hAnsi="Calibri" w:cs="Calibri"/>
              </w:rPr>
              <w:t>, years</w:t>
            </w:r>
            <w:r w:rsidRPr="003F679B">
              <w:rPr>
                <w:rFonts w:ascii="Calibri" w:hAnsi="Calibri" w:cs="Calibri"/>
                <w:vertAlign w:val="superscript"/>
              </w:rPr>
              <w:t>†</w:t>
            </w:r>
            <w:r w:rsidRPr="003F679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D62107">
              <w:rPr>
                <w:rFonts w:asciiTheme="minorHAnsi" w:hAnsiTheme="minorHAnsi" w:cs="Calibri"/>
              </w:rPr>
              <w:t>12.0 (6.8 – 16.6)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12.7 (4.1 – 18.1)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Pr="00A05271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 w:rsidRPr="00A05271">
              <w:rPr>
                <w:rFonts w:ascii="Calibri" w:hAnsi="Calibri" w:cs="Calibri"/>
                <w:highlight w:val="yellow"/>
              </w:rPr>
              <w:t>Ever having an</w:t>
            </w:r>
            <w:r w:rsidRPr="00A05271">
              <w:rPr>
                <w:rFonts w:ascii="Calibri" w:hAnsi="Calibri" w:cs="Calibri"/>
              </w:rPr>
              <w:t xml:space="preserve"> AIDS-defining illness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D62107">
              <w:rPr>
                <w:rFonts w:asciiTheme="minorHAnsi" w:hAnsiTheme="minorHAnsi" w:cs="Calibri"/>
              </w:rPr>
              <w:t>8 (25.8)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7 (100)</w:t>
            </w:r>
          </w:p>
        </w:tc>
      </w:tr>
      <w:tr w:rsidR="00AD1EA7" w:rsidRPr="004927EA" w:rsidTr="00DF499A">
        <w:trPr>
          <w:jc w:val="center"/>
        </w:trPr>
        <w:tc>
          <w:tcPr>
            <w:tcW w:w="4395" w:type="dxa"/>
          </w:tcPr>
          <w:p w:rsidR="00AD1EA7" w:rsidRPr="004927EA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 w:rsidRPr="004C4350">
              <w:rPr>
                <w:rFonts w:ascii="Calibri" w:hAnsi="Calibri" w:cs="Calibri"/>
              </w:rPr>
              <w:t>CD4</w:t>
            </w:r>
            <w:r w:rsidRPr="004C4350">
              <w:rPr>
                <w:rFonts w:ascii="Calibri" w:hAnsi="Calibri" w:cs="Calibri"/>
                <w:vertAlign w:val="superscript"/>
              </w:rPr>
              <w:t>+</w:t>
            </w:r>
            <w:r w:rsidRPr="004C4350">
              <w:rPr>
                <w:rFonts w:ascii="Calibri" w:hAnsi="Calibri" w:cs="Calibri"/>
              </w:rPr>
              <w:t xml:space="preserve"> cell count</w:t>
            </w:r>
            <w:r>
              <w:rPr>
                <w:rFonts w:ascii="Calibri" w:hAnsi="Calibri" w:cs="Calibri"/>
              </w:rPr>
              <w:t>, /mm</w:t>
            </w:r>
            <w:r w:rsidRPr="004927EA">
              <w:rPr>
                <w:rFonts w:ascii="Calibri" w:hAnsi="Calibri" w:cs="Calibri"/>
                <w:vertAlign w:val="superscript"/>
              </w:rPr>
              <w:t>3</w:t>
            </w:r>
            <w:r w:rsidRPr="004C4350">
              <w:rPr>
                <w:rFonts w:ascii="Calibri" w:hAnsi="Calibri" w:cs="Calibri"/>
                <w:vertAlign w:val="superscript"/>
              </w:rPr>
              <w:t>†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D62107">
              <w:rPr>
                <w:rFonts w:asciiTheme="minorHAnsi" w:hAnsiTheme="minorHAnsi" w:cs="Calibri"/>
              </w:rPr>
              <w:t>448 (331 – 641)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632 (539 – 1201)</w:t>
            </w:r>
          </w:p>
        </w:tc>
      </w:tr>
      <w:tr w:rsidR="00AD1EA7" w:rsidRPr="004927EA" w:rsidTr="00DF499A">
        <w:trPr>
          <w:jc w:val="center"/>
        </w:trPr>
        <w:tc>
          <w:tcPr>
            <w:tcW w:w="4395" w:type="dxa"/>
          </w:tcPr>
          <w:p w:rsidR="00AD1EA7" w:rsidRPr="003F679B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 w:rsidRPr="003F679B">
              <w:rPr>
                <w:rFonts w:ascii="Calibri" w:hAnsi="Calibri" w:cs="Calibri"/>
              </w:rPr>
              <w:t>Nadir CD4</w:t>
            </w:r>
            <w:r w:rsidRPr="003F679B">
              <w:rPr>
                <w:rFonts w:ascii="Calibri" w:hAnsi="Calibri" w:cs="Calibri"/>
                <w:vertAlign w:val="superscript"/>
              </w:rPr>
              <w:t>+</w:t>
            </w:r>
            <w:r w:rsidRPr="003F679B">
              <w:rPr>
                <w:rFonts w:ascii="Calibri" w:hAnsi="Calibri" w:cs="Calibri"/>
              </w:rPr>
              <w:t xml:space="preserve"> cell count, /mm</w:t>
            </w:r>
            <w:r w:rsidRPr="003F679B">
              <w:rPr>
                <w:rFonts w:ascii="Calibri" w:hAnsi="Calibri" w:cs="Calibri"/>
                <w:vertAlign w:val="superscript"/>
              </w:rPr>
              <w:t>3†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D62107">
              <w:rPr>
                <w:rFonts w:asciiTheme="minorHAnsi" w:hAnsiTheme="minorHAnsi" w:cs="Calibri"/>
              </w:rPr>
              <w:t>262 (150 – 326)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 w:rsidRPr="00BE4D5B">
              <w:rPr>
                <w:rFonts w:asciiTheme="minorHAnsi" w:hAnsiTheme="minorHAnsi" w:cs="Calibri"/>
                <w:color w:val="000000" w:themeColor="text1"/>
                <w:highlight w:val="yellow"/>
              </w:rPr>
              <w:t>262 (179 – 431)</w:t>
            </w:r>
          </w:p>
        </w:tc>
      </w:tr>
      <w:tr w:rsidR="00AD1EA7" w:rsidRPr="004927EA" w:rsidTr="00DF499A">
        <w:trPr>
          <w:jc w:val="center"/>
        </w:trPr>
        <w:tc>
          <w:tcPr>
            <w:tcW w:w="4395" w:type="dxa"/>
          </w:tcPr>
          <w:p w:rsidR="00AD1EA7" w:rsidRPr="004927EA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 w:rsidRPr="004714BB">
              <w:rPr>
                <w:rFonts w:ascii="Calibri" w:hAnsi="Calibri" w:cs="Calibri"/>
              </w:rPr>
              <w:t>ART-naïve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D62107">
              <w:rPr>
                <w:rFonts w:asciiTheme="minorHAnsi" w:hAnsiTheme="minorHAnsi" w:cs="Calibri"/>
              </w:rPr>
              <w:t>2 (6.5)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 xml:space="preserve">0 </w:t>
            </w:r>
            <w:proofErr w:type="gramStart"/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(  0</w:t>
            </w:r>
            <w:proofErr w:type="gramEnd"/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)</w:t>
            </w:r>
          </w:p>
        </w:tc>
      </w:tr>
      <w:tr w:rsidR="00AD1EA7" w:rsidRPr="004927EA" w:rsidTr="00DF499A">
        <w:trPr>
          <w:jc w:val="center"/>
        </w:trPr>
        <w:tc>
          <w:tcPr>
            <w:tcW w:w="4395" w:type="dxa"/>
          </w:tcPr>
          <w:p w:rsidR="00AD1EA7" w:rsidRPr="000F2F88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Detectable HIV-RNA (&gt;</w:t>
            </w:r>
            <w:r w:rsidRPr="004C4350">
              <w:rPr>
                <w:rFonts w:ascii="Calibri" w:hAnsi="Calibri" w:cs="Calibri"/>
              </w:rPr>
              <w:t>50 copies/mL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D62107">
              <w:rPr>
                <w:rFonts w:asciiTheme="minorHAnsi" w:hAnsiTheme="minorHAnsi" w:cs="Calibri"/>
              </w:rPr>
              <w:t>6 (19.4)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2 (28.6)</w:t>
            </w:r>
          </w:p>
        </w:tc>
      </w:tr>
      <w:tr w:rsidR="00AD1EA7" w:rsidRPr="00C111BF" w:rsidTr="00DF499A">
        <w:trPr>
          <w:jc w:val="center"/>
        </w:trPr>
        <w:tc>
          <w:tcPr>
            <w:tcW w:w="4395" w:type="dxa"/>
          </w:tcPr>
          <w:p w:rsidR="00AD1EA7" w:rsidRPr="003F679B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 w:rsidRPr="003F679B">
              <w:rPr>
                <w:rFonts w:ascii="Calibri" w:hAnsi="Calibri" w:cs="Calibri"/>
              </w:rPr>
              <w:t xml:space="preserve">     HIV-RNA viral load, log</w:t>
            </w:r>
            <w:r w:rsidRPr="003F679B">
              <w:rPr>
                <w:rFonts w:ascii="Calibri" w:hAnsi="Calibri" w:cs="Calibri"/>
                <w:vertAlign w:val="subscript"/>
              </w:rPr>
              <w:t>10</w:t>
            </w:r>
            <w:r w:rsidRPr="003F679B">
              <w:rPr>
                <w:rFonts w:ascii="Calibri" w:hAnsi="Calibri" w:cs="Calibri"/>
              </w:rPr>
              <w:t xml:space="preserve"> copies/mL</w:t>
            </w:r>
            <w:r w:rsidRPr="003F679B">
              <w:rPr>
                <w:rFonts w:ascii="Calibri" w:hAnsi="Calibri" w:cs="Calibri"/>
                <w:vertAlign w:val="superscript"/>
              </w:rPr>
              <w:t>†*</w:t>
            </w:r>
            <w:r w:rsidRPr="003F679B">
              <w:rPr>
                <w:rFonts w:ascii="Calibri" w:hAnsi="Calibri" w:cs="Calibri"/>
              </w:rPr>
              <w:t xml:space="preserve">     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D62107">
              <w:rPr>
                <w:rFonts w:asciiTheme="minorHAnsi" w:hAnsiTheme="minorHAnsi" w:cs="Calibri"/>
              </w:rPr>
              <w:t>3.5 (2.9 – 4.6)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BE4D5B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3.1 (2.1 – 4.1)</w:t>
            </w:r>
          </w:p>
        </w:tc>
      </w:tr>
      <w:tr w:rsidR="00AD1EA7" w:rsidRPr="00C111BF" w:rsidTr="00DF499A">
        <w:trPr>
          <w:jc w:val="center"/>
        </w:trPr>
        <w:tc>
          <w:tcPr>
            <w:tcW w:w="4395" w:type="dxa"/>
          </w:tcPr>
          <w:p w:rsidR="00AD1EA7" w:rsidRPr="008A3A46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 w:rsidRPr="003F679B">
              <w:rPr>
                <w:rFonts w:ascii="Calibri" w:hAnsi="Calibri" w:cs="Calibri"/>
              </w:rPr>
              <w:t>Duration of ART, years</w:t>
            </w:r>
            <w:r w:rsidRPr="003F679B">
              <w:rPr>
                <w:rFonts w:ascii="Calibri" w:hAnsi="Calibri" w:cs="Calibri"/>
                <w:vertAlign w:val="superscript"/>
              </w:rPr>
              <w:t xml:space="preserve">†** 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D62107">
              <w:rPr>
                <w:rFonts w:asciiTheme="minorHAnsi" w:hAnsiTheme="minorHAnsi" w:cs="Calibri"/>
              </w:rPr>
              <w:t>8.3 (5.9 – 10.0)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8.9 (3.6 – 11.1)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Pr="004C4350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  <w:b/>
              </w:rPr>
            </w:pPr>
            <w:r w:rsidRPr="004C4350">
              <w:rPr>
                <w:rFonts w:ascii="Calibri" w:hAnsi="Calibri" w:cs="Calibri"/>
                <w:b/>
              </w:rPr>
              <w:t>HBV-related characteristics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</w:p>
        </w:tc>
      </w:tr>
      <w:tr w:rsidR="00AD1EA7" w:rsidRPr="00206FD6" w:rsidTr="00DF499A">
        <w:trPr>
          <w:jc w:val="center"/>
        </w:trPr>
        <w:tc>
          <w:tcPr>
            <w:tcW w:w="4395" w:type="dxa"/>
          </w:tcPr>
          <w:p w:rsidR="00AD1EA7" w:rsidRPr="003F679B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 w:rsidRPr="00A05271">
              <w:rPr>
                <w:rFonts w:ascii="Calibri" w:hAnsi="Calibri" w:cs="Calibri"/>
                <w:highlight w:val="yellow"/>
              </w:rPr>
              <w:t>Time since first HBsAg-positive test</w:t>
            </w:r>
            <w:r w:rsidRPr="003F679B">
              <w:rPr>
                <w:rFonts w:ascii="Calibri" w:hAnsi="Calibri" w:cs="Calibri"/>
              </w:rPr>
              <w:t>, years</w:t>
            </w:r>
            <w:r w:rsidRPr="003F679B">
              <w:rPr>
                <w:rFonts w:ascii="Calibri" w:hAnsi="Calibri" w:cs="Calibri"/>
                <w:vertAlign w:val="superscript"/>
              </w:rPr>
              <w:t>†</w:t>
            </w:r>
            <w:r w:rsidRPr="003F679B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D62107">
              <w:rPr>
                <w:rFonts w:asciiTheme="minorHAnsi" w:hAnsiTheme="minorHAnsi" w:cs="Calibri"/>
              </w:rPr>
              <w:t>10.4 (6.9 – 15.3)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206FD6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 w:rsidRPr="00206FD6">
              <w:rPr>
                <w:rFonts w:asciiTheme="minorHAnsi" w:hAnsiTheme="minorHAnsi" w:cs="Calibri"/>
                <w:color w:val="000000" w:themeColor="text1"/>
                <w:highlight w:val="yellow"/>
              </w:rPr>
              <w:t>12.6 (4.0 – 16.1)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Pr="004C4350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HBeAg</w:t>
            </w:r>
            <w:proofErr w:type="spellEnd"/>
            <w:r>
              <w:rPr>
                <w:rFonts w:ascii="Calibri" w:hAnsi="Calibri" w:cs="Calibri"/>
              </w:rPr>
              <w:t>-positive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D62107">
              <w:rPr>
                <w:rFonts w:asciiTheme="minorHAnsi" w:hAnsiTheme="minorHAnsi" w:cs="Calibri"/>
              </w:rPr>
              <w:t>22 (71.0)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4 (57.1)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Pr="003F679B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 w:rsidRPr="003F679B">
              <w:rPr>
                <w:rFonts w:ascii="Calibri" w:hAnsi="Calibri" w:cs="Calibri"/>
              </w:rPr>
              <w:t>Detectable HBV-DNA (</w:t>
            </w:r>
            <w:r>
              <w:rPr>
                <w:rFonts w:ascii="Calibri" w:hAnsi="Calibri" w:cs="Calibri"/>
              </w:rPr>
              <w:t>≥</w:t>
            </w:r>
            <w:r w:rsidRPr="003F679B">
              <w:rPr>
                <w:rFonts w:ascii="Calibri" w:hAnsi="Calibri" w:cs="Calibri"/>
              </w:rPr>
              <w:t>60 IU/mL)</w:t>
            </w:r>
          </w:p>
          <w:p w:rsidR="00AD1EA7" w:rsidRPr="003F679B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 w:rsidRPr="003F679B">
              <w:rPr>
                <w:rFonts w:ascii="Calibri" w:hAnsi="Calibri" w:cs="Calibri"/>
              </w:rPr>
              <w:t xml:space="preserve">     HBV-DNA viral load, log</w:t>
            </w:r>
            <w:r w:rsidRPr="003F679B">
              <w:rPr>
                <w:rFonts w:ascii="Calibri" w:hAnsi="Calibri" w:cs="Calibri"/>
                <w:vertAlign w:val="subscript"/>
              </w:rPr>
              <w:t>10</w:t>
            </w:r>
            <w:r w:rsidRPr="003F679B">
              <w:rPr>
                <w:rFonts w:ascii="Calibri" w:hAnsi="Calibri" w:cs="Calibri"/>
              </w:rPr>
              <w:t xml:space="preserve"> copies/mL</w:t>
            </w:r>
            <w:r w:rsidRPr="003F679B">
              <w:rPr>
                <w:rFonts w:ascii="Calibri" w:hAnsi="Calibri" w:cs="Calibri"/>
                <w:vertAlign w:val="superscript"/>
              </w:rPr>
              <w:t>†¥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D62107">
              <w:rPr>
                <w:rFonts w:asciiTheme="minorHAnsi" w:hAnsiTheme="minorHAnsi" w:cs="Calibri"/>
              </w:rPr>
              <w:t>22 (71.0)</w:t>
            </w:r>
          </w:p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D62107">
              <w:rPr>
                <w:rFonts w:asciiTheme="minorHAnsi" w:hAnsiTheme="minorHAnsi" w:cs="Calibri"/>
              </w:rPr>
              <w:t>3.1 (2.7 – 7.1)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1 (14.3)</w:t>
            </w:r>
          </w:p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2.9</w:t>
            </w:r>
            <w:r w:rsidRPr="00DF499A">
              <w:rPr>
                <w:rFonts w:ascii="Calibri" w:hAnsi="Calibri" w:cs="Calibri"/>
                <w:color w:val="000000" w:themeColor="text1"/>
                <w:highlight w:val="yellow"/>
                <w:vertAlign w:val="superscript"/>
              </w:rPr>
              <w:t>¶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ALT (IU/mL)</w:t>
            </w:r>
            <w:r w:rsidRPr="006117A6">
              <w:rPr>
                <w:rFonts w:ascii="Calibri" w:hAnsi="Calibri" w:cs="Arial"/>
                <w:vertAlign w:val="superscript"/>
              </w:rPr>
              <w:t xml:space="preserve"> †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D62107">
              <w:rPr>
                <w:rFonts w:asciiTheme="minorHAnsi" w:hAnsiTheme="minorHAnsi" w:cs="Calibri"/>
              </w:rPr>
              <w:t>35 (27 – 49)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27 (19 – 53)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Pr="004C4350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 w:rsidRPr="00181C6E">
              <w:rPr>
                <w:rFonts w:ascii="Calibri" w:hAnsi="Calibri" w:cs="Calibri"/>
              </w:rPr>
              <w:t>Concomitant anti-HBV exposure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Pr="004C4350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LAM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D62107">
              <w:rPr>
                <w:rFonts w:asciiTheme="minorHAnsi" w:hAnsiTheme="minorHAnsi" w:cs="Calibri"/>
              </w:rPr>
              <w:t>21 (67.7)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4 (57.1)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TDF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D62107">
              <w:rPr>
                <w:rFonts w:asciiTheme="minorHAnsi" w:hAnsiTheme="minorHAnsi" w:cs="Calibri"/>
              </w:rPr>
              <w:t>17 (54.8)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7 (100)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Pr="004C4350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ADV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9C0FC1">
              <w:rPr>
                <w:rFonts w:asciiTheme="minorHAnsi" w:hAnsiTheme="minorHAnsi" w:cs="Calibri"/>
                <w:highlight w:val="yellow"/>
              </w:rPr>
              <w:t>2 (6.5)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0 (0)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Previous anti-HBV exposure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LAM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D62107">
              <w:rPr>
                <w:rFonts w:asciiTheme="minorHAnsi" w:hAnsiTheme="minorHAnsi" w:cs="Calibri"/>
              </w:rPr>
              <w:t>28 (90.3)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6 (85.7)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TDF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D62107">
              <w:rPr>
                <w:rFonts w:asciiTheme="minorHAnsi" w:hAnsiTheme="minorHAnsi" w:cs="Calibri"/>
              </w:rPr>
              <w:t>14 (45.2)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7 (100)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ADV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D62107">
              <w:rPr>
                <w:rFonts w:asciiTheme="minorHAnsi" w:hAnsiTheme="minorHAnsi" w:cs="Calibri"/>
              </w:rPr>
              <w:t>5 (16.1)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 xml:space="preserve"> 1 (14.3)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IFN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D62107">
              <w:rPr>
                <w:rFonts w:asciiTheme="minorHAnsi" w:hAnsiTheme="minorHAnsi" w:cs="Calibri"/>
              </w:rPr>
              <w:t>10 (32.3)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2 (28.6)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PEG-IFN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D62107">
              <w:rPr>
                <w:rFonts w:asciiTheme="minorHAnsi" w:hAnsiTheme="minorHAnsi" w:cs="Calibri"/>
              </w:rPr>
              <w:t>2 (6.5)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0 (0)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HBV genotype 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="Calibri" w:hAnsi="Calibri" w:cs="Calibri"/>
              </w:rPr>
              <w:t>[</w:t>
            </w:r>
            <w:r w:rsidRPr="00291DDF">
              <w:rPr>
                <w:rFonts w:ascii="Calibri" w:hAnsi="Calibri" w:cs="Calibri"/>
                <w:i/>
              </w:rPr>
              <w:t>N</w:t>
            </w:r>
            <w:r>
              <w:rPr>
                <w:rFonts w:ascii="Calibri" w:hAnsi="Calibri" w:cs="Calibri"/>
              </w:rPr>
              <w:t>=17]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="Calibri" w:hAnsi="Calibri" w:cs="Calibri"/>
              </w:rPr>
              <w:t>[</w:t>
            </w:r>
            <w:r w:rsidRPr="00291DDF">
              <w:rPr>
                <w:rFonts w:ascii="Calibri" w:hAnsi="Calibri" w:cs="Calibri"/>
                <w:i/>
              </w:rPr>
              <w:t>N</w:t>
            </w:r>
            <w:r>
              <w:rPr>
                <w:rFonts w:ascii="Calibri" w:hAnsi="Calibri" w:cs="Calibri"/>
              </w:rPr>
              <w:t>=1]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A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D62107">
              <w:rPr>
                <w:rFonts w:asciiTheme="minorHAnsi" w:hAnsiTheme="minorHAnsi" w:cs="Calibri"/>
              </w:rPr>
              <w:t>11 (64.7)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1 (100)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D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D62107">
              <w:rPr>
                <w:rFonts w:asciiTheme="minorHAnsi" w:hAnsiTheme="minorHAnsi" w:cs="Calibri"/>
              </w:rPr>
              <w:t>1 (5.9)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0 (0)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E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D62107">
              <w:rPr>
                <w:rFonts w:asciiTheme="minorHAnsi" w:hAnsiTheme="minorHAnsi" w:cs="Calibri"/>
              </w:rPr>
              <w:t>1 (5.9)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0 (0)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G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D62107">
              <w:rPr>
                <w:rFonts w:asciiTheme="minorHAnsi" w:hAnsiTheme="minorHAnsi" w:cs="Calibri"/>
              </w:rPr>
              <w:t>4 (23.5)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0 (0)</w:t>
            </w:r>
          </w:p>
        </w:tc>
      </w:tr>
      <w:tr w:rsidR="00AD1EA7" w:rsidRPr="004C4350" w:rsidTr="00DF499A">
        <w:trPr>
          <w:trHeight w:val="71"/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Precore</w:t>
            </w:r>
            <w:proofErr w:type="spellEnd"/>
            <w:r>
              <w:rPr>
                <w:rFonts w:ascii="Calibri" w:hAnsi="Calibri" w:cs="Calibri"/>
              </w:rPr>
              <w:t xml:space="preserve"> mutation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>
              <w:rPr>
                <w:rFonts w:ascii="Calibri" w:hAnsi="Calibri" w:cs="Calibri"/>
              </w:rPr>
              <w:t>[</w:t>
            </w:r>
            <w:r w:rsidRPr="00291DDF">
              <w:rPr>
                <w:rFonts w:ascii="Calibri" w:hAnsi="Calibri" w:cs="Calibri"/>
                <w:i/>
              </w:rPr>
              <w:t>N</w:t>
            </w:r>
            <w:r>
              <w:rPr>
                <w:rFonts w:ascii="Calibri" w:hAnsi="Calibri" w:cs="Calibri"/>
              </w:rPr>
              <w:t>=17]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="Calibri" w:hAnsi="Calibri" w:cs="Calibri"/>
              </w:rPr>
              <w:t>[</w:t>
            </w:r>
            <w:r w:rsidRPr="00291DDF">
              <w:rPr>
                <w:rFonts w:ascii="Calibri" w:hAnsi="Calibri" w:cs="Calibri"/>
                <w:i/>
              </w:rPr>
              <w:t>N</w:t>
            </w:r>
            <w:r>
              <w:rPr>
                <w:rFonts w:ascii="Calibri" w:hAnsi="Calibri" w:cs="Calibri"/>
              </w:rPr>
              <w:t>=1]</w:t>
            </w:r>
          </w:p>
        </w:tc>
      </w:tr>
      <w:tr w:rsidR="00AD1EA7" w:rsidRPr="004C4350" w:rsidTr="00DF499A">
        <w:trPr>
          <w:trHeight w:val="376"/>
          <w:jc w:val="center"/>
        </w:trPr>
        <w:tc>
          <w:tcPr>
            <w:tcW w:w="4395" w:type="dxa"/>
          </w:tcPr>
          <w:p w:rsidR="00AD1EA7" w:rsidRDefault="00AD1EA7" w:rsidP="00DF499A">
            <w:pP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Present</w:t>
            </w:r>
          </w:p>
          <w:p w:rsidR="00AD1EA7" w:rsidRDefault="00AD1EA7" w:rsidP="00DF499A">
            <w:pP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Absent</w:t>
            </w:r>
          </w:p>
        </w:tc>
        <w:tc>
          <w:tcPr>
            <w:tcW w:w="2337" w:type="dxa"/>
          </w:tcPr>
          <w:p w:rsidR="00AD1EA7" w:rsidRPr="00E7725A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E7725A">
              <w:rPr>
                <w:rFonts w:asciiTheme="minorHAnsi" w:hAnsiTheme="minorHAnsi" w:cs="Calibri"/>
              </w:rPr>
              <w:t>3 (17.6)</w:t>
            </w:r>
          </w:p>
          <w:p w:rsidR="00AD1EA7" w:rsidRPr="00E7725A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E7725A">
              <w:rPr>
                <w:rFonts w:asciiTheme="minorHAnsi" w:hAnsiTheme="minorHAnsi" w:cs="Calibri"/>
              </w:rPr>
              <w:t>14 (82.4)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 w:rsidRPr="00E7725A">
              <w:rPr>
                <w:rFonts w:asciiTheme="minorHAnsi" w:hAnsiTheme="minorHAnsi" w:cs="Calibri"/>
                <w:color w:val="000000" w:themeColor="text1"/>
                <w:highlight w:val="yellow"/>
              </w:rPr>
              <w:t>0 (0)</w:t>
            </w:r>
          </w:p>
          <w:p w:rsidR="00AD1EA7" w:rsidRPr="00E7725A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1 (100)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METAVIR fibrosis levels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F3-F4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D62107">
              <w:rPr>
                <w:rFonts w:asciiTheme="minorHAnsi" w:hAnsiTheme="minorHAnsi" w:cs="Calibri"/>
              </w:rPr>
              <w:t>9 (29.0)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0 (0)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F2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D62107">
              <w:rPr>
                <w:rFonts w:asciiTheme="minorHAnsi" w:hAnsiTheme="minorHAnsi" w:cs="Calibri"/>
              </w:rPr>
              <w:t>10 (32.3)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3 (42.9)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</w:tcPr>
          <w:p w:rsidR="00AD1EA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F0-F1</w:t>
            </w:r>
          </w:p>
        </w:tc>
        <w:tc>
          <w:tcPr>
            <w:tcW w:w="2337" w:type="dxa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</w:rPr>
            </w:pPr>
            <w:r w:rsidRPr="00D62107">
              <w:rPr>
                <w:rFonts w:asciiTheme="minorHAnsi" w:hAnsiTheme="minorHAnsi" w:cs="Calibri"/>
              </w:rPr>
              <w:t>12 (38.7)</w:t>
            </w:r>
          </w:p>
        </w:tc>
        <w:tc>
          <w:tcPr>
            <w:tcW w:w="2340" w:type="dxa"/>
            <w:tcBorders>
              <w:left w:val="nil"/>
            </w:tcBorders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4 (57.1)</w:t>
            </w:r>
          </w:p>
        </w:tc>
      </w:tr>
      <w:tr w:rsidR="00AD1EA7" w:rsidRPr="004C4350" w:rsidTr="00DF499A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:rsidR="00AD1EA7" w:rsidRPr="008A644B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Anti-HCV positive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</w:tcPr>
          <w:p w:rsidR="00AD1EA7" w:rsidRPr="00D62107" w:rsidRDefault="00AD1EA7" w:rsidP="00DF49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jc w:val="center"/>
              <w:rPr>
                <w:rFonts w:asciiTheme="minorHAnsi" w:hAnsiTheme="minorHAnsi" w:cs="Calibri"/>
                <w:color w:val="FF0000"/>
              </w:rPr>
            </w:pPr>
            <w:r w:rsidRPr="00D62107">
              <w:rPr>
                <w:rFonts w:asciiTheme="minorHAnsi" w:hAnsiTheme="minorHAnsi" w:cs="Calibri"/>
              </w:rPr>
              <w:t>1 (3.2)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D1EA7" w:rsidRPr="000C2FE0" w:rsidRDefault="00AD1EA7" w:rsidP="00DF499A">
            <w:pPr>
              <w:spacing w:line="480" w:lineRule="auto"/>
              <w:jc w:val="center"/>
              <w:rPr>
                <w:rFonts w:asciiTheme="minorHAnsi" w:hAnsiTheme="minorHAnsi" w:cs="Calibri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Calibri"/>
                <w:color w:val="000000" w:themeColor="text1"/>
                <w:highlight w:val="yellow"/>
              </w:rPr>
              <w:t>0 (0)</w:t>
            </w:r>
          </w:p>
        </w:tc>
      </w:tr>
    </w:tbl>
    <w:p w:rsidR="00AD1EA7" w:rsidRPr="00281044" w:rsidRDefault="00AD1EA7" w:rsidP="00AD1EA7">
      <w:pPr>
        <w:spacing w:after="0" w:line="480" w:lineRule="auto"/>
        <w:rPr>
          <w:rFonts w:ascii="Calibri" w:hAnsi="Calibri" w:cs="Calibri"/>
          <w:sz w:val="20"/>
          <w:szCs w:val="20"/>
          <w:lang w:val="pt-BR"/>
        </w:rPr>
      </w:pPr>
      <w:r w:rsidRPr="00281044">
        <w:rPr>
          <w:rFonts w:ascii="Calibri" w:hAnsi="Calibri" w:cs="Calibri"/>
          <w:sz w:val="20"/>
          <w:szCs w:val="20"/>
          <w:lang w:val="pt-BR"/>
        </w:rPr>
        <w:t xml:space="preserve">ADV, </w:t>
      </w:r>
      <w:proofErr w:type="spellStart"/>
      <w:r w:rsidRPr="00281044">
        <w:rPr>
          <w:rFonts w:ascii="Calibri" w:hAnsi="Calibri" w:cs="Calibri"/>
          <w:sz w:val="20"/>
          <w:szCs w:val="20"/>
          <w:lang w:val="pt-BR"/>
        </w:rPr>
        <w:t>adefovir</w:t>
      </w:r>
      <w:proofErr w:type="spellEnd"/>
      <w:r w:rsidRPr="00281044">
        <w:rPr>
          <w:rFonts w:ascii="Calibri" w:hAnsi="Calibri" w:cs="Calibri"/>
          <w:sz w:val="20"/>
          <w:szCs w:val="20"/>
          <w:lang w:val="pt-BR"/>
        </w:rPr>
        <w:t xml:space="preserve">; ALT, </w:t>
      </w:r>
      <w:proofErr w:type="spellStart"/>
      <w:r w:rsidRPr="00281044">
        <w:rPr>
          <w:rFonts w:ascii="Calibri" w:hAnsi="Calibri" w:cs="Calibri"/>
          <w:sz w:val="20"/>
          <w:szCs w:val="20"/>
          <w:lang w:val="pt-BR"/>
        </w:rPr>
        <w:t>alanine</w:t>
      </w:r>
      <w:proofErr w:type="spellEnd"/>
      <w:r w:rsidRPr="00281044">
        <w:rPr>
          <w:rFonts w:ascii="Calibri" w:hAnsi="Calibri" w:cs="Calibri"/>
          <w:sz w:val="20"/>
          <w:szCs w:val="20"/>
          <w:lang w:val="pt-BR"/>
        </w:rPr>
        <w:t xml:space="preserve"> </w:t>
      </w:r>
      <w:proofErr w:type="spellStart"/>
      <w:r w:rsidRPr="00281044">
        <w:rPr>
          <w:rFonts w:ascii="Calibri" w:hAnsi="Calibri" w:cs="Calibri"/>
          <w:sz w:val="20"/>
          <w:szCs w:val="20"/>
          <w:lang w:val="pt-BR"/>
        </w:rPr>
        <w:t>aminotransferase</w:t>
      </w:r>
      <w:proofErr w:type="spellEnd"/>
      <w:r w:rsidRPr="00281044">
        <w:rPr>
          <w:rFonts w:ascii="Calibri" w:hAnsi="Calibri" w:cs="Calibri"/>
          <w:sz w:val="20"/>
          <w:szCs w:val="20"/>
          <w:lang w:val="pt-BR"/>
        </w:rPr>
        <w:t xml:space="preserve">; ART, </w:t>
      </w:r>
      <w:proofErr w:type="spellStart"/>
      <w:r w:rsidRPr="00281044">
        <w:rPr>
          <w:rFonts w:ascii="Calibri" w:hAnsi="Calibri" w:cs="Calibri"/>
          <w:sz w:val="20"/>
          <w:szCs w:val="20"/>
          <w:lang w:val="pt-BR"/>
        </w:rPr>
        <w:t>antiretroviral</w:t>
      </w:r>
      <w:proofErr w:type="spellEnd"/>
      <w:r w:rsidRPr="00281044">
        <w:rPr>
          <w:rFonts w:ascii="Calibri" w:hAnsi="Calibri" w:cs="Calibri"/>
          <w:sz w:val="20"/>
          <w:szCs w:val="20"/>
          <w:lang w:val="pt-BR"/>
        </w:rPr>
        <w:t xml:space="preserve"> </w:t>
      </w:r>
      <w:proofErr w:type="spellStart"/>
      <w:r w:rsidRPr="00281044">
        <w:rPr>
          <w:rFonts w:ascii="Calibri" w:hAnsi="Calibri" w:cs="Calibri"/>
          <w:sz w:val="20"/>
          <w:szCs w:val="20"/>
          <w:lang w:val="pt-BR"/>
        </w:rPr>
        <w:t>therapy</w:t>
      </w:r>
      <w:proofErr w:type="spellEnd"/>
      <w:r w:rsidRPr="00281044">
        <w:rPr>
          <w:rFonts w:ascii="Calibri" w:hAnsi="Calibri" w:cs="Calibri"/>
          <w:sz w:val="20"/>
          <w:szCs w:val="20"/>
          <w:lang w:val="pt-BR"/>
        </w:rPr>
        <w:t xml:space="preserve">; </w:t>
      </w:r>
      <w:proofErr w:type="spellStart"/>
      <w:r w:rsidRPr="00281044">
        <w:rPr>
          <w:rFonts w:ascii="Calibri" w:hAnsi="Calibri" w:cs="Calibri"/>
          <w:sz w:val="20"/>
          <w:szCs w:val="20"/>
          <w:lang w:val="pt-BR"/>
        </w:rPr>
        <w:t>cccDNA</w:t>
      </w:r>
      <w:proofErr w:type="spellEnd"/>
      <w:r w:rsidRPr="00281044">
        <w:rPr>
          <w:rFonts w:ascii="Calibri" w:hAnsi="Calibri" w:cs="Calibri"/>
          <w:sz w:val="20"/>
          <w:szCs w:val="20"/>
          <w:lang w:val="pt-BR"/>
        </w:rPr>
        <w:t xml:space="preserve">, </w:t>
      </w:r>
      <w:proofErr w:type="spellStart"/>
      <w:r w:rsidRPr="00281044">
        <w:rPr>
          <w:rFonts w:ascii="Calibri" w:hAnsi="Calibri" w:cs="Calibri"/>
          <w:sz w:val="20"/>
          <w:szCs w:val="20"/>
          <w:lang w:val="pt-BR"/>
        </w:rPr>
        <w:t>covalently-closed</w:t>
      </w:r>
      <w:proofErr w:type="spellEnd"/>
      <w:r w:rsidRPr="00281044">
        <w:rPr>
          <w:rFonts w:ascii="Calibri" w:hAnsi="Calibri" w:cs="Calibri"/>
          <w:sz w:val="20"/>
          <w:szCs w:val="20"/>
          <w:lang w:val="pt-BR"/>
        </w:rPr>
        <w:t xml:space="preserve"> circular DNA; HBV, </w:t>
      </w:r>
      <w:proofErr w:type="spellStart"/>
      <w:r w:rsidRPr="00281044">
        <w:rPr>
          <w:rFonts w:ascii="Calibri" w:hAnsi="Calibri" w:cs="Calibri"/>
          <w:sz w:val="20"/>
          <w:szCs w:val="20"/>
          <w:lang w:val="pt-BR"/>
        </w:rPr>
        <w:t>hepatitis</w:t>
      </w:r>
      <w:proofErr w:type="spellEnd"/>
      <w:r w:rsidRPr="00281044">
        <w:rPr>
          <w:rFonts w:ascii="Calibri" w:hAnsi="Calibri" w:cs="Calibri"/>
          <w:sz w:val="20"/>
          <w:szCs w:val="20"/>
          <w:lang w:val="pt-BR"/>
        </w:rPr>
        <w:t xml:space="preserve"> B </w:t>
      </w:r>
      <w:proofErr w:type="spellStart"/>
      <w:r w:rsidRPr="00281044">
        <w:rPr>
          <w:rFonts w:ascii="Calibri" w:hAnsi="Calibri" w:cs="Calibri"/>
          <w:sz w:val="20"/>
          <w:szCs w:val="20"/>
          <w:lang w:val="pt-BR"/>
        </w:rPr>
        <w:t>virus</w:t>
      </w:r>
      <w:proofErr w:type="spellEnd"/>
      <w:r w:rsidRPr="00281044">
        <w:rPr>
          <w:rFonts w:ascii="Calibri" w:hAnsi="Calibri" w:cs="Calibri"/>
          <w:sz w:val="20"/>
          <w:szCs w:val="20"/>
          <w:lang w:val="pt-BR"/>
        </w:rPr>
        <w:t>;</w:t>
      </w:r>
      <w:r>
        <w:rPr>
          <w:rFonts w:ascii="Calibri" w:hAnsi="Calibri" w:cs="Calibri"/>
          <w:sz w:val="20"/>
          <w:szCs w:val="20"/>
          <w:lang w:val="pt-BR"/>
        </w:rPr>
        <w:t xml:space="preserve"> HCV, </w:t>
      </w:r>
      <w:proofErr w:type="spellStart"/>
      <w:r>
        <w:rPr>
          <w:rFonts w:ascii="Calibri" w:hAnsi="Calibri" w:cs="Calibri"/>
          <w:sz w:val="20"/>
          <w:szCs w:val="20"/>
          <w:lang w:val="pt-BR"/>
        </w:rPr>
        <w:t>hepatitis</w:t>
      </w:r>
      <w:proofErr w:type="spellEnd"/>
      <w:r>
        <w:rPr>
          <w:rFonts w:ascii="Calibri" w:hAnsi="Calibri" w:cs="Calibri"/>
          <w:sz w:val="20"/>
          <w:szCs w:val="20"/>
          <w:lang w:val="pt-BR"/>
        </w:rPr>
        <w:t xml:space="preserve"> C </w:t>
      </w:r>
      <w:proofErr w:type="spellStart"/>
      <w:r>
        <w:rPr>
          <w:rFonts w:ascii="Calibri" w:hAnsi="Calibri" w:cs="Calibri"/>
          <w:sz w:val="20"/>
          <w:szCs w:val="20"/>
          <w:lang w:val="pt-BR"/>
        </w:rPr>
        <w:t>virus</w:t>
      </w:r>
      <w:proofErr w:type="spellEnd"/>
      <w:r>
        <w:rPr>
          <w:rFonts w:ascii="Calibri" w:hAnsi="Calibri" w:cs="Calibri"/>
          <w:sz w:val="20"/>
          <w:szCs w:val="20"/>
          <w:lang w:val="pt-BR"/>
        </w:rPr>
        <w:t xml:space="preserve">; IFN, </w:t>
      </w:r>
      <w:proofErr w:type="spellStart"/>
      <w:r>
        <w:rPr>
          <w:rFonts w:ascii="Calibri" w:hAnsi="Calibri" w:cs="Calibri"/>
          <w:sz w:val="20"/>
          <w:szCs w:val="20"/>
          <w:lang w:val="pt-BR"/>
        </w:rPr>
        <w:t>interferon</w:t>
      </w:r>
      <w:proofErr w:type="spellEnd"/>
      <w:r>
        <w:rPr>
          <w:rFonts w:ascii="Calibri" w:hAnsi="Calibri" w:cs="Calibri"/>
          <w:sz w:val="20"/>
          <w:szCs w:val="20"/>
          <w:lang w:val="pt-BR"/>
        </w:rPr>
        <w:t>;</w:t>
      </w:r>
      <w:r w:rsidRPr="00281044">
        <w:rPr>
          <w:rFonts w:ascii="Calibri" w:hAnsi="Calibri" w:cs="Calibri"/>
          <w:sz w:val="20"/>
          <w:szCs w:val="20"/>
          <w:lang w:val="pt-BR"/>
        </w:rPr>
        <w:t xml:space="preserve"> LAM,</w:t>
      </w:r>
      <w:r>
        <w:rPr>
          <w:rFonts w:ascii="Calibri" w:hAnsi="Calibri" w:cs="Calibri"/>
          <w:sz w:val="20"/>
          <w:szCs w:val="20"/>
          <w:lang w:val="pt-B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pt-BR"/>
        </w:rPr>
        <w:t>lamivudine</w:t>
      </w:r>
      <w:proofErr w:type="spellEnd"/>
      <w:r>
        <w:rPr>
          <w:rFonts w:ascii="Calibri" w:hAnsi="Calibri" w:cs="Calibri"/>
          <w:sz w:val="20"/>
          <w:szCs w:val="20"/>
          <w:lang w:val="pt-BR"/>
        </w:rPr>
        <w:t xml:space="preserve">; TDF, tenofovir; PEG-IFN, </w:t>
      </w:r>
      <w:proofErr w:type="spellStart"/>
      <w:r>
        <w:rPr>
          <w:rFonts w:ascii="Calibri" w:hAnsi="Calibri" w:cs="Calibri"/>
          <w:sz w:val="20"/>
          <w:szCs w:val="20"/>
          <w:lang w:val="pt-BR"/>
        </w:rPr>
        <w:t>pegylated</w:t>
      </w:r>
      <w:proofErr w:type="spellEnd"/>
      <w:r>
        <w:rPr>
          <w:rFonts w:ascii="Calibri" w:hAnsi="Calibri" w:cs="Calibri"/>
          <w:sz w:val="20"/>
          <w:szCs w:val="20"/>
          <w:lang w:val="pt-BR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pt-BR"/>
        </w:rPr>
        <w:t>interferon</w:t>
      </w:r>
      <w:proofErr w:type="spellEnd"/>
      <w:r>
        <w:rPr>
          <w:rFonts w:ascii="Calibri" w:hAnsi="Calibri" w:cs="Calibri"/>
          <w:sz w:val="20"/>
          <w:szCs w:val="20"/>
          <w:lang w:val="pt-BR"/>
        </w:rPr>
        <w:t>.</w:t>
      </w:r>
    </w:p>
    <w:p w:rsidR="00AD1EA7" w:rsidRDefault="00AD1EA7" w:rsidP="00AD1EA7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C319C6">
        <w:rPr>
          <w:rFonts w:ascii="Calibri" w:hAnsi="Calibri" w:cs="Calibri"/>
          <w:sz w:val="20"/>
          <w:szCs w:val="20"/>
        </w:rPr>
        <w:t>All statistics are n</w:t>
      </w:r>
      <w:r>
        <w:rPr>
          <w:rFonts w:ascii="Calibri" w:hAnsi="Calibri" w:cs="Calibri"/>
          <w:sz w:val="20"/>
          <w:szCs w:val="20"/>
        </w:rPr>
        <w:t xml:space="preserve"> </w:t>
      </w:r>
      <w:r w:rsidRPr="00C319C6">
        <w:rPr>
          <w:rFonts w:ascii="Calibri" w:hAnsi="Calibri" w:cs="Calibri"/>
          <w:sz w:val="20"/>
          <w:szCs w:val="20"/>
        </w:rPr>
        <w:t>(%), however those with (</w:t>
      </w:r>
      <w:r w:rsidRPr="00C319C6">
        <w:rPr>
          <w:rFonts w:ascii="Calibri" w:hAnsi="Calibri" w:cs="Arial"/>
          <w:sz w:val="20"/>
          <w:szCs w:val="20"/>
          <w:vertAlign w:val="superscript"/>
        </w:rPr>
        <w:t>†</w:t>
      </w:r>
      <w:r w:rsidRPr="00C319C6">
        <w:rPr>
          <w:rFonts w:ascii="Calibri" w:hAnsi="Calibri" w:cs="Arial"/>
          <w:sz w:val="20"/>
          <w:szCs w:val="20"/>
        </w:rPr>
        <w:t>) indicate median (IQR).</w:t>
      </w:r>
      <w:r>
        <w:rPr>
          <w:rFonts w:ascii="Calibri" w:hAnsi="Calibri" w:cs="Arial"/>
          <w:sz w:val="20"/>
          <w:szCs w:val="20"/>
        </w:rPr>
        <w:t xml:space="preserve"> </w:t>
      </w:r>
      <w:r w:rsidRPr="00E865D1">
        <w:rPr>
          <w:rFonts w:ascii="Calibri" w:hAnsi="Calibri" w:cs="Arial"/>
          <w:sz w:val="20"/>
          <w:szCs w:val="20"/>
          <w:highlight w:val="yellow"/>
        </w:rPr>
        <w:t>Time from first to second biopsy was a median 44.0 months (range = 36.7 – 47.1) for the 7 patients with a second biopsy.</w:t>
      </w:r>
      <w:r>
        <w:rPr>
          <w:rFonts w:ascii="Calibri" w:hAnsi="Calibri" w:cs="Arial"/>
          <w:sz w:val="20"/>
          <w:szCs w:val="20"/>
        </w:rPr>
        <w:t xml:space="preserve"> </w:t>
      </w:r>
    </w:p>
    <w:p w:rsidR="00AD1EA7" w:rsidRDefault="00AD1EA7" w:rsidP="00AD1EA7">
      <w:pPr>
        <w:spacing w:after="0" w:line="480" w:lineRule="auto"/>
        <w:ind w:firstLine="45"/>
        <w:rPr>
          <w:rFonts w:ascii="Calibri" w:hAnsi="Calibri" w:cs="Calibri"/>
          <w:sz w:val="20"/>
          <w:szCs w:val="20"/>
        </w:rPr>
      </w:pPr>
      <w:r w:rsidRPr="005F2051">
        <w:rPr>
          <w:rFonts w:ascii="Calibri" w:hAnsi="Calibri" w:cs="Arial"/>
          <w:sz w:val="20"/>
          <w:szCs w:val="20"/>
          <w:vertAlign w:val="superscript"/>
        </w:rPr>
        <w:t>*</w:t>
      </w:r>
      <w:r>
        <w:rPr>
          <w:rFonts w:ascii="Calibri" w:hAnsi="Calibri" w:cs="Arial"/>
          <w:sz w:val="20"/>
          <w:szCs w:val="20"/>
        </w:rPr>
        <w:t xml:space="preserve">Among patients with detectable HIV-RNA. </w:t>
      </w:r>
      <w:r>
        <w:rPr>
          <w:rFonts w:ascii="Calibri" w:hAnsi="Calibri" w:cs="Arial"/>
          <w:sz w:val="20"/>
          <w:szCs w:val="20"/>
          <w:vertAlign w:val="superscript"/>
        </w:rPr>
        <w:t>**</w:t>
      </w:r>
      <w:r w:rsidRPr="00C319C6">
        <w:rPr>
          <w:rFonts w:ascii="Calibri" w:hAnsi="Calibri" w:cs="Arial"/>
          <w:sz w:val="20"/>
          <w:szCs w:val="20"/>
        </w:rPr>
        <w:t>Among patients undergoing concomitant treatment.</w:t>
      </w:r>
      <w:r>
        <w:rPr>
          <w:rFonts w:ascii="Calibri" w:hAnsi="Calibri" w:cs="Arial"/>
          <w:sz w:val="20"/>
          <w:szCs w:val="20"/>
        </w:rPr>
        <w:t xml:space="preserve"> </w:t>
      </w:r>
      <w:r w:rsidRPr="00C319C6">
        <w:rPr>
          <w:rFonts w:ascii="Calibri" w:hAnsi="Calibri" w:cs="Calibri"/>
          <w:sz w:val="20"/>
          <w:szCs w:val="20"/>
          <w:vertAlign w:val="superscript"/>
        </w:rPr>
        <w:t>¥</w:t>
      </w:r>
      <w:r w:rsidRPr="00C319C6">
        <w:rPr>
          <w:rFonts w:ascii="Calibri" w:hAnsi="Calibri" w:cs="Calibri"/>
          <w:sz w:val="20"/>
          <w:szCs w:val="20"/>
        </w:rPr>
        <w:t>Among patients with detectable HBV-DNA.</w:t>
      </w:r>
      <w:r w:rsidRPr="00AD4F39">
        <w:rPr>
          <w:rFonts w:ascii="Calibri" w:hAnsi="Calibri" w:cs="Calibri"/>
          <w:sz w:val="20"/>
          <w:szCs w:val="20"/>
        </w:rPr>
        <w:t xml:space="preserve"> </w:t>
      </w:r>
      <w:r w:rsidRPr="00E7725A">
        <w:rPr>
          <w:rFonts w:ascii="Calibri" w:hAnsi="Calibri" w:cs="Calibri"/>
          <w:color w:val="000000" w:themeColor="text1"/>
          <w:sz w:val="20"/>
          <w:szCs w:val="20"/>
          <w:highlight w:val="yellow"/>
          <w:vertAlign w:val="superscript"/>
        </w:rPr>
        <w:t>¶</w:t>
      </w:r>
      <w:r w:rsidRPr="00E7725A">
        <w:rPr>
          <w:rFonts w:ascii="Calibri" w:hAnsi="Calibri" w:cs="Calibri"/>
          <w:color w:val="000000" w:themeColor="text1"/>
          <w:sz w:val="20"/>
          <w:szCs w:val="20"/>
          <w:highlight w:val="yellow"/>
        </w:rPr>
        <w:t>Viral load for the only patient with detectable HBV</w:t>
      </w:r>
      <w:r>
        <w:rPr>
          <w:rFonts w:ascii="Calibri" w:hAnsi="Calibri" w:cs="Calibri"/>
          <w:color w:val="000000" w:themeColor="text1"/>
          <w:sz w:val="20"/>
          <w:szCs w:val="20"/>
          <w:highlight w:val="yellow"/>
        </w:rPr>
        <w:t>-</w:t>
      </w:r>
      <w:r w:rsidRPr="00E7725A">
        <w:rPr>
          <w:rFonts w:ascii="Calibri" w:hAnsi="Calibri" w:cs="Calibri"/>
          <w:color w:val="000000" w:themeColor="text1"/>
          <w:sz w:val="20"/>
          <w:szCs w:val="20"/>
          <w:highlight w:val="yellow"/>
        </w:rPr>
        <w:t>DNA is given.</w:t>
      </w:r>
    </w:p>
    <w:p w:rsidR="00FE16E4" w:rsidRDefault="00FE16E4"/>
    <w:sectPr w:rsidR="00FE16E4" w:rsidSect="00AD1EA7">
      <w:headerReference w:type="even" r:id="rId6"/>
      <w:headerReference w:type="default" r:id="rId7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FDD" w:rsidRDefault="00A34FDD" w:rsidP="00AD1EA7">
      <w:pPr>
        <w:spacing w:after="0" w:line="240" w:lineRule="auto"/>
      </w:pPr>
      <w:r>
        <w:separator/>
      </w:r>
    </w:p>
  </w:endnote>
  <w:endnote w:type="continuationSeparator" w:id="0">
    <w:p w:rsidR="00A34FDD" w:rsidRDefault="00A34FDD" w:rsidP="00AD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FDD" w:rsidRDefault="00A34FDD" w:rsidP="00AD1EA7">
      <w:pPr>
        <w:spacing w:after="0" w:line="240" w:lineRule="auto"/>
      </w:pPr>
      <w:r>
        <w:separator/>
      </w:r>
    </w:p>
  </w:footnote>
  <w:footnote w:type="continuationSeparator" w:id="0">
    <w:p w:rsidR="00A34FDD" w:rsidRDefault="00A34FDD" w:rsidP="00AD1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62677199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AD1EA7" w:rsidRDefault="00AD1EA7" w:rsidP="00F077BF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D1EA7" w:rsidRDefault="00AD1EA7" w:rsidP="00AD1EA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94297396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AD1EA7" w:rsidRDefault="00AD1EA7" w:rsidP="00F077BF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AD1EA7" w:rsidRDefault="00AD1EA7" w:rsidP="00AD1EA7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A7"/>
    <w:rsid w:val="004505D3"/>
    <w:rsid w:val="00A34FDD"/>
    <w:rsid w:val="00AA3962"/>
    <w:rsid w:val="00AD1EA7"/>
    <w:rsid w:val="00C23BB3"/>
    <w:rsid w:val="00D065BC"/>
    <w:rsid w:val="00D149A1"/>
    <w:rsid w:val="00DA36C5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2E3494"/>
  <w15:chartTrackingRefBased/>
  <w15:docId w15:val="{345A491B-0E38-6B4F-B4C3-6FB404EB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EA7"/>
    <w:pPr>
      <w:spacing w:after="160" w:line="259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1EA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AD1EA7"/>
  </w:style>
  <w:style w:type="character" w:styleId="Numrodepage">
    <w:name w:val="page number"/>
    <w:basedOn w:val="Policepardfaut"/>
    <w:uiPriority w:val="99"/>
    <w:semiHidden/>
    <w:unhideWhenUsed/>
    <w:rsid w:val="00AD1EA7"/>
  </w:style>
  <w:style w:type="table" w:styleId="Grilledutableau">
    <w:name w:val="Table Grid"/>
    <w:basedOn w:val="TableauNormal"/>
    <w:uiPriority w:val="39"/>
    <w:rsid w:val="00AD1E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2046</Characters>
  <Application>Microsoft Office Word</Application>
  <DocSecurity>0</DocSecurity>
  <Lines>35</Lines>
  <Paragraphs>9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Dezanet</dc:creator>
  <cp:keywords/>
  <dc:description/>
  <cp:lastModifiedBy>Lorenza Dezanet</cp:lastModifiedBy>
  <cp:revision>2</cp:revision>
  <dcterms:created xsi:type="dcterms:W3CDTF">2020-05-13T19:38:00Z</dcterms:created>
  <dcterms:modified xsi:type="dcterms:W3CDTF">2020-05-14T15:03:00Z</dcterms:modified>
</cp:coreProperties>
</file>