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0BD29" w14:textId="77777777" w:rsidR="0095199D" w:rsidRPr="0095199D" w:rsidRDefault="0095199D" w:rsidP="0095199D">
      <w:pPr>
        <w:keepNext/>
        <w:keepLines/>
        <w:pBdr>
          <w:bottom w:val="single" w:sz="4" w:space="1" w:color="auto"/>
        </w:pBdr>
        <w:spacing w:before="240" w:after="0" w:line="240" w:lineRule="auto"/>
        <w:contextualSpacing/>
        <w:outlineLvl w:val="0"/>
        <w:rPr>
          <w:rFonts w:ascii="Avenir Black" w:eastAsiaTheme="majorEastAsia" w:hAnsi="Avenir Black" w:cstheme="majorBidi"/>
          <w:b/>
          <w:color w:val="000000" w:themeColor="text1"/>
          <w:sz w:val="56"/>
          <w:szCs w:val="32"/>
          <w:lang w:val="en-GB"/>
        </w:rPr>
      </w:pPr>
      <w:r w:rsidRPr="0095199D">
        <w:rPr>
          <w:rFonts w:ascii="Avenir Black" w:eastAsiaTheme="majorEastAsia" w:hAnsi="Avenir Black" w:cstheme="majorBidi"/>
          <w:b/>
          <w:color w:val="000000" w:themeColor="text1"/>
          <w:sz w:val="56"/>
          <w:szCs w:val="32"/>
          <w:lang w:val="en-GB"/>
        </w:rPr>
        <w:t>Appendix</w:t>
      </w:r>
    </w:p>
    <w:p w14:paraId="77058676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</w:p>
    <w:p w14:paraId="2A046264" w14:textId="77777777" w:rsidR="0095199D" w:rsidRPr="0095199D" w:rsidRDefault="0095199D" w:rsidP="0095199D">
      <w:pPr>
        <w:spacing w:after="0" w:line="240" w:lineRule="auto"/>
        <w:contextualSpacing/>
        <w:jc w:val="center"/>
        <w:rPr>
          <w:rFonts w:ascii="Avenir Book" w:eastAsia="Times New Roman" w:hAnsi="Avenir Book" w:cs="Times New Roman"/>
          <w:szCs w:val="24"/>
          <w:lang w:val="en-GB"/>
        </w:rPr>
      </w:pPr>
      <w:r w:rsidRPr="0095199D">
        <w:rPr>
          <w:rFonts w:asciiTheme="majorHAnsi" w:eastAsia="Times New Roman" w:hAnsiTheme="majorHAnsi" w:cs="Arial"/>
          <w:noProof/>
          <w:color w:val="000000"/>
          <w:lang w:val="en-GB"/>
        </w:rPr>
        <w:drawing>
          <wp:inline distT="0" distB="0" distL="0" distR="0" wp14:anchorId="03A26BF4" wp14:editId="09142585">
            <wp:extent cx="4572000" cy="3253563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6285" cy="325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642F" w14:textId="77777777" w:rsidR="0095199D" w:rsidRPr="0095199D" w:rsidRDefault="0095199D" w:rsidP="0095199D">
      <w:pPr>
        <w:shd w:val="clear" w:color="auto" w:fill="FFFFFF"/>
        <w:spacing w:before="166" w:after="166" w:line="276" w:lineRule="auto"/>
        <w:rPr>
          <w:rFonts w:asciiTheme="majorHAnsi" w:eastAsia="Times New Roman" w:hAnsiTheme="majorHAnsi" w:cs="Times New Roman"/>
          <w:color w:val="000000"/>
          <w:sz w:val="20"/>
          <w:szCs w:val="20"/>
          <w:lang w:val="en-GB"/>
        </w:rPr>
      </w:pPr>
      <w:r w:rsidRPr="0095199D">
        <w:rPr>
          <w:rFonts w:asciiTheme="majorHAnsi" w:eastAsia="Times New Roman" w:hAnsiTheme="majorHAnsi" w:cs="Times New Roman"/>
          <w:b/>
          <w:bCs/>
          <w:color w:val="000000"/>
          <w:sz w:val="20"/>
          <w:szCs w:val="20"/>
          <w:lang w:val="en-GB"/>
        </w:rPr>
        <w:t xml:space="preserve">Appendix 1 – Average baseline demographics across all trials, and split into those trials done using boosted and </w:t>
      </w:r>
      <w:proofErr w:type="spellStart"/>
      <w:r w:rsidRPr="0095199D">
        <w:rPr>
          <w:rFonts w:asciiTheme="majorHAnsi" w:eastAsia="Times New Roman" w:hAnsiTheme="majorHAnsi" w:cs="Times New Roman"/>
          <w:b/>
          <w:bCs/>
          <w:color w:val="000000"/>
          <w:sz w:val="20"/>
          <w:szCs w:val="20"/>
          <w:lang w:val="en-GB"/>
        </w:rPr>
        <w:t>unboosted</w:t>
      </w:r>
      <w:proofErr w:type="spellEnd"/>
      <w:r w:rsidRPr="0095199D">
        <w:rPr>
          <w:rFonts w:asciiTheme="majorHAnsi" w:eastAsia="Times New Roman" w:hAnsiTheme="majorHAnsi" w:cs="Times New Roman"/>
          <w:b/>
          <w:bCs/>
          <w:color w:val="000000"/>
          <w:sz w:val="20"/>
          <w:szCs w:val="20"/>
          <w:lang w:val="en-GB"/>
        </w:rPr>
        <w:t xml:space="preserve"> TDF regimens</w:t>
      </w:r>
    </w:p>
    <w:p w14:paraId="6BF307FC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</w:p>
    <w:p w14:paraId="65862F21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</w:p>
    <w:p w14:paraId="67CAE412" w14:textId="77777777" w:rsidR="0095199D" w:rsidRPr="0095199D" w:rsidRDefault="0095199D" w:rsidP="0095199D">
      <w:pPr>
        <w:shd w:val="clear" w:color="auto" w:fill="FFFFFF"/>
        <w:spacing w:before="166" w:after="166" w:line="276" w:lineRule="auto"/>
        <w:rPr>
          <w:rFonts w:asciiTheme="majorHAnsi" w:eastAsia="Times New Roman" w:hAnsiTheme="majorHAnsi" w:cs="Times New Roman"/>
          <w:color w:val="000000"/>
          <w:sz w:val="20"/>
          <w:szCs w:val="20"/>
          <w:lang w:val="en-GB"/>
        </w:rPr>
      </w:pPr>
      <w:r w:rsidRPr="0095199D">
        <w:rPr>
          <w:rFonts w:asciiTheme="majorHAnsi" w:eastAsiaTheme="majorEastAsia" w:hAnsiTheme="majorHAnsi" w:cstheme="majorBidi"/>
          <w:b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64F0036E" wp14:editId="66C081ED">
            <wp:extent cx="5727700" cy="25146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73A2" w14:textId="77777777" w:rsidR="0095199D" w:rsidRPr="0095199D" w:rsidRDefault="0095199D" w:rsidP="0095199D">
      <w:pPr>
        <w:shd w:val="clear" w:color="auto" w:fill="FFFFFF"/>
        <w:spacing w:before="166" w:after="166" w:line="276" w:lineRule="auto"/>
        <w:rPr>
          <w:rFonts w:asciiTheme="majorHAnsi" w:eastAsia="Times New Roman" w:hAnsiTheme="majorHAnsi" w:cs="Times New Roman"/>
          <w:color w:val="000000"/>
          <w:sz w:val="20"/>
          <w:szCs w:val="20"/>
          <w:lang w:val="en-GB"/>
        </w:rPr>
      </w:pPr>
      <w:r w:rsidRPr="0095199D">
        <w:rPr>
          <w:rFonts w:asciiTheme="majorHAnsi" w:eastAsia="Times New Roman" w:hAnsiTheme="majorHAnsi" w:cs="Times New Roman"/>
          <w:b/>
          <w:bCs/>
          <w:color w:val="000000"/>
          <w:sz w:val="20"/>
          <w:szCs w:val="20"/>
          <w:lang w:val="en-GB"/>
        </w:rPr>
        <w:t xml:space="preserve">Appendix 2 – Meta-analysis of efficacy </w:t>
      </w:r>
    </w:p>
    <w:p w14:paraId="260CF9AD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</w:p>
    <w:p w14:paraId="5AD32402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lang w:val="en-GB"/>
        </w:rPr>
      </w:pPr>
      <w:r w:rsidRPr="0095199D">
        <w:rPr>
          <w:rFonts w:ascii="Avenir Book" w:eastAsia="Times New Roman" w:hAnsi="Avenir Book" w:cs="Times New Roman"/>
          <w:noProof/>
          <w:lang w:val="en-GB"/>
        </w:rPr>
        <w:lastRenderedPageBreak/>
        <w:drawing>
          <wp:inline distT="0" distB="0" distL="0" distR="0" wp14:anchorId="024561AE" wp14:editId="3AC0F800">
            <wp:extent cx="5727700" cy="2889885"/>
            <wp:effectExtent l="0" t="0" r="0" b="5715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19-09-16 at 00.03.18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4979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b/>
          <w:bCs/>
          <w:lang w:val="en-GB"/>
        </w:rPr>
      </w:pPr>
      <w:r w:rsidRPr="0095199D">
        <w:rPr>
          <w:rFonts w:ascii="Avenir Book" w:eastAsia="Times New Roman" w:hAnsi="Avenir Book" w:cs="Times New Roman"/>
          <w:b/>
          <w:bCs/>
          <w:lang w:val="en-GB"/>
        </w:rPr>
        <w:t xml:space="preserve">Appendix 3 – all grade 1-4 adverse events </w:t>
      </w:r>
      <w:proofErr w:type="spellStart"/>
      <w:r w:rsidRPr="0095199D">
        <w:rPr>
          <w:rFonts w:ascii="Avenir Book" w:eastAsia="Times New Roman" w:hAnsi="Avenir Book" w:cs="Times New Roman"/>
          <w:b/>
          <w:bCs/>
          <w:lang w:val="en-GB"/>
        </w:rPr>
        <w:t>meta analysis</w:t>
      </w:r>
      <w:proofErr w:type="spellEnd"/>
    </w:p>
    <w:p w14:paraId="7224A49C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  <w:r w:rsidRPr="0095199D">
        <w:rPr>
          <w:rFonts w:ascii="Avenir Book" w:eastAsia="Times New Roman" w:hAnsi="Avenir Book" w:cs="Times New Roman"/>
          <w:szCs w:val="24"/>
          <w:lang w:val="en-GB"/>
        </w:rPr>
        <w:t>- including events/people expect advance = people/people</w:t>
      </w:r>
    </w:p>
    <w:p w14:paraId="02CBE60B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</w:p>
    <w:p w14:paraId="6344E0BA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  <w:r w:rsidRPr="0095199D">
        <w:rPr>
          <w:rFonts w:ascii="Avenir Book" w:eastAsia="Times New Roman" w:hAnsi="Avenir Book" w:cs="Times New Roman"/>
          <w:noProof/>
          <w:szCs w:val="24"/>
          <w:lang w:val="en-GB"/>
        </w:rPr>
        <w:drawing>
          <wp:inline distT="0" distB="0" distL="0" distR="0" wp14:anchorId="17F6DCCA" wp14:editId="7480F21E">
            <wp:extent cx="5727700" cy="288734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2A45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b/>
          <w:bCs/>
          <w:szCs w:val="24"/>
          <w:lang w:val="en-GB"/>
        </w:rPr>
      </w:pPr>
      <w:r w:rsidRPr="0095199D">
        <w:rPr>
          <w:rFonts w:ascii="Avenir Book" w:eastAsia="Times New Roman" w:hAnsi="Avenir Book" w:cs="Times New Roman"/>
          <w:b/>
          <w:bCs/>
          <w:szCs w:val="24"/>
          <w:lang w:val="en-GB"/>
        </w:rPr>
        <w:t>Appendix 4 – meta-analysis of grade 3/4 adverse events</w:t>
      </w:r>
    </w:p>
    <w:p w14:paraId="71587CB8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</w:p>
    <w:p w14:paraId="6AB58F02" w14:textId="77777777" w:rsidR="0095199D" w:rsidRPr="0095199D" w:rsidRDefault="0095199D" w:rsidP="0095199D">
      <w:pPr>
        <w:spacing w:after="0" w:line="240" w:lineRule="auto"/>
        <w:rPr>
          <w:rFonts w:ascii="Avenir Black" w:eastAsiaTheme="majorEastAsia" w:hAnsi="Avenir Black" w:cstheme="majorBidi"/>
          <w:b/>
          <w:color w:val="000000" w:themeColor="text1"/>
          <w:sz w:val="26"/>
          <w:szCs w:val="26"/>
          <w:lang w:val="en-GB"/>
        </w:rPr>
      </w:pPr>
    </w:p>
    <w:p w14:paraId="523C3CC8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  <w:r w:rsidRPr="0095199D">
        <w:rPr>
          <w:rFonts w:ascii="Avenir Book" w:eastAsia="Times New Roman" w:hAnsi="Avenir Book" w:cs="Times New Roman"/>
          <w:noProof/>
          <w:szCs w:val="24"/>
          <w:lang w:val="en-GB"/>
        </w:rPr>
        <w:lastRenderedPageBreak/>
        <w:drawing>
          <wp:inline distT="0" distB="0" distL="0" distR="0" wp14:anchorId="11D566B5" wp14:editId="42D1E055">
            <wp:extent cx="5727700" cy="252730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A490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b/>
          <w:bCs/>
          <w:szCs w:val="24"/>
          <w:lang w:val="en-GB"/>
        </w:rPr>
      </w:pPr>
      <w:r w:rsidRPr="0095199D">
        <w:rPr>
          <w:rFonts w:ascii="Avenir Book" w:eastAsia="Times New Roman" w:hAnsi="Avenir Book" w:cs="Times New Roman"/>
          <w:b/>
          <w:bCs/>
          <w:szCs w:val="24"/>
          <w:lang w:val="en-GB"/>
        </w:rPr>
        <w:t>Appendix 5 – Grade 3-4 laboratory adverse events</w:t>
      </w:r>
    </w:p>
    <w:p w14:paraId="235A1556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</w:p>
    <w:p w14:paraId="51F142CE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noProof/>
          <w:szCs w:val="24"/>
          <w:lang w:val="en-GB"/>
        </w:rPr>
        <w:drawing>
          <wp:inline distT="0" distB="0" distL="0" distR="0" wp14:anchorId="0897E7A9" wp14:editId="469EFC83">
            <wp:extent cx="5727700" cy="2889885"/>
            <wp:effectExtent l="0" t="0" r="0" b="5715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CC60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b/>
          <w:bCs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b/>
          <w:bCs/>
          <w:szCs w:val="24"/>
          <w:lang w:val="en-GB"/>
        </w:rPr>
        <w:t>Appendix 6 – meta-analysis of serious adverse events</w:t>
      </w:r>
    </w:p>
    <w:p w14:paraId="2D595C2A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b/>
          <w:bCs/>
          <w:szCs w:val="24"/>
          <w:lang w:val="en-GB"/>
        </w:rPr>
      </w:pPr>
    </w:p>
    <w:p w14:paraId="58317034" w14:textId="77777777" w:rsidR="0095199D" w:rsidRPr="0095199D" w:rsidRDefault="0095199D" w:rsidP="0095199D">
      <w:pPr>
        <w:spacing w:after="0" w:line="240" w:lineRule="auto"/>
        <w:rPr>
          <w:rFonts w:ascii="Avenir Book" w:eastAsiaTheme="majorEastAsia" w:hAnsi="Avenir Book" w:cs="Times New Roman"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noProof/>
          <w:szCs w:val="24"/>
          <w:lang w:val="en-GB"/>
        </w:rPr>
        <w:lastRenderedPageBreak/>
        <w:drawing>
          <wp:inline distT="0" distB="0" distL="0" distR="0" wp14:anchorId="5C49F751" wp14:editId="1CA1D471">
            <wp:extent cx="5727700" cy="2788285"/>
            <wp:effectExtent l="0" t="0" r="0" b="571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A5686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b/>
          <w:bCs/>
          <w:szCs w:val="24"/>
          <w:lang w:val="en-GB"/>
        </w:rPr>
      </w:pPr>
      <w:r w:rsidRPr="0095199D">
        <w:rPr>
          <w:rFonts w:ascii="Avenir Book" w:eastAsia="Times New Roman" w:hAnsi="Avenir Book" w:cs="Times New Roman"/>
          <w:b/>
          <w:bCs/>
          <w:szCs w:val="24"/>
          <w:lang w:val="en-GB"/>
        </w:rPr>
        <w:t xml:space="preserve">Appendix 7 – meta-analysis of </w:t>
      </w:r>
      <w:r w:rsidRPr="0095199D">
        <w:rPr>
          <w:rFonts w:asciiTheme="majorHAnsi" w:eastAsia="Times New Roman" w:hAnsiTheme="majorHAnsi" w:cs="Times New Roman"/>
          <w:b/>
          <w:bCs/>
          <w:color w:val="000000"/>
          <w:lang w:val="en-GB"/>
        </w:rPr>
        <w:t xml:space="preserve">discontinuations due to adverse </w:t>
      </w:r>
      <w:proofErr w:type="gramStart"/>
      <w:r w:rsidRPr="0095199D">
        <w:rPr>
          <w:rFonts w:asciiTheme="majorHAnsi" w:eastAsia="Times New Roman" w:hAnsiTheme="majorHAnsi" w:cs="Times New Roman"/>
          <w:b/>
          <w:bCs/>
          <w:color w:val="000000"/>
          <w:lang w:val="en-GB"/>
        </w:rPr>
        <w:t>events  (</w:t>
      </w:r>
      <w:proofErr w:type="gramEnd"/>
      <w:r w:rsidRPr="0095199D">
        <w:rPr>
          <w:rFonts w:asciiTheme="majorHAnsi" w:eastAsia="Times New Roman" w:hAnsiTheme="majorHAnsi" w:cs="Times New Roman"/>
          <w:b/>
          <w:bCs/>
          <w:color w:val="000000"/>
          <w:lang w:val="en-GB"/>
        </w:rPr>
        <w:t>D/CAE)</w:t>
      </w:r>
    </w:p>
    <w:p w14:paraId="50C65880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b/>
          <w:bCs/>
          <w:szCs w:val="24"/>
          <w:lang w:val="en-GB"/>
        </w:rPr>
      </w:pPr>
    </w:p>
    <w:p w14:paraId="643E1039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noProof/>
          <w:szCs w:val="24"/>
          <w:lang w:val="en-GB"/>
        </w:rPr>
        <w:drawing>
          <wp:inline distT="0" distB="0" distL="0" distR="0" wp14:anchorId="075FA9C1" wp14:editId="7BFFF527">
            <wp:extent cx="5727700" cy="2695575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3FDC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b/>
          <w:bCs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b/>
          <w:bCs/>
          <w:szCs w:val="24"/>
          <w:lang w:val="en-GB"/>
        </w:rPr>
        <w:t xml:space="preserve">Appendix 8 – meta-analysis of number of deaths from any cause </w:t>
      </w:r>
    </w:p>
    <w:p w14:paraId="16FBBD01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szCs w:val="24"/>
          <w:lang w:val="en-GB"/>
        </w:rPr>
      </w:pPr>
    </w:p>
    <w:p w14:paraId="528EA049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szCs w:val="24"/>
          <w:lang w:val="en-GB"/>
        </w:rPr>
      </w:pPr>
    </w:p>
    <w:p w14:paraId="44A7F0F4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noProof/>
          <w:szCs w:val="24"/>
          <w:lang w:val="en-GB"/>
        </w:rPr>
        <w:lastRenderedPageBreak/>
        <w:drawing>
          <wp:inline distT="0" distB="0" distL="0" distR="0" wp14:anchorId="256CC12C" wp14:editId="583B6CF4">
            <wp:extent cx="5727700" cy="2733040"/>
            <wp:effectExtent l="0" t="0" r="0" b="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91B6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b/>
          <w:bCs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b/>
          <w:bCs/>
          <w:szCs w:val="24"/>
          <w:lang w:val="en-GB"/>
        </w:rPr>
        <w:t xml:space="preserve">Appendix 9 – discontinuations due to bone adverse events </w:t>
      </w:r>
    </w:p>
    <w:p w14:paraId="4489E17D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="Times New Roman" w:hAnsi="Avenir Book" w:cs="Times New Roman"/>
          <w:szCs w:val="24"/>
          <w:lang w:val="en-GB"/>
        </w:rPr>
      </w:pPr>
    </w:p>
    <w:p w14:paraId="789C4150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noProof/>
          <w:szCs w:val="24"/>
          <w:lang w:val="en-GB"/>
        </w:rPr>
        <w:drawing>
          <wp:inline distT="0" distB="0" distL="0" distR="0" wp14:anchorId="7ACFC0C7" wp14:editId="0F2380F7">
            <wp:extent cx="5727700" cy="2805430"/>
            <wp:effectExtent l="0" t="0" r="0" b="127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9027" w14:textId="77777777" w:rsidR="0095199D" w:rsidRPr="0095199D" w:rsidRDefault="0095199D" w:rsidP="0095199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</w:pPr>
    </w:p>
    <w:p w14:paraId="34E0E5D6" w14:textId="77777777" w:rsidR="0095199D" w:rsidRPr="0095199D" w:rsidRDefault="0095199D" w:rsidP="0095199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</w:pPr>
      <w:r w:rsidRPr="0095199D"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  <w:t xml:space="preserve">Appendix 10 </w:t>
      </w:r>
      <w:proofErr w:type="gramStart"/>
      <w:r w:rsidRPr="0095199D"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  <w:t>-  Forest</w:t>
      </w:r>
      <w:proofErr w:type="gramEnd"/>
      <w:r w:rsidRPr="0095199D"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  <w:t xml:space="preserve"> plot showing details of bone fractures - again divided by boosted and </w:t>
      </w:r>
      <w:proofErr w:type="spellStart"/>
      <w:r w:rsidRPr="0095199D"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  <w:t>unboosted</w:t>
      </w:r>
      <w:proofErr w:type="spellEnd"/>
    </w:p>
    <w:p w14:paraId="32DE0907" w14:textId="77777777" w:rsidR="0095199D" w:rsidRPr="0095199D" w:rsidRDefault="0095199D" w:rsidP="0095199D">
      <w:pPr>
        <w:spacing w:after="0" w:line="240" w:lineRule="auto"/>
        <w:rPr>
          <w:rFonts w:asciiTheme="majorHAnsi" w:eastAsia="Times New Roman" w:hAnsiTheme="majorHAnsi" w:cs="Times New Roman"/>
          <w:b/>
          <w:bCs/>
          <w:color w:val="000000"/>
          <w:lang w:val="en-GB"/>
        </w:rPr>
      </w:pPr>
    </w:p>
    <w:p w14:paraId="0B0D138F" w14:textId="77777777" w:rsidR="0095199D" w:rsidRPr="0095199D" w:rsidRDefault="0095199D" w:rsidP="0095199D">
      <w:pPr>
        <w:spacing w:after="0" w:line="240" w:lineRule="auto"/>
        <w:rPr>
          <w:rFonts w:ascii="Avenir Book" w:eastAsia="Times New Roman" w:hAnsi="Avenir Book" w:cs="Times New Roman"/>
          <w:szCs w:val="24"/>
          <w:lang w:val="en-GB"/>
        </w:rPr>
      </w:pPr>
    </w:p>
    <w:p w14:paraId="0FB40967" w14:textId="77777777" w:rsidR="0095199D" w:rsidRPr="0095199D" w:rsidRDefault="0095199D" w:rsidP="0095199D">
      <w:pPr>
        <w:spacing w:after="0" w:line="240" w:lineRule="auto"/>
        <w:rPr>
          <w:rFonts w:ascii="Avenir Book" w:eastAsia="Times New Roman" w:hAnsi="Avenir Book" w:cs="Times New Roman"/>
          <w:szCs w:val="24"/>
          <w:lang w:val="en-GB"/>
        </w:rPr>
      </w:pPr>
    </w:p>
    <w:p w14:paraId="08D96D98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szCs w:val="24"/>
          <w:lang w:val="en-GB"/>
        </w:rPr>
      </w:pPr>
    </w:p>
    <w:p w14:paraId="184E040A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noProof/>
          <w:szCs w:val="24"/>
          <w:lang w:val="en-GB"/>
        </w:rPr>
        <w:lastRenderedPageBreak/>
        <w:drawing>
          <wp:inline distT="0" distB="0" distL="0" distR="0" wp14:anchorId="60174225" wp14:editId="77516B0B">
            <wp:extent cx="5727700" cy="2794000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19-08-30 at 12.52.48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A05E" w14:textId="77777777" w:rsidR="0095199D" w:rsidRPr="0095199D" w:rsidRDefault="0095199D" w:rsidP="0095199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</w:pPr>
    </w:p>
    <w:p w14:paraId="33FDFA7C" w14:textId="77777777" w:rsidR="0095199D" w:rsidRPr="0095199D" w:rsidRDefault="0095199D" w:rsidP="0095199D">
      <w:pPr>
        <w:spacing w:after="0" w:line="240" w:lineRule="auto"/>
        <w:rPr>
          <w:rFonts w:ascii="Avenir Book" w:eastAsia="Times New Roman" w:hAnsi="Avenir Book" w:cs="Times New Roman"/>
          <w:szCs w:val="24"/>
          <w:lang w:val="en-GB"/>
        </w:rPr>
      </w:pPr>
      <w:r w:rsidRPr="0095199D"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  <w:t xml:space="preserve">Appendix 11. Forest plot showing details of meta-analysis for discontinuations for renal adverse events, divided by boosted and </w:t>
      </w:r>
      <w:proofErr w:type="spellStart"/>
      <w:r w:rsidRPr="0095199D"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  <w:t>unboosted</w:t>
      </w:r>
      <w:proofErr w:type="spellEnd"/>
      <w:r w:rsidRPr="0095199D"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  <w:t>.</w:t>
      </w:r>
    </w:p>
    <w:p w14:paraId="317F33B3" w14:textId="77777777" w:rsidR="0095199D" w:rsidRPr="0095199D" w:rsidRDefault="0095199D" w:rsidP="0095199D">
      <w:pPr>
        <w:spacing w:after="0" w:line="240" w:lineRule="auto"/>
        <w:rPr>
          <w:rFonts w:ascii="Avenir Book" w:eastAsia="Times New Roman" w:hAnsi="Avenir Book" w:cs="Times New Roman"/>
          <w:szCs w:val="24"/>
          <w:lang w:val="en-GB"/>
        </w:rPr>
      </w:pPr>
      <w:r w:rsidRPr="0095199D">
        <w:rPr>
          <w:rFonts w:ascii="Avenir Book" w:eastAsia="Times New Roman" w:hAnsi="Avenir Book" w:cs="Times New Roman"/>
          <w:szCs w:val="24"/>
          <w:lang w:val="en-GB"/>
        </w:rPr>
        <w:br w:type="page"/>
      </w:r>
    </w:p>
    <w:p w14:paraId="77EF2CE5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szCs w:val="24"/>
          <w:lang w:val="en-GB"/>
        </w:rPr>
      </w:pPr>
    </w:p>
    <w:p w14:paraId="2D9A4959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noProof/>
          <w:szCs w:val="24"/>
          <w:lang w:val="en-GB"/>
        </w:rPr>
        <w:drawing>
          <wp:inline distT="0" distB="0" distL="0" distR="0" wp14:anchorId="09846A87" wp14:editId="37F77551">
            <wp:extent cx="5727700" cy="2718435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B46D" w14:textId="77777777" w:rsidR="0095199D" w:rsidRPr="0095199D" w:rsidRDefault="0095199D" w:rsidP="0095199D">
      <w:pPr>
        <w:spacing w:after="0" w:line="240" w:lineRule="auto"/>
        <w:contextualSpacing/>
        <w:rPr>
          <w:rFonts w:ascii="Avenir Book" w:eastAsiaTheme="majorEastAsia" w:hAnsi="Avenir Book" w:cs="Times New Roman"/>
          <w:b/>
          <w:bCs/>
          <w:szCs w:val="24"/>
          <w:lang w:val="en-GB"/>
        </w:rPr>
      </w:pPr>
      <w:r w:rsidRPr="0095199D">
        <w:rPr>
          <w:rFonts w:ascii="Avenir Book" w:eastAsiaTheme="majorEastAsia" w:hAnsi="Avenir Book" w:cs="Times New Roman"/>
          <w:b/>
          <w:bCs/>
          <w:szCs w:val="24"/>
          <w:lang w:val="en-GB"/>
        </w:rPr>
        <w:t>Appendix 11 – renal tubular adverse events</w:t>
      </w:r>
    </w:p>
    <w:p w14:paraId="6990BC7A" w14:textId="77777777" w:rsidR="00506C3A" w:rsidRDefault="00506C3A"/>
    <w:sectPr w:rsidR="00506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lack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99D"/>
    <w:rsid w:val="00506C3A"/>
    <w:rsid w:val="0095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78F57"/>
  <w15:chartTrackingRefBased/>
  <w15:docId w15:val="{EDC9B8D2-6B2F-4377-86E0-ADF7B6E4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Franks, Lucy</dc:creator>
  <cp:keywords/>
  <dc:description/>
  <cp:lastModifiedBy>Franks, Lucy</cp:lastModifiedBy>
  <cp:revision>1</cp:revision>
  <dcterms:created xsi:type="dcterms:W3CDTF">2020-09-24T13:26:00Z</dcterms:created>
  <dcterms:modified xsi:type="dcterms:W3CDTF">2020-09-24T13:27:00Z</dcterms:modified>
</cp:coreProperties>
</file>