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0FCC" w:rsidRDefault="004C3455">
      <w:pPr>
        <w:spacing w:line="276" w:lineRule="auto"/>
        <w:rPr>
          <w:rFonts w:ascii="Times New Roman" w:hAnsi="Times New Roman" w:cs="Times New Roman"/>
        </w:rPr>
      </w:pPr>
      <w:bookmarkStart w:id="0" w:name="_GoBack"/>
      <w:bookmarkEnd w:id="0"/>
      <w:r>
        <w:rPr>
          <w:rFonts w:ascii="Times New Roman" w:hAnsi="Times New Roman" w:cs="Times New Roman"/>
          <w:b/>
          <w:bCs/>
        </w:rPr>
        <w:t>Table S1</w:t>
      </w:r>
      <w:r>
        <w:rPr>
          <w:rFonts w:ascii="Times New Roman" w:hAnsi="Times New Roman" w:cs="Times New Roman"/>
        </w:rPr>
        <w:t xml:space="preserve"> Population-based HIV Impact Assessment (PHIA) survey questions used to determine HIV testing history and knowledge of HIV status </w:t>
      </w:r>
      <w:r>
        <w:rPr>
          <w:rFonts w:ascii="Times New Roman" w:hAnsi="Times New Roman" w:cs="Times New Roman"/>
        </w:rPr>
        <w:fldChar w:fldCharType="begin">
          <w:fldData xml:space="preserve">PEVuZE5vdGU+PENpdGU+PFllYXI+QXByaWwgMjAxOTwvWWVhcj48UmVjTnVtPjI4PC9SZWNOdW0+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PEVuZE5vdGU+PENpdGU+PFllYXI+QXByaWwgMjAxOTwvWWVhcj48UmVjTnVtPjI4PC9SZWNOdW0+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vertAlign w:val="superscript"/>
        </w:rPr>
        <w:t>[1-4]</w:t>
      </w:r>
      <w:r>
        <w:rPr>
          <w:rFonts w:ascii="Times New Roman" w:hAnsi="Times New Roman" w:cs="Times New Roman"/>
        </w:rPr>
        <w:fldChar w:fldCharType="end"/>
      </w:r>
      <w:r>
        <w:rPr>
          <w:rFonts w:ascii="Times New Roman" w:hAnsi="Times New Roman" w:cs="Times New Roman"/>
        </w:rPr>
        <w:t xml:space="preserve">. Each unanswered question was marked as </w:t>
      </w:r>
      <w:r>
        <w:rPr>
          <w:rFonts w:ascii="Times New Roman" w:hAnsi="Times New Roman" w:cs="Times New Roman"/>
          <w:i/>
        </w:rPr>
        <w:t>NA</w:t>
      </w:r>
      <w:r>
        <w:rPr>
          <w:rFonts w:ascii="Times New Roman" w:hAnsi="Times New Roman" w:cs="Times New Roman"/>
        </w:rPr>
        <w:t xml:space="preserve">. </w:t>
      </w:r>
    </w:p>
    <w:p w:rsidR="00CD0FCC" w:rsidRDefault="00CD0FCC">
      <w:pPr>
        <w:spacing w:line="276" w:lineRule="auto"/>
        <w:rPr>
          <w:rFonts w:ascii="Times New Roman" w:hAnsi="Times New Roman" w:cs="Times New Roman"/>
        </w:rPr>
      </w:pPr>
    </w:p>
    <w:tbl>
      <w:tblPr>
        <w:tblStyle w:val="ListTable21"/>
        <w:tblW w:w="5000" w:type="pct"/>
        <w:tblLook w:val="04A0" w:firstRow="1" w:lastRow="0" w:firstColumn="1" w:lastColumn="0" w:noHBand="0" w:noVBand="1"/>
      </w:tblPr>
      <w:tblGrid>
        <w:gridCol w:w="2356"/>
        <w:gridCol w:w="5495"/>
        <w:gridCol w:w="5109"/>
      </w:tblGrid>
      <w:tr w:rsidR="00CD0FCC" w:rsidTr="00CD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rsidR="00CD0FCC" w:rsidRDefault="004C3455">
            <w:pPr>
              <w:spacing w:line="276" w:lineRule="auto"/>
              <w:rPr>
                <w:rFonts w:ascii="Times New Roman" w:hAnsi="Times New Roman" w:cs="Times New Roman"/>
                <w:b w:val="0"/>
                <w:bCs w:val="0"/>
              </w:rPr>
            </w:pPr>
            <w:r>
              <w:rPr>
                <w:rFonts w:ascii="Times New Roman" w:hAnsi="Times New Roman" w:cs="Times New Roman"/>
              </w:rPr>
              <w:t>Questions</w:t>
            </w:r>
          </w:p>
        </w:tc>
        <w:tc>
          <w:tcPr>
            <w:tcW w:w="2120" w:type="pct"/>
          </w:tcPr>
          <w:p w:rsidR="00CD0FCC" w:rsidRDefault="004C3455">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Ever tested and received results</w:t>
            </w:r>
          </w:p>
        </w:tc>
        <w:tc>
          <w:tcPr>
            <w:tcW w:w="1971" w:type="pct"/>
          </w:tcPr>
          <w:p w:rsidR="00CD0FCC" w:rsidRDefault="004C3455">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Awareness of HIV-positive status</w:t>
            </w:r>
          </w:p>
        </w:tc>
      </w:tr>
      <w:tr w:rsidR="00CD0FCC" w:rsidTr="00CD0FCC">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CCCCC" w:themeFill="text1" w:themeFillTint="33"/>
          </w:tcPr>
          <w:p w:rsidR="00CD0FCC" w:rsidRDefault="004C3455">
            <w:pPr>
              <w:spacing w:line="276" w:lineRule="auto"/>
              <w:rPr>
                <w:rFonts w:ascii="Times New Roman" w:hAnsi="Times New Roman" w:cs="Times New Roman"/>
                <w:b w:val="0"/>
                <w:bCs w:val="0"/>
              </w:rPr>
            </w:pPr>
            <w:r>
              <w:rPr>
                <w:rFonts w:ascii="Times New Roman" w:hAnsi="Times New Roman" w:cs="Times New Roman"/>
              </w:rPr>
              <w:t>Question for all participants</w:t>
            </w:r>
          </w:p>
        </w:tc>
      </w:tr>
      <w:tr w:rsidR="00CD0FCC" w:rsidTr="00CD0FCC">
        <w:tc>
          <w:tcPr>
            <w:cnfStyle w:val="001000000000" w:firstRow="0" w:lastRow="0" w:firstColumn="1" w:lastColumn="0" w:oddVBand="0" w:evenVBand="0" w:oddHBand="0" w:evenHBand="0" w:firstRowFirstColumn="0" w:firstRowLastColumn="0" w:lastRowFirstColumn="0" w:lastRowLastColumn="0"/>
            <w:tcW w:w="909" w:type="pct"/>
          </w:tcPr>
          <w:p w:rsidR="00CD0FCC" w:rsidRDefault="004C3455">
            <w:pPr>
              <w:spacing w:line="276" w:lineRule="auto"/>
              <w:rPr>
                <w:rFonts w:ascii="Times New Roman" w:hAnsi="Times New Roman" w:cs="Times New Roman"/>
                <w:b w:val="0"/>
                <w:bCs w:val="0"/>
              </w:rPr>
            </w:pPr>
            <w:r>
              <w:rPr>
                <w:rFonts w:ascii="Times New Roman" w:hAnsi="Times New Roman" w:cs="Times New Roman"/>
              </w:rPr>
              <w:t>What was the result of your last HIV test?</w:t>
            </w:r>
          </w:p>
        </w:tc>
        <w:tc>
          <w:tcPr>
            <w:tcW w:w="2120" w:type="pct"/>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Participants who responded “positive”, “unknown/indeterminate” or “negative” were defined as </w:t>
            </w:r>
            <w:r>
              <w:rPr>
                <w:rFonts w:ascii="Times New Roman" w:hAnsi="Times New Roman" w:cs="Times New Roman"/>
                <w:i/>
                <w:iCs/>
              </w:rPr>
              <w:t>self-reported ever tested and received results</w:t>
            </w:r>
            <w:r>
              <w:rPr>
                <w:rFonts w:ascii="Times New Roman" w:hAnsi="Times New Roman" w:cs="Times New Roman"/>
              </w:rPr>
              <w:t xml:space="preserve">, while participants who responded “did not receive results”, were defined as </w:t>
            </w:r>
            <w:r>
              <w:rPr>
                <w:rFonts w:ascii="Times New Roman" w:hAnsi="Times New Roman" w:cs="Times New Roman"/>
                <w:i/>
                <w:iCs/>
              </w:rPr>
              <w:t>self-reported never tested</w:t>
            </w:r>
            <w:r>
              <w:rPr>
                <w:rFonts w:ascii="Times New Roman" w:hAnsi="Times New Roman" w:cs="Times New Roman"/>
              </w:rPr>
              <w:t xml:space="preserve"> </w:t>
            </w:r>
            <w:r>
              <w:rPr>
                <w:rFonts w:ascii="Times New Roman" w:hAnsi="Times New Roman" w:cs="Times New Roman"/>
                <w:i/>
                <w:iCs/>
              </w:rPr>
              <w:t>and received results</w:t>
            </w:r>
            <w:r>
              <w:rPr>
                <w:rFonts w:ascii="Times New Roman" w:hAnsi="Times New Roman" w:cs="Times New Roman"/>
              </w:rPr>
              <w:t xml:space="preserve">. </w:t>
            </w:r>
          </w:p>
        </w:tc>
        <w:tc>
          <w:tcPr>
            <w:tcW w:w="1971" w:type="pct"/>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Participants who responded “positive”, were defined as </w:t>
            </w:r>
            <w:r>
              <w:rPr>
                <w:rFonts w:ascii="Times New Roman" w:hAnsi="Times New Roman" w:cs="Times New Roman"/>
                <w:i/>
                <w:iCs/>
              </w:rPr>
              <w:t>self-reported aware of HIV-positive status</w:t>
            </w:r>
            <w:r>
              <w:rPr>
                <w:rFonts w:ascii="Times New Roman" w:hAnsi="Times New Roman" w:cs="Times New Roman"/>
              </w:rPr>
              <w:t xml:space="preserve">. Participants who responded “negative”, “unknown/indeterminate”, “don’t know” or “did not receive results”, were defined as self-reported </w:t>
            </w:r>
            <w:r>
              <w:rPr>
                <w:rFonts w:ascii="Times New Roman" w:hAnsi="Times New Roman" w:cs="Times New Roman"/>
                <w:i/>
                <w:iCs/>
              </w:rPr>
              <w:t>unaware of HIV-positive status</w:t>
            </w:r>
            <w:r>
              <w:rPr>
                <w:rFonts w:ascii="Times New Roman" w:hAnsi="Times New Roman" w:cs="Times New Roman"/>
              </w:rPr>
              <w:t xml:space="preserve">. </w:t>
            </w:r>
          </w:p>
        </w:tc>
      </w:tr>
      <w:tr w:rsidR="00CD0FCC" w:rsidTr="00CD0FCC">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CCCCC" w:themeFill="text1" w:themeFillTint="33"/>
          </w:tcPr>
          <w:p w:rsidR="00CD0FCC" w:rsidRDefault="004C3455">
            <w:pPr>
              <w:spacing w:line="276" w:lineRule="auto"/>
              <w:rPr>
                <w:rFonts w:ascii="Times New Roman" w:hAnsi="Times New Roman" w:cs="Times New Roman"/>
                <w:b w:val="0"/>
                <w:bCs w:val="0"/>
              </w:rPr>
            </w:pPr>
            <w:r>
              <w:rPr>
                <w:rFonts w:ascii="Times New Roman" w:hAnsi="Times New Roman" w:cs="Times New Roman"/>
              </w:rPr>
              <w:t>Questions for women who ever visited a health facility during pregnancy</w:t>
            </w:r>
          </w:p>
        </w:tc>
      </w:tr>
      <w:tr w:rsidR="00CD0FCC" w:rsidTr="00CD0FCC">
        <w:tc>
          <w:tcPr>
            <w:cnfStyle w:val="001000000000" w:firstRow="0" w:lastRow="0" w:firstColumn="1" w:lastColumn="0" w:oddVBand="0" w:evenVBand="0" w:oddHBand="0" w:evenHBand="0" w:firstRowFirstColumn="0" w:firstRowLastColumn="0" w:lastRowFirstColumn="0" w:lastRowLastColumn="0"/>
            <w:tcW w:w="909" w:type="pct"/>
          </w:tcPr>
          <w:p w:rsidR="00CD0FCC" w:rsidRDefault="004C3455">
            <w:pPr>
              <w:spacing w:line="276" w:lineRule="auto"/>
              <w:rPr>
                <w:rFonts w:ascii="Times New Roman" w:hAnsi="Times New Roman" w:cs="Times New Roman"/>
                <w:b w:val="0"/>
                <w:bCs w:val="0"/>
              </w:rPr>
            </w:pPr>
            <w:r>
              <w:rPr>
                <w:rFonts w:ascii="Times New Roman" w:hAnsi="Times New Roman" w:cs="Times New Roman"/>
              </w:rPr>
              <w:t xml:space="preserve">Did you test positive for HIV before your pregnancy with [NAME]? </w:t>
            </w:r>
          </w:p>
        </w:tc>
        <w:tc>
          <w:tcPr>
            <w:tcW w:w="2120" w:type="pct"/>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Participants who responded “yes” or “no”, were defined as </w:t>
            </w:r>
            <w:r>
              <w:rPr>
                <w:rFonts w:ascii="Times New Roman" w:hAnsi="Times New Roman" w:cs="Times New Roman"/>
                <w:i/>
                <w:iCs/>
              </w:rPr>
              <w:t>self-reported ever tested and received results</w:t>
            </w:r>
            <w:r>
              <w:rPr>
                <w:rFonts w:ascii="Times New Roman" w:hAnsi="Times New Roman" w:cs="Times New Roman"/>
              </w:rPr>
              <w:t xml:space="preserve">. Participants who responded “did not receive results”, were defined as </w:t>
            </w:r>
            <w:r>
              <w:rPr>
                <w:rFonts w:ascii="Times New Roman" w:hAnsi="Times New Roman" w:cs="Times New Roman"/>
                <w:i/>
                <w:iCs/>
              </w:rPr>
              <w:t>self-reported never tested and received results</w:t>
            </w:r>
            <w:r>
              <w:rPr>
                <w:rFonts w:ascii="Times New Roman" w:hAnsi="Times New Roman" w:cs="Times New Roman"/>
              </w:rPr>
              <w:t xml:space="preserve">. </w:t>
            </w:r>
          </w:p>
        </w:tc>
        <w:tc>
          <w:tcPr>
            <w:tcW w:w="1971" w:type="pct"/>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Participants who responded “yes”, were defined as </w:t>
            </w:r>
            <w:r>
              <w:rPr>
                <w:rFonts w:ascii="Times New Roman" w:hAnsi="Times New Roman" w:cs="Times New Roman"/>
                <w:i/>
                <w:iCs/>
              </w:rPr>
              <w:t>self-reported aware of HIV-positive status</w:t>
            </w:r>
            <w:r>
              <w:rPr>
                <w:rFonts w:ascii="Times New Roman" w:hAnsi="Times New Roman" w:cs="Times New Roman"/>
              </w:rPr>
              <w:t xml:space="preserve">, while participants who responded “no” or “don’t know”, were defined as </w:t>
            </w:r>
            <w:r>
              <w:rPr>
                <w:rFonts w:ascii="Times New Roman" w:hAnsi="Times New Roman" w:cs="Times New Roman"/>
                <w:i/>
                <w:iCs/>
              </w:rPr>
              <w:t>self-reported unaware of HIV-positive status</w:t>
            </w:r>
            <w:r>
              <w:rPr>
                <w:rFonts w:ascii="Times New Roman" w:hAnsi="Times New Roman" w:cs="Times New Roman"/>
              </w:rPr>
              <w:t xml:space="preserve">. </w:t>
            </w:r>
          </w:p>
        </w:tc>
      </w:tr>
      <w:tr w:rsidR="00CD0FCC" w:rsidTr="00CD0FCC">
        <w:tc>
          <w:tcPr>
            <w:cnfStyle w:val="001000000000" w:firstRow="0" w:lastRow="0" w:firstColumn="1" w:lastColumn="0" w:oddVBand="0" w:evenVBand="0" w:oddHBand="0" w:evenHBand="0" w:firstRowFirstColumn="0" w:firstRowLastColumn="0" w:lastRowFirstColumn="0" w:lastRowLastColumn="0"/>
            <w:tcW w:w="909" w:type="pct"/>
            <w:shd w:val="clear" w:color="auto" w:fill="CCCCCC" w:themeFill="text1" w:themeFillTint="33"/>
          </w:tcPr>
          <w:p w:rsidR="00CD0FCC" w:rsidRDefault="004C3455">
            <w:pPr>
              <w:spacing w:line="276" w:lineRule="auto"/>
              <w:rPr>
                <w:rFonts w:ascii="Times New Roman" w:hAnsi="Times New Roman" w:cs="Times New Roman"/>
                <w:b w:val="0"/>
                <w:bCs w:val="0"/>
              </w:rPr>
            </w:pPr>
            <w:r>
              <w:rPr>
                <w:rFonts w:ascii="Times New Roman" w:hAnsi="Times New Roman" w:cs="Times New Roman"/>
              </w:rPr>
              <w:t>What was the result of your last HIV test during your pregnancy with [NAME]?</w:t>
            </w:r>
          </w:p>
        </w:tc>
        <w:tc>
          <w:tcPr>
            <w:tcW w:w="2120" w:type="pct"/>
            <w:shd w:val="clear" w:color="auto" w:fill="CCCCCC" w:themeFill="text1" w:themeFillTint="33"/>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Participants who responded “positive”, “unknown/indeterminate” or “negative” were defined as </w:t>
            </w:r>
            <w:r>
              <w:rPr>
                <w:rFonts w:ascii="Times New Roman" w:hAnsi="Times New Roman" w:cs="Times New Roman"/>
                <w:i/>
                <w:iCs/>
              </w:rPr>
              <w:t>self-reported ever tested and received results</w:t>
            </w:r>
            <w:r>
              <w:rPr>
                <w:rFonts w:ascii="Times New Roman" w:hAnsi="Times New Roman" w:cs="Times New Roman"/>
              </w:rPr>
              <w:t xml:space="preserve">, while participants who responded “did not receive results”, were defined as </w:t>
            </w:r>
            <w:r>
              <w:rPr>
                <w:rFonts w:ascii="Times New Roman" w:hAnsi="Times New Roman" w:cs="Times New Roman"/>
                <w:i/>
                <w:iCs/>
              </w:rPr>
              <w:t>self-reported never tested and received results</w:t>
            </w:r>
            <w:r>
              <w:rPr>
                <w:rFonts w:ascii="Times New Roman" w:hAnsi="Times New Roman" w:cs="Times New Roman"/>
              </w:rPr>
              <w:t xml:space="preserve">. </w:t>
            </w:r>
          </w:p>
        </w:tc>
        <w:tc>
          <w:tcPr>
            <w:tcW w:w="1971" w:type="pct"/>
            <w:shd w:val="clear" w:color="auto" w:fill="CCCCCC" w:themeFill="text1" w:themeFillTint="33"/>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Participants who responded “positive”, were defined as </w:t>
            </w:r>
            <w:r>
              <w:rPr>
                <w:rFonts w:ascii="Times New Roman" w:hAnsi="Times New Roman" w:cs="Times New Roman"/>
                <w:i/>
                <w:iCs/>
              </w:rPr>
              <w:t>self-reported aware of HIV-positive status,</w:t>
            </w:r>
            <w:r>
              <w:rPr>
                <w:rFonts w:ascii="Times New Roman" w:hAnsi="Times New Roman" w:cs="Times New Roman"/>
              </w:rPr>
              <w:t xml:space="preserve"> while participants who responded “negative”, “unknown/indeterminate”, “don’t know” or “did not receive results” were defined as </w:t>
            </w:r>
            <w:r>
              <w:rPr>
                <w:rFonts w:ascii="Times New Roman" w:hAnsi="Times New Roman" w:cs="Times New Roman"/>
                <w:i/>
                <w:iCs/>
              </w:rPr>
              <w:t>self-reported unaware of HIV-positive status</w:t>
            </w:r>
            <w:r>
              <w:rPr>
                <w:rFonts w:ascii="Times New Roman" w:hAnsi="Times New Roman" w:cs="Times New Roman"/>
              </w:rPr>
              <w:t xml:space="preserve">. </w:t>
            </w:r>
          </w:p>
        </w:tc>
      </w:tr>
      <w:tr w:rsidR="00CD0FCC" w:rsidTr="00CD0FCC">
        <w:tc>
          <w:tcPr>
            <w:cnfStyle w:val="001000000000" w:firstRow="0" w:lastRow="0" w:firstColumn="1" w:lastColumn="0" w:oddVBand="0" w:evenVBand="0" w:oddHBand="0" w:evenHBand="0" w:firstRowFirstColumn="0" w:firstRowLastColumn="0" w:lastRowFirstColumn="0" w:lastRowLastColumn="0"/>
            <w:tcW w:w="909" w:type="pct"/>
          </w:tcPr>
          <w:p w:rsidR="00CD0FCC" w:rsidRDefault="004C3455">
            <w:pPr>
              <w:spacing w:line="276" w:lineRule="auto"/>
              <w:rPr>
                <w:rFonts w:ascii="Times New Roman" w:hAnsi="Times New Roman" w:cs="Times New Roman"/>
                <w:b w:val="0"/>
                <w:bCs w:val="0"/>
              </w:rPr>
            </w:pPr>
            <w:r>
              <w:rPr>
                <w:rFonts w:ascii="Times New Roman" w:hAnsi="Times New Roman" w:cs="Times New Roman"/>
              </w:rPr>
              <w:t>What was the result of the HIV test during labor?</w:t>
            </w:r>
          </w:p>
        </w:tc>
        <w:tc>
          <w:tcPr>
            <w:tcW w:w="2120" w:type="pct"/>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Participants who responded “positive”, “unknown/indeterminate” or “negative”, were defined as </w:t>
            </w:r>
            <w:r>
              <w:rPr>
                <w:rFonts w:ascii="Times New Roman" w:hAnsi="Times New Roman" w:cs="Times New Roman"/>
                <w:i/>
                <w:iCs/>
              </w:rPr>
              <w:t xml:space="preserve">self-reported ever tested and received results, </w:t>
            </w:r>
            <w:r>
              <w:rPr>
                <w:rFonts w:ascii="Times New Roman" w:hAnsi="Times New Roman" w:cs="Times New Roman"/>
              </w:rPr>
              <w:t xml:space="preserve">while participants who responded “did not receive results”, were defined as </w:t>
            </w:r>
            <w:r>
              <w:rPr>
                <w:rFonts w:ascii="Times New Roman" w:hAnsi="Times New Roman" w:cs="Times New Roman"/>
                <w:i/>
                <w:iCs/>
              </w:rPr>
              <w:t>self-reported never tested and received results</w:t>
            </w:r>
            <w:r>
              <w:rPr>
                <w:rFonts w:ascii="Times New Roman" w:hAnsi="Times New Roman" w:cs="Times New Roman"/>
              </w:rPr>
              <w:t xml:space="preserve">. </w:t>
            </w:r>
          </w:p>
        </w:tc>
        <w:tc>
          <w:tcPr>
            <w:tcW w:w="1971" w:type="pct"/>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Participants who responded “positive”, were defined as </w:t>
            </w:r>
            <w:r>
              <w:rPr>
                <w:rFonts w:ascii="Times New Roman" w:hAnsi="Times New Roman" w:cs="Times New Roman"/>
                <w:i/>
                <w:iCs/>
              </w:rPr>
              <w:t>self-reported aware of HIV-positive status</w:t>
            </w:r>
            <w:r>
              <w:rPr>
                <w:rFonts w:ascii="Times New Roman" w:hAnsi="Times New Roman" w:cs="Times New Roman"/>
              </w:rPr>
              <w:t xml:space="preserve">, while participants who responded “negative”, “unknown/indeterminate”, “don’t know” or “did not receive results” were defined as </w:t>
            </w:r>
            <w:r>
              <w:rPr>
                <w:rFonts w:ascii="Times New Roman" w:hAnsi="Times New Roman" w:cs="Times New Roman"/>
                <w:i/>
                <w:iCs/>
              </w:rPr>
              <w:t>self-reported unaware of HIV-positive status</w:t>
            </w:r>
            <w:r>
              <w:rPr>
                <w:rFonts w:ascii="Times New Roman" w:hAnsi="Times New Roman" w:cs="Times New Roman"/>
              </w:rPr>
              <w:t xml:space="preserve">. </w:t>
            </w:r>
          </w:p>
        </w:tc>
      </w:tr>
    </w:tbl>
    <w:p w:rsidR="00CD0FCC" w:rsidRDefault="004C3455">
      <w:pPr>
        <w:spacing w:line="360" w:lineRule="auto"/>
        <w:rPr>
          <w:rFonts w:ascii="Times New Roman" w:hAnsi="Times New Roman" w:cs="Times New Roman"/>
        </w:rPr>
      </w:pPr>
      <w:r>
        <w:rPr>
          <w:rFonts w:ascii="Times New Roman" w:hAnsi="Times New Roman" w:cs="Times New Roman"/>
          <w:b/>
          <w:bCs/>
        </w:rPr>
        <w:lastRenderedPageBreak/>
        <w:t>Table S2</w:t>
      </w:r>
      <w:r>
        <w:rPr>
          <w:rFonts w:ascii="Times New Roman" w:hAnsi="Times New Roman" w:cs="Times New Roman"/>
        </w:rPr>
        <w:t xml:space="preserve"> Prior distributions and interpretation of the unknown parameters used in the Bayesian latent class model.</w:t>
      </w:r>
    </w:p>
    <w:tbl>
      <w:tblPr>
        <w:tblStyle w:val="ListTable21"/>
        <w:tblW w:w="5000" w:type="pct"/>
        <w:tblLook w:val="04A0" w:firstRow="1" w:lastRow="0" w:firstColumn="1" w:lastColumn="0" w:noHBand="0" w:noVBand="1"/>
      </w:tblPr>
      <w:tblGrid>
        <w:gridCol w:w="1135"/>
        <w:gridCol w:w="6742"/>
        <w:gridCol w:w="3175"/>
        <w:gridCol w:w="1908"/>
      </w:tblGrid>
      <w:tr w:rsidR="00CD0FCC" w:rsidTr="00CD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pct"/>
            <w:vAlign w:val="center"/>
          </w:tcPr>
          <w:p w:rsidR="00CD0FCC" w:rsidRDefault="004C3455">
            <w:pPr>
              <w:spacing w:line="276" w:lineRule="auto"/>
              <w:rPr>
                <w:rFonts w:ascii="Times New Roman" w:hAnsi="Times New Roman" w:cs="Times New Roman"/>
                <w:b w:val="0"/>
                <w:bCs w:val="0"/>
              </w:rPr>
            </w:pPr>
            <w:r>
              <w:rPr>
                <w:rFonts w:ascii="Times New Roman" w:hAnsi="Times New Roman" w:cs="Times New Roman"/>
              </w:rPr>
              <w:t>Symbol</w:t>
            </w:r>
          </w:p>
        </w:tc>
        <w:tc>
          <w:tcPr>
            <w:tcW w:w="2601" w:type="pct"/>
            <w:vAlign w:val="center"/>
          </w:tcPr>
          <w:p w:rsidR="00CD0FCC" w:rsidRDefault="004C3455">
            <w:pPr>
              <w:spacing w:line="276" w:lineRule="auto"/>
              <w:ind w:left="3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Description</w:t>
            </w:r>
          </w:p>
        </w:tc>
        <w:tc>
          <w:tcPr>
            <w:tcW w:w="1225" w:type="pct"/>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Prior distribution</w:t>
            </w:r>
          </w:p>
        </w:tc>
        <w:tc>
          <w:tcPr>
            <w:tcW w:w="736" w:type="pct"/>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Reference</w:t>
            </w:r>
          </w:p>
        </w:tc>
      </w:tr>
      <w:tr w:rsidR="00CD0FCC" w:rsidTr="00CD0FCC">
        <w:tc>
          <w:tcPr>
            <w:cnfStyle w:val="001000000000" w:firstRow="0" w:lastRow="0" w:firstColumn="1" w:lastColumn="0" w:oddVBand="0" w:evenVBand="0" w:oddHBand="0" w:evenHBand="0" w:firstRowFirstColumn="0" w:firstRowLastColumn="0" w:lastRowFirstColumn="0" w:lastRowLastColumn="0"/>
            <w:tcW w:w="438" w:type="pct"/>
            <w:shd w:val="clear" w:color="auto" w:fill="CCCCCC" w:themeFill="text1" w:themeFillTint="33"/>
            <w:vAlign w:val="center"/>
          </w:tcPr>
          <w:p w:rsidR="00CD0FCC" w:rsidRDefault="004C3455">
            <w:pPr>
              <w:spacing w:line="276" w:lineRule="auto"/>
              <w:rPr>
                <w:rFonts w:ascii="Times New Roman" w:hAnsi="Times New Roman" w:cs="Times New Roman"/>
                <w:b w:val="0"/>
                <w:bCs w:val="0"/>
              </w:rPr>
            </w:pPr>
            <m:oMathPara>
              <m:oMathParaPr>
                <m:jc m:val="left"/>
              </m:oMathParaPr>
              <m:oMath>
                <m:r>
                  <m:rPr>
                    <m:sty m:val="bi"/>
                  </m:rPr>
                  <w:rPr>
                    <w:rFonts w:ascii="Cambria Math" w:hAnsi="Cambria Math" w:cs="Times New Roman"/>
                  </w:rPr>
                  <m:t>π</m:t>
                </m:r>
              </m:oMath>
            </m:oMathPara>
          </w:p>
        </w:tc>
        <w:tc>
          <w:tcPr>
            <w:tcW w:w="2601" w:type="pct"/>
            <w:shd w:val="clear" w:color="auto" w:fill="CCCCCC" w:themeFill="text1" w:themeFillTint="33"/>
            <w:vAlign w:val="center"/>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True proportion of PLHIV ever tested / aware of HIV-positive status</w:t>
            </w:r>
          </w:p>
        </w:tc>
        <w:tc>
          <w:tcPr>
            <w:tcW w:w="122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~Uniform(0%, 100%)</w:t>
            </w:r>
          </w:p>
        </w:tc>
        <w:tc>
          <w:tcPr>
            <w:tcW w:w="73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CD0FCC" w:rsidTr="00CD0FCC">
        <w:tc>
          <w:tcPr>
            <w:cnfStyle w:val="001000000000" w:firstRow="0" w:lastRow="0" w:firstColumn="1" w:lastColumn="0" w:oddVBand="0" w:evenVBand="0" w:oddHBand="0" w:evenHBand="0" w:firstRowFirstColumn="0" w:firstRowLastColumn="0" w:lastRowFirstColumn="0" w:lastRowLastColumn="0"/>
            <w:tcW w:w="438" w:type="pct"/>
            <w:vAlign w:val="center"/>
          </w:tcPr>
          <w:p w:rsidR="00CD0FCC" w:rsidRDefault="004C3455">
            <w:pPr>
              <w:spacing w:line="276" w:lineRule="auto"/>
              <w:rPr>
                <w:rFonts w:ascii="Times New Roman" w:hAnsi="Times New Roman" w:cs="Times New Roman"/>
                <w:b w:val="0"/>
                <w:bCs w:val="0"/>
              </w:rPr>
            </w:pPr>
            <m:oMathPara>
              <m:oMathParaPr>
                <m:jc m:val="left"/>
              </m:oMathParaPr>
              <m:oMath>
                <m:r>
                  <m:rPr>
                    <m:sty m:val="bi"/>
                  </m:rPr>
                  <w:rPr>
                    <w:rFonts w:ascii="Cambria Math" w:hAnsi="Cambria Math" w:cs="Times New Roman"/>
                  </w:rPr>
                  <m:t>S</m:t>
                </m:r>
                <m:sSub>
                  <m:sSubPr>
                    <m:ctrlPr>
                      <w:rPr>
                        <w:rFonts w:ascii="Cambria Math" w:hAnsi="Cambria Math" w:cs="Times New Roman"/>
                        <w:i/>
                      </w:rPr>
                    </m:ctrlPr>
                  </m:sSubPr>
                  <m:e>
                    <m:r>
                      <m:rPr>
                        <m:sty m:val="bi"/>
                      </m:rPr>
                      <w:rPr>
                        <w:rFonts w:ascii="Cambria Math" w:hAnsi="Cambria Math" w:cs="Times New Roman"/>
                      </w:rPr>
                      <m:t>e</m:t>
                    </m:r>
                  </m:e>
                  <m:sub>
                    <m:r>
                      <m:rPr>
                        <m:sty m:val="bi"/>
                      </m:rPr>
                      <w:rPr>
                        <w:rFonts w:ascii="Cambria Math" w:hAnsi="Cambria Math" w:cs="Times New Roman"/>
                      </w:rPr>
                      <m:t>S</m:t>
                    </m:r>
                    <m:sSub>
                      <m:sSubPr>
                        <m:ctrlPr>
                          <w:rPr>
                            <w:rFonts w:ascii="Cambria Math" w:hAnsi="Cambria Math" w:cs="Times New Roman"/>
                            <w:i/>
                          </w:rPr>
                        </m:ctrlPr>
                      </m:sSubPr>
                      <m:e>
                        <m:r>
                          <m:rPr>
                            <m:sty m:val="bi"/>
                          </m:rPr>
                          <w:rPr>
                            <w:rFonts w:ascii="Cambria Math" w:hAnsi="Cambria Math" w:cs="Times New Roman"/>
                          </w:rPr>
                          <m:t>R</m:t>
                        </m:r>
                      </m:e>
                      <m:sub>
                        <m:r>
                          <m:rPr>
                            <m:sty m:val="bi"/>
                          </m:rPr>
                          <w:rPr>
                            <w:rFonts w:ascii="Cambria Math" w:hAnsi="Cambria Math" w:cs="Times New Roman"/>
                          </w:rPr>
                          <m:t>pos</m:t>
                        </m:r>
                      </m:sub>
                    </m:sSub>
                  </m:sub>
                </m:sSub>
              </m:oMath>
            </m:oMathPara>
          </w:p>
        </w:tc>
        <w:tc>
          <w:tcPr>
            <w:tcW w:w="2601" w:type="pct"/>
            <w:vAlign w:val="center"/>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Sensitivity of self-reports among PLHIV with detectable antiretroviral (ARV) metabolites</w:t>
            </w:r>
          </w:p>
        </w:tc>
        <w:tc>
          <w:tcPr>
            <w:tcW w:w="122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~Uniform(0%, 100%)</w:t>
            </w:r>
          </w:p>
        </w:tc>
        <w:tc>
          <w:tcPr>
            <w:tcW w:w="73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CD0FCC" w:rsidTr="00CD0FCC">
        <w:tc>
          <w:tcPr>
            <w:cnfStyle w:val="001000000000" w:firstRow="0" w:lastRow="0" w:firstColumn="1" w:lastColumn="0" w:oddVBand="0" w:evenVBand="0" w:oddHBand="0" w:evenHBand="0" w:firstRowFirstColumn="0" w:firstRowLastColumn="0" w:lastRowFirstColumn="0" w:lastRowLastColumn="0"/>
            <w:tcW w:w="438" w:type="pct"/>
            <w:shd w:val="clear" w:color="auto" w:fill="CCCCCC" w:themeFill="text1" w:themeFillTint="33"/>
            <w:vAlign w:val="center"/>
          </w:tcPr>
          <w:p w:rsidR="00CD0FCC" w:rsidRDefault="004C3455">
            <w:pPr>
              <w:spacing w:line="276" w:lineRule="auto"/>
              <w:rPr>
                <w:rFonts w:ascii="Times New Roman" w:hAnsi="Times New Roman" w:cs="Times New Roman"/>
                <w:b w:val="0"/>
                <w:bCs w:val="0"/>
              </w:rPr>
            </w:pPr>
            <m:oMathPara>
              <m:oMathParaPr>
                <m:jc m:val="left"/>
              </m:oMathParaPr>
              <m:oMath>
                <m:r>
                  <m:rPr>
                    <m:sty m:val="bi"/>
                  </m:rPr>
                  <w:rPr>
                    <w:rFonts w:ascii="Cambria Math" w:hAnsi="Cambria Math" w:cs="Times New Roman"/>
                  </w:rPr>
                  <m:t>S</m:t>
                </m:r>
                <m:sSub>
                  <m:sSubPr>
                    <m:ctrlPr>
                      <w:rPr>
                        <w:rFonts w:ascii="Cambria Math" w:hAnsi="Cambria Math" w:cs="Times New Roman"/>
                        <w:i/>
                      </w:rPr>
                    </m:ctrlPr>
                  </m:sSubPr>
                  <m:e>
                    <m:r>
                      <m:rPr>
                        <m:sty m:val="bi"/>
                      </m:rPr>
                      <w:rPr>
                        <w:rFonts w:ascii="Cambria Math" w:hAnsi="Cambria Math" w:cs="Times New Roman"/>
                      </w:rPr>
                      <m:t>e</m:t>
                    </m:r>
                  </m:e>
                  <m:sub>
                    <m:r>
                      <m:rPr>
                        <m:sty m:val="bi"/>
                      </m:rPr>
                      <w:rPr>
                        <w:rFonts w:ascii="Cambria Math" w:hAnsi="Cambria Math" w:cs="Times New Roman"/>
                      </w:rPr>
                      <m:t>S</m:t>
                    </m:r>
                    <m:sSub>
                      <m:sSubPr>
                        <m:ctrlPr>
                          <w:rPr>
                            <w:rFonts w:ascii="Cambria Math" w:hAnsi="Cambria Math" w:cs="Times New Roman"/>
                            <w:i/>
                          </w:rPr>
                        </m:ctrlPr>
                      </m:sSubPr>
                      <m:e>
                        <m:r>
                          <m:rPr>
                            <m:sty m:val="bi"/>
                          </m:rPr>
                          <w:rPr>
                            <w:rFonts w:ascii="Cambria Math" w:hAnsi="Cambria Math" w:cs="Times New Roman"/>
                          </w:rPr>
                          <m:t>R</m:t>
                        </m:r>
                      </m:e>
                      <m:sub>
                        <m:r>
                          <m:rPr>
                            <m:sty m:val="bi"/>
                          </m:rPr>
                          <w:rPr>
                            <w:rFonts w:ascii="Cambria Math" w:hAnsi="Cambria Math" w:cs="Times New Roman"/>
                          </w:rPr>
                          <m:t>neg</m:t>
                        </m:r>
                      </m:sub>
                    </m:sSub>
                  </m:sub>
                </m:sSub>
              </m:oMath>
            </m:oMathPara>
          </w:p>
        </w:tc>
        <w:tc>
          <w:tcPr>
            <w:tcW w:w="2601" w:type="pct"/>
            <w:shd w:val="clear" w:color="auto" w:fill="CCCCCC" w:themeFill="text1" w:themeFillTint="33"/>
            <w:vAlign w:val="center"/>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Sensitivity of self-reports among PLHIV without detectable ARV metabolites</w:t>
            </w:r>
          </w:p>
        </w:tc>
        <w:tc>
          <w:tcPr>
            <w:tcW w:w="122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~Uniform(0%, 100%)</w:t>
            </w:r>
          </w:p>
        </w:tc>
        <w:tc>
          <w:tcPr>
            <w:tcW w:w="73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CD0FCC" w:rsidTr="00CD0FCC">
        <w:tc>
          <w:tcPr>
            <w:cnfStyle w:val="001000000000" w:firstRow="0" w:lastRow="0" w:firstColumn="1" w:lastColumn="0" w:oddVBand="0" w:evenVBand="0" w:oddHBand="0" w:evenHBand="0" w:firstRowFirstColumn="0" w:firstRowLastColumn="0" w:lastRowFirstColumn="0" w:lastRowLastColumn="0"/>
            <w:tcW w:w="438" w:type="pct"/>
            <w:vAlign w:val="center"/>
          </w:tcPr>
          <w:p w:rsidR="00CD0FCC" w:rsidRDefault="004C3455">
            <w:pPr>
              <w:spacing w:line="276" w:lineRule="auto"/>
              <w:rPr>
                <w:rFonts w:ascii="Times New Roman" w:hAnsi="Times New Roman" w:cs="Times New Roman"/>
                <w:b w:val="0"/>
                <w:bCs w:val="0"/>
              </w:rPr>
            </w:pPr>
            <m:oMathPara>
              <m:oMathParaPr>
                <m:jc m:val="left"/>
              </m:oMathParaPr>
              <m:oMath>
                <m:r>
                  <m:rPr>
                    <m:sty m:val="bi"/>
                  </m:rPr>
                  <w:rPr>
                    <w:rFonts w:ascii="Cambria Math" w:hAnsi="Cambria Math" w:cs="Times New Roman"/>
                  </w:rPr>
                  <m:t>S</m:t>
                </m:r>
                <m:sSub>
                  <m:sSubPr>
                    <m:ctrlPr>
                      <w:rPr>
                        <w:rFonts w:ascii="Cambria Math" w:hAnsi="Cambria Math" w:cs="Times New Roman"/>
                        <w:i/>
                      </w:rPr>
                    </m:ctrlPr>
                  </m:sSubPr>
                  <m:e>
                    <m:r>
                      <m:rPr>
                        <m:sty m:val="bi"/>
                      </m:rPr>
                      <w:rPr>
                        <w:rFonts w:ascii="Cambria Math" w:hAnsi="Cambria Math" w:cs="Times New Roman"/>
                      </w:rPr>
                      <m:t>p</m:t>
                    </m:r>
                  </m:e>
                  <m:sub>
                    <m:r>
                      <m:rPr>
                        <m:sty m:val="bi"/>
                      </m:rPr>
                      <w:rPr>
                        <w:rFonts w:ascii="Cambria Math" w:hAnsi="Cambria Math" w:cs="Times New Roman"/>
                      </w:rPr>
                      <m:t>SR</m:t>
                    </m:r>
                  </m:sub>
                </m:sSub>
              </m:oMath>
            </m:oMathPara>
          </w:p>
        </w:tc>
        <w:tc>
          <w:tcPr>
            <w:tcW w:w="2601" w:type="pct"/>
            <w:vAlign w:val="center"/>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Specificity of self-reports</w:t>
            </w:r>
          </w:p>
        </w:tc>
        <w:tc>
          <w:tcPr>
            <w:tcW w:w="122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73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Assumed</w:t>
            </w:r>
          </w:p>
        </w:tc>
      </w:tr>
      <w:tr w:rsidR="00CD0FCC" w:rsidTr="00CD0FCC">
        <w:tc>
          <w:tcPr>
            <w:cnfStyle w:val="001000000000" w:firstRow="0" w:lastRow="0" w:firstColumn="1" w:lastColumn="0" w:oddVBand="0" w:evenVBand="0" w:oddHBand="0" w:evenHBand="0" w:firstRowFirstColumn="0" w:firstRowLastColumn="0" w:lastRowFirstColumn="0" w:lastRowLastColumn="0"/>
            <w:tcW w:w="438" w:type="pct"/>
            <w:shd w:val="clear" w:color="auto" w:fill="CCCCCC" w:themeFill="text1" w:themeFillTint="33"/>
            <w:vAlign w:val="center"/>
          </w:tcPr>
          <w:p w:rsidR="00CD0FCC" w:rsidRDefault="000818D9">
            <w:pPr>
              <w:spacing w:line="276" w:lineRule="auto"/>
              <w:rPr>
                <w:rFonts w:ascii="Times New Roman" w:hAnsi="Times New Roman" w:cs="Times New Roman"/>
                <w:b w:val="0"/>
                <w:bCs w:val="0"/>
              </w:rPr>
            </w:pPr>
            <m:oMathPara>
              <m:oMathParaPr>
                <m:jc m:val="left"/>
              </m:oMathParaPr>
              <m:oMath>
                <m:sSub>
                  <m:sSubPr>
                    <m:ctrlPr>
                      <w:rPr>
                        <w:rFonts w:ascii="Cambria Math" w:hAnsi="Cambria Math" w:cs="Times New Roman"/>
                        <w:i/>
                      </w:rPr>
                    </m:ctrlPr>
                  </m:sSubPr>
                  <m:e>
                    <m:r>
                      <m:rPr>
                        <m:sty m:val="bi"/>
                      </m:rPr>
                      <w:rPr>
                        <w:rFonts w:ascii="Cambria Math" w:hAnsi="Cambria Math" w:cs="Times New Roman"/>
                      </w:rPr>
                      <m:t>Cov</m:t>
                    </m:r>
                  </m:e>
                  <m:sub>
                    <m:r>
                      <m:rPr>
                        <m:sty m:val="bi"/>
                      </m:rPr>
                      <w:rPr>
                        <w:rFonts w:ascii="Cambria Math" w:hAnsi="Cambria Math" w:cs="Times New Roman"/>
                      </w:rPr>
                      <m:t>ARV</m:t>
                    </m:r>
                  </m:sub>
                </m:sSub>
              </m:oMath>
            </m:oMathPara>
          </w:p>
        </w:tc>
        <w:tc>
          <w:tcPr>
            <w:tcW w:w="2601" w:type="pct"/>
            <w:shd w:val="clear" w:color="auto" w:fill="CCCCCC" w:themeFill="text1" w:themeFillTint="33"/>
            <w:vAlign w:val="center"/>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Proportion of PLHIV with detectable ARV</w:t>
            </w:r>
          </w:p>
        </w:tc>
        <w:tc>
          <w:tcPr>
            <w:tcW w:w="122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~Uniform(0%, 100%)</w:t>
            </w:r>
          </w:p>
        </w:tc>
        <w:tc>
          <w:tcPr>
            <w:tcW w:w="73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CD0FCC" w:rsidTr="00CD0FCC">
        <w:tc>
          <w:tcPr>
            <w:cnfStyle w:val="001000000000" w:firstRow="0" w:lastRow="0" w:firstColumn="1" w:lastColumn="0" w:oddVBand="0" w:evenVBand="0" w:oddHBand="0" w:evenHBand="0" w:firstRowFirstColumn="0" w:firstRowLastColumn="0" w:lastRowFirstColumn="0" w:lastRowLastColumn="0"/>
            <w:tcW w:w="438" w:type="pct"/>
            <w:vAlign w:val="center"/>
          </w:tcPr>
          <w:p w:rsidR="00CD0FCC" w:rsidRDefault="004C3455">
            <w:pPr>
              <w:spacing w:line="276" w:lineRule="auto"/>
              <w:rPr>
                <w:rFonts w:ascii="Times New Roman" w:hAnsi="Times New Roman" w:cs="Times New Roman"/>
                <w:b w:val="0"/>
                <w:bCs w:val="0"/>
              </w:rPr>
            </w:pPr>
            <m:oMathPara>
              <m:oMathParaPr>
                <m:jc m:val="left"/>
              </m:oMathParaPr>
              <m:oMath>
                <m:r>
                  <m:rPr>
                    <m:sty m:val="bi"/>
                  </m:rPr>
                  <w:rPr>
                    <w:rFonts w:ascii="Cambria Math" w:hAnsi="Cambria Math" w:cs="Times New Roman"/>
                  </w:rPr>
                  <m:t>S</m:t>
                </m:r>
                <m:sSub>
                  <m:sSubPr>
                    <m:ctrlPr>
                      <w:rPr>
                        <w:rFonts w:ascii="Cambria Math" w:hAnsi="Cambria Math" w:cs="Times New Roman"/>
                        <w:i/>
                      </w:rPr>
                    </m:ctrlPr>
                  </m:sSubPr>
                  <m:e>
                    <m:r>
                      <m:rPr>
                        <m:sty m:val="bi"/>
                      </m:rPr>
                      <w:rPr>
                        <w:rFonts w:ascii="Cambria Math" w:hAnsi="Cambria Math" w:cs="Times New Roman"/>
                      </w:rPr>
                      <m:t>p</m:t>
                    </m:r>
                  </m:e>
                  <m:sub>
                    <m:r>
                      <m:rPr>
                        <m:sty m:val="bi"/>
                      </m:rPr>
                      <w:rPr>
                        <w:rFonts w:ascii="Cambria Math" w:hAnsi="Cambria Math" w:cs="Times New Roman"/>
                      </w:rPr>
                      <m:t>ARV</m:t>
                    </m:r>
                  </m:sub>
                </m:sSub>
              </m:oMath>
            </m:oMathPara>
          </w:p>
        </w:tc>
        <w:tc>
          <w:tcPr>
            <w:tcW w:w="2601" w:type="pct"/>
            <w:vAlign w:val="center"/>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Specificity of ARV metabolite status</w:t>
            </w:r>
          </w:p>
        </w:tc>
        <w:tc>
          <w:tcPr>
            <w:tcW w:w="122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73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Assumed </w:t>
            </w:r>
          </w:p>
        </w:tc>
      </w:tr>
      <w:tr w:rsidR="00CD0FCC" w:rsidTr="00CD0FCC">
        <w:tc>
          <w:tcPr>
            <w:cnfStyle w:val="001000000000" w:firstRow="0" w:lastRow="0" w:firstColumn="1" w:lastColumn="0" w:oddVBand="0" w:evenVBand="0" w:oddHBand="0" w:evenHBand="0" w:firstRowFirstColumn="0" w:firstRowLastColumn="0" w:lastRowFirstColumn="0" w:lastRowLastColumn="0"/>
            <w:tcW w:w="438" w:type="pct"/>
            <w:shd w:val="clear" w:color="auto" w:fill="CCCCCC" w:themeFill="text1" w:themeFillTint="33"/>
            <w:vAlign w:val="center"/>
          </w:tcPr>
          <w:p w:rsidR="00CD0FCC" w:rsidRDefault="004C3455">
            <w:pPr>
              <w:spacing w:line="276" w:lineRule="auto"/>
              <w:rPr>
                <w:rFonts w:ascii="Times New Roman" w:hAnsi="Times New Roman" w:cs="Times New Roman"/>
                <w:b w:val="0"/>
                <w:bCs w:val="0"/>
              </w:rPr>
            </w:pPr>
            <w:r>
              <w:rPr>
                <w:rFonts w:ascii="Times New Roman" w:hAnsi="Times New Roman" w:cs="Times New Roman"/>
              </w:rPr>
              <w:t>Ratio</w:t>
            </w:r>
          </w:p>
        </w:tc>
        <w:tc>
          <w:tcPr>
            <w:tcW w:w="2601" w:type="pct"/>
            <w:shd w:val="clear" w:color="auto" w:fill="CCCCCC" w:themeFill="text1" w:themeFillTint="33"/>
            <w:vAlign w:val="center"/>
          </w:tcPr>
          <w:p w:rsidR="00CD0FCC" w:rsidRDefault="004C345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Prevalence ratio of non-disclosure for the outcome of interest (ever tested or awareness) among PLHIV with detectable ARV metabolites compared to those without detectable ARV metabolites</w:t>
            </w:r>
          </w:p>
        </w:tc>
        <w:tc>
          <w:tcPr>
            <w:tcW w:w="122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exp (</w:t>
            </w:r>
          </w:p>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
              <m:r>
                <m:rPr>
                  <m:scr m:val="script"/>
                </m:rPr>
                <w:rPr>
                  <w:rFonts w:ascii="Cambria Math" w:hAnsi="Cambria Math" w:cs="Times New Roman"/>
                </w:rPr>
                <m:t>N</m:t>
              </m:r>
            </m:oMath>
            <w:r>
              <w:rPr>
                <w:rFonts w:ascii="Times New Roman" w:hAnsi="Times New Roman" w:cs="Times New Roman"/>
              </w:rPr>
              <w:t xml:space="preserve"> (log (1.48), 4.0))</w:t>
            </w:r>
          </w:p>
        </w:tc>
        <w:tc>
          <w:tcPr>
            <w:tcW w:w="73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fldChar w:fldCharType="begin">
                <w:fldData xml:space="preserve">PEVuZE5vdGU+PENpdGU+PEF1dGhvcj5GdWVudGUtU29ybzwvQXV0aG9yPjxZZWFyPjIwMTg8L1ll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PEVuZE5vdGU+PENpdGU+PEF1dGhvcj5GdWVudGUtU29ybzwvQXV0aG9yPjxZZWFyPjIwMTg8L1ll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vertAlign w:val="superscript"/>
              </w:rPr>
              <w:t>[5]</w:t>
            </w:r>
            <w:r>
              <w:rPr>
                <w:rFonts w:ascii="Times New Roman" w:hAnsi="Times New Roman" w:cs="Times New Roman"/>
              </w:rPr>
              <w:fldChar w:fldCharType="end"/>
            </w:r>
          </w:p>
        </w:tc>
      </w:tr>
    </w:tbl>
    <w:p w:rsidR="00CD0FCC" w:rsidRDefault="00CD0FCC">
      <w:pPr>
        <w:spacing w:line="276" w:lineRule="auto"/>
        <w:rPr>
          <w:rFonts w:ascii="Times New Roman" w:hAnsi="Times New Roman" w:cs="Times New Roman"/>
          <w:b/>
          <w:bCs/>
        </w:rPr>
      </w:pPr>
    </w:p>
    <w:p w:rsidR="00CD0FCC" w:rsidRDefault="00CD0FCC">
      <w:pPr>
        <w:spacing w:line="276" w:lineRule="auto"/>
        <w:rPr>
          <w:rFonts w:ascii="Times New Roman" w:hAnsi="Times New Roman" w:cs="Times New Roman"/>
          <w:b/>
          <w:bCs/>
        </w:rPr>
      </w:pPr>
    </w:p>
    <w:p w:rsidR="00CD0FCC" w:rsidRDefault="004C3455">
      <w:pPr>
        <w:spacing w:line="360" w:lineRule="auto"/>
        <w:rPr>
          <w:rFonts w:ascii="Times New Roman" w:hAnsi="Times New Roman" w:cs="Times New Roman"/>
          <w:b/>
          <w:bCs/>
        </w:rPr>
      </w:pPr>
      <w:r>
        <w:rPr>
          <w:rFonts w:ascii="Times New Roman" w:hAnsi="Times New Roman" w:cs="Times New Roman"/>
          <w:b/>
          <w:bCs/>
          <w:i/>
          <w:iCs/>
        </w:rPr>
        <w:t xml:space="preserve">Text </w:t>
      </w:r>
      <w:r>
        <w:rPr>
          <w:rFonts w:ascii="Times New Roman" w:hAnsi="Times New Roman" w:cs="Times New Roman"/>
          <w:b/>
          <w:bCs/>
        </w:rPr>
        <w:t xml:space="preserve">S1. Likelihood equations of the latent data </w:t>
      </w:r>
    </w:p>
    <w:p w:rsidR="00CD0FCC" w:rsidRDefault="000818D9">
      <w:pPr>
        <w:spacing w:line="360" w:lineRule="auto"/>
        <w:rPr>
          <w:rFonts w:ascii="Times New Roman" w:hAnsi="Times New Roman"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=A+B;</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=C+D; </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3</m:t>
              </m:r>
            </m:sub>
          </m:sSub>
          <m:r>
            <w:rPr>
              <w:rFonts w:ascii="Cambria Math" w:hAnsi="Cambria Math" w:cs="Times New Roman"/>
            </w:rPr>
            <m:t xml:space="preserve">=E+F; </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4</m:t>
              </m:r>
            </m:sub>
          </m:sSub>
          <m:r>
            <w:rPr>
              <w:rFonts w:ascii="Cambria Math" w:hAnsi="Cambria Math" w:cs="Times New Roman"/>
            </w:rPr>
            <m:t>=G+H</m:t>
          </m:r>
        </m:oMath>
      </m:oMathPara>
    </w:p>
    <w:p w:rsidR="00CD0FCC" w:rsidRDefault="000818D9">
      <w:pPr>
        <w:spacing w:line="36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3</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4</m:t>
            </m:r>
          </m:sub>
        </m:sSub>
        <m:r>
          <w:rPr>
            <w:rFonts w:ascii="Cambria Math" w:hAnsi="Cambria Math" w:cs="Times New Roman"/>
          </w:rPr>
          <m:t xml:space="preserve"> ~ Multi (</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3</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4</m:t>
            </m:r>
          </m:sub>
        </m:sSub>
        <m:r>
          <w:rPr>
            <w:rFonts w:ascii="Cambria Math" w:hAnsi="Cambria Math" w:cs="Times New Roman"/>
          </w:rPr>
          <m:t xml:space="preserve">;N) </m:t>
        </m:r>
      </m:oMath>
      <w:r w:rsidR="004C3455">
        <w:rPr>
          <w:rFonts w:ascii="Times New Roman" w:hAnsi="Times New Roman" w:cs="Times New Roman"/>
        </w:rPr>
        <w:t xml:space="preserve">                                                 (1)</w:t>
      </w:r>
    </w:p>
    <w:p w:rsidR="00CD0FCC" w:rsidRDefault="000818D9">
      <w:pPr>
        <w:spacing w:line="36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 π*S</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pos</m:t>
                </m:r>
              </m:sub>
            </m:sSub>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Cov</m:t>
            </m:r>
          </m:e>
          <m:sub>
            <m:r>
              <w:rPr>
                <w:rFonts w:ascii="Cambria Math" w:hAnsi="Cambria Math" w:cs="Times New Roman"/>
              </w:rPr>
              <m:t>ARV</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1-π</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1-S</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SR</m:t>
                </m:r>
              </m:sub>
            </m:sSub>
          </m:e>
        </m:d>
        <m:r>
          <w:rPr>
            <w:rFonts w:ascii="Cambria Math" w:hAnsi="Cambria Math" w:cs="Times New Roman"/>
          </w:rPr>
          <m:t>*(1-S</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ARV</m:t>
            </m:r>
          </m:sub>
        </m:sSub>
        <m:r>
          <w:rPr>
            <w:rFonts w:ascii="Cambria Math" w:hAnsi="Cambria Math" w:cs="Times New Roman"/>
          </w:rPr>
          <m:t xml:space="preserve">) </m:t>
        </m:r>
      </m:oMath>
      <w:r w:rsidR="004C3455">
        <w:rPr>
          <w:rFonts w:ascii="Times New Roman" w:hAnsi="Times New Roman" w:cs="Times New Roman"/>
        </w:rPr>
        <w:t xml:space="preserve">        (2)</w:t>
      </w:r>
    </w:p>
    <w:p w:rsidR="00CD0FCC" w:rsidRDefault="000818D9">
      <w:pPr>
        <w:spacing w:line="36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 π*S</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neg</m:t>
                </m:r>
              </m:sub>
            </m:sSub>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Cov</m:t>
            </m:r>
          </m:e>
          <m:sub>
            <m:r>
              <w:rPr>
                <w:rFonts w:ascii="Cambria Math" w:hAnsi="Cambria Math" w:cs="Times New Roman"/>
              </w:rPr>
              <m:t>ARV</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1-π</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1-S</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SR</m:t>
                </m:r>
              </m:sub>
            </m:sSub>
          </m:e>
        </m:d>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ARV</m:t>
            </m:r>
          </m:sub>
        </m:sSub>
      </m:oMath>
      <w:r w:rsidR="004C3455">
        <w:rPr>
          <w:rFonts w:ascii="Times New Roman" w:hAnsi="Times New Roman" w:cs="Times New Roman"/>
        </w:rPr>
        <w:t xml:space="preserve">         (3)</w:t>
      </w:r>
    </w:p>
    <w:p w:rsidR="00CD0FCC" w:rsidRDefault="000818D9">
      <w:pPr>
        <w:spacing w:line="36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3</m:t>
            </m:r>
          </m:sub>
        </m:sSub>
        <m:r>
          <w:rPr>
            <w:rFonts w:ascii="Cambria Math" w:hAnsi="Cambria Math" w:cs="Times New Roman"/>
          </w:rPr>
          <m:t>=π*(1-S</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pos</m:t>
                </m:r>
              </m:sub>
            </m:sSub>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Cov</m:t>
            </m:r>
          </m:e>
          <m:sub>
            <m:r>
              <w:rPr>
                <w:rFonts w:ascii="Cambria Math" w:hAnsi="Cambria Math" w:cs="Times New Roman"/>
              </w:rPr>
              <m:t>ARV</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1-π</m:t>
            </m:r>
          </m:e>
        </m:d>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SR</m:t>
            </m:r>
          </m:sub>
        </m:sSub>
        <m:r>
          <w:rPr>
            <w:rFonts w:ascii="Cambria Math" w:hAnsi="Cambria Math" w:cs="Times New Roman"/>
          </w:rPr>
          <m:t>*(1-S</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ARV</m:t>
            </m:r>
          </m:sub>
        </m:sSub>
        <m:r>
          <w:rPr>
            <w:rFonts w:ascii="Cambria Math" w:hAnsi="Cambria Math" w:cs="Times New Roman"/>
          </w:rPr>
          <m:t>)</m:t>
        </m:r>
      </m:oMath>
      <w:r w:rsidR="004C3455">
        <w:rPr>
          <w:rFonts w:ascii="Times New Roman" w:hAnsi="Times New Roman" w:cs="Times New Roman"/>
        </w:rPr>
        <w:t xml:space="preserve">         (4)</w:t>
      </w:r>
    </w:p>
    <w:p w:rsidR="00CD0FCC" w:rsidRDefault="000818D9">
      <w:pPr>
        <w:spacing w:line="360" w:lineRule="auto"/>
        <w:rPr>
          <w:rFonts w:ascii="Times New Roman" w:hAnsi="Times New Roman" w:cs="Times New Roman"/>
          <w:b/>
          <w:bCs/>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4</m:t>
            </m:r>
          </m:sub>
        </m:sSub>
        <m:r>
          <w:rPr>
            <w:rFonts w:ascii="Cambria Math" w:hAnsi="Cambria Math" w:cs="Times New Roman"/>
          </w:rPr>
          <m:t>=π*(1-S</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neg</m:t>
                </m:r>
              </m:sub>
            </m:sSub>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Cov</m:t>
                </m:r>
              </m:e>
              <m:sub>
                <m:r>
                  <w:rPr>
                    <w:rFonts w:ascii="Cambria Math" w:hAnsi="Cambria Math" w:cs="Times New Roman"/>
                  </w:rPr>
                  <m:t>ARV</m:t>
                </m:r>
              </m:sub>
            </m:sSub>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1-π</m:t>
            </m:r>
          </m:e>
        </m:d>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SR</m:t>
            </m:r>
          </m:sub>
        </m:s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ARV</m:t>
            </m:r>
          </m:sub>
        </m:sSub>
      </m:oMath>
      <w:r w:rsidR="004C3455">
        <w:rPr>
          <w:rFonts w:ascii="Times New Roman" w:hAnsi="Times New Roman" w:cs="Times New Roman"/>
        </w:rPr>
        <w:t xml:space="preserve">          (5)</w:t>
      </w:r>
    </w:p>
    <w:p w:rsidR="00CD0FCC" w:rsidRDefault="004C3455">
      <w:pPr>
        <w:spacing w:line="360" w:lineRule="auto"/>
        <w:rPr>
          <w:rFonts w:ascii="Times New Roman" w:hAnsi="Times New Roman" w:cs="Times New Roman"/>
          <w:b/>
          <w:bCs/>
        </w:rPr>
      </w:pPr>
      <m:oMath>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neg</m:t>
                </m:r>
              </m:sub>
            </m:sSub>
          </m:sub>
        </m:sSub>
        <m:r>
          <w:rPr>
            <w:rFonts w:ascii="Cambria Math" w:hAnsi="Cambria Math" w:cs="Times New Roman"/>
          </w:rPr>
          <m:t>=1-Ratio*(1-S</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pos</m:t>
                </m:r>
              </m:sub>
            </m:sSub>
          </m:sub>
        </m:sSub>
        <m:r>
          <w:rPr>
            <w:rFonts w:ascii="Cambria Math" w:hAnsi="Cambria Math" w:cs="Times New Roman"/>
          </w:rPr>
          <m:t xml:space="preserve">) </m:t>
        </m:r>
      </m:oMath>
      <w:r>
        <w:rPr>
          <w:rFonts w:ascii="Times New Roman" w:hAnsi="Times New Roman" w:cs="Times New Roman"/>
        </w:rPr>
        <w:t xml:space="preserve">                                                   (6)</w:t>
      </w:r>
    </w:p>
    <w:p w:rsidR="00CD0FCC" w:rsidRDefault="004C3455">
      <w:pPr>
        <w:rPr>
          <w:rFonts w:ascii="Times New Roman" w:hAnsi="Times New Roman" w:cs="Times New Roman"/>
        </w:rPr>
      </w:pPr>
      <w:r>
        <w:rPr>
          <w:rFonts w:ascii="Times New Roman" w:hAnsi="Times New Roman" w:cs="Times New Roman"/>
        </w:rPr>
        <w:br w:type="page"/>
      </w:r>
    </w:p>
    <w:p w:rsidR="00CD0FCC" w:rsidRDefault="004C3455">
      <w:pPr>
        <w:spacing w:line="276" w:lineRule="auto"/>
        <w:rPr>
          <w:rFonts w:ascii="Times New Roman" w:hAnsi="Times New Roman" w:cs="Times New Roman"/>
          <w:b/>
          <w:bCs/>
        </w:rPr>
      </w:pPr>
      <w:r>
        <w:rPr>
          <w:rFonts w:ascii="Times New Roman" w:hAnsi="Times New Roman" w:cs="Times New Roman"/>
          <w:b/>
          <w:bCs/>
          <w:i/>
        </w:rPr>
        <w:t xml:space="preserve">Text </w:t>
      </w:r>
      <w:r>
        <w:rPr>
          <w:rFonts w:ascii="Times New Roman" w:hAnsi="Times New Roman" w:cs="Times New Roman"/>
          <w:b/>
          <w:bCs/>
        </w:rPr>
        <w:t xml:space="preserve">S2. Description of the </w:t>
      </w:r>
      <w:r>
        <w:rPr>
          <w:rFonts w:ascii="Times New Roman" w:hAnsi="Times New Roman" w:cs="Times New Roman"/>
          <w:b/>
          <w:bCs/>
          <w:i/>
        </w:rPr>
        <w:t>Population-based HIV Impact Assessment</w:t>
      </w:r>
      <w:r>
        <w:rPr>
          <w:rFonts w:ascii="Times New Roman" w:hAnsi="Times New Roman" w:cs="Times New Roman"/>
          <w:b/>
          <w:bCs/>
        </w:rPr>
        <w:t xml:space="preserve"> (PHIA) surveys and antiretroviral (ARV) metabolites testing algorithm.</w:t>
      </w:r>
    </w:p>
    <w:p w:rsidR="00CD0FCC" w:rsidRDefault="00CD0FCC">
      <w:pPr>
        <w:spacing w:line="276" w:lineRule="auto"/>
        <w:rPr>
          <w:rFonts w:ascii="Times New Roman" w:hAnsi="Times New Roman" w:cs="Times New Roman"/>
          <w:b/>
          <w:bCs/>
          <w:lang w:val="en-US"/>
        </w:rPr>
      </w:pPr>
    </w:p>
    <w:p w:rsidR="00CD0FCC" w:rsidRDefault="004C3455">
      <w:pPr>
        <w:spacing w:line="276" w:lineRule="auto"/>
        <w:rPr>
          <w:rFonts w:ascii="Times New Roman" w:hAnsi="Times New Roman" w:cs="Times New Roman"/>
          <w:bCs/>
        </w:rPr>
      </w:pPr>
      <w:r>
        <w:rPr>
          <w:rFonts w:ascii="Times New Roman" w:hAnsi="Times New Roman" w:cs="Times New Roman"/>
          <w:bCs/>
          <w:lang w:val="en-US"/>
        </w:rPr>
        <w:t xml:space="preserve">The PHIA Project </w:t>
      </w:r>
      <w:r w:rsidR="001925F3">
        <w:rPr>
          <w:rFonts w:ascii="Times New Roman" w:hAnsi="Times New Roman" w:cs="Times New Roman"/>
          <w:bCs/>
          <w:lang w:val="en-US"/>
        </w:rPr>
        <w:t>wa</w:t>
      </w:r>
      <w:r>
        <w:rPr>
          <w:rFonts w:ascii="Times New Roman" w:hAnsi="Times New Roman" w:cs="Times New Roman"/>
          <w:bCs/>
        </w:rPr>
        <w:t>s designed to collect standardized data across countries</w:t>
      </w:r>
      <w:r>
        <w:rPr>
          <w:rFonts w:ascii="Times New Roman" w:hAnsi="Times New Roman" w:cs="Times New Roman"/>
          <w:bCs/>
          <w:lang w:val="en-US"/>
        </w:rPr>
        <w:t xml:space="preserve"> to measure the reach and impact of HIV programs in PEPFAR-support countries through national household surveys </w:t>
      </w:r>
      <w:r>
        <w:rPr>
          <w:rFonts w:ascii="Times New Roman" w:hAnsi="Times New Roman" w:cs="Times New Roman"/>
          <w:bCs/>
          <w:lang w:val="en-US"/>
        </w:rPr>
        <w:fldChar w:fldCharType="begin"/>
      </w:r>
      <w:r>
        <w:rPr>
          <w:rFonts w:ascii="Times New Roman" w:hAnsi="Times New Roman" w:cs="Times New Roman"/>
          <w:bCs/>
          <w:lang w:val="en-US"/>
        </w:rPr>
        <w:instrText xml:space="preserve"> ADDIN EN.CITE &lt;EndNote&gt;&lt;Cite&gt;&lt;Year&gt;July 2019&lt;/Year&gt;&lt;RecNum&gt;14&lt;/RecNum&gt;&lt;DisplayText&gt;&lt;style face="superscript"&gt;[6]&lt;/style&gt;&lt;/DisplayText&gt;&lt;record&gt;&lt;rec-number&gt;14&lt;/rec-number&gt;&lt;foreign-keys&gt;&lt;key app="EN" db-id="e0trf9asbx9vd0e9207v9pv4zz2dr0vd9vt2" timestamp="1585852279"&gt;14&lt;/key&gt;&lt;/foreign-keys&gt;&lt;ref-type name="Press Release"&gt;63&lt;/ref-type&gt;&lt;contributors&gt;&lt;/contributors&gt;&lt;titles&gt;&lt;title&gt;Population-based HIV impact assessment (PHIA) data use manual&lt;/title&gt;&lt;/titles&gt;&lt;dates&gt;&lt;year&gt;July 2019&lt;/year&gt;&lt;/dates&gt;&lt;pub-location&gt;New York, NY&lt;/pub-location&gt;&lt;urls&gt;&lt;/urls&gt;&lt;/record&gt;&lt;/Cite&gt;&lt;/EndNote&gt;</w:instrText>
      </w:r>
      <w:r>
        <w:rPr>
          <w:rFonts w:ascii="Times New Roman" w:hAnsi="Times New Roman" w:cs="Times New Roman"/>
          <w:bCs/>
          <w:lang w:val="en-US"/>
        </w:rPr>
        <w:fldChar w:fldCharType="separate"/>
      </w:r>
      <w:r>
        <w:rPr>
          <w:rFonts w:ascii="Times New Roman" w:hAnsi="Times New Roman" w:cs="Times New Roman"/>
          <w:bCs/>
          <w:vertAlign w:val="superscript"/>
          <w:lang w:val="en-US"/>
        </w:rPr>
        <w:t>[6]</w:t>
      </w:r>
      <w:r>
        <w:rPr>
          <w:rFonts w:ascii="Times New Roman" w:hAnsi="Times New Roman" w:cs="Times New Roman"/>
          <w:bCs/>
          <w:lang w:val="en-US"/>
        </w:rPr>
        <w:fldChar w:fldCharType="end"/>
      </w:r>
      <w:r>
        <w:rPr>
          <w:rFonts w:ascii="Times New Roman" w:hAnsi="Times New Roman" w:cs="Times New Roman"/>
          <w:bCs/>
          <w:lang w:val="en-US"/>
        </w:rPr>
        <w:t xml:space="preserve">. PHIA surveys are being conducted in 14 countries and this study includes the four surveys that have publicly accessible data and available microdata on PLHIV aged 15+ years: </w:t>
      </w:r>
      <w:r>
        <w:rPr>
          <w:rFonts w:ascii="Times New Roman" w:hAnsi="Times New Roman" w:cs="Times New Roman"/>
          <w:bCs/>
          <w:i/>
          <w:iCs/>
        </w:rPr>
        <w:t>Swaziland (Eswatini) HIV Incidence Measurement Survey 2</w:t>
      </w:r>
      <w:r>
        <w:rPr>
          <w:rFonts w:ascii="Times New Roman" w:hAnsi="Times New Roman" w:cs="Times New Roman"/>
          <w:bCs/>
        </w:rPr>
        <w:t xml:space="preserve"> (SHIMS2, 2015-2016), </w:t>
      </w:r>
      <w:r>
        <w:rPr>
          <w:rFonts w:ascii="Times New Roman" w:hAnsi="Times New Roman" w:cs="Times New Roman"/>
          <w:bCs/>
          <w:i/>
          <w:iCs/>
        </w:rPr>
        <w:t>Malawi PHIA</w:t>
      </w:r>
      <w:r>
        <w:rPr>
          <w:rFonts w:ascii="Times New Roman" w:hAnsi="Times New Roman" w:cs="Times New Roman"/>
          <w:bCs/>
        </w:rPr>
        <w:t xml:space="preserve"> (MPHIA, 2015-2016), </w:t>
      </w:r>
      <w:r>
        <w:rPr>
          <w:rFonts w:ascii="Times New Roman" w:hAnsi="Times New Roman" w:cs="Times New Roman"/>
          <w:bCs/>
          <w:i/>
          <w:iCs/>
        </w:rPr>
        <w:t>Tanzania HIV Impact Survey</w:t>
      </w:r>
      <w:r>
        <w:rPr>
          <w:rFonts w:ascii="Times New Roman" w:hAnsi="Times New Roman" w:cs="Times New Roman"/>
          <w:bCs/>
        </w:rPr>
        <w:t xml:space="preserve"> (THIS, 2016-2017), and </w:t>
      </w:r>
      <w:r>
        <w:rPr>
          <w:rFonts w:ascii="Times New Roman" w:hAnsi="Times New Roman" w:cs="Times New Roman"/>
          <w:bCs/>
          <w:i/>
          <w:iCs/>
        </w:rPr>
        <w:t>Zambia PHIA</w:t>
      </w:r>
      <w:r>
        <w:rPr>
          <w:rFonts w:ascii="Times New Roman" w:hAnsi="Times New Roman" w:cs="Times New Roman"/>
          <w:bCs/>
        </w:rPr>
        <w:t xml:space="preserve"> (ZAMPHIA, 2016). Final reports with analyzed survey data are produced after the data collection and can be found </w:t>
      </w:r>
      <w:r w:rsidR="009F4AA3">
        <w:rPr>
          <w:rFonts w:ascii="Times New Roman" w:hAnsi="Times New Roman" w:cs="Times New Roman"/>
          <w:bCs/>
        </w:rPr>
        <w:t>on the</w:t>
      </w:r>
      <w:r>
        <w:rPr>
          <w:rFonts w:ascii="Times New Roman" w:hAnsi="Times New Roman" w:cs="Times New Roman"/>
          <w:bCs/>
        </w:rPr>
        <w:t xml:space="preserve"> PHIA website (</w:t>
      </w:r>
      <w:hyperlink r:id="rId7" w:history="1">
        <w:r>
          <w:rPr>
            <w:rStyle w:val="Hyperlink"/>
            <w:rFonts w:ascii="Times New Roman" w:hAnsi="Times New Roman" w:cs="Times New Roman"/>
            <w:bCs/>
          </w:rPr>
          <w:t>https://phia.icap.columbia.edu</w:t>
        </w:r>
      </w:hyperlink>
      <w:r>
        <w:rPr>
          <w:rFonts w:ascii="Times New Roman" w:hAnsi="Times New Roman" w:cs="Times New Roman"/>
          <w:bCs/>
        </w:rPr>
        <w:t xml:space="preserve">). </w:t>
      </w:r>
    </w:p>
    <w:p w:rsidR="00CD0FCC" w:rsidRDefault="00823727">
      <w:pPr>
        <w:pStyle w:val="NormalWeb"/>
        <w:spacing w:line="276" w:lineRule="auto"/>
        <w:rPr>
          <w:bCs/>
          <w:lang w:val="en-US"/>
        </w:rPr>
      </w:pPr>
      <w:r w:rsidRPr="00823727">
        <w:rPr>
          <w:bCs/>
        </w:rPr>
        <w:t>Biomarkers of ARV metabolites were tested at the University of Cape Town, (Cape Town, South Africa; SHIMS2 and ZAMPHIA), COM-JHP ( Blantyre, Malawi ; MPHIA) and NHLQATC (Dar es Salaam, Tanzania THIS). Selected biomarkers of ARV metabolites were detected using high-resolution liquid chromatography coupled with tandem mass spectrometry to detect ARVs from dry blood spot (DBS) specimens in all four countries. Based on national treatment guidelines for each country, the Atazanavir, Efavirenz, Lopinavir and Nevirapine biomarkers were examined for participants of MPHIA, THIS and ZAMPHIA, whereas SHIMS2 only tested for the latter three.</w:t>
      </w:r>
      <w:r w:rsidR="004C3455">
        <w:rPr>
          <w:bCs/>
        </w:rPr>
        <w:t xml:space="preserve"> </w:t>
      </w:r>
      <w:r w:rsidR="004C3455">
        <w:rPr>
          <w:bCs/>
        </w:rPr>
        <w:fldChar w:fldCharType="begin">
          <w:fldData xml:space="preserve">PEVuZE5vdGU+PENpdGU+PEF1dGhvcj5Fc3dhdGluaTwvQXV0aG9yPjxZZWFyPkFwcmlsIDIwMTk8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</w:fldData>
        </w:fldChar>
      </w:r>
      <w:r w:rsidR="004C3455">
        <w:rPr>
          <w:bCs/>
        </w:rPr>
        <w:instrText xml:space="preserve"> ADDIN EN.CITE </w:instrText>
      </w:r>
      <w:r w:rsidR="004C3455">
        <w:rPr>
          <w:bCs/>
        </w:rPr>
        <w:fldChar w:fldCharType="begin">
          <w:fldData xml:space="preserve">PEVuZE5vdGU+PENpdGU+PEF1dGhvcj5Fc3dhdGluaTwvQXV0aG9yPjxZZWFyPkFwcmlsIDIwMTk8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</w:fldData>
        </w:fldChar>
      </w:r>
      <w:r w:rsidR="004C3455">
        <w:rPr>
          <w:bCs/>
        </w:rPr>
        <w:instrText xml:space="preserve"> ADDIN EN.CITE.DATA </w:instrText>
      </w:r>
      <w:r w:rsidR="004C3455">
        <w:rPr>
          <w:bCs/>
        </w:rPr>
      </w:r>
      <w:r w:rsidR="004C3455">
        <w:rPr>
          <w:bCs/>
        </w:rPr>
        <w:fldChar w:fldCharType="end"/>
      </w:r>
      <w:r w:rsidR="004C3455">
        <w:rPr>
          <w:bCs/>
        </w:rPr>
      </w:r>
      <w:r w:rsidR="004C3455">
        <w:rPr>
          <w:bCs/>
        </w:rPr>
        <w:fldChar w:fldCharType="separate"/>
      </w:r>
      <w:r w:rsidR="004C3455">
        <w:rPr>
          <w:bCs/>
          <w:vertAlign w:val="superscript"/>
        </w:rPr>
        <w:t>[7-10]</w:t>
      </w:r>
      <w:r w:rsidR="004C3455">
        <w:rPr>
          <w:bCs/>
        </w:rPr>
        <w:fldChar w:fldCharType="end"/>
      </w:r>
      <w:r w:rsidR="004C3455">
        <w:rPr>
          <w:bCs/>
        </w:rPr>
        <w:t xml:space="preserve">. </w:t>
      </w:r>
    </w:p>
    <w:p w:rsidR="00CD0FCC" w:rsidRDefault="00CD0FCC">
      <w:pPr>
        <w:spacing w:line="276" w:lineRule="auto"/>
        <w:rPr>
          <w:rFonts w:ascii="Times New Roman" w:hAnsi="Times New Roman" w:cs="Times New Roman"/>
          <w:b/>
          <w:bCs/>
        </w:rPr>
      </w:pPr>
    </w:p>
    <w:p w:rsidR="00CD0FCC" w:rsidRDefault="004C3455">
      <w:pPr>
        <w:rPr>
          <w:rFonts w:ascii="Times New Roman" w:hAnsi="Times New Roman" w:cs="Times New Roman"/>
          <w:b/>
          <w:bCs/>
        </w:rPr>
      </w:pPr>
      <w:r>
        <w:rPr>
          <w:rFonts w:ascii="Times New Roman" w:hAnsi="Times New Roman" w:cs="Times New Roman"/>
          <w:b/>
          <w:bCs/>
        </w:rPr>
        <w:br w:type="page"/>
      </w:r>
    </w:p>
    <w:p w:rsidR="00CD0FCC" w:rsidRDefault="004C3455" w:rsidP="00CD046B">
      <w:pPr>
        <w:spacing w:line="276" w:lineRule="auto"/>
        <w:rPr>
          <w:rFonts w:ascii="Times New Roman" w:hAnsi="Times New Roman" w:cs="Times New Roman"/>
          <w:b/>
          <w:bCs/>
        </w:rPr>
      </w:pPr>
      <w:r>
        <w:rPr>
          <w:rFonts w:ascii="Times New Roman" w:hAnsi="Times New Roman" w:cs="Times New Roman"/>
          <w:b/>
          <w:bCs/>
        </w:rPr>
        <w:t xml:space="preserve">Table S3 </w:t>
      </w:r>
      <w:r>
        <w:rPr>
          <w:rFonts w:ascii="Times New Roman" w:hAnsi="Times New Roman" w:cs="Times New Roman"/>
          <w:bCs/>
        </w:rPr>
        <w:t xml:space="preserve">Self-reported HIV testing history and awareness of HIV-positive status among people living with HIV (PLHIV) </w:t>
      </w:r>
      <w:r>
        <w:rPr>
          <w:rFonts w:ascii="Times New Roman" w:hAnsi="Times New Roman" w:cs="Times New Roman"/>
        </w:rPr>
        <w:t xml:space="preserve">with (ARV+) and without detectable </w:t>
      </w:r>
      <w:r w:rsidR="00E05BA4">
        <w:rPr>
          <w:rFonts w:ascii="Times New Roman" w:hAnsi="Times New Roman" w:cs="Times New Roman"/>
        </w:rPr>
        <w:t>antiretrovirals</w:t>
      </w:r>
      <w:r>
        <w:rPr>
          <w:rFonts w:ascii="Times New Roman" w:hAnsi="Times New Roman" w:cs="Times New Roman"/>
        </w:rPr>
        <w:t xml:space="preserve"> (ARV-).</w:t>
      </w:r>
    </w:p>
    <w:p w:rsidR="00CD0FCC" w:rsidRDefault="00CD0FCC">
      <w:pPr>
        <w:rPr>
          <w:rFonts w:ascii="Times New Roman" w:hAnsi="Times New Roman" w:cs="Times New Roman"/>
          <w:b/>
          <w:bCs/>
        </w:rPr>
      </w:pPr>
    </w:p>
    <w:tbl>
      <w:tblPr>
        <w:tblStyle w:val="ListTable21"/>
        <w:tblW w:w="0" w:type="auto"/>
        <w:tblLook w:val="04A0" w:firstRow="1" w:lastRow="0" w:firstColumn="1" w:lastColumn="0" w:noHBand="0" w:noVBand="1"/>
      </w:tblPr>
      <w:tblGrid>
        <w:gridCol w:w="1438"/>
        <w:gridCol w:w="1439"/>
        <w:gridCol w:w="1439"/>
        <w:gridCol w:w="1439"/>
        <w:gridCol w:w="1439"/>
        <w:gridCol w:w="1439"/>
        <w:gridCol w:w="1439"/>
        <w:gridCol w:w="1439"/>
        <w:gridCol w:w="1439"/>
      </w:tblGrid>
      <w:tr w:rsidR="00CD0FCC" w:rsidTr="00CD0FC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950" w:type="dxa"/>
            <w:gridSpan w:val="9"/>
            <w:shd w:val="clear" w:color="auto" w:fill="808080" w:themeFill="background1" w:themeFillShade="80"/>
            <w:vAlign w:val="center"/>
          </w:tcPr>
          <w:p w:rsidR="00CD0FCC" w:rsidRPr="00CD046B" w:rsidRDefault="004C3455">
            <w:pPr>
              <w:jc w:val="center"/>
              <w:rPr>
                <w:rFonts w:ascii="Times New Roman" w:hAnsi="Times New Roman" w:cs="Times New Roman"/>
                <w:color w:val="FFFFFF" w:themeColor="background1"/>
              </w:rPr>
            </w:pPr>
            <w:r w:rsidRPr="00CD046B">
              <w:rPr>
                <w:rFonts w:ascii="Times New Roman" w:hAnsi="Times New Roman" w:cs="Times New Roman"/>
                <w:color w:val="FFFFFF" w:themeColor="background1"/>
              </w:rPr>
              <w:t>Self-reported ever tested for HIV and received results among PLHIV</w:t>
            </w:r>
          </w:p>
        </w:tc>
      </w:tr>
      <w:tr w:rsidR="00CD0FCC" w:rsidTr="00CD0FCC">
        <w:trPr>
          <w:trHeight w:val="283"/>
        </w:trPr>
        <w:tc>
          <w:tcPr>
            <w:cnfStyle w:val="001000000000" w:firstRow="0" w:lastRow="0" w:firstColumn="1" w:lastColumn="0" w:oddVBand="0" w:evenVBand="0" w:oddHBand="0" w:evenHBand="0" w:firstRowFirstColumn="0" w:firstRowLastColumn="0" w:lastRowFirstColumn="0" w:lastRowLastColumn="0"/>
            <w:tcW w:w="1438" w:type="dxa"/>
            <w:shd w:val="clear" w:color="auto" w:fill="auto"/>
            <w:vAlign w:val="center"/>
          </w:tcPr>
          <w:p w:rsidR="00CD0FCC" w:rsidRDefault="00CD0FCC">
            <w:pPr>
              <w:jc w:val="center"/>
              <w:rPr>
                <w:rFonts w:ascii="Times New Roman" w:hAnsi="Times New Roman" w:cs="Times New Roman"/>
              </w:rPr>
            </w:pPr>
          </w:p>
        </w:tc>
        <w:tc>
          <w:tcPr>
            <w:tcW w:w="2878" w:type="dxa"/>
            <w:gridSpan w:val="2"/>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Eswatini</w:t>
            </w:r>
          </w:p>
        </w:tc>
        <w:tc>
          <w:tcPr>
            <w:tcW w:w="2878" w:type="dxa"/>
            <w:gridSpan w:val="2"/>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Malawi</w:t>
            </w:r>
          </w:p>
        </w:tc>
        <w:tc>
          <w:tcPr>
            <w:tcW w:w="2878" w:type="dxa"/>
            <w:gridSpan w:val="2"/>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Tanzania</w:t>
            </w:r>
          </w:p>
        </w:tc>
        <w:tc>
          <w:tcPr>
            <w:tcW w:w="2878" w:type="dxa"/>
            <w:gridSpan w:val="2"/>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Zambia</w:t>
            </w:r>
          </w:p>
        </w:tc>
      </w:tr>
      <w:tr w:rsidR="00CD0FCC" w:rsidTr="00CD0FCC">
        <w:trPr>
          <w:trHeight w:val="283"/>
        </w:trPr>
        <w:tc>
          <w:tcPr>
            <w:cnfStyle w:val="001000000000" w:firstRow="0" w:lastRow="0" w:firstColumn="1" w:lastColumn="0" w:oddVBand="0" w:evenVBand="0" w:oddHBand="0" w:evenHBand="0" w:firstRowFirstColumn="0" w:firstRowLastColumn="0" w:lastRowFirstColumn="0" w:lastRowLastColumn="0"/>
            <w:tcW w:w="1438" w:type="dxa"/>
            <w:shd w:val="clear" w:color="auto" w:fill="CCCCCB"/>
            <w:vAlign w:val="center"/>
          </w:tcPr>
          <w:p w:rsidR="00CD0FCC" w:rsidRDefault="00CD0FCC">
            <w:pPr>
              <w:jc w:val="center"/>
              <w:rPr>
                <w:rFonts w:ascii="Times New Roman" w:hAnsi="Times New Roman" w:cs="Times New Roman"/>
              </w:rPr>
            </w:pP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r>
      <w:tr w:rsidR="00CD0FCC" w:rsidTr="00CD0FCC">
        <w:trPr>
          <w:trHeight w:val="283"/>
        </w:trPr>
        <w:tc>
          <w:tcPr>
            <w:cnfStyle w:val="001000000000" w:firstRow="0" w:lastRow="0" w:firstColumn="1" w:lastColumn="0" w:oddVBand="0" w:evenVBand="0" w:oddHBand="0" w:evenHBand="0" w:firstRowFirstColumn="0" w:firstRowLastColumn="0" w:lastRowFirstColumn="0" w:lastRowLastColumn="0"/>
            <w:tcW w:w="1438" w:type="dxa"/>
            <w:tcBorders>
              <w:bottom w:val="single" w:sz="4" w:space="0" w:color="666666" w:themeColor="text1" w:themeTint="99"/>
            </w:tcBorders>
            <w:shd w:val="clear" w:color="auto" w:fill="auto"/>
            <w:vAlign w:val="center"/>
          </w:tcPr>
          <w:p w:rsidR="00CD0FCC" w:rsidRDefault="004C3455">
            <w:pPr>
              <w:jc w:val="center"/>
              <w:rPr>
                <w:rFonts w:ascii="Times New Roman" w:hAnsi="Times New Roman" w:cs="Times New Roman"/>
                <w:b w:val="0"/>
              </w:rPr>
            </w:pPr>
            <w:r>
              <w:rPr>
                <w:rFonts w:ascii="Times New Roman" w:hAnsi="Times New Roman" w:cs="Times New Roman"/>
                <w:bCs w:val="0"/>
              </w:rPr>
              <w:t>Ever</w:t>
            </w:r>
          </w:p>
        </w:tc>
        <w:tc>
          <w:tcPr>
            <w:tcW w:w="1439" w:type="dxa"/>
            <w:tcBorders>
              <w:bottom w:val="single" w:sz="4" w:space="0" w:color="666666" w:themeColor="text1" w:themeTint="99"/>
            </w:tcBorders>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2266</w:t>
            </w:r>
          </w:p>
        </w:tc>
        <w:tc>
          <w:tcPr>
            <w:tcW w:w="1439" w:type="dxa"/>
            <w:tcBorders>
              <w:bottom w:val="single" w:sz="4" w:space="0" w:color="666666" w:themeColor="text1" w:themeTint="99"/>
            </w:tcBorders>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634</w:t>
            </w:r>
          </w:p>
        </w:tc>
        <w:tc>
          <w:tcPr>
            <w:tcW w:w="1439" w:type="dxa"/>
            <w:tcBorders>
              <w:bottom w:val="single" w:sz="4" w:space="0" w:color="666666" w:themeColor="text1" w:themeTint="99"/>
            </w:tcBorders>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1466</w:t>
            </w:r>
          </w:p>
        </w:tc>
        <w:tc>
          <w:tcPr>
            <w:tcW w:w="1439" w:type="dxa"/>
            <w:tcBorders>
              <w:bottom w:val="single" w:sz="4" w:space="0" w:color="666666" w:themeColor="text1" w:themeTint="99"/>
            </w:tcBorders>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557</w:t>
            </w:r>
          </w:p>
        </w:tc>
        <w:tc>
          <w:tcPr>
            <w:tcW w:w="1439" w:type="dxa"/>
            <w:tcBorders>
              <w:bottom w:val="single" w:sz="4" w:space="0" w:color="666666" w:themeColor="text1" w:themeTint="99"/>
            </w:tcBorders>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947</w:t>
            </w:r>
          </w:p>
        </w:tc>
        <w:tc>
          <w:tcPr>
            <w:tcW w:w="1439" w:type="dxa"/>
            <w:tcBorders>
              <w:bottom w:val="single" w:sz="4" w:space="0" w:color="666666" w:themeColor="text1" w:themeTint="99"/>
            </w:tcBorders>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589</w:t>
            </w:r>
          </w:p>
        </w:tc>
        <w:tc>
          <w:tcPr>
            <w:tcW w:w="1439" w:type="dxa"/>
            <w:tcBorders>
              <w:bottom w:val="single" w:sz="4" w:space="0" w:color="666666" w:themeColor="text1" w:themeTint="99"/>
            </w:tcBorders>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1458</w:t>
            </w:r>
          </w:p>
        </w:tc>
        <w:tc>
          <w:tcPr>
            <w:tcW w:w="1439" w:type="dxa"/>
            <w:tcBorders>
              <w:bottom w:val="single" w:sz="4" w:space="0" w:color="666666" w:themeColor="text1" w:themeTint="99"/>
            </w:tcBorders>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738</w:t>
            </w:r>
          </w:p>
        </w:tc>
      </w:tr>
      <w:tr w:rsidR="00CD0FCC" w:rsidTr="00CD0FCC">
        <w:trPr>
          <w:trHeight w:val="283"/>
        </w:trPr>
        <w:tc>
          <w:tcPr>
            <w:cnfStyle w:val="001000000000" w:firstRow="0" w:lastRow="0" w:firstColumn="1" w:lastColumn="0" w:oddVBand="0" w:evenVBand="0" w:oddHBand="0" w:evenHBand="0" w:firstRowFirstColumn="0" w:firstRowLastColumn="0" w:lastRowFirstColumn="0" w:lastRowLastColumn="0"/>
            <w:tcW w:w="1438" w:type="dxa"/>
            <w:tcBorders>
              <w:bottom w:val="double" w:sz="6" w:space="0" w:color="auto"/>
            </w:tcBorders>
            <w:shd w:val="clear" w:color="auto" w:fill="CCCCCB"/>
            <w:vAlign w:val="center"/>
          </w:tcPr>
          <w:p w:rsidR="00CD0FCC" w:rsidRDefault="004C3455">
            <w:pPr>
              <w:jc w:val="center"/>
              <w:rPr>
                <w:rFonts w:ascii="Times New Roman" w:hAnsi="Times New Roman" w:cs="Times New Roman"/>
                <w:b w:val="0"/>
              </w:rPr>
            </w:pPr>
            <w:r>
              <w:rPr>
                <w:rFonts w:ascii="Times New Roman" w:hAnsi="Times New Roman" w:cs="Times New Roman"/>
                <w:bCs w:val="0"/>
              </w:rPr>
              <w:t>Never</w:t>
            </w:r>
          </w:p>
        </w:tc>
        <w:tc>
          <w:tcPr>
            <w:tcW w:w="1439" w:type="dxa"/>
            <w:tcBorders>
              <w:bottom w:val="double" w:sz="6" w:space="0" w:color="auto"/>
            </w:tcBorders>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10</w:t>
            </w:r>
          </w:p>
        </w:tc>
        <w:tc>
          <w:tcPr>
            <w:tcW w:w="1439" w:type="dxa"/>
            <w:tcBorders>
              <w:bottom w:val="double" w:sz="6" w:space="0" w:color="auto"/>
            </w:tcBorders>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79</w:t>
            </w:r>
          </w:p>
        </w:tc>
        <w:tc>
          <w:tcPr>
            <w:tcW w:w="1439" w:type="dxa"/>
            <w:tcBorders>
              <w:bottom w:val="double" w:sz="6" w:space="0" w:color="auto"/>
            </w:tcBorders>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26</w:t>
            </w:r>
          </w:p>
        </w:tc>
        <w:tc>
          <w:tcPr>
            <w:tcW w:w="1439" w:type="dxa"/>
            <w:tcBorders>
              <w:bottom w:val="double" w:sz="6" w:space="0" w:color="auto"/>
            </w:tcBorders>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141</w:t>
            </w:r>
          </w:p>
        </w:tc>
        <w:tc>
          <w:tcPr>
            <w:tcW w:w="1439" w:type="dxa"/>
            <w:tcBorders>
              <w:bottom w:val="double" w:sz="6" w:space="0" w:color="auto"/>
            </w:tcBorders>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33</w:t>
            </w:r>
          </w:p>
        </w:tc>
        <w:tc>
          <w:tcPr>
            <w:tcW w:w="1439" w:type="dxa"/>
            <w:tcBorders>
              <w:bottom w:val="double" w:sz="6" w:space="0" w:color="auto"/>
            </w:tcBorders>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240</w:t>
            </w:r>
          </w:p>
        </w:tc>
        <w:tc>
          <w:tcPr>
            <w:tcW w:w="1439" w:type="dxa"/>
            <w:tcBorders>
              <w:bottom w:val="double" w:sz="6" w:space="0" w:color="auto"/>
            </w:tcBorders>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38</w:t>
            </w:r>
          </w:p>
        </w:tc>
        <w:tc>
          <w:tcPr>
            <w:tcW w:w="1439" w:type="dxa"/>
            <w:tcBorders>
              <w:bottom w:val="double" w:sz="6" w:space="0" w:color="auto"/>
            </w:tcBorders>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194</w:t>
            </w:r>
          </w:p>
        </w:tc>
      </w:tr>
      <w:tr w:rsidR="00CD0FCC" w:rsidTr="00CD0FCC">
        <w:trPr>
          <w:trHeight w:val="283"/>
        </w:trPr>
        <w:tc>
          <w:tcPr>
            <w:cnfStyle w:val="001000000000" w:firstRow="0" w:lastRow="0" w:firstColumn="1" w:lastColumn="0" w:oddVBand="0" w:evenVBand="0" w:oddHBand="0" w:evenHBand="0" w:firstRowFirstColumn="0" w:firstRowLastColumn="0" w:lastRowFirstColumn="0" w:lastRowLastColumn="0"/>
            <w:tcW w:w="12950" w:type="dxa"/>
            <w:gridSpan w:val="9"/>
            <w:tcBorders>
              <w:top w:val="double" w:sz="6" w:space="0" w:color="auto"/>
            </w:tcBorders>
            <w:shd w:val="clear" w:color="auto" w:fill="808080" w:themeFill="background1" w:themeFillShade="80"/>
            <w:vAlign w:val="center"/>
          </w:tcPr>
          <w:p w:rsidR="00CD0FCC" w:rsidRPr="00CD046B" w:rsidRDefault="004C3455">
            <w:pPr>
              <w:jc w:val="center"/>
              <w:rPr>
                <w:rFonts w:ascii="Times New Roman" w:hAnsi="Times New Roman" w:cs="Times New Roman"/>
                <w:color w:val="FFFFFF" w:themeColor="background1"/>
              </w:rPr>
            </w:pPr>
            <w:r w:rsidRPr="00CD046B">
              <w:rPr>
                <w:rFonts w:ascii="Times New Roman" w:hAnsi="Times New Roman" w:cs="Times New Roman"/>
                <w:color w:val="FFFFFF" w:themeColor="background1"/>
              </w:rPr>
              <w:t>Self-reported awareness of HIV-positive status among PLHIV</w:t>
            </w:r>
          </w:p>
        </w:tc>
      </w:tr>
      <w:tr w:rsidR="00CD0FCC" w:rsidTr="00CD0FCC">
        <w:trPr>
          <w:trHeight w:val="283"/>
        </w:trPr>
        <w:tc>
          <w:tcPr>
            <w:cnfStyle w:val="001000000000" w:firstRow="0" w:lastRow="0" w:firstColumn="1" w:lastColumn="0" w:oddVBand="0" w:evenVBand="0" w:oddHBand="0" w:evenHBand="0" w:firstRowFirstColumn="0" w:firstRowLastColumn="0" w:lastRowFirstColumn="0" w:lastRowLastColumn="0"/>
            <w:tcW w:w="1438" w:type="dxa"/>
            <w:shd w:val="clear" w:color="auto" w:fill="auto"/>
            <w:vAlign w:val="center"/>
          </w:tcPr>
          <w:p w:rsidR="00CD0FCC" w:rsidRDefault="00CD0FCC">
            <w:pPr>
              <w:jc w:val="center"/>
              <w:rPr>
                <w:rFonts w:ascii="Times New Roman" w:hAnsi="Times New Roman" w:cs="Times New Roman"/>
              </w:rPr>
            </w:pPr>
          </w:p>
        </w:tc>
        <w:tc>
          <w:tcPr>
            <w:tcW w:w="2878" w:type="dxa"/>
            <w:gridSpan w:val="2"/>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Eswatini</w:t>
            </w:r>
          </w:p>
        </w:tc>
        <w:tc>
          <w:tcPr>
            <w:tcW w:w="2878" w:type="dxa"/>
            <w:gridSpan w:val="2"/>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Malawi</w:t>
            </w:r>
          </w:p>
        </w:tc>
        <w:tc>
          <w:tcPr>
            <w:tcW w:w="2878" w:type="dxa"/>
            <w:gridSpan w:val="2"/>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Tanzania</w:t>
            </w:r>
          </w:p>
        </w:tc>
        <w:tc>
          <w:tcPr>
            <w:tcW w:w="2878" w:type="dxa"/>
            <w:gridSpan w:val="2"/>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Zambia</w:t>
            </w:r>
          </w:p>
        </w:tc>
      </w:tr>
      <w:tr w:rsidR="00CD0FCC" w:rsidTr="00CD0FCC">
        <w:trPr>
          <w:trHeight w:val="283"/>
        </w:trPr>
        <w:tc>
          <w:tcPr>
            <w:cnfStyle w:val="001000000000" w:firstRow="0" w:lastRow="0" w:firstColumn="1" w:lastColumn="0" w:oddVBand="0" w:evenVBand="0" w:oddHBand="0" w:evenHBand="0" w:firstRowFirstColumn="0" w:firstRowLastColumn="0" w:lastRowFirstColumn="0" w:lastRowLastColumn="0"/>
            <w:tcW w:w="1438" w:type="dxa"/>
            <w:shd w:val="clear" w:color="auto" w:fill="CCCCCB"/>
            <w:vAlign w:val="center"/>
          </w:tcPr>
          <w:p w:rsidR="00CD0FCC" w:rsidRDefault="00CD0FCC">
            <w:pPr>
              <w:jc w:val="center"/>
              <w:rPr>
                <w:rFonts w:ascii="Times New Roman" w:hAnsi="Times New Roman" w:cs="Times New Roman"/>
              </w:rPr>
            </w:pP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
                <w:bCs/>
              </w:rPr>
              <w:t>ARV-</w:t>
            </w:r>
          </w:p>
        </w:tc>
      </w:tr>
      <w:tr w:rsidR="00CD0FCC" w:rsidTr="00CD0FCC">
        <w:trPr>
          <w:trHeight w:val="283"/>
        </w:trPr>
        <w:tc>
          <w:tcPr>
            <w:cnfStyle w:val="001000000000" w:firstRow="0" w:lastRow="0" w:firstColumn="1" w:lastColumn="0" w:oddVBand="0" w:evenVBand="0" w:oddHBand="0" w:evenHBand="0" w:firstRowFirstColumn="0" w:firstRowLastColumn="0" w:lastRowFirstColumn="0" w:lastRowLastColumn="0"/>
            <w:tcW w:w="1438" w:type="dxa"/>
            <w:shd w:val="clear" w:color="auto" w:fill="auto"/>
            <w:vAlign w:val="center"/>
          </w:tcPr>
          <w:p w:rsidR="00CD0FCC" w:rsidRDefault="004C3455">
            <w:pPr>
              <w:jc w:val="center"/>
              <w:rPr>
                <w:rFonts w:ascii="Times New Roman" w:hAnsi="Times New Roman" w:cs="Times New Roman"/>
                <w:b w:val="0"/>
              </w:rPr>
            </w:pPr>
            <w:r>
              <w:rPr>
                <w:rFonts w:ascii="Times New Roman" w:hAnsi="Times New Roman" w:cs="Times New Roman"/>
                <w:bCs w:val="0"/>
              </w:rPr>
              <w:t>Aware</w:t>
            </w:r>
          </w:p>
        </w:tc>
        <w:tc>
          <w:tcPr>
            <w:tcW w:w="1439" w:type="dxa"/>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2219</w:t>
            </w:r>
          </w:p>
        </w:tc>
        <w:tc>
          <w:tcPr>
            <w:tcW w:w="1439" w:type="dxa"/>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374</w:t>
            </w:r>
          </w:p>
        </w:tc>
        <w:tc>
          <w:tcPr>
            <w:tcW w:w="1439" w:type="dxa"/>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1409</w:t>
            </w:r>
          </w:p>
        </w:tc>
        <w:tc>
          <w:tcPr>
            <w:tcW w:w="1439" w:type="dxa"/>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211</w:t>
            </w:r>
          </w:p>
        </w:tc>
        <w:tc>
          <w:tcPr>
            <w:tcW w:w="1439" w:type="dxa"/>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905</w:t>
            </w:r>
          </w:p>
        </w:tc>
        <w:tc>
          <w:tcPr>
            <w:tcW w:w="1439" w:type="dxa"/>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161</w:t>
            </w:r>
          </w:p>
        </w:tc>
        <w:tc>
          <w:tcPr>
            <w:tcW w:w="1439" w:type="dxa"/>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1372</w:t>
            </w:r>
          </w:p>
        </w:tc>
        <w:tc>
          <w:tcPr>
            <w:tcW w:w="1439" w:type="dxa"/>
            <w:shd w:val="clear" w:color="auto" w:fill="auto"/>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285</w:t>
            </w:r>
          </w:p>
        </w:tc>
      </w:tr>
      <w:tr w:rsidR="00CD0FCC" w:rsidTr="00CD0FCC">
        <w:trPr>
          <w:trHeight w:val="283"/>
        </w:trPr>
        <w:tc>
          <w:tcPr>
            <w:cnfStyle w:val="001000000000" w:firstRow="0" w:lastRow="0" w:firstColumn="1" w:lastColumn="0" w:oddVBand="0" w:evenVBand="0" w:oddHBand="0" w:evenHBand="0" w:firstRowFirstColumn="0" w:firstRowLastColumn="0" w:lastRowFirstColumn="0" w:lastRowLastColumn="0"/>
            <w:tcW w:w="1438" w:type="dxa"/>
            <w:shd w:val="clear" w:color="auto" w:fill="CCCCCB"/>
            <w:vAlign w:val="center"/>
          </w:tcPr>
          <w:p w:rsidR="00CD0FCC" w:rsidRDefault="004C3455">
            <w:pPr>
              <w:jc w:val="center"/>
              <w:rPr>
                <w:rFonts w:ascii="Times New Roman" w:hAnsi="Times New Roman" w:cs="Times New Roman"/>
                <w:b w:val="0"/>
              </w:rPr>
            </w:pPr>
            <w:r>
              <w:rPr>
                <w:rFonts w:ascii="Times New Roman" w:hAnsi="Times New Roman" w:cs="Times New Roman"/>
                <w:bCs w:val="0"/>
              </w:rPr>
              <w:t>Unaware</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59</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345</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85</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491</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75</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675</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125</w:t>
            </w:r>
          </w:p>
        </w:tc>
        <w:tc>
          <w:tcPr>
            <w:tcW w:w="1439" w:type="dxa"/>
            <w:shd w:val="clear" w:color="auto" w:fill="CCCCCB"/>
            <w:vAlign w:val="center"/>
          </w:tcPr>
          <w:p w:rsidR="00CD0FCC" w:rsidRDefault="004C34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655</w:t>
            </w:r>
          </w:p>
        </w:tc>
      </w:tr>
    </w:tbl>
    <w:p w:rsidR="00CD0FCC" w:rsidRDefault="00CD0FCC">
      <w:pPr>
        <w:rPr>
          <w:rFonts w:ascii="Times New Roman" w:hAnsi="Times New Roman" w:cs="Times New Roman"/>
        </w:rPr>
      </w:pPr>
    </w:p>
    <w:p w:rsidR="00CD0FCC" w:rsidRDefault="004C3455">
      <w:pPr>
        <w:rPr>
          <w:rFonts w:ascii="Times New Roman" w:hAnsi="Times New Roman" w:cs="Times New Roman"/>
          <w:b/>
          <w:bCs/>
        </w:rPr>
      </w:pPr>
      <w:r>
        <w:rPr>
          <w:rFonts w:ascii="Times New Roman" w:hAnsi="Times New Roman" w:cs="Times New Roman"/>
          <w:b/>
          <w:bCs/>
        </w:rPr>
        <w:br w:type="page"/>
      </w:r>
    </w:p>
    <w:p w:rsidR="00CD0FCC" w:rsidRPr="00CD046B" w:rsidRDefault="004C3455">
      <w:pPr>
        <w:spacing w:line="276" w:lineRule="auto"/>
        <w:rPr>
          <w:rFonts w:ascii="Times New Roman" w:hAnsi="Times New Roman" w:cs="Times New Roman"/>
          <w:b/>
          <w:bCs/>
        </w:rPr>
      </w:pPr>
      <w:r>
        <w:rPr>
          <w:rFonts w:ascii="Times New Roman" w:hAnsi="Times New Roman" w:cs="Times New Roman"/>
          <w:b/>
          <w:bCs/>
        </w:rPr>
        <w:t>Table S4</w:t>
      </w:r>
      <w:r>
        <w:rPr>
          <w:rFonts w:ascii="Times New Roman" w:hAnsi="Times New Roman" w:cs="Times New Roman"/>
        </w:rPr>
        <w:t xml:space="preserve"> Marginal posterior medians and 95% credible intervals (CrI). (A) Sensitivity of self-reported ever tested and received results and (B) Sensitivity of self-reported awareness of HIV-positive status among people living with HIV with ARV (ARV+) and without detectable ARV (ARV-).</w:t>
      </w:r>
    </w:p>
    <w:p w:rsidR="00CD0FCC" w:rsidRDefault="00CD0FCC">
      <w:pPr>
        <w:spacing w:line="276" w:lineRule="auto"/>
        <w:rPr>
          <w:rFonts w:ascii="Times New Roman" w:hAnsi="Times New Roman" w:cs="Times New Roman"/>
        </w:rPr>
      </w:pPr>
    </w:p>
    <w:p w:rsidR="00CD0FCC" w:rsidRDefault="004C3455">
      <w:pPr>
        <w:spacing w:line="276" w:lineRule="auto"/>
        <w:rPr>
          <w:rFonts w:ascii="Times New Roman" w:hAnsi="Times New Roman" w:cs="Times New Roman"/>
        </w:rPr>
      </w:pPr>
      <w:r>
        <w:rPr>
          <w:rFonts w:ascii="Times New Roman" w:hAnsi="Times New Roman" w:cs="Times New Roman"/>
        </w:rPr>
        <w:t>(A) Sensitivity of self-reported ever tested and received results</w:t>
      </w:r>
    </w:p>
    <w:tbl>
      <w:tblPr>
        <w:tblStyle w:val="ListTable21"/>
        <w:tblW w:w="5000" w:type="pct"/>
        <w:tblLayout w:type="fixed"/>
        <w:tblLook w:val="04A0" w:firstRow="1" w:lastRow="0" w:firstColumn="1" w:lastColumn="0" w:noHBand="0" w:noVBand="1"/>
      </w:tblPr>
      <w:tblGrid>
        <w:gridCol w:w="1213"/>
        <w:gridCol w:w="907"/>
        <w:gridCol w:w="1024"/>
        <w:gridCol w:w="1731"/>
        <w:gridCol w:w="16"/>
        <w:gridCol w:w="962"/>
        <w:gridCol w:w="1604"/>
        <w:gridCol w:w="70"/>
        <w:gridCol w:w="975"/>
        <w:gridCol w:w="1672"/>
        <w:gridCol w:w="977"/>
        <w:gridCol w:w="1809"/>
      </w:tblGrid>
      <w:tr w:rsidR="00CD0FCC" w:rsidTr="00CD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vAlign w:val="center"/>
          </w:tcPr>
          <w:p w:rsidR="00CD0FCC" w:rsidRDefault="00CD0F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p>
        </w:tc>
        <w:tc>
          <w:tcPr>
            <w:tcW w:w="1069" w:type="pct"/>
            <w:gridSpan w:val="3"/>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Eswatini</w:t>
            </w:r>
          </w:p>
        </w:tc>
        <w:tc>
          <w:tcPr>
            <w:tcW w:w="990"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Malawi</w:t>
            </w:r>
          </w:p>
        </w:tc>
        <w:tc>
          <w:tcPr>
            <w:tcW w:w="1048" w:type="pct"/>
            <w:gridSpan w:val="3"/>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Tanzania</w:t>
            </w:r>
          </w:p>
        </w:tc>
        <w:tc>
          <w:tcPr>
            <w:tcW w:w="1075"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Zambia</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 status</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4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Overall</w:t>
            </w: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99.5%</w:t>
            </w:r>
          </w:p>
        </w:tc>
        <w:tc>
          <w:tcPr>
            <w:tcW w:w="66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(99.2%, 99.8%)</w:t>
            </w:r>
          </w:p>
        </w:tc>
        <w:tc>
          <w:tcPr>
            <w:tcW w:w="377"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98.2%</w:t>
            </w:r>
          </w:p>
        </w:tc>
        <w:tc>
          <w:tcPr>
            <w:tcW w:w="646"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(97.5%, 98.8%)</w:t>
            </w:r>
          </w:p>
        </w:tc>
        <w:tc>
          <w:tcPr>
            <w:tcW w:w="37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96.6%</w:t>
            </w:r>
          </w:p>
        </w:tc>
        <w:tc>
          <w:tcPr>
            <w:tcW w:w="64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(95.3%, 97.6%)</w:t>
            </w:r>
          </w:p>
        </w:tc>
        <w:tc>
          <w:tcPr>
            <w:tcW w:w="37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97.4%</w:t>
            </w:r>
          </w:p>
        </w:tc>
        <w:tc>
          <w:tcPr>
            <w:tcW w:w="69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(96.5%, 98.1%)</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99.2%</w:t>
            </w:r>
          </w:p>
        </w:tc>
        <w:tc>
          <w:tcPr>
            <w:tcW w:w="66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(97.7%, 99.7%)</w:t>
            </w:r>
          </w:p>
        </w:tc>
        <w:tc>
          <w:tcPr>
            <w:tcW w:w="377"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96.9%</w:t>
            </w:r>
          </w:p>
        </w:tc>
        <w:tc>
          <w:tcPr>
            <w:tcW w:w="646"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(92.1%, 98.4%)</w:t>
            </w:r>
          </w:p>
        </w:tc>
        <w:tc>
          <w:tcPr>
            <w:tcW w:w="37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94.1%</w:t>
            </w:r>
          </w:p>
        </w:tc>
        <w:tc>
          <w:tcPr>
            <w:tcW w:w="64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(84.8%, 96.9%)</w:t>
            </w:r>
          </w:p>
        </w:tc>
        <w:tc>
          <w:tcPr>
            <w:tcW w:w="37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95.6%</w:t>
            </w:r>
          </w:p>
        </w:tc>
        <w:tc>
          <w:tcPr>
            <w:tcW w:w="69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(88.7%, 97.6%)</w:t>
            </w:r>
          </w:p>
        </w:tc>
      </w:tr>
      <w:tr w:rsidR="00CD0FCC" w:rsidTr="00CD0FCC">
        <w:tc>
          <w:tcPr>
            <w:cnfStyle w:val="001000000000" w:firstRow="0" w:lastRow="0" w:firstColumn="1" w:lastColumn="0" w:oddVBand="0" w:evenVBand="0" w:oddHBand="0" w:evenHBand="0" w:firstRowFirstColumn="0" w:firstRowLastColumn="0" w:lastRowFirstColumn="0" w:lastRowLastColumn="0"/>
            <w:tcW w:w="818" w:type="pct"/>
            <w:gridSpan w:val="2"/>
            <w:vAlign w:val="center"/>
          </w:tcPr>
          <w:p w:rsidR="00CD0FCC" w:rsidRDefault="004C3455">
            <w:pPr>
              <w:spacing w:line="276" w:lineRule="auto"/>
              <w:jc w:val="center"/>
              <w:rPr>
                <w:rFonts w:ascii="Times New Roman" w:hAnsi="Times New Roman" w:cs="Times New Roman"/>
                <w:b w:val="0"/>
                <w:sz w:val="22"/>
                <w:szCs w:val="22"/>
              </w:rPr>
            </w:pPr>
            <w:r>
              <w:rPr>
                <w:rFonts w:ascii="Times New Roman" w:hAnsi="Times New Roman" w:cs="Times New Roman"/>
                <w:bCs w:val="0"/>
                <w:sz w:val="22"/>
                <w:szCs w:val="22"/>
              </w:rPr>
              <w:t>ARV+ compare to 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0.3%</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(0.0%, 1.6%)</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1.2%</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(0.1%, 5.9%)</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2.4%</w:t>
            </w:r>
          </w:p>
        </w:tc>
        <w:tc>
          <w:tcPr>
            <w:tcW w:w="64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(0.1%, 11.4%)</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1.8%</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(0.1%, 8.4%)</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CCCCCC" w:themeFill="text1" w:themeFillTint="33"/>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Female</w:t>
            </w: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99.8%</w:t>
            </w:r>
          </w:p>
        </w:tc>
        <w:tc>
          <w:tcPr>
            <w:tcW w:w="66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(99.4%, 99.9%)</w:t>
            </w:r>
          </w:p>
        </w:tc>
        <w:tc>
          <w:tcPr>
            <w:tcW w:w="377"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98.4%</w:t>
            </w:r>
          </w:p>
        </w:tc>
        <w:tc>
          <w:tcPr>
            <w:tcW w:w="646"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(97.5%, 99.1%)</w:t>
            </w:r>
          </w:p>
        </w:tc>
        <w:tc>
          <w:tcPr>
            <w:tcW w:w="37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96.8%</w:t>
            </w:r>
          </w:p>
        </w:tc>
        <w:tc>
          <w:tcPr>
            <w:tcW w:w="64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(95.3%, 97.9%)</w:t>
            </w:r>
          </w:p>
        </w:tc>
        <w:tc>
          <w:tcPr>
            <w:tcW w:w="37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98.1%</w:t>
            </w:r>
          </w:p>
        </w:tc>
        <w:tc>
          <w:tcPr>
            <w:tcW w:w="69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(97.2%, 98.8%)</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99.6%</w:t>
            </w:r>
          </w:p>
        </w:tc>
        <w:tc>
          <w:tcPr>
            <w:tcW w:w="66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(98.6%, 99.9%)</w:t>
            </w:r>
          </w:p>
        </w:tc>
        <w:tc>
          <w:tcPr>
            <w:tcW w:w="377"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97.3%</w:t>
            </w:r>
          </w:p>
        </w:tc>
        <w:tc>
          <w:tcPr>
            <w:tcW w:w="646"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(92.6%, 98.7%)</w:t>
            </w:r>
          </w:p>
        </w:tc>
        <w:tc>
          <w:tcPr>
            <w:tcW w:w="37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94.4%</w:t>
            </w:r>
          </w:p>
        </w:tc>
        <w:tc>
          <w:tcPr>
            <w:tcW w:w="64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(85.4%, 97.2%)</w:t>
            </w:r>
          </w:p>
        </w:tc>
        <w:tc>
          <w:tcPr>
            <w:tcW w:w="37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96.7%</w:t>
            </w:r>
          </w:p>
        </w:tc>
        <w:tc>
          <w:tcPr>
            <w:tcW w:w="69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(91.6%, 98.4%)</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CCCCCC" w:themeFill="text1" w:themeFillTint="33"/>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Male</w:t>
            </w: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98.9%</w:t>
            </w:r>
          </w:p>
        </w:tc>
        <w:tc>
          <w:tcPr>
            <w:tcW w:w="66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(98.0%, 99.5%)</w:t>
            </w:r>
          </w:p>
        </w:tc>
        <w:tc>
          <w:tcPr>
            <w:tcW w:w="377"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97.5%</w:t>
            </w:r>
          </w:p>
        </w:tc>
        <w:tc>
          <w:tcPr>
            <w:tcW w:w="646"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(95.8%, 98.7%)</w:t>
            </w:r>
          </w:p>
        </w:tc>
        <w:tc>
          <w:tcPr>
            <w:tcW w:w="37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95.8%</w:t>
            </w:r>
          </w:p>
        </w:tc>
        <w:tc>
          <w:tcPr>
            <w:tcW w:w="64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(92.8%, 97.8%)</w:t>
            </w:r>
          </w:p>
        </w:tc>
        <w:tc>
          <w:tcPr>
            <w:tcW w:w="37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95.7%</w:t>
            </w:r>
          </w:p>
        </w:tc>
        <w:tc>
          <w:tcPr>
            <w:tcW w:w="69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(93.6%, 97.3%)</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98.1%</w:t>
            </w:r>
          </w:p>
        </w:tc>
        <w:tc>
          <w:tcPr>
            <w:tcW w:w="66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(94.5%, 99.3%)</w:t>
            </w:r>
          </w:p>
        </w:tc>
        <w:tc>
          <w:tcPr>
            <w:tcW w:w="377"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95.8%</w:t>
            </w:r>
          </w:p>
        </w:tc>
        <w:tc>
          <w:tcPr>
            <w:tcW w:w="646"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(87.9%, 98.2%)</w:t>
            </w:r>
          </w:p>
        </w:tc>
        <w:tc>
          <w:tcPr>
            <w:tcW w:w="37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92.6%</w:t>
            </w:r>
          </w:p>
        </w:tc>
        <w:tc>
          <w:tcPr>
            <w:tcW w:w="64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(79.5%, 96.9%)</w:t>
            </w:r>
          </w:p>
        </w:tc>
        <w:tc>
          <w:tcPr>
            <w:tcW w:w="37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92.6%</w:t>
            </w:r>
          </w:p>
        </w:tc>
        <w:tc>
          <w:tcPr>
            <w:tcW w:w="69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(80.7%, 96.4%)</w:t>
            </w:r>
          </w:p>
        </w:tc>
      </w:tr>
      <w:tr w:rsidR="00CD0FCC" w:rsidTr="00CD0FCC">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auto"/>
            <w:vAlign w:val="center"/>
          </w:tcPr>
          <w:p w:rsidR="00CD0FCC" w:rsidRDefault="004C3455">
            <w:pPr>
              <w:spacing w:line="276" w:lineRule="auto"/>
              <w:jc w:val="center"/>
              <w:rPr>
                <w:rFonts w:ascii="Times New Roman" w:hAnsi="Times New Roman" w:cs="Times New Roman"/>
                <w:b w:val="0"/>
                <w:sz w:val="22"/>
                <w:szCs w:val="22"/>
              </w:rPr>
            </w:pPr>
            <w:r>
              <w:rPr>
                <w:rFonts w:ascii="Times New Roman" w:hAnsi="Times New Roman" w:cs="Times New Roman"/>
                <w:bCs w:val="0"/>
                <w:sz w:val="22"/>
                <w:szCs w:val="22"/>
              </w:rPr>
              <w:t>Female compare to male (ARV+)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0.8%</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(0.2%, 1.8%)</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0.9%</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(-0.6%, 2.7%)</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1.0%</w:t>
            </w:r>
          </w:p>
        </w:tc>
        <w:tc>
          <w:tcPr>
            <w:tcW w:w="64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(-1.5%, 4.2%)</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2.4%</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(0.6%, 4.7%)</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Age 15-24 years</w:t>
            </w: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97.1%</w:t>
            </w:r>
          </w:p>
        </w:tc>
        <w:tc>
          <w:tcPr>
            <w:tcW w:w="66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(94.3%, 98.8%)</w:t>
            </w:r>
          </w:p>
        </w:tc>
        <w:tc>
          <w:tcPr>
            <w:tcW w:w="377"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97.2%</w:t>
            </w:r>
          </w:p>
        </w:tc>
        <w:tc>
          <w:tcPr>
            <w:tcW w:w="646"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(92.9%, 99.4%)</w:t>
            </w:r>
          </w:p>
        </w:tc>
        <w:tc>
          <w:tcPr>
            <w:tcW w:w="37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96.2%</w:t>
            </w:r>
          </w:p>
        </w:tc>
        <w:tc>
          <w:tcPr>
            <w:tcW w:w="64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(90.3%, 99.1%)</w:t>
            </w:r>
          </w:p>
        </w:tc>
        <w:tc>
          <w:tcPr>
            <w:tcW w:w="37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94.7%</w:t>
            </w:r>
          </w:p>
        </w:tc>
        <w:tc>
          <w:tcPr>
            <w:tcW w:w="69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(89.6%, 97.9%)</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95.1%</w:t>
            </w:r>
          </w:p>
        </w:tc>
        <w:tc>
          <w:tcPr>
            <w:tcW w:w="66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(88.7%, 98.3%)</w:t>
            </w:r>
          </w:p>
        </w:tc>
        <w:tc>
          <w:tcPr>
            <w:tcW w:w="377"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95.1%</w:t>
            </w:r>
          </w:p>
        </w:tc>
        <w:tc>
          <w:tcPr>
            <w:tcW w:w="646"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(84.1%, 99.0%)</w:t>
            </w:r>
          </w:p>
        </w:tc>
        <w:tc>
          <w:tcPr>
            <w:tcW w:w="37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93.3%</w:t>
            </w:r>
          </w:p>
        </w:tc>
        <w:tc>
          <w:tcPr>
            <w:tcW w:w="64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(78.8%, 98.6%)</w:t>
            </w:r>
          </w:p>
        </w:tc>
        <w:tc>
          <w:tcPr>
            <w:tcW w:w="37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90.9%</w:t>
            </w:r>
          </w:p>
        </w:tc>
        <w:tc>
          <w:tcPr>
            <w:tcW w:w="69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(78.5%, 96.9%)</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Age 25-34 years</w:t>
            </w: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99.4%</w:t>
            </w:r>
          </w:p>
        </w:tc>
        <w:tc>
          <w:tcPr>
            <w:tcW w:w="66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(98.7%, 99.8%)</w:t>
            </w:r>
          </w:p>
        </w:tc>
        <w:tc>
          <w:tcPr>
            <w:tcW w:w="377"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98.8%</w:t>
            </w:r>
          </w:p>
        </w:tc>
        <w:tc>
          <w:tcPr>
            <w:tcW w:w="646"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(97.4%, 99.6%)</w:t>
            </w:r>
          </w:p>
        </w:tc>
        <w:tc>
          <w:tcPr>
            <w:tcW w:w="37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97.8%</w:t>
            </w:r>
          </w:p>
        </w:tc>
        <w:tc>
          <w:tcPr>
            <w:tcW w:w="64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(95.2%, 99.2%)</w:t>
            </w:r>
          </w:p>
        </w:tc>
        <w:tc>
          <w:tcPr>
            <w:tcW w:w="37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97.3%</w:t>
            </w:r>
          </w:p>
        </w:tc>
        <w:tc>
          <w:tcPr>
            <w:tcW w:w="69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(95.3%, 98.6%)</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99.1%</w:t>
            </w:r>
          </w:p>
        </w:tc>
        <w:tc>
          <w:tcPr>
            <w:tcW w:w="66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(97.0%, 99.8%)</w:t>
            </w:r>
          </w:p>
        </w:tc>
        <w:tc>
          <w:tcPr>
            <w:tcW w:w="377"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97.9%</w:t>
            </w:r>
          </w:p>
        </w:tc>
        <w:tc>
          <w:tcPr>
            <w:tcW w:w="646"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(93.5%, 99.4%)</w:t>
            </w:r>
          </w:p>
        </w:tc>
        <w:tc>
          <w:tcPr>
            <w:tcW w:w="37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96.1%</w:t>
            </w:r>
          </w:p>
        </w:tc>
        <w:tc>
          <w:tcPr>
            <w:tcW w:w="64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(88.7%, 98.8%)</w:t>
            </w:r>
          </w:p>
        </w:tc>
        <w:tc>
          <w:tcPr>
            <w:tcW w:w="37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95.4%</w:t>
            </w:r>
          </w:p>
        </w:tc>
        <w:tc>
          <w:tcPr>
            <w:tcW w:w="69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(88.9%, 98.1%)</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Age 35-49 years</w:t>
            </w: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99.7%</w:t>
            </w:r>
          </w:p>
        </w:tc>
        <w:tc>
          <w:tcPr>
            <w:tcW w:w="66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(99.2%, 99.9%)</w:t>
            </w:r>
          </w:p>
        </w:tc>
        <w:tc>
          <w:tcPr>
            <w:tcW w:w="377"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98.0%</w:t>
            </w:r>
          </w:p>
        </w:tc>
        <w:tc>
          <w:tcPr>
            <w:tcW w:w="646"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(96.9%, 98.9%)</w:t>
            </w:r>
          </w:p>
        </w:tc>
        <w:tc>
          <w:tcPr>
            <w:tcW w:w="37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96.2%</w:t>
            </w:r>
          </w:p>
        </w:tc>
        <w:tc>
          <w:tcPr>
            <w:tcW w:w="64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(94.3%, 97.7%)</w:t>
            </w:r>
          </w:p>
        </w:tc>
        <w:tc>
          <w:tcPr>
            <w:tcW w:w="37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98.1%</w:t>
            </w:r>
          </w:p>
        </w:tc>
        <w:tc>
          <w:tcPr>
            <w:tcW w:w="69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(97.1%, 98.9%)</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99.5%</w:t>
            </w:r>
          </w:p>
        </w:tc>
        <w:tc>
          <w:tcPr>
            <w:tcW w:w="66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(98.3%, 99.9%)</w:t>
            </w:r>
          </w:p>
        </w:tc>
        <w:tc>
          <w:tcPr>
            <w:tcW w:w="377"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96.6%</w:t>
            </w:r>
          </w:p>
        </w:tc>
        <w:tc>
          <w:tcPr>
            <w:tcW w:w="646"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(91.0%, 98.5%)</w:t>
            </w:r>
          </w:p>
        </w:tc>
        <w:tc>
          <w:tcPr>
            <w:tcW w:w="37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93.5%</w:t>
            </w:r>
          </w:p>
        </w:tc>
        <w:tc>
          <w:tcPr>
            <w:tcW w:w="64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(83.5%, 96.9%)</w:t>
            </w:r>
          </w:p>
        </w:tc>
        <w:tc>
          <w:tcPr>
            <w:tcW w:w="37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96.9%</w:t>
            </w:r>
          </w:p>
        </w:tc>
        <w:tc>
          <w:tcPr>
            <w:tcW w:w="69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(92.4%, 98.6%)</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Age 50+ years</w:t>
            </w: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99.9%</w:t>
            </w:r>
          </w:p>
        </w:tc>
        <w:tc>
          <w:tcPr>
            <w:tcW w:w="66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(99.3%, 100.0%)</w:t>
            </w:r>
          </w:p>
        </w:tc>
        <w:tc>
          <w:tcPr>
            <w:tcW w:w="377"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97.5%</w:t>
            </w:r>
          </w:p>
        </w:tc>
        <w:tc>
          <w:tcPr>
            <w:tcW w:w="646"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(95.1%, 98.9%)</w:t>
            </w:r>
          </w:p>
        </w:tc>
        <w:tc>
          <w:tcPr>
            <w:tcW w:w="37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95.4%</w:t>
            </w:r>
          </w:p>
        </w:tc>
        <w:tc>
          <w:tcPr>
            <w:tcW w:w="64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(92.3%, 97.6%)</w:t>
            </w:r>
          </w:p>
        </w:tc>
        <w:tc>
          <w:tcPr>
            <w:tcW w:w="37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95.7%</w:t>
            </w:r>
          </w:p>
        </w:tc>
        <w:tc>
          <w:tcPr>
            <w:tcW w:w="69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(92.7%, 97.8%)</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99.8%</w:t>
            </w:r>
          </w:p>
        </w:tc>
        <w:tc>
          <w:tcPr>
            <w:tcW w:w="66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(98.6%, 100.0%)</w:t>
            </w:r>
          </w:p>
        </w:tc>
        <w:tc>
          <w:tcPr>
            <w:tcW w:w="377"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95.6%</w:t>
            </w:r>
          </w:p>
        </w:tc>
        <w:tc>
          <w:tcPr>
            <w:tcW w:w="646"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(87.0%, 98.4%)</w:t>
            </w:r>
          </w:p>
        </w:tc>
        <w:tc>
          <w:tcPr>
            <w:tcW w:w="37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92.2%</w:t>
            </w:r>
          </w:p>
        </w:tc>
        <w:tc>
          <w:tcPr>
            <w:tcW w:w="64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(78.7%, 96.7%)</w:t>
            </w:r>
          </w:p>
        </w:tc>
        <w:tc>
          <w:tcPr>
            <w:tcW w:w="37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92.8%</w:t>
            </w:r>
          </w:p>
        </w:tc>
        <w:tc>
          <w:tcPr>
            <w:tcW w:w="69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(82.0%, 96.9%)</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CCCCCB"/>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Urban</w:t>
            </w: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99.3%</w:t>
            </w:r>
          </w:p>
        </w:tc>
        <w:tc>
          <w:tcPr>
            <w:tcW w:w="66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(98.3%, 99.8%)</w:t>
            </w:r>
          </w:p>
        </w:tc>
        <w:tc>
          <w:tcPr>
            <w:tcW w:w="377"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97.7%</w:t>
            </w:r>
          </w:p>
        </w:tc>
        <w:tc>
          <w:tcPr>
            <w:tcW w:w="646"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(96.4%, 98.7%)</w:t>
            </w:r>
          </w:p>
        </w:tc>
        <w:tc>
          <w:tcPr>
            <w:tcW w:w="37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96.4%</w:t>
            </w:r>
          </w:p>
        </w:tc>
        <w:tc>
          <w:tcPr>
            <w:tcW w:w="64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(94.3%, 97.9%)</w:t>
            </w:r>
          </w:p>
        </w:tc>
        <w:tc>
          <w:tcPr>
            <w:tcW w:w="37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97.7%</w:t>
            </w:r>
          </w:p>
        </w:tc>
        <w:tc>
          <w:tcPr>
            <w:tcW w:w="69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(96.6%, 98.6%)</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CCCCCB"/>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98.8%</w:t>
            </w:r>
          </w:p>
        </w:tc>
        <w:tc>
          <w:tcPr>
            <w:tcW w:w="66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(95.7%, 99.7%)</w:t>
            </w:r>
          </w:p>
        </w:tc>
        <w:tc>
          <w:tcPr>
            <w:tcW w:w="377"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96.0%</w:t>
            </w:r>
          </w:p>
        </w:tc>
        <w:tc>
          <w:tcPr>
            <w:tcW w:w="646"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(89.1%, 98.2%)</w:t>
            </w:r>
          </w:p>
        </w:tc>
        <w:tc>
          <w:tcPr>
            <w:tcW w:w="37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93.7%</w:t>
            </w:r>
          </w:p>
        </w:tc>
        <w:tc>
          <w:tcPr>
            <w:tcW w:w="64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(84.0%, 97.1%)</w:t>
            </w:r>
          </w:p>
        </w:tc>
        <w:tc>
          <w:tcPr>
            <w:tcW w:w="37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96.1%</w:t>
            </w:r>
          </w:p>
        </w:tc>
        <w:tc>
          <w:tcPr>
            <w:tcW w:w="69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(89.6%, 98.1%)</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CCCCCB"/>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Rural</w:t>
            </w: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99.6%</w:t>
            </w:r>
          </w:p>
        </w:tc>
        <w:tc>
          <w:tcPr>
            <w:tcW w:w="66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(99.2%, 99.8%)</w:t>
            </w:r>
          </w:p>
        </w:tc>
        <w:tc>
          <w:tcPr>
            <w:tcW w:w="377"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98.6%</w:t>
            </w:r>
          </w:p>
        </w:tc>
        <w:tc>
          <w:tcPr>
            <w:tcW w:w="646" w:type="pct"/>
            <w:gridSpan w:val="2"/>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(97.6%, 99.2%)</w:t>
            </w:r>
          </w:p>
        </w:tc>
        <w:tc>
          <w:tcPr>
            <w:tcW w:w="37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96.6%</w:t>
            </w:r>
          </w:p>
        </w:tc>
        <w:tc>
          <w:tcPr>
            <w:tcW w:w="645"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(94.9%, 97.9%)</w:t>
            </w:r>
          </w:p>
        </w:tc>
        <w:tc>
          <w:tcPr>
            <w:tcW w:w="37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96.8%</w:t>
            </w:r>
          </w:p>
        </w:tc>
        <w:tc>
          <w:tcPr>
            <w:tcW w:w="698"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(95.2%, 98.1%)</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CCCCCB"/>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99.2%</w:t>
            </w:r>
          </w:p>
        </w:tc>
        <w:tc>
          <w:tcPr>
            <w:tcW w:w="66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(97.8%, 99.7%)</w:t>
            </w:r>
          </w:p>
        </w:tc>
        <w:tc>
          <w:tcPr>
            <w:tcW w:w="377"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97.5%</w:t>
            </w:r>
          </w:p>
        </w:tc>
        <w:tc>
          <w:tcPr>
            <w:tcW w:w="646" w:type="pct"/>
            <w:gridSpan w:val="2"/>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(93.1%, 98.9%)</w:t>
            </w:r>
          </w:p>
        </w:tc>
        <w:tc>
          <w:tcPr>
            <w:tcW w:w="37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94.2%</w:t>
            </w:r>
          </w:p>
        </w:tc>
        <w:tc>
          <w:tcPr>
            <w:tcW w:w="645"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(85.0%, 97.2%)</w:t>
            </w:r>
          </w:p>
        </w:tc>
        <w:tc>
          <w:tcPr>
            <w:tcW w:w="37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94.5%</w:t>
            </w:r>
          </w:p>
        </w:tc>
        <w:tc>
          <w:tcPr>
            <w:tcW w:w="698"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(85.5%, 97.4%)</w:t>
            </w:r>
          </w:p>
        </w:tc>
      </w:tr>
    </w:tbl>
    <w:p w:rsidR="00CD0FCC" w:rsidRPr="00CD046B" w:rsidRDefault="004C3455">
      <w:pPr>
        <w:rPr>
          <w:rFonts w:ascii="Times New Roman" w:hAnsi="Times New Roman" w:cs="Times New Roman"/>
          <w:b/>
          <w:bCs/>
        </w:rPr>
      </w:pPr>
      <w:r>
        <w:rPr>
          <w:rFonts w:ascii="Times New Roman" w:hAnsi="Times New Roman" w:cs="Times New Roman"/>
          <w:b/>
          <w:bCs/>
        </w:rPr>
        <w:br w:type="page"/>
        <w:t>Table S4</w:t>
      </w:r>
      <w:r>
        <w:rPr>
          <w:rFonts w:ascii="Times New Roman" w:hAnsi="Times New Roman" w:cs="Times New Roman"/>
        </w:rPr>
        <w:t xml:space="preserve"> (Cont.)</w:t>
      </w:r>
    </w:p>
    <w:p w:rsidR="00CD0FCC" w:rsidRDefault="004C3455">
      <w:pPr>
        <w:spacing w:line="276" w:lineRule="auto"/>
        <w:rPr>
          <w:rFonts w:ascii="Times New Roman" w:hAnsi="Times New Roman" w:cs="Times New Roman"/>
        </w:rPr>
      </w:pPr>
      <w:r>
        <w:rPr>
          <w:rFonts w:ascii="Times New Roman" w:hAnsi="Times New Roman" w:cs="Times New Roman"/>
        </w:rPr>
        <w:t>(A) Sensitivity of self-reported ever tested and received results (Cont.)</w:t>
      </w:r>
    </w:p>
    <w:tbl>
      <w:tblPr>
        <w:tblStyle w:val="ListTable21"/>
        <w:tblW w:w="5000" w:type="pct"/>
        <w:tblLook w:val="04A0" w:firstRow="1" w:lastRow="0" w:firstColumn="1" w:lastColumn="0" w:noHBand="0" w:noVBand="1"/>
      </w:tblPr>
      <w:tblGrid>
        <w:gridCol w:w="1226"/>
        <w:gridCol w:w="891"/>
        <w:gridCol w:w="956"/>
        <w:gridCol w:w="1826"/>
        <w:gridCol w:w="957"/>
        <w:gridCol w:w="1763"/>
        <w:gridCol w:w="938"/>
        <w:gridCol w:w="1722"/>
        <w:gridCol w:w="1014"/>
        <w:gridCol w:w="1667"/>
      </w:tblGrid>
      <w:tr w:rsidR="00CD0FCC" w:rsidTr="00CD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vAlign w:val="center"/>
          </w:tcPr>
          <w:p w:rsidR="00CD0FCC" w:rsidRDefault="00CD0FCC">
            <w:pPr>
              <w:spacing w:line="276" w:lineRule="auto"/>
              <w:jc w:val="center"/>
              <w:rPr>
                <w:rFonts w:ascii="Times New Roman" w:hAnsi="Times New Roman" w:cs="Times New Roman"/>
                <w:b w:val="0"/>
                <w:bCs w:val="0"/>
                <w:sz w:val="22"/>
                <w:szCs w:val="22"/>
              </w:rPr>
            </w:pPr>
          </w:p>
        </w:tc>
        <w:tc>
          <w:tcPr>
            <w:tcW w:w="347" w:type="pct"/>
            <w:vAlign w:val="center"/>
          </w:tcPr>
          <w:p w:rsidR="00CD0FCC" w:rsidRDefault="00CD0F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p>
        </w:tc>
        <w:tc>
          <w:tcPr>
            <w:tcW w:w="1079"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Eswatini</w:t>
            </w:r>
          </w:p>
        </w:tc>
        <w:tc>
          <w:tcPr>
            <w:tcW w:w="1055"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Malawi</w:t>
            </w:r>
          </w:p>
        </w:tc>
        <w:tc>
          <w:tcPr>
            <w:tcW w:w="1003"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Tanzania</w:t>
            </w:r>
          </w:p>
        </w:tc>
        <w:tc>
          <w:tcPr>
            <w:tcW w:w="1040"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Zambia</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4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 status</w:t>
            </w:r>
          </w:p>
        </w:tc>
        <w:tc>
          <w:tcPr>
            <w:tcW w:w="372"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70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2"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83"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3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6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94"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(Lowest)</w:t>
            </w:r>
          </w:p>
        </w:tc>
        <w:tc>
          <w:tcPr>
            <w:tcW w:w="34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99.7%</w:t>
            </w:r>
          </w:p>
        </w:tc>
        <w:tc>
          <w:tcPr>
            <w:tcW w:w="70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(99.0%, 100.0%)</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98.4%</w:t>
            </w:r>
          </w:p>
        </w:tc>
        <w:tc>
          <w:tcPr>
            <w:tcW w:w="683"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(95.8%, 99.6%)</w:t>
            </w:r>
          </w:p>
        </w:tc>
        <w:tc>
          <w:tcPr>
            <w:tcW w:w="33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92.1%</w:t>
            </w:r>
          </w:p>
        </w:tc>
        <w:tc>
          <w:tcPr>
            <w:tcW w:w="66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(87.0%, 95.7%)</w:t>
            </w:r>
          </w:p>
        </w:tc>
        <w:tc>
          <w:tcPr>
            <w:tcW w:w="394"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96.3%</w:t>
            </w:r>
          </w:p>
        </w:tc>
        <w:tc>
          <w:tcPr>
            <w:tcW w:w="64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(92.1%, 98.7%)</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4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99.5%</w:t>
            </w:r>
          </w:p>
        </w:tc>
        <w:tc>
          <w:tcPr>
            <w:tcW w:w="70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(97.8%, 99.9%)</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97.2%</w:t>
            </w:r>
          </w:p>
        </w:tc>
        <w:tc>
          <w:tcPr>
            <w:tcW w:w="683"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(90.0%, 99.4%)</w:t>
            </w:r>
          </w:p>
        </w:tc>
        <w:tc>
          <w:tcPr>
            <w:tcW w:w="33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86.6%</w:t>
            </w:r>
          </w:p>
        </w:tc>
        <w:tc>
          <w:tcPr>
            <w:tcW w:w="66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(68.8%, 94.0%)</w:t>
            </w:r>
          </w:p>
        </w:tc>
        <w:tc>
          <w:tcPr>
            <w:tcW w:w="394"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93.4%</w:t>
            </w:r>
          </w:p>
        </w:tc>
        <w:tc>
          <w:tcPr>
            <w:tcW w:w="64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(80.5%, 98.0%)</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(Second)</w:t>
            </w:r>
          </w:p>
        </w:tc>
        <w:tc>
          <w:tcPr>
            <w:tcW w:w="34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99.1%</w:t>
            </w:r>
          </w:p>
        </w:tc>
        <w:tc>
          <w:tcPr>
            <w:tcW w:w="70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(98.0%, 99.7%)</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98.5%</w:t>
            </w:r>
          </w:p>
        </w:tc>
        <w:tc>
          <w:tcPr>
            <w:tcW w:w="683"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(96.1%, 99.7%)</w:t>
            </w:r>
          </w:p>
        </w:tc>
        <w:tc>
          <w:tcPr>
            <w:tcW w:w="33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98.0%</w:t>
            </w:r>
          </w:p>
        </w:tc>
        <w:tc>
          <w:tcPr>
            <w:tcW w:w="66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(95.3%, 99.4%)</w:t>
            </w:r>
          </w:p>
        </w:tc>
        <w:tc>
          <w:tcPr>
            <w:tcW w:w="394"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96.7%</w:t>
            </w:r>
          </w:p>
        </w:tc>
        <w:tc>
          <w:tcPr>
            <w:tcW w:w="64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(93.3%, 98.7%)</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4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98.4%</w:t>
            </w:r>
          </w:p>
        </w:tc>
        <w:tc>
          <w:tcPr>
            <w:tcW w:w="70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(95.0%, 99.5%)</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97.4%</w:t>
            </w:r>
          </w:p>
        </w:tc>
        <w:tc>
          <w:tcPr>
            <w:tcW w:w="683"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(90.7%, 99.5%)</w:t>
            </w:r>
          </w:p>
        </w:tc>
        <w:tc>
          <w:tcPr>
            <w:tcW w:w="33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96.6%</w:t>
            </w:r>
          </w:p>
        </w:tc>
        <w:tc>
          <w:tcPr>
            <w:tcW w:w="66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(89.7%, 99.1%)</w:t>
            </w:r>
          </w:p>
        </w:tc>
        <w:tc>
          <w:tcPr>
            <w:tcW w:w="394"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94.2%</w:t>
            </w:r>
          </w:p>
        </w:tc>
        <w:tc>
          <w:tcPr>
            <w:tcW w:w="64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(83.3%, 98.1%)</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(Middle)</w:t>
            </w:r>
          </w:p>
        </w:tc>
        <w:tc>
          <w:tcPr>
            <w:tcW w:w="34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99.2%</w:t>
            </w:r>
          </w:p>
        </w:tc>
        <w:tc>
          <w:tcPr>
            <w:tcW w:w="70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(98.2%, 99.8%)</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98.2%</w:t>
            </w:r>
          </w:p>
        </w:tc>
        <w:tc>
          <w:tcPr>
            <w:tcW w:w="683"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(95.8%, 99.5%)</w:t>
            </w:r>
          </w:p>
        </w:tc>
        <w:tc>
          <w:tcPr>
            <w:tcW w:w="33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98.4%</w:t>
            </w:r>
          </w:p>
        </w:tc>
        <w:tc>
          <w:tcPr>
            <w:tcW w:w="66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(96.4%, 99.4%)</w:t>
            </w:r>
          </w:p>
        </w:tc>
        <w:tc>
          <w:tcPr>
            <w:tcW w:w="394"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96.6%</w:t>
            </w:r>
          </w:p>
        </w:tc>
        <w:tc>
          <w:tcPr>
            <w:tcW w:w="64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(94.2%, 98.2%)</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4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98.7%</w:t>
            </w:r>
          </w:p>
        </w:tc>
        <w:tc>
          <w:tcPr>
            <w:tcW w:w="70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(95.6%, 99.7%)</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96.9%</w:t>
            </w:r>
          </w:p>
        </w:tc>
        <w:tc>
          <w:tcPr>
            <w:tcW w:w="683"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(89.6%, 99.2%)</w:t>
            </w:r>
          </w:p>
        </w:tc>
        <w:tc>
          <w:tcPr>
            <w:tcW w:w="33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97.3%</w:t>
            </w:r>
          </w:p>
        </w:tc>
        <w:tc>
          <w:tcPr>
            <w:tcW w:w="66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(92.1%, 99.2%)</w:t>
            </w:r>
          </w:p>
        </w:tc>
        <w:tc>
          <w:tcPr>
            <w:tcW w:w="394"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94.0%</w:t>
            </w:r>
          </w:p>
        </w:tc>
        <w:tc>
          <w:tcPr>
            <w:tcW w:w="64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(84.4%, 97.5%)</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(Fourth)</w:t>
            </w:r>
          </w:p>
        </w:tc>
        <w:tc>
          <w:tcPr>
            <w:tcW w:w="34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99.3%</w:t>
            </w:r>
          </w:p>
        </w:tc>
        <w:tc>
          <w:tcPr>
            <w:tcW w:w="70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(98.2%, 99.8%)</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97.2%</w:t>
            </w:r>
          </w:p>
        </w:tc>
        <w:tc>
          <w:tcPr>
            <w:tcW w:w="683"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(95.0%, 98.7%)</w:t>
            </w:r>
          </w:p>
        </w:tc>
        <w:tc>
          <w:tcPr>
            <w:tcW w:w="33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95.1%</w:t>
            </w:r>
          </w:p>
        </w:tc>
        <w:tc>
          <w:tcPr>
            <w:tcW w:w="66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(91.8%, 97.4%)</w:t>
            </w:r>
          </w:p>
        </w:tc>
        <w:tc>
          <w:tcPr>
            <w:tcW w:w="394"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97.1%</w:t>
            </w:r>
          </w:p>
        </w:tc>
        <w:tc>
          <w:tcPr>
            <w:tcW w:w="64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(95.1%, 98.4%)</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4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98.8%</w:t>
            </w:r>
          </w:p>
        </w:tc>
        <w:tc>
          <w:tcPr>
            <w:tcW w:w="70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(95.7%, 99.8%)</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95.1%</w:t>
            </w:r>
          </w:p>
        </w:tc>
        <w:tc>
          <w:tcPr>
            <w:tcW w:w="683"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(87.4%, 98.1%)</w:t>
            </w:r>
          </w:p>
        </w:tc>
        <w:tc>
          <w:tcPr>
            <w:tcW w:w="33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91.6%</w:t>
            </w:r>
          </w:p>
        </w:tc>
        <w:tc>
          <w:tcPr>
            <w:tcW w:w="66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(82.2%, 96.4%)</w:t>
            </w:r>
          </w:p>
        </w:tc>
        <w:tc>
          <w:tcPr>
            <w:tcW w:w="394"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94.9%</w:t>
            </w:r>
          </w:p>
        </w:tc>
        <w:tc>
          <w:tcPr>
            <w:tcW w:w="64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(87.4%, 97.8%)</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(Highest)</w:t>
            </w:r>
          </w:p>
        </w:tc>
        <w:tc>
          <w:tcPr>
            <w:tcW w:w="34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99.8%</w:t>
            </w:r>
          </w:p>
        </w:tc>
        <w:tc>
          <w:tcPr>
            <w:tcW w:w="70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(98.8%, 100%)</w:t>
            </w:r>
          </w:p>
        </w:tc>
        <w:tc>
          <w:tcPr>
            <w:tcW w:w="372"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98.2%</w:t>
            </w:r>
          </w:p>
        </w:tc>
        <w:tc>
          <w:tcPr>
            <w:tcW w:w="683"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(96.9%, 99.0%)</w:t>
            </w:r>
          </w:p>
        </w:tc>
        <w:tc>
          <w:tcPr>
            <w:tcW w:w="33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96.2%</w:t>
            </w:r>
          </w:p>
        </w:tc>
        <w:tc>
          <w:tcPr>
            <w:tcW w:w="667"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(92.6%, 98.5%)</w:t>
            </w:r>
          </w:p>
        </w:tc>
        <w:tc>
          <w:tcPr>
            <w:tcW w:w="394"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98.2%</w:t>
            </w:r>
          </w:p>
        </w:tc>
        <w:tc>
          <w:tcPr>
            <w:tcW w:w="646" w:type="pct"/>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(96.7%, 99.1%)</w:t>
            </w:r>
          </w:p>
        </w:tc>
      </w:tr>
      <w:tr w:rsidR="00CD0FCC" w:rsidTr="00CD0FCC">
        <w:tc>
          <w:tcPr>
            <w:cnfStyle w:val="001000000000" w:firstRow="0" w:lastRow="0" w:firstColumn="1" w:lastColumn="0" w:oddVBand="0" w:evenVBand="0" w:oddHBand="0" w:evenHBand="0" w:firstRowFirstColumn="0" w:firstRowLastColumn="0" w:lastRowFirstColumn="0" w:lastRowLastColumn="0"/>
            <w:tcW w:w="476" w:type="pct"/>
            <w:vMerge/>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4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99.6%</w:t>
            </w:r>
          </w:p>
        </w:tc>
        <w:tc>
          <w:tcPr>
            <w:tcW w:w="70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(97.3%, 100%)</w:t>
            </w:r>
          </w:p>
        </w:tc>
        <w:tc>
          <w:tcPr>
            <w:tcW w:w="372"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96.8%</w:t>
            </w:r>
          </w:p>
        </w:tc>
        <w:tc>
          <w:tcPr>
            <w:tcW w:w="683"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(91.4%, 98.6%)</w:t>
            </w:r>
          </w:p>
        </w:tc>
        <w:tc>
          <w:tcPr>
            <w:tcW w:w="33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93.6%</w:t>
            </w:r>
          </w:p>
        </w:tc>
        <w:tc>
          <w:tcPr>
            <w:tcW w:w="667"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(83.6%, 97.8%)</w:t>
            </w:r>
          </w:p>
        </w:tc>
        <w:tc>
          <w:tcPr>
            <w:tcW w:w="394"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96.9%</w:t>
            </w:r>
          </w:p>
        </w:tc>
        <w:tc>
          <w:tcPr>
            <w:tcW w:w="646" w:type="pct"/>
            <w:shd w:val="clear" w:color="auto" w:fill="CCCCCC" w:themeFill="text1" w:themeFillTint="33"/>
            <w:vAlign w:val="bottom"/>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(91.5%, 98.8%)</w:t>
            </w:r>
          </w:p>
        </w:tc>
      </w:tr>
    </w:tbl>
    <w:p w:rsidR="00CD0FCC" w:rsidRDefault="00CD0FCC">
      <w:pPr>
        <w:spacing w:line="276" w:lineRule="auto"/>
        <w:rPr>
          <w:rFonts w:ascii="Times New Roman" w:hAnsi="Times New Roman" w:cs="Times New Roman"/>
        </w:rPr>
      </w:pPr>
    </w:p>
    <w:p w:rsidR="00CD0FCC" w:rsidRDefault="004C3455">
      <w:pPr>
        <w:spacing w:line="276" w:lineRule="auto"/>
        <w:rPr>
          <w:rFonts w:ascii="Times New Roman" w:hAnsi="Times New Roman" w:cs="Times New Roman"/>
          <w:lang w:val="en-US"/>
        </w:rPr>
      </w:pPr>
      <w:r>
        <w:rPr>
          <w:rFonts w:ascii="Times New Roman" w:hAnsi="Times New Roman" w:cs="Times New Roman"/>
        </w:rPr>
        <w:t>(B) Sensitivity of self-reported awareness of HIV-positive status</w:t>
      </w:r>
    </w:p>
    <w:tbl>
      <w:tblPr>
        <w:tblStyle w:val="ListTable21"/>
        <w:tblW w:w="5000" w:type="pct"/>
        <w:tblLayout w:type="fixed"/>
        <w:tblLook w:val="04A0" w:firstRow="1" w:lastRow="0" w:firstColumn="1" w:lastColumn="0" w:noHBand="0" w:noVBand="1"/>
      </w:tblPr>
      <w:tblGrid>
        <w:gridCol w:w="1213"/>
        <w:gridCol w:w="907"/>
        <w:gridCol w:w="1024"/>
        <w:gridCol w:w="1731"/>
        <w:gridCol w:w="16"/>
        <w:gridCol w:w="962"/>
        <w:gridCol w:w="1604"/>
        <w:gridCol w:w="70"/>
        <w:gridCol w:w="975"/>
        <w:gridCol w:w="1672"/>
        <w:gridCol w:w="977"/>
        <w:gridCol w:w="1809"/>
      </w:tblGrid>
      <w:tr w:rsidR="00CD0FCC" w:rsidTr="00CD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vAlign w:val="center"/>
          </w:tcPr>
          <w:p w:rsidR="00CD0FCC" w:rsidRDefault="00CD0F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p>
        </w:tc>
        <w:tc>
          <w:tcPr>
            <w:tcW w:w="1069" w:type="pct"/>
            <w:gridSpan w:val="3"/>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Eswatini</w:t>
            </w:r>
          </w:p>
        </w:tc>
        <w:tc>
          <w:tcPr>
            <w:tcW w:w="990"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Malawi</w:t>
            </w:r>
          </w:p>
        </w:tc>
        <w:tc>
          <w:tcPr>
            <w:tcW w:w="1048" w:type="pct"/>
            <w:gridSpan w:val="3"/>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Tanzania</w:t>
            </w:r>
          </w:p>
        </w:tc>
        <w:tc>
          <w:tcPr>
            <w:tcW w:w="1075"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Zambia</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 status</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4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Overall</w:t>
            </w: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97.4%</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(96.7%, 98.0%)</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94.3%</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(93.0%, 95.4%)</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92.3%</w:t>
            </w:r>
          </w:p>
        </w:tc>
        <w:tc>
          <w:tcPr>
            <w:tcW w:w="64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(90.5%, 93.8%)</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91.6%</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(90.1%, 92.9%)</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95.5%</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(88.7%, 97.5%)</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90.1%</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(74.5%, 94.4%)</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86.6%</w:t>
            </w:r>
          </w:p>
        </w:tc>
        <w:tc>
          <w:tcPr>
            <w:tcW w:w="64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(65.2%, 92.5%)</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85.4%</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(62.4%, 91.6%)</w:t>
            </w:r>
          </w:p>
        </w:tc>
      </w:tr>
      <w:tr w:rsidR="00CD0FCC" w:rsidTr="00CD0FCC">
        <w:tc>
          <w:tcPr>
            <w:cnfStyle w:val="001000000000" w:firstRow="0" w:lastRow="0" w:firstColumn="1" w:lastColumn="0" w:oddVBand="0" w:evenVBand="0" w:oddHBand="0" w:evenHBand="0" w:firstRowFirstColumn="0" w:firstRowLastColumn="0" w:lastRowFirstColumn="0" w:lastRowLastColumn="0"/>
            <w:tcW w:w="818" w:type="pct"/>
            <w:gridSpan w:val="2"/>
            <w:vAlign w:val="center"/>
          </w:tcPr>
          <w:p w:rsidR="00CD0FCC" w:rsidRDefault="004C3455">
            <w:pPr>
              <w:spacing w:line="276" w:lineRule="auto"/>
              <w:jc w:val="center"/>
              <w:rPr>
                <w:rFonts w:ascii="Times New Roman" w:hAnsi="Times New Roman" w:cs="Times New Roman"/>
                <w:b w:val="0"/>
                <w:sz w:val="22"/>
                <w:szCs w:val="22"/>
              </w:rPr>
            </w:pPr>
            <w:r>
              <w:rPr>
                <w:rFonts w:ascii="Times New Roman" w:hAnsi="Times New Roman" w:cs="Times New Roman"/>
                <w:bCs w:val="0"/>
                <w:sz w:val="22"/>
                <w:szCs w:val="22"/>
              </w:rPr>
              <w:t>ARV+ compare to 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1.8%</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(0.1%, 8.5%)</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4.2%</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(0.2%, 19.6%)</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5.7%</w:t>
            </w:r>
          </w:p>
        </w:tc>
        <w:tc>
          <w:tcPr>
            <w:tcW w:w="64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(0.3%, 26.7%)</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6.2%</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(0.3%, 29.0%)</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Female</w:t>
            </w: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97.6%</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(96.8%, 98.3%)</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94.6%</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(93.1%, 95.8%)</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92.1%</w:t>
            </w:r>
          </w:p>
        </w:tc>
        <w:tc>
          <w:tcPr>
            <w:tcW w:w="64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(90.0%, 93.9%)</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92.9%</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(91.2%, 94.4%)</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95.9%</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(89.2%, 97.8%)</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90.4%</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(74.8%, 94.8%)</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85.7%</w:t>
            </w:r>
          </w:p>
        </w:tc>
        <w:tc>
          <w:tcPr>
            <w:tcW w:w="64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(60.2%, 92.4%)</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87.0%</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(65.9%, 93.1%)</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Male</w:t>
            </w:r>
          </w:p>
        </w:tc>
        <w:tc>
          <w:tcPr>
            <w:tcW w:w="350"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96.8%</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(95.3%, 97.9%)</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93.4%</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(90.8%, 95.5%)</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92.5%</w:t>
            </w:r>
          </w:p>
        </w:tc>
        <w:tc>
          <w:tcPr>
            <w:tcW w:w="64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(88.9%, 95.4%)</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88.4%</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(85.3%, 91.1%)</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50"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94.5%</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(85.0%, 97.3%)</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88.3%</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(68.4%, 94.1%)</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86.5%</w:t>
            </w:r>
          </w:p>
        </w:tc>
        <w:tc>
          <w:tcPr>
            <w:tcW w:w="64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(60.6%, 93.7%)</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79.0%</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(44.1%, 88.9%)</w:t>
            </w:r>
          </w:p>
        </w:tc>
      </w:tr>
      <w:tr w:rsidR="00CD0FCC" w:rsidTr="00CD0FCC">
        <w:tc>
          <w:tcPr>
            <w:cnfStyle w:val="001000000000" w:firstRow="0" w:lastRow="0" w:firstColumn="1" w:lastColumn="0" w:oddVBand="0" w:evenVBand="0" w:oddHBand="0" w:evenHBand="0" w:firstRowFirstColumn="0" w:firstRowLastColumn="0" w:lastRowFirstColumn="0" w:lastRowLastColumn="0"/>
            <w:tcW w:w="818" w:type="pct"/>
            <w:gridSpan w:val="2"/>
            <w:shd w:val="clear" w:color="auto" w:fill="auto"/>
            <w:vAlign w:val="center"/>
          </w:tcPr>
          <w:p w:rsidR="00CD0FCC" w:rsidRDefault="004C3455">
            <w:pPr>
              <w:spacing w:line="276" w:lineRule="auto"/>
              <w:jc w:val="center"/>
              <w:rPr>
                <w:rFonts w:ascii="Times New Roman" w:hAnsi="Times New Roman" w:cs="Times New Roman"/>
                <w:b w:val="0"/>
                <w:sz w:val="22"/>
                <w:szCs w:val="22"/>
              </w:rPr>
            </w:pPr>
            <w:r>
              <w:rPr>
                <w:rFonts w:ascii="Times New Roman" w:hAnsi="Times New Roman" w:cs="Times New Roman"/>
                <w:bCs w:val="0"/>
                <w:sz w:val="22"/>
                <w:szCs w:val="22"/>
              </w:rPr>
              <w:t>Female compare to male (ARV+)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0.8%</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(-0.5%, 2.4%)</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1.2%</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(-1.4%, 4.0%)</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-0.4%</w:t>
            </w:r>
          </w:p>
        </w:tc>
        <w:tc>
          <w:tcPr>
            <w:tcW w:w="64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(-4.0%, 3.6%)</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4.5%</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(1.3%, 7.9%)</w:t>
            </w:r>
          </w:p>
        </w:tc>
      </w:tr>
    </w:tbl>
    <w:p w:rsidR="00CD0FCC" w:rsidRDefault="004C3455">
      <w:pPr>
        <w:rPr>
          <w:rFonts w:ascii="Times New Roman" w:hAnsi="Times New Roman" w:cs="Times New Roman"/>
          <w:b/>
          <w:bCs/>
        </w:rPr>
      </w:pPr>
      <w:r>
        <w:rPr>
          <w:rFonts w:ascii="Times New Roman" w:hAnsi="Times New Roman" w:cs="Times New Roman"/>
          <w:b/>
          <w:bCs/>
        </w:rPr>
        <w:br w:type="page"/>
      </w:r>
    </w:p>
    <w:p w:rsidR="00CD0FCC" w:rsidRDefault="004C3455">
      <w:pPr>
        <w:rPr>
          <w:rFonts w:ascii="Times New Roman" w:hAnsi="Times New Roman" w:cs="Times New Roman"/>
        </w:rPr>
      </w:pPr>
      <w:r>
        <w:rPr>
          <w:rFonts w:ascii="Times New Roman" w:hAnsi="Times New Roman" w:cs="Times New Roman"/>
          <w:b/>
          <w:bCs/>
        </w:rPr>
        <w:t>Table S4</w:t>
      </w:r>
      <w:r>
        <w:rPr>
          <w:rFonts w:ascii="Times New Roman" w:hAnsi="Times New Roman" w:cs="Times New Roman"/>
        </w:rPr>
        <w:t xml:space="preserve"> (Cont.)</w:t>
      </w:r>
    </w:p>
    <w:p w:rsidR="00CD0FCC" w:rsidRDefault="004C3455">
      <w:pPr>
        <w:spacing w:line="276" w:lineRule="auto"/>
        <w:rPr>
          <w:rFonts w:ascii="Times New Roman" w:hAnsi="Times New Roman" w:cs="Times New Roman"/>
          <w:lang w:val="en-US"/>
        </w:rPr>
      </w:pPr>
      <w:r>
        <w:rPr>
          <w:rFonts w:ascii="Times New Roman" w:hAnsi="Times New Roman" w:cs="Times New Roman"/>
        </w:rPr>
        <w:t>(B) Sensitivity of self-reported awareness of HIV-positive status (Cont.)</w:t>
      </w:r>
    </w:p>
    <w:tbl>
      <w:tblPr>
        <w:tblStyle w:val="ListTable21"/>
        <w:tblW w:w="5000" w:type="pct"/>
        <w:tblLayout w:type="fixed"/>
        <w:tblLook w:val="04A0" w:firstRow="1" w:lastRow="0" w:firstColumn="1" w:lastColumn="0" w:noHBand="0" w:noVBand="1"/>
      </w:tblPr>
      <w:tblGrid>
        <w:gridCol w:w="1213"/>
        <w:gridCol w:w="905"/>
        <w:gridCol w:w="1024"/>
        <w:gridCol w:w="1731"/>
        <w:gridCol w:w="16"/>
        <w:gridCol w:w="962"/>
        <w:gridCol w:w="1604"/>
        <w:gridCol w:w="70"/>
        <w:gridCol w:w="975"/>
        <w:gridCol w:w="1674"/>
        <w:gridCol w:w="977"/>
        <w:gridCol w:w="1809"/>
      </w:tblGrid>
      <w:tr w:rsidR="00CD0FCC" w:rsidTr="00CD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vAlign w:val="center"/>
          </w:tcPr>
          <w:p w:rsidR="00CD0FCC" w:rsidRDefault="00CD0F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p>
        </w:tc>
        <w:tc>
          <w:tcPr>
            <w:tcW w:w="1069" w:type="pct"/>
            <w:gridSpan w:val="3"/>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Eswatini</w:t>
            </w:r>
          </w:p>
        </w:tc>
        <w:tc>
          <w:tcPr>
            <w:tcW w:w="990"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Malawi</w:t>
            </w:r>
          </w:p>
        </w:tc>
        <w:tc>
          <w:tcPr>
            <w:tcW w:w="1049" w:type="pct"/>
            <w:gridSpan w:val="3"/>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Tanzania</w:t>
            </w:r>
          </w:p>
        </w:tc>
        <w:tc>
          <w:tcPr>
            <w:tcW w:w="1075" w:type="pct"/>
            <w:gridSpan w:val="2"/>
            <w:vAlign w:val="center"/>
          </w:tcPr>
          <w:p w:rsidR="00CD0FCC" w:rsidRDefault="004C34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sz w:val="22"/>
                <w:szCs w:val="22"/>
              </w:rPr>
              <w:t>Zambia</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shd w:val="clear" w:color="auto" w:fill="CCCCCC" w:themeFill="text1" w:themeFillTint="33"/>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 status</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Median</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95% CrI</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Age 15-24 years</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90.1%</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(85.4%, 93.8%)</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91.9%</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(85.3%, 96.3%)</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87.2%</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(77.9%, 93.7%)</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83.9%</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(76.1%, 90.0%)</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82.5%</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(54.9%, 91.7%)</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85.0%</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(51.7%, 94.5%)</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75.0%</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(26.5%, 90.7%)</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68.5%</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(25.4%, 86.0%)</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Age 25-34 years</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96.8%</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(95.3%, 98.0%)</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93.0%</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(90.2%, 95.2%)</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91.0%</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(86.6%, 94.4%)</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91.0%</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(87.7%, 93.7%)</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94.4%</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(85.5%, 97.3%)</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87.0%</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(63.8%, 93.7%)</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82.5%</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(49.9%, 92.2%)</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82.4%</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(55.5%, 91.6%)</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Age 35-49 years</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98.4%</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(97.5%, 99.1%)</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94.8%</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(93.1%, 96.2%)</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92.0%</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(89.3%, 94.2%)</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92.2%</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(90.2%, 93.9%)</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97.2%</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(92.4%, 98.7%)</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90.4%</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(73.3%, 95.2%)</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84.3%</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(56.8%, 92.4%)</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84.9%</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(62.8%, 92.4%)</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Age 50+ years</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98.5%</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(97.1%, 99.3%)</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94.8%</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(91.6%, 97.0%)</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94.6%</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(91.2%, 97.0%)</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92.9%</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(89.2%, 95.7%)</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97.3%</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(92.0%, 99.0%)</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90.3%</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(71.1%, 95.8%)</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89.4%</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(68.5%, 95.7%)</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86.2%</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(62.7%, 93.9%)</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Urban</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95.4%</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(93.4%, 97.0%)</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93.2%</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(91.2%, 95.0%)</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93.1%</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(90.4%, 95.2%)</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92.1%</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(90.2%, 93.7%)</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92.0%</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(78.6%, 96.0%)</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88.1%</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(67.9%, 93.7%)</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87.6%</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(64.8%, 93.7%)</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85.8%</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(61.8%, 92.3%)</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Rural</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97.9%</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(97.2%, 98.5%)</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95.0%</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(93.4%, 96.4%)</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91.5%</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(89.0%, 93.7%)</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90.7%</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(88.2%, 92.9%)</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96.4%</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(90.6%, 98.1%)</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91.2%</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(76.4%, 95.4%)</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84.9%</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(57.5%, 92.0%)</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83.4%</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eastAsia="DengXian" w:hAnsi="Times New Roman" w:cs="Times New Roman"/>
                <w:color w:val="000000"/>
                <w:sz w:val="22"/>
                <w:szCs w:val="22"/>
              </w:rPr>
              <w:t>(54.9%, 91.1%)</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(Lowest)</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98.9%</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(97.8%, 99.5%)</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93.0%</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(88.4%, 96.2%)</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87.9%</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(81.9%, 92.5%)</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88.2%</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(81.9%, 93.0%)</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98.0%</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(93.5%, 99.3%)</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86.7%</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(58.4%, 94.5%)</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75.6%</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(29.9%, 89.4%)</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76.5%</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(40.1%, 90.1%)</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(Second)</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97.0%</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(95.3%, 98.2%)</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94.7%</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(90.8%, 97.3%)</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93.1%</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(88.8%, 96.2%)</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92.0%</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(87.3%, 95.4%)</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94.6%</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(84.7%, 97.5%)</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89.9%</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(67.1%, 96.1%)</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86.1%</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(57.7%, 94.4%)</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84.2%</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(55.5%, 93.5%)</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(Middle)</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97.4%</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(95.8%, 98.6%)</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95.3%</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(91.8%, 97.6%)</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94.2%</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(91.1%, 96.5%)</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92.0%</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(88.7%, 94.7%)</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95.4%</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(86.7%, 98.0%)</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91.0%</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(71.1%, 96.5%)</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88.3%</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(65.3%, 95.0%)</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84.2%</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(58.4%, 92.8%)</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(Fourth)</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95.9%</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(93.7%, 97.6%)</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95.2%</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(92.4%, 97.3%)</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90.3%</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(85.8%, 93.8%)</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89.3%</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(86.0%, 92.0%)</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92.7%</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(79.4%, 96.7%)</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90.9%</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(72.3%, 96.1%)</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80.4%</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(43.2%, 91.3%)</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78.7%</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(45.7%, 89.7%)</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auto"/>
            <w:vAlign w:val="center"/>
          </w:tcPr>
          <w:p w:rsidR="00CD0FCC" w:rsidRDefault="004C3455">
            <w:pPr>
              <w:spacing w:line="276" w:lineRule="auto"/>
              <w:jc w:val="center"/>
              <w:rPr>
                <w:rFonts w:ascii="Times New Roman" w:hAnsi="Times New Roman" w:cs="Times New Roman"/>
                <w:b w:val="0"/>
                <w:bCs w:val="0"/>
                <w:sz w:val="22"/>
                <w:szCs w:val="22"/>
              </w:rPr>
            </w:pPr>
            <w:r>
              <w:rPr>
                <w:rFonts w:ascii="Times New Roman" w:hAnsi="Times New Roman" w:cs="Times New Roman"/>
                <w:sz w:val="22"/>
                <w:szCs w:val="22"/>
              </w:rPr>
              <w:t>SES (Highest)</w:t>
            </w:r>
          </w:p>
        </w:tc>
        <w:tc>
          <w:tcPr>
            <w:tcW w:w="349"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96.0%</w:t>
            </w:r>
          </w:p>
        </w:tc>
        <w:tc>
          <w:tcPr>
            <w:tcW w:w="66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(93.4%, 97.9%)</w:t>
            </w:r>
          </w:p>
        </w:tc>
        <w:tc>
          <w:tcPr>
            <w:tcW w:w="377"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93.2%</w:t>
            </w:r>
          </w:p>
        </w:tc>
        <w:tc>
          <w:tcPr>
            <w:tcW w:w="646" w:type="pct"/>
            <w:gridSpan w:val="2"/>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(91.1%, 95.0%)</w:t>
            </w:r>
          </w:p>
        </w:tc>
        <w:tc>
          <w:tcPr>
            <w:tcW w:w="37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92.8%</w:t>
            </w:r>
          </w:p>
        </w:tc>
        <w:tc>
          <w:tcPr>
            <w:tcW w:w="646"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(87.9%, 96.2%)</w:t>
            </w:r>
          </w:p>
        </w:tc>
        <w:tc>
          <w:tcPr>
            <w:tcW w:w="377"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93.4%</w:t>
            </w:r>
          </w:p>
        </w:tc>
        <w:tc>
          <w:tcPr>
            <w:tcW w:w="698" w:type="pct"/>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(91.0%, 95.4%)</w:t>
            </w:r>
          </w:p>
        </w:tc>
      </w:tr>
      <w:tr w:rsidR="00CD0FCC" w:rsidTr="00CD0FCC">
        <w:tc>
          <w:tcPr>
            <w:cnfStyle w:val="001000000000" w:firstRow="0" w:lastRow="0" w:firstColumn="1" w:lastColumn="0" w:oddVBand="0" w:evenVBand="0" w:oddHBand="0" w:evenHBand="0" w:firstRowFirstColumn="0" w:firstRowLastColumn="0" w:lastRowFirstColumn="0" w:lastRowLastColumn="0"/>
            <w:tcW w:w="468" w:type="pct"/>
            <w:vMerge/>
            <w:shd w:val="clear" w:color="auto" w:fill="auto"/>
            <w:vAlign w:val="center"/>
          </w:tcPr>
          <w:p w:rsidR="00CD0FCC" w:rsidRDefault="00CD0FCC">
            <w:pPr>
              <w:spacing w:line="276" w:lineRule="auto"/>
              <w:jc w:val="center"/>
              <w:rPr>
                <w:rFonts w:ascii="Times New Roman" w:hAnsi="Times New Roman" w:cs="Times New Roman"/>
                <w:b w:val="0"/>
                <w:bCs w:val="0"/>
                <w:sz w:val="22"/>
                <w:szCs w:val="22"/>
              </w:rPr>
            </w:pPr>
          </w:p>
        </w:tc>
        <w:tc>
          <w:tcPr>
            <w:tcW w:w="349"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b/>
                <w:bCs/>
                <w:sz w:val="22"/>
                <w:szCs w:val="22"/>
              </w:rPr>
              <w:t>ARV-</w:t>
            </w:r>
          </w:p>
        </w:tc>
        <w:tc>
          <w:tcPr>
            <w:tcW w:w="395"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92.9%</w:t>
            </w:r>
          </w:p>
        </w:tc>
        <w:tc>
          <w:tcPr>
            <w:tcW w:w="66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(79.5%, 97.0%)</w:t>
            </w:r>
          </w:p>
        </w:tc>
        <w:tc>
          <w:tcPr>
            <w:tcW w:w="377"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87.2%</w:t>
            </w:r>
          </w:p>
        </w:tc>
        <w:tc>
          <w:tcPr>
            <w:tcW w:w="646" w:type="pct"/>
            <w:gridSpan w:val="2"/>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(63.2%, 93.6%)</w:t>
            </w:r>
          </w:p>
        </w:tc>
        <w:tc>
          <w:tcPr>
            <w:tcW w:w="37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85.5%</w:t>
            </w:r>
          </w:p>
        </w:tc>
        <w:tc>
          <w:tcPr>
            <w:tcW w:w="646"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(54.2%, 94.4%)</w:t>
            </w:r>
          </w:p>
        </w:tc>
        <w:tc>
          <w:tcPr>
            <w:tcW w:w="377"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86.9%</w:t>
            </w:r>
          </w:p>
        </w:tc>
        <w:tc>
          <w:tcPr>
            <w:tcW w:w="698" w:type="pct"/>
            <w:shd w:val="clear" w:color="auto" w:fill="CCCCCC" w:themeFill="text1" w:themeFillTint="33"/>
            <w:vAlign w:val="center"/>
          </w:tcPr>
          <w:p w:rsidR="00CD0FCC" w:rsidRDefault="004C34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szCs w:val="22"/>
              </w:rPr>
            </w:pPr>
            <w:r>
              <w:rPr>
                <w:rFonts w:ascii="Times New Roman" w:eastAsia="DengXian" w:hAnsi="Times New Roman" w:cs="Times New Roman"/>
                <w:color w:val="000000"/>
                <w:sz w:val="22"/>
                <w:szCs w:val="22"/>
              </w:rPr>
              <w:t>(66.0%, 93.8%)</w:t>
            </w:r>
          </w:p>
        </w:tc>
      </w:tr>
    </w:tbl>
    <w:p w:rsidR="00CD0FCC" w:rsidRDefault="00CD0FCC">
      <w:pPr>
        <w:spacing w:line="276" w:lineRule="auto"/>
        <w:rPr>
          <w:rFonts w:ascii="Times New Roman" w:hAnsi="Times New Roman" w:cs="Times New Roman"/>
        </w:rPr>
      </w:pPr>
    </w:p>
    <w:p w:rsidR="00CD0FCC" w:rsidRDefault="00CD0FCC">
      <w:pPr>
        <w:spacing w:line="276" w:lineRule="auto"/>
        <w:rPr>
          <w:rFonts w:ascii="Times New Roman" w:hAnsi="Times New Roman" w:cs="Times New Roman"/>
        </w:rPr>
      </w:pPr>
    </w:p>
    <w:p w:rsidR="00CD0FCC" w:rsidRDefault="00CD0FCC">
      <w:pPr>
        <w:spacing w:line="276" w:lineRule="auto"/>
        <w:rPr>
          <w:rFonts w:ascii="Times New Roman" w:hAnsi="Times New Roman" w:cs="Times New Roman"/>
        </w:rPr>
      </w:pPr>
    </w:p>
    <w:p w:rsidR="00CD0FCC" w:rsidRDefault="004C3455">
      <w:pPr>
        <w:rPr>
          <w:rFonts w:ascii="Times New Roman" w:hAnsi="Times New Roman" w:cs="Times New Roman"/>
        </w:rPr>
      </w:pPr>
      <w:r>
        <w:rPr>
          <w:rFonts w:ascii="Times New Roman" w:hAnsi="Times New Roman" w:cs="Times New Roman"/>
        </w:rPr>
        <w:br w:type="page"/>
      </w:r>
    </w:p>
    <w:p w:rsidR="00CD0FCC" w:rsidRDefault="004C3455">
      <w:pPr>
        <w:spacing w:line="276" w:lineRule="auto"/>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noProof/>
        </w:rPr>
        <w:drawing>
          <wp:inline distT="0" distB="0" distL="0" distR="0">
            <wp:extent cx="2699385" cy="2192020"/>
            <wp:effectExtent l="0" t="0" r="5715" b="508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t="12145" r="3093" b="9176"/>
                    <a:stretch>
                      <a:fillRect/>
                    </a:stretch>
                  </pic:blipFill>
                  <pic:spPr>
                    <a:xfrm>
                      <a:off x="0" y="0"/>
                      <a:ext cx="2700000" cy="2192148"/>
                    </a:xfrm>
                    <a:prstGeom prst="rect">
                      <a:avLst/>
                    </a:prstGeom>
                    <a:ln>
                      <a:noFill/>
                    </a:ln>
                  </pic:spPr>
                </pic:pic>
              </a:graphicData>
            </a:graphic>
          </wp:inline>
        </w:drawing>
      </w:r>
      <w:r>
        <w:rPr>
          <w:rFonts w:ascii="Times New Roman" w:hAnsi="Times New Roman" w:cs="Times New Roman"/>
          <w:b/>
          <w:bCs/>
        </w:rPr>
        <w:t xml:space="preserve"> </w:t>
      </w:r>
      <w:r>
        <w:rPr>
          <w:rFonts w:ascii="Times New Roman" w:hAnsi="Times New Roman" w:cs="Times New Roman"/>
          <w:b/>
          <w:bCs/>
          <w:noProof/>
          <w:lang w:eastAsia="en-US"/>
        </w:rPr>
        <w:drawing>
          <wp:inline distT="0" distB="0" distL="0" distR="0">
            <wp:extent cx="5399405" cy="2195830"/>
            <wp:effectExtent l="0" t="0" r="0" b="1270"/>
            <wp:docPr id="7" name="Picture 7"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9">
                      <a:extLst>
                        <a:ext uri="{28A0092B-C50C-407E-A947-70E740481C1C}">
                          <a14:useLocalDpi xmlns:a14="http://schemas.microsoft.com/office/drawing/2010/main" val="0"/>
                        </a:ext>
                      </a:extLst>
                    </a:blip>
                    <a:srcRect t="11700" r="1942" b="9522"/>
                    <a:stretch>
                      <a:fillRect/>
                    </a:stretch>
                  </pic:blipFill>
                  <pic:spPr>
                    <a:xfrm>
                      <a:off x="0" y="0"/>
                      <a:ext cx="5400000" cy="2196000"/>
                    </a:xfrm>
                    <a:prstGeom prst="rect">
                      <a:avLst/>
                    </a:prstGeom>
                    <a:ln>
                      <a:noFill/>
                    </a:ln>
                  </pic:spPr>
                </pic:pic>
              </a:graphicData>
            </a:graphic>
          </wp:inline>
        </w:drawing>
      </w:r>
      <w:r>
        <w:rPr>
          <w:rFonts w:ascii="Times New Roman" w:hAnsi="Times New Roman" w:cs="Times New Roman"/>
          <w:b/>
          <w:bCs/>
          <w:noProof/>
          <w:lang w:eastAsia="en-US"/>
        </w:rPr>
        <mc:AlternateContent>
          <mc:Choice Requires="wpg">
            <w:drawing>
              <wp:anchor distT="0" distB="0" distL="114300" distR="114300" simplePos="0" relativeHeight="251659264" behindDoc="0" locked="0" layoutInCell="1" allowOverlap="1">
                <wp:simplePos x="0" y="0"/>
                <wp:positionH relativeFrom="column">
                  <wp:posOffset>-66040</wp:posOffset>
                </wp:positionH>
                <wp:positionV relativeFrom="paragraph">
                  <wp:posOffset>-41275</wp:posOffset>
                </wp:positionV>
                <wp:extent cx="2973764" cy="266065"/>
                <wp:effectExtent l="0" t="0" r="0" b="0"/>
                <wp:wrapNone/>
                <wp:docPr id="3" name="Group 3"/>
                <wp:cNvGraphicFramePr/>
                <a:graphic xmlns:a="http://schemas.openxmlformats.org/drawingml/2006/main">
                  <a:graphicData uri="http://schemas.microsoft.com/office/word/2010/wordprocessingGroup">
                    <wpg:wgp>
                      <wpg:cNvGrpSpPr/>
                      <wpg:grpSpPr>
                        <a:xfrm>
                          <a:off x="0" y="0"/>
                          <a:ext cx="2973764" cy="266065"/>
                          <a:chOff x="0" y="0"/>
                          <a:chExt cx="2973764" cy="266065"/>
                        </a:xfrm>
                      </wpg:grpSpPr>
                      <wps:wsp>
                        <wps:cNvPr id="4" name="Text Box 4"/>
                        <wps:cNvSpPr txBox="1"/>
                        <wps:spPr>
                          <a:xfrm>
                            <a:off x="0" y="0"/>
                            <a:ext cx="277495" cy="266065"/>
                          </a:xfrm>
                          <a:prstGeom prst="rect">
                            <a:avLst/>
                          </a:prstGeom>
                          <a:noFill/>
                          <a:ln w="6350">
                            <a:noFill/>
                          </a:ln>
                        </wps:spPr>
                        <wps:txbx>
                          <w:txbxContent>
                            <w:p w:rsidR="00CD0FCC" w:rsidRDefault="004C3455">
                              <w:pPr>
                                <w:rPr>
                                  <w:lang w:val="en-US"/>
                                </w:rPr>
                              </w:pPr>
                              <w:r>
                                <w:rPr>
                                  <w:lang w:val="en-US"/>
                                </w:rPr>
                                <w:t>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6" name="Text Box 6"/>
                        <wps:cNvSpPr txBox="1"/>
                        <wps:spPr>
                          <a:xfrm>
                            <a:off x="2701349" y="0"/>
                            <a:ext cx="272415" cy="266065"/>
                          </a:xfrm>
                          <a:prstGeom prst="rect">
                            <a:avLst/>
                          </a:prstGeom>
                          <a:noFill/>
                          <a:ln w="6350">
                            <a:noFill/>
                          </a:ln>
                        </wps:spPr>
                        <wps:txbx>
                          <w:txbxContent>
                            <w:p w:rsidR="00CD0FCC" w:rsidRDefault="004C3455">
                              <w:pPr>
                                <w:rPr>
                                  <w:lang w:val="en-US"/>
                                </w:rPr>
                              </w:pPr>
                              <w:r>
                                <w:rPr>
                                  <w:lang w:val="en-US"/>
                                </w:rPr>
                                <w:t>B</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anchor>
            </w:drawing>
          </mc:Choice>
          <mc:Fallback xmlns="">
            <w:pict>
              <v:group id="Group 3" o:spid="_x0000_s1026" style="position:absolute;margin-left:-5.2pt;margin-top:-3.25pt;width:234.15pt;height:20.95pt;z-index:251659264" coordsize="29737,2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">
                <v:shapetype id="_x0000_t202" coordsize="21600,21600" o:spt="202" path="m,l,21600r21600,l21600,xe">
                  <v:stroke joinstyle="miter"/>
                  <v:path gradientshapeok="t" o:connecttype="rect"/>
                </v:shapetype>
                <v:shape id="Text Box 4" o:spid="_x0000_s1027" type="#_x0000_t202" style="position:absolute;width:2774;height:26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" filled="f" stroked="f" strokeweight=".5pt">
                  <v:textbox>
                    <w:txbxContent>
                      <w:p w:rsidR="00CD0FCC" w:rsidRDefault="004C3455">
                        <w:pPr>
                          <w:rPr>
                            <w:lang w:val="en-US"/>
                          </w:rPr>
                        </w:pPr>
                        <w:r>
                          <w:rPr>
                            <w:lang w:val="en-US"/>
                          </w:rPr>
                          <w:t>A</w:t>
                        </w:r>
                      </w:p>
                    </w:txbxContent>
                  </v:textbox>
                </v:shape>
                <v:shape id="Text Box 6" o:spid="_x0000_s1028" type="#_x0000_t202" style="position:absolute;left:27013;width:2724;height:26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" filled="f" stroked="f" strokeweight=".5pt">
                  <v:textbox>
                    <w:txbxContent>
                      <w:p w:rsidR="00CD0FCC" w:rsidRDefault="004C3455">
                        <w:pPr>
                          <w:rPr>
                            <w:lang w:val="en-US"/>
                          </w:rPr>
                        </w:pPr>
                        <w:r>
                          <w:rPr>
                            <w:lang w:val="en-US"/>
                          </w:rPr>
                          <w:t>B</w:t>
                        </w:r>
                      </w:p>
                    </w:txbxContent>
                  </v:textbox>
                </v:shape>
              </v:group>
            </w:pict>
          </mc:Fallback>
        </mc:AlternateContent>
      </w:r>
    </w:p>
    <w:p w:rsidR="00CD0FCC" w:rsidRDefault="00CD0FCC">
      <w:pPr>
        <w:spacing w:line="276" w:lineRule="auto"/>
        <w:rPr>
          <w:rFonts w:ascii="Times New Roman" w:hAnsi="Times New Roman" w:cs="Times New Roman"/>
          <w:b/>
          <w:bCs/>
        </w:rPr>
      </w:pPr>
    </w:p>
    <w:p w:rsidR="00CD0FCC" w:rsidRDefault="004C3455">
      <w:pPr>
        <w:spacing w:line="276" w:lineRule="auto"/>
        <w:rPr>
          <w:rFonts w:ascii="Times New Roman" w:hAnsi="Times New Roman" w:cs="Times New Roman"/>
        </w:rPr>
      </w:pPr>
      <w:r>
        <w:rPr>
          <w:rFonts w:ascii="Times New Roman" w:hAnsi="Times New Roman" w:cs="Times New Roman"/>
          <w:b/>
          <w:bCs/>
        </w:rPr>
        <w:t>Figure S1</w:t>
      </w:r>
      <w:r>
        <w:rPr>
          <w:rFonts w:ascii="Times New Roman" w:hAnsi="Times New Roman" w:cs="Times New Roman"/>
        </w:rPr>
        <w:t xml:space="preserve"> Marginal posterior medians and 95% credible intervals. Sensitivity of self-reported ever tested and received results and awareness of HIV-positive status among people living with HIV (PLHIV) with detectable ARV metabolites by: (A) household location (Urban / Rural) and (B) socioeconomic status.</w:t>
      </w:r>
    </w:p>
    <w:p w:rsidR="00CD0FCC" w:rsidRDefault="004C3455">
      <w:pPr>
        <w:rPr>
          <w:rFonts w:ascii="Times New Roman" w:hAnsi="Times New Roman" w:cs="Times New Roman"/>
          <w:b/>
          <w:bCs/>
        </w:rPr>
      </w:pPr>
      <w:r>
        <w:rPr>
          <w:rFonts w:ascii="Times New Roman" w:hAnsi="Times New Roman" w:cs="Times New Roman"/>
          <w:b/>
          <w:bCs/>
        </w:rPr>
        <w:br w:type="page"/>
      </w:r>
    </w:p>
    <w:p w:rsidR="00CD0FCC" w:rsidRDefault="00CD0FCC">
      <w:pPr>
        <w:spacing w:line="276" w:lineRule="auto"/>
        <w:rPr>
          <w:rFonts w:ascii="Times New Roman" w:hAnsi="Times New Roman" w:cs="Times New Roman"/>
          <w:b/>
          <w:bCs/>
        </w:rPr>
      </w:pPr>
    </w:p>
    <w:p w:rsidR="00CD0FCC" w:rsidRDefault="004C3455">
      <w:pPr>
        <w:spacing w:line="276" w:lineRule="auto"/>
        <w:rPr>
          <w:rFonts w:ascii="Times New Roman" w:hAnsi="Times New Roman" w:cs="Times New Roman"/>
          <w:b/>
          <w:bCs/>
        </w:rPr>
      </w:pPr>
      <w:r>
        <w:rPr>
          <w:rFonts w:ascii="Times New Roman" w:hAnsi="Times New Roman" w:cs="Times New Roman"/>
          <w:b/>
          <w:bCs/>
          <w:noProof/>
          <w:lang w:eastAsia="en-US"/>
        </w:rPr>
        <mc:AlternateContent>
          <mc:Choice Requires="wpg">
            <w:drawing>
              <wp:anchor distT="0" distB="0" distL="114300" distR="114300" simplePos="0" relativeHeight="251664384" behindDoc="0" locked="0" layoutInCell="1" allowOverlap="1">
                <wp:simplePos x="0" y="0"/>
                <wp:positionH relativeFrom="column">
                  <wp:posOffset>-91440</wp:posOffset>
                </wp:positionH>
                <wp:positionV relativeFrom="paragraph">
                  <wp:posOffset>3810</wp:posOffset>
                </wp:positionV>
                <wp:extent cx="2984500" cy="2701694"/>
                <wp:effectExtent l="0" t="0" r="0" b="0"/>
                <wp:wrapNone/>
                <wp:docPr id="20" name="Group 20"/>
                <wp:cNvGraphicFramePr/>
                <a:graphic xmlns:a="http://schemas.openxmlformats.org/drawingml/2006/main">
                  <a:graphicData uri="http://schemas.microsoft.com/office/word/2010/wordprocessingGroup">
                    <wpg:wgp>
                      <wpg:cNvGrpSpPr/>
                      <wpg:grpSpPr>
                        <a:xfrm>
                          <a:off x="0" y="0"/>
                          <a:ext cx="2984500" cy="2701694"/>
                          <a:chOff x="0" y="0"/>
                          <a:chExt cx="2984500" cy="2701694"/>
                        </a:xfrm>
                      </wpg:grpSpPr>
                      <wpg:grpSp>
                        <wpg:cNvPr id="13" name="Group 13"/>
                        <wpg:cNvGrpSpPr/>
                        <wpg:grpSpPr>
                          <a:xfrm>
                            <a:off x="0" y="2435265"/>
                            <a:ext cx="2984500" cy="266429"/>
                            <a:chOff x="0" y="-364"/>
                            <a:chExt cx="2984500" cy="266429"/>
                          </a:xfrm>
                        </wpg:grpSpPr>
                        <wps:wsp>
                          <wps:cNvPr id="14" name="Text Box 14"/>
                          <wps:cNvSpPr txBox="1"/>
                          <wps:spPr>
                            <a:xfrm>
                              <a:off x="0" y="0"/>
                              <a:ext cx="270510" cy="266065"/>
                            </a:xfrm>
                            <a:prstGeom prst="rect">
                              <a:avLst/>
                            </a:prstGeom>
                            <a:noFill/>
                            <a:ln w="6350">
                              <a:noFill/>
                            </a:ln>
                          </wps:spPr>
                          <wps:txbx>
                            <w:txbxContent>
                              <w:p w:rsidR="00CD0FCC" w:rsidRDefault="004C3455">
                                <w:pPr>
                                  <w:rPr>
                                    <w:lang w:val="en-US"/>
                                  </w:rPr>
                                </w:pPr>
                                <w:r>
                                  <w:rPr>
                                    <w:lang w:val="en-US"/>
                                  </w:rPr>
                                  <w:t>C</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5" name="Text Box 15"/>
                          <wps:cNvSpPr txBox="1"/>
                          <wps:spPr>
                            <a:xfrm>
                              <a:off x="2701290" y="-364"/>
                              <a:ext cx="283210" cy="266065"/>
                            </a:xfrm>
                            <a:prstGeom prst="rect">
                              <a:avLst/>
                            </a:prstGeom>
                            <a:noFill/>
                            <a:ln w="6350">
                              <a:noFill/>
                            </a:ln>
                          </wps:spPr>
                          <wps:txbx>
                            <w:txbxContent>
                              <w:p w:rsidR="00CD0FCC" w:rsidRDefault="004C3455">
                                <w:pPr>
                                  <w:rPr>
                                    <w:lang w:val="en-US"/>
                                  </w:rPr>
                                </w:pPr>
                                <w:r>
                                  <w:rPr>
                                    <w:lang w:val="en-US"/>
                                  </w:rPr>
                                  <w:t>D</w:t>
                                </w:r>
                              </w:p>
                            </w:txbxContent>
                          </wps:txbx>
                          <wps:bodyPr rot="0" spcFirstLastPara="0" vertOverflow="overflow" horzOverflow="overflow" vert="horz" wrap="none" lIns="91440" tIns="45720" rIns="91440" bIns="45720" numCol="1" spcCol="0" rtlCol="0" fromWordArt="0" anchor="t" anchorCtr="0" forceAA="0" compatLnSpc="1">
                            <a:noAutofit/>
                          </wps:bodyPr>
                        </wps:wsp>
                      </wpg:grpSp>
                      <wpg:grpSp>
                        <wpg:cNvPr id="16" name="Group 16"/>
                        <wpg:cNvGrpSpPr/>
                        <wpg:grpSpPr>
                          <a:xfrm>
                            <a:off x="0" y="0"/>
                            <a:ext cx="2973739" cy="266065"/>
                            <a:chOff x="0" y="0"/>
                            <a:chExt cx="2973739" cy="266065"/>
                          </a:xfrm>
                        </wpg:grpSpPr>
                        <wps:wsp>
                          <wps:cNvPr id="17" name="Text Box 17"/>
                          <wps:cNvSpPr txBox="1"/>
                          <wps:spPr>
                            <a:xfrm>
                              <a:off x="0" y="0"/>
                              <a:ext cx="277495" cy="266065"/>
                            </a:xfrm>
                            <a:prstGeom prst="rect">
                              <a:avLst/>
                            </a:prstGeom>
                            <a:noFill/>
                            <a:ln w="6350">
                              <a:noFill/>
                            </a:ln>
                          </wps:spPr>
                          <wps:txbx>
                            <w:txbxContent>
                              <w:p w:rsidR="00CD0FCC" w:rsidRDefault="004C3455">
                                <w:pPr>
                                  <w:rPr>
                                    <w:lang w:val="en-US"/>
                                  </w:rPr>
                                </w:pPr>
                                <w:r>
                                  <w:rPr>
                                    <w:lang w:val="en-US"/>
                                  </w:rPr>
                                  <w:t>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8" name="Text Box 18"/>
                          <wps:cNvSpPr txBox="1"/>
                          <wps:spPr>
                            <a:xfrm>
                              <a:off x="2701324" y="0"/>
                              <a:ext cx="272415" cy="266065"/>
                            </a:xfrm>
                            <a:prstGeom prst="rect">
                              <a:avLst/>
                            </a:prstGeom>
                            <a:noFill/>
                            <a:ln w="6350">
                              <a:noFill/>
                            </a:ln>
                          </wps:spPr>
                          <wps:txbx>
                            <w:txbxContent>
                              <w:p w:rsidR="00CD0FCC" w:rsidRDefault="004C3455">
                                <w:pPr>
                                  <w:rPr>
                                    <w:lang w:val="en-US"/>
                                  </w:rPr>
                                </w:pPr>
                                <w:r>
                                  <w:rPr>
                                    <w:lang w:val="en-US"/>
                                  </w:rPr>
                                  <w:t>B</w:t>
                                </w:r>
                              </w:p>
                            </w:txbxContent>
                          </wps:txbx>
                          <wps:bodyPr rot="0" spcFirstLastPara="0" vertOverflow="overflow" horzOverflow="overflow" vert="horz" wrap="none" lIns="91440" tIns="45720" rIns="91440" bIns="45720" numCol="1" spcCol="0" rtlCol="0" fromWordArt="0" anchor="t" anchorCtr="0" forceAA="0" compatLnSpc="1">
                            <a:noAutofit/>
                          </wps:bodyPr>
                        </wps:wsp>
                      </wpg:grpSp>
                    </wpg:wgp>
                  </a:graphicData>
                </a:graphic>
              </wp:anchor>
            </w:drawing>
          </mc:Choice>
          <mc:Fallback xmlns="">
            <w:pict>
              <v:group id="Group 20" o:spid="_x0000_s1029" style="position:absolute;margin-left:-7.2pt;margin-top:.3pt;width:235pt;height:212.75pt;z-index:251664384" coordsize="29845,270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">
                <v:group id="Group 13" o:spid="_x0000_s1030" style="position:absolute;top:24352;width:29845;height:2664" coordorigin=",-3" coordsize="29845,2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Text Box 14" o:spid="_x0000_s1031" type="#_x0000_t202" style="position:absolute;width:2705;height:26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" filled="f" stroked="f" strokeweight=".5pt">
                    <v:textbox>
                      <w:txbxContent>
                        <w:p w:rsidR="00CD0FCC" w:rsidRDefault="004C3455">
                          <w:pPr>
                            <w:rPr>
                              <w:lang w:val="en-US"/>
                            </w:rPr>
                          </w:pPr>
                          <w:r>
                            <w:rPr>
                              <w:lang w:val="en-US"/>
                            </w:rPr>
                            <w:t>C</w:t>
                          </w:r>
                        </w:p>
                      </w:txbxContent>
                    </v:textbox>
                  </v:shape>
                  <v:shape id="Text Box 15" o:spid="_x0000_s1032" type="#_x0000_t202" style="position:absolute;left:27012;top:-3;width:2833;height:26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" filled="f" stroked="f" strokeweight=".5pt">
                    <v:textbox>
                      <w:txbxContent>
                        <w:p w:rsidR="00CD0FCC" w:rsidRDefault="004C3455">
                          <w:pPr>
                            <w:rPr>
                              <w:lang w:val="en-US"/>
                            </w:rPr>
                          </w:pPr>
                          <w:r>
                            <w:rPr>
                              <w:lang w:val="en-US"/>
                            </w:rPr>
                            <w:t>D</w:t>
                          </w:r>
                        </w:p>
                      </w:txbxContent>
                    </v:textbox>
                  </v:shape>
                </v:group>
                <v:group id="Group 16" o:spid="_x0000_s1033" style="position:absolute;width:29737;height:2660" coordsize="29737,2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 id="Text Box 17" o:spid="_x0000_s1034" type="#_x0000_t202" style="position:absolute;width:2774;height:26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" filled="f" stroked="f" strokeweight=".5pt">
                    <v:textbox>
                      <w:txbxContent>
                        <w:p w:rsidR="00CD0FCC" w:rsidRDefault="004C3455">
                          <w:pPr>
                            <w:rPr>
                              <w:lang w:val="en-US"/>
                            </w:rPr>
                          </w:pPr>
                          <w:r>
                            <w:rPr>
                              <w:lang w:val="en-US"/>
                            </w:rPr>
                            <w:t>A</w:t>
                          </w:r>
                        </w:p>
                      </w:txbxContent>
                    </v:textbox>
                  </v:shape>
                  <v:shape id="Text Box 18" o:spid="_x0000_s1035" type="#_x0000_t202" style="position:absolute;left:27013;width:2724;height:26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" filled="f" stroked="f" strokeweight=".5pt">
                    <v:textbox>
                      <w:txbxContent>
                        <w:p w:rsidR="00CD0FCC" w:rsidRDefault="004C3455">
                          <w:pPr>
                            <w:rPr>
                              <w:lang w:val="en-US"/>
                            </w:rPr>
                          </w:pPr>
                          <w:r>
                            <w:rPr>
                              <w:lang w:val="en-US"/>
                            </w:rPr>
                            <w:t>B</w:t>
                          </w:r>
                        </w:p>
                      </w:txbxContent>
                    </v:textbox>
                  </v:shape>
                </v:group>
              </v:group>
            </w:pict>
          </mc:Fallback>
        </mc:AlternateContent>
      </w:r>
      <w:r>
        <w:rPr>
          <w:rFonts w:ascii="Times New Roman" w:hAnsi="Times New Roman" w:cs="Times New Roman"/>
          <w:b/>
          <w:bCs/>
          <w:noProof/>
          <w:lang w:eastAsia="en-US"/>
        </w:rPr>
        <w:drawing>
          <wp:inline distT="0" distB="0" distL="0" distR="0">
            <wp:extent cx="2699385" cy="2195830"/>
            <wp:effectExtent l="0" t="0" r="5715" b="127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t="12145" r="3091" b="9040"/>
                    <a:stretch>
                      <a:fillRect/>
                    </a:stretch>
                  </pic:blipFill>
                  <pic:spPr>
                    <a:xfrm>
                      <a:off x="0" y="0"/>
                      <a:ext cx="2700000" cy="2195850"/>
                    </a:xfrm>
                    <a:prstGeom prst="rect">
                      <a:avLst/>
                    </a:prstGeom>
                    <a:ln>
                      <a:noFill/>
                    </a:ln>
                  </pic:spPr>
                </pic:pic>
              </a:graphicData>
            </a:graphic>
          </wp:inline>
        </w:drawing>
      </w:r>
      <w:r>
        <w:rPr>
          <w:rFonts w:ascii="Times New Roman" w:hAnsi="Times New Roman" w:cs="Times New Roman"/>
          <w:b/>
          <w:bCs/>
          <w:noProof/>
          <w:lang w:eastAsia="en-US"/>
        </w:rPr>
        <w:drawing>
          <wp:inline distT="0" distB="0" distL="0" distR="0">
            <wp:extent cx="5399405" cy="2195830"/>
            <wp:effectExtent l="0" t="0" r="0" b="1270"/>
            <wp:docPr id="22" name="Picture 22"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22" descr="A picture containing clock&#10;&#10;Description automatically generated"/>
                    <pic:cNvPicPr/>
                  </pic:nvPicPr>
                  <pic:blipFill>
                    <a:blip r:embed="rId11">
                      <a:extLst>
                        <a:ext uri="{28A0092B-C50C-407E-A947-70E740481C1C}">
                          <a14:useLocalDpi xmlns:a14="http://schemas.microsoft.com/office/drawing/2010/main" val="0"/>
                        </a:ext>
                      </a:extLst>
                    </a:blip>
                    <a:srcRect t="11700" r="1942" b="9522"/>
                    <a:stretch>
                      <a:fillRect/>
                    </a:stretch>
                  </pic:blipFill>
                  <pic:spPr>
                    <a:xfrm>
                      <a:off x="0" y="0"/>
                      <a:ext cx="5400000" cy="2196000"/>
                    </a:xfrm>
                    <a:prstGeom prst="rect">
                      <a:avLst/>
                    </a:prstGeom>
                    <a:ln>
                      <a:noFill/>
                    </a:ln>
                  </pic:spPr>
                </pic:pic>
              </a:graphicData>
            </a:graphic>
          </wp:inline>
        </w:drawing>
      </w:r>
      <w:r>
        <w:rPr>
          <w:rFonts w:ascii="Times New Roman" w:hAnsi="Times New Roman" w:cs="Times New Roman"/>
          <w:b/>
          <w:bCs/>
          <w:noProof/>
        </w:rPr>
        <w:drawing>
          <wp:inline distT="0" distB="0" distL="0" distR="0">
            <wp:extent cx="2699385" cy="2195830"/>
            <wp:effectExtent l="0" t="0" r="5715" b="127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t="12145" r="3091" b="9040"/>
                    <a:stretch>
                      <a:fillRect/>
                    </a:stretch>
                  </pic:blipFill>
                  <pic:spPr>
                    <a:xfrm>
                      <a:off x="0" y="0"/>
                      <a:ext cx="2700000" cy="2195850"/>
                    </a:xfrm>
                    <a:prstGeom prst="rect">
                      <a:avLst/>
                    </a:prstGeom>
                    <a:ln>
                      <a:noFill/>
                    </a:ln>
                  </pic:spPr>
                </pic:pic>
              </a:graphicData>
            </a:graphic>
          </wp:inline>
        </w:drawing>
      </w:r>
      <w:r>
        <w:rPr>
          <w:rFonts w:ascii="Times New Roman" w:hAnsi="Times New Roman" w:cs="Times New Roman"/>
          <w:b/>
          <w:bCs/>
          <w:noProof/>
        </w:rPr>
        <w:drawing>
          <wp:inline distT="0" distB="0" distL="0" distR="0">
            <wp:extent cx="5399405" cy="2195830"/>
            <wp:effectExtent l="0" t="0" r="0" b="1270"/>
            <wp:docPr id="25" name="Picture 25"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picture containing clock&#10;&#10;Description automatically generated"/>
                    <pic:cNvPicPr/>
                  </pic:nvPicPr>
                  <pic:blipFill>
                    <a:blip r:embed="rId13">
                      <a:extLst>
                        <a:ext uri="{28A0092B-C50C-407E-A947-70E740481C1C}">
                          <a14:useLocalDpi xmlns:a14="http://schemas.microsoft.com/office/drawing/2010/main" val="0"/>
                        </a:ext>
                      </a:extLst>
                    </a:blip>
                    <a:srcRect t="11700" r="2134" b="9132"/>
                    <a:stretch>
                      <a:fillRect/>
                    </a:stretch>
                  </pic:blipFill>
                  <pic:spPr>
                    <a:xfrm>
                      <a:off x="0" y="0"/>
                      <a:ext cx="5400000" cy="2196000"/>
                    </a:xfrm>
                    <a:prstGeom prst="rect">
                      <a:avLst/>
                    </a:prstGeom>
                    <a:ln>
                      <a:noFill/>
                    </a:ln>
                  </pic:spPr>
                </pic:pic>
              </a:graphicData>
            </a:graphic>
          </wp:inline>
        </w:drawing>
      </w:r>
      <w:r>
        <w:rPr>
          <w:rFonts w:ascii="Times New Roman" w:hAnsi="Times New Roman" w:cs="Times New Roman"/>
          <w:b/>
          <w:bCs/>
        </w:rPr>
        <w:t>\</w:t>
      </w:r>
    </w:p>
    <w:p w:rsidR="00CD0FCC" w:rsidRDefault="004C3455">
      <w:pPr>
        <w:spacing w:line="276" w:lineRule="auto"/>
        <w:rPr>
          <w:rFonts w:ascii="Times New Roman" w:hAnsi="Times New Roman" w:cs="Times New Roman"/>
        </w:rPr>
      </w:pPr>
      <w:r>
        <w:rPr>
          <w:rFonts w:ascii="Times New Roman" w:hAnsi="Times New Roman" w:cs="Times New Roman"/>
          <w:b/>
          <w:bCs/>
        </w:rPr>
        <w:t>Figure S2</w:t>
      </w:r>
      <w:r>
        <w:rPr>
          <w:rFonts w:ascii="Times New Roman" w:hAnsi="Times New Roman" w:cs="Times New Roman"/>
        </w:rPr>
        <w:t xml:space="preserve"> Marginal posterior medians and 95% credible intervals. Sensitivity of self-reported ever tested and received results and awareness of HIV-positive status among people living with HIV (PLHIV) without detectable ARV by: (A) gender, (B) age groups, (C) urban/rural and (D) socioeconomic status.</w:t>
      </w:r>
    </w:p>
    <w:p w:rsidR="00CD0FCC" w:rsidRDefault="004C3455">
      <w:pPr>
        <w:spacing w:line="276" w:lineRule="auto"/>
        <w:rPr>
          <w:rFonts w:ascii="Times New Roman" w:hAnsi="Times New Roman" w:cs="Times New Roman"/>
          <w:b/>
          <w:bCs/>
        </w:rPr>
      </w:pPr>
      <w:r>
        <w:rPr>
          <w:rFonts w:ascii="Times New Roman" w:hAnsi="Times New Roman" w:cs="Times New Roman"/>
          <w:b/>
          <w:bCs/>
          <w:noProof/>
        </w:rPr>
        <w:drawing>
          <wp:inline distT="0" distB="0" distL="0" distR="0">
            <wp:extent cx="8279765" cy="3373120"/>
            <wp:effectExtent l="0" t="0" r="635"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t="11310" r="2153" b="8933"/>
                    <a:stretch>
                      <a:fillRect/>
                    </a:stretch>
                  </pic:blipFill>
                  <pic:spPr>
                    <a:xfrm>
                      <a:off x="0" y="0"/>
                      <a:ext cx="8280000" cy="3373554"/>
                    </a:xfrm>
                    <a:prstGeom prst="rect">
                      <a:avLst/>
                    </a:prstGeom>
                    <a:ln>
                      <a:noFill/>
                    </a:ln>
                  </pic:spPr>
                </pic:pic>
              </a:graphicData>
            </a:graphic>
          </wp:inline>
        </w:drawing>
      </w:r>
    </w:p>
    <w:p w:rsidR="00CD0FCC" w:rsidRDefault="004C3455">
      <w:pPr>
        <w:spacing w:line="276" w:lineRule="auto"/>
        <w:rPr>
          <w:rFonts w:ascii="Times New Roman" w:hAnsi="Times New Roman" w:cs="Times New Roman"/>
        </w:rPr>
      </w:pPr>
      <w:r>
        <w:rPr>
          <w:rFonts w:ascii="Times New Roman" w:hAnsi="Times New Roman" w:cs="Times New Roman"/>
          <w:b/>
          <w:bCs/>
        </w:rPr>
        <w:t xml:space="preserve">Figure S3 </w:t>
      </w:r>
      <w:r>
        <w:rPr>
          <w:rFonts w:ascii="Times New Roman" w:hAnsi="Times New Roman" w:cs="Times New Roman"/>
        </w:rPr>
        <w:t>Marginal posterior medians and 95% credible intervals. Proportion ever tested and received results and awareness of HIV-positive status among people living with HIV (PLHIV) with varying prevalence ratio (PR) of non-disclosure priors comparing PLHIV without detectable ARV metabolites to PLHIV with detectable ARV metabolites.</w:t>
      </w:r>
    </w:p>
    <w:p w:rsidR="00CD0FCC" w:rsidRDefault="00CD0FCC">
      <w:pPr>
        <w:spacing w:line="276" w:lineRule="auto"/>
        <w:rPr>
          <w:rFonts w:ascii="Times New Roman" w:hAnsi="Times New Roman" w:cs="Times New Roman"/>
        </w:rPr>
      </w:pPr>
    </w:p>
    <w:p w:rsidR="00CD0FCC" w:rsidRDefault="00CD0FCC">
      <w:pPr>
        <w:spacing w:line="276" w:lineRule="auto"/>
        <w:rPr>
          <w:rFonts w:ascii="Times New Roman" w:hAnsi="Times New Roman" w:cs="Times New Roman"/>
        </w:rPr>
      </w:pPr>
    </w:p>
    <w:p w:rsidR="00CD0FCC" w:rsidRDefault="004C3455">
      <w:pPr>
        <w:rPr>
          <w:rFonts w:ascii="Times New Roman" w:hAnsi="Times New Roman" w:cs="Times New Roman"/>
          <w:b/>
          <w:bCs/>
        </w:rPr>
      </w:pPr>
      <w:r>
        <w:rPr>
          <w:rFonts w:ascii="Times New Roman" w:hAnsi="Times New Roman" w:cs="Times New Roman"/>
          <w:b/>
          <w:bCs/>
        </w:rPr>
        <w:br w:type="page"/>
      </w:r>
    </w:p>
    <w:p w:rsidR="00CD0FCC" w:rsidRDefault="004C3455">
      <w:pPr>
        <w:spacing w:line="276" w:lineRule="auto"/>
        <w:rPr>
          <w:rFonts w:ascii="Times New Roman" w:hAnsi="Times New Roman" w:cs="Times New Roman"/>
          <w:b/>
          <w:bCs/>
        </w:rPr>
      </w:pPr>
      <w:r>
        <w:rPr>
          <w:rFonts w:ascii="Times New Roman" w:hAnsi="Times New Roman" w:cs="Times New Roman"/>
          <w:b/>
          <w:bCs/>
        </w:rPr>
        <w:t>References</w:t>
      </w:r>
    </w:p>
    <w:p w:rsidR="00CD0FCC" w:rsidRDefault="004C3455">
      <w:pPr>
        <w:pStyle w:val="EndNoteBibliography"/>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t xml:space="preserve">1. </w:t>
      </w:r>
      <w:r>
        <w:rPr>
          <w:b/>
        </w:rPr>
        <w:t>Swaziland HIV incidence measurement survey 2 (SHIMS2) 2016-2017 adult survey quetionnaire</w:t>
      </w:r>
      <w:r>
        <w:t>. In. New York, NY; April 2019.</w:t>
      </w:r>
    </w:p>
    <w:p w:rsidR="00CD0FCC" w:rsidRDefault="004C3455">
      <w:pPr>
        <w:pStyle w:val="EndNoteBibliography"/>
      </w:pPr>
      <w:r>
        <w:t xml:space="preserve">2. </w:t>
      </w:r>
      <w:r>
        <w:rPr>
          <w:b/>
        </w:rPr>
        <w:t>Tanzania HIV impact survey (THIS) 2016-2017 adult survey questionnaire</w:t>
      </w:r>
      <w:r>
        <w:t>. In. New York, NY; December 2018.</w:t>
      </w:r>
    </w:p>
    <w:p w:rsidR="00CD0FCC" w:rsidRDefault="004C3455">
      <w:pPr>
        <w:pStyle w:val="EndNoteBibliography"/>
      </w:pPr>
      <w:r>
        <w:t xml:space="preserve">3. </w:t>
      </w:r>
      <w:r>
        <w:rPr>
          <w:b/>
        </w:rPr>
        <w:t>Malawi population-based HIV impact assessment (MPHIA) 2015-2016 adult survey questionnaire</w:t>
      </w:r>
      <w:r>
        <w:t>. In. New York, NY; December 2018.</w:t>
      </w:r>
    </w:p>
    <w:p w:rsidR="00CD0FCC" w:rsidRDefault="004C3455">
      <w:pPr>
        <w:pStyle w:val="EndNoteBibliography"/>
      </w:pPr>
      <w:r>
        <w:t xml:space="preserve">4. </w:t>
      </w:r>
      <w:r>
        <w:rPr>
          <w:b/>
        </w:rPr>
        <w:t>Zambia population-based HIV impact assessment (ZAMPHIA) 2016-2017 adult survey questionnaire</w:t>
      </w:r>
      <w:r>
        <w:t>. In. New York, NY; February 2019.</w:t>
      </w:r>
    </w:p>
    <w:p w:rsidR="00CD0FCC" w:rsidRDefault="004C3455">
      <w:pPr>
        <w:pStyle w:val="EndNoteBibliography"/>
      </w:pPr>
      <w:r>
        <w:t xml:space="preserve">5. Fuente-Soro L, Lopez-Varela E, Augusto O, Sacoor C, Nhacolo A, Honwana N, et al. </w:t>
      </w:r>
      <w:r>
        <w:rPr>
          <w:b/>
        </w:rPr>
        <w:t>Monitoring progress towards the first UNAIDS target: understanding the impact of people living with HIV who re-test during HIV-testing campaigns in rural Mozambique</w:t>
      </w:r>
      <w:r>
        <w:t xml:space="preserve">. </w:t>
      </w:r>
      <w:r>
        <w:rPr>
          <w:i/>
        </w:rPr>
        <w:t xml:space="preserve">J Int AIDS Soc </w:t>
      </w:r>
      <w:r>
        <w:t>2018; 21(4):e25095.</w:t>
      </w:r>
    </w:p>
    <w:p w:rsidR="00CD0FCC" w:rsidRDefault="004C3455">
      <w:pPr>
        <w:pStyle w:val="EndNoteBibliography"/>
      </w:pPr>
      <w:r>
        <w:t xml:space="preserve">6. </w:t>
      </w:r>
      <w:r>
        <w:rPr>
          <w:b/>
        </w:rPr>
        <w:t>Population-based HIV impact assessment (PHIA) data use manual</w:t>
      </w:r>
      <w:r>
        <w:t>. In. New York, NY; July 2019.</w:t>
      </w:r>
    </w:p>
    <w:p w:rsidR="00CD0FCC" w:rsidRDefault="004C3455">
      <w:pPr>
        <w:pStyle w:val="EndNoteBibliography"/>
      </w:pPr>
      <w:r>
        <w:t xml:space="preserve">7. Eswatini GotKo. </w:t>
      </w:r>
      <w:r>
        <w:rPr>
          <w:b/>
        </w:rPr>
        <w:t>Swaziland HIV incidence measurement survey 2 (SHIMS2) 2016-2017. Final report.</w:t>
      </w:r>
      <w:r>
        <w:t xml:space="preserve"> In. Mbabane: Government of the Kingdom of Eswatini; April 2019.</w:t>
      </w:r>
    </w:p>
    <w:p w:rsidR="00CD0FCC" w:rsidRDefault="004C3455">
      <w:pPr>
        <w:pStyle w:val="EndNoteBibliography"/>
      </w:pPr>
      <w:r>
        <w:t xml:space="preserve">8. Ministry of Health M. </w:t>
      </w:r>
      <w:r>
        <w:rPr>
          <w:b/>
        </w:rPr>
        <w:t>Malawi population-based HIV impact assessment (MPHIA) 2015-2016: Final report.</w:t>
      </w:r>
      <w:r>
        <w:t xml:space="preserve"> In. Lilongwe: Ministry of Health; October 2018.</w:t>
      </w:r>
    </w:p>
    <w:p w:rsidR="00CD0FCC" w:rsidRDefault="004C3455">
      <w:pPr>
        <w:pStyle w:val="EndNoteBibliography"/>
      </w:pPr>
      <w:r>
        <w:t xml:space="preserve">9. Tanzania Commission for AIDS (TACAIDS), (ZAC) ZAC. </w:t>
      </w:r>
      <w:r>
        <w:rPr>
          <w:b/>
        </w:rPr>
        <w:t>Tanzania HIV impact survey (THIS) 2016-2017: Final report.</w:t>
      </w:r>
      <w:r>
        <w:t xml:space="preserve"> In. Dar es Salaam: Tanzania; December 2018.</w:t>
      </w:r>
    </w:p>
    <w:p w:rsidR="00CD0FCC" w:rsidRDefault="004C3455">
      <w:pPr>
        <w:pStyle w:val="EndNoteBibliography"/>
      </w:pPr>
      <w:r>
        <w:t xml:space="preserve">10. Ministry of Health Z. </w:t>
      </w:r>
      <w:r>
        <w:rPr>
          <w:b/>
        </w:rPr>
        <w:t>Zambia population-based HIV impact assessment (ZAMPHIA) 2016: Final report.</w:t>
      </w:r>
      <w:r>
        <w:t xml:space="preserve"> In. Lusaka: Ministry of Health; February 2019.</w:t>
      </w:r>
    </w:p>
    <w:p w:rsidR="00CD0FCC" w:rsidRDefault="004C3455">
      <w:pPr>
        <w:spacing w:line="276" w:lineRule="auto"/>
        <w:rPr>
          <w:rFonts w:ascii="Times New Roman" w:hAnsi="Times New Roman" w:cs="Times New Roman"/>
        </w:rPr>
      </w:pPr>
      <w:r>
        <w:rPr>
          <w:rFonts w:ascii="Times New Roman" w:hAnsi="Times New Roman" w:cs="Times New Roman"/>
        </w:rPr>
        <w:fldChar w:fldCharType="end"/>
      </w:r>
    </w:p>
    <w:sectPr w:rsidR="00CD0FCC">
      <w:footerReference w:type="even" r:id="rId15"/>
      <w:footerReference w:type="default" r:id="rId16"/>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18D9" w:rsidRDefault="000818D9">
      <w:r>
        <w:separator/>
      </w:r>
    </w:p>
  </w:endnote>
  <w:endnote w:type="continuationSeparator" w:id="0">
    <w:p w:rsidR="000818D9" w:rsidRDefault="0008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default"/>
    <w:sig w:usb0="00000000" w:usb1="00000000"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0FCC" w:rsidRDefault="004C34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D0FCC" w:rsidRDefault="00CD0F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0FCC" w:rsidRDefault="004C34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CD0FCC" w:rsidRDefault="00CD0F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18D9" w:rsidRDefault="000818D9">
      <w:r>
        <w:separator/>
      </w:r>
    </w:p>
  </w:footnote>
  <w:footnote w:type="continuationSeparator" w:id="0">
    <w:p w:rsidR="000818D9" w:rsidRDefault="00081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ID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trf9asbx9vd0e9207v9pv4zz2dr0vd9vt2&quot;&gt;PHIA&lt;record-ids&gt;&lt;item&gt;12&lt;/item&gt;&lt;item&gt;13&lt;/item&gt;&lt;item&gt;14&lt;/item&gt;&lt;item&gt;28&lt;/item&gt;&lt;item&gt;29&lt;/item&gt;&lt;item&gt;30&lt;/item&gt;&lt;item&gt;31&lt;/item&gt;&lt;item&gt;39&lt;/item&gt;&lt;item&gt;40&lt;/item&gt;&lt;item&gt;41&lt;/item&gt;&lt;item&gt;42&lt;/item&gt;&lt;/record-ids&gt;&lt;/item&gt;&lt;/Libraries&gt;"/>
  </w:docVars>
  <w:rsids>
    <w:rsidRoot w:val="00E60490"/>
    <w:rsid w:val="FD6FB1DE"/>
    <w:rsid w:val="FED9BDEB"/>
    <w:rsid w:val="00015D28"/>
    <w:rsid w:val="000162B0"/>
    <w:rsid w:val="00016783"/>
    <w:rsid w:val="00016C99"/>
    <w:rsid w:val="0002182F"/>
    <w:rsid w:val="00027619"/>
    <w:rsid w:val="00035507"/>
    <w:rsid w:val="00053458"/>
    <w:rsid w:val="00054578"/>
    <w:rsid w:val="0006564F"/>
    <w:rsid w:val="00065F11"/>
    <w:rsid w:val="00071DB9"/>
    <w:rsid w:val="00072B93"/>
    <w:rsid w:val="00073620"/>
    <w:rsid w:val="00076ED1"/>
    <w:rsid w:val="000818D9"/>
    <w:rsid w:val="0008215A"/>
    <w:rsid w:val="00082983"/>
    <w:rsid w:val="00082B56"/>
    <w:rsid w:val="00084A6D"/>
    <w:rsid w:val="00087D23"/>
    <w:rsid w:val="0009303A"/>
    <w:rsid w:val="00094D00"/>
    <w:rsid w:val="00096FEF"/>
    <w:rsid w:val="000A55BF"/>
    <w:rsid w:val="000A696D"/>
    <w:rsid w:val="000B26F9"/>
    <w:rsid w:val="000B2CC6"/>
    <w:rsid w:val="000B40B3"/>
    <w:rsid w:val="000B628A"/>
    <w:rsid w:val="000B7933"/>
    <w:rsid w:val="000C1A52"/>
    <w:rsid w:val="000D0FF3"/>
    <w:rsid w:val="000D6D01"/>
    <w:rsid w:val="000D6D7F"/>
    <w:rsid w:val="000E1594"/>
    <w:rsid w:val="000E2D81"/>
    <w:rsid w:val="000E385E"/>
    <w:rsid w:val="000E4C0E"/>
    <w:rsid w:val="000E5568"/>
    <w:rsid w:val="000E7CB8"/>
    <w:rsid w:val="000F0698"/>
    <w:rsid w:val="000F0DFE"/>
    <w:rsid w:val="000F5899"/>
    <w:rsid w:val="00102D7D"/>
    <w:rsid w:val="0010789E"/>
    <w:rsid w:val="001104B9"/>
    <w:rsid w:val="00114833"/>
    <w:rsid w:val="0011490D"/>
    <w:rsid w:val="0012060E"/>
    <w:rsid w:val="00124539"/>
    <w:rsid w:val="001329BC"/>
    <w:rsid w:val="0013419F"/>
    <w:rsid w:val="001349DC"/>
    <w:rsid w:val="001352D3"/>
    <w:rsid w:val="001354FB"/>
    <w:rsid w:val="001371E9"/>
    <w:rsid w:val="001411B8"/>
    <w:rsid w:val="00143D97"/>
    <w:rsid w:val="00144014"/>
    <w:rsid w:val="00155B62"/>
    <w:rsid w:val="00161417"/>
    <w:rsid w:val="00164F7A"/>
    <w:rsid w:val="0017081C"/>
    <w:rsid w:val="00185A75"/>
    <w:rsid w:val="00185DDB"/>
    <w:rsid w:val="001903C2"/>
    <w:rsid w:val="001925F3"/>
    <w:rsid w:val="001961C3"/>
    <w:rsid w:val="001966B4"/>
    <w:rsid w:val="001979D8"/>
    <w:rsid w:val="001A312C"/>
    <w:rsid w:val="001A57CB"/>
    <w:rsid w:val="001A6E18"/>
    <w:rsid w:val="001A70B3"/>
    <w:rsid w:val="001B0E1E"/>
    <w:rsid w:val="001B39C5"/>
    <w:rsid w:val="001B6F5F"/>
    <w:rsid w:val="001C28A7"/>
    <w:rsid w:val="001D5868"/>
    <w:rsid w:val="001D5D29"/>
    <w:rsid w:val="001D6753"/>
    <w:rsid w:val="001E1A69"/>
    <w:rsid w:val="001E38BA"/>
    <w:rsid w:val="001E414F"/>
    <w:rsid w:val="001E540E"/>
    <w:rsid w:val="001F02F5"/>
    <w:rsid w:val="001F18F8"/>
    <w:rsid w:val="001F5D2A"/>
    <w:rsid w:val="001F796F"/>
    <w:rsid w:val="00207CD8"/>
    <w:rsid w:val="002104D0"/>
    <w:rsid w:val="0021105C"/>
    <w:rsid w:val="00216709"/>
    <w:rsid w:val="002269AD"/>
    <w:rsid w:val="00236079"/>
    <w:rsid w:val="002524FD"/>
    <w:rsid w:val="00261D0B"/>
    <w:rsid w:val="00261FBE"/>
    <w:rsid w:val="002641F1"/>
    <w:rsid w:val="00264CBF"/>
    <w:rsid w:val="0026535F"/>
    <w:rsid w:val="0027121B"/>
    <w:rsid w:val="00271331"/>
    <w:rsid w:val="00271B1F"/>
    <w:rsid w:val="00276E44"/>
    <w:rsid w:val="0028023D"/>
    <w:rsid w:val="00282135"/>
    <w:rsid w:val="00283CFF"/>
    <w:rsid w:val="002903D3"/>
    <w:rsid w:val="0029627F"/>
    <w:rsid w:val="002A2465"/>
    <w:rsid w:val="002A39E6"/>
    <w:rsid w:val="002A3CCE"/>
    <w:rsid w:val="002A404C"/>
    <w:rsid w:val="002A42AC"/>
    <w:rsid w:val="002B0B16"/>
    <w:rsid w:val="002B6263"/>
    <w:rsid w:val="002C3F44"/>
    <w:rsid w:val="002C5F09"/>
    <w:rsid w:val="002C6C5B"/>
    <w:rsid w:val="002E2D2E"/>
    <w:rsid w:val="002E7860"/>
    <w:rsid w:val="002F210E"/>
    <w:rsid w:val="003017E6"/>
    <w:rsid w:val="00307271"/>
    <w:rsid w:val="0030755D"/>
    <w:rsid w:val="00307CC0"/>
    <w:rsid w:val="00310F7C"/>
    <w:rsid w:val="0031153A"/>
    <w:rsid w:val="003117C4"/>
    <w:rsid w:val="0032319F"/>
    <w:rsid w:val="0033038C"/>
    <w:rsid w:val="00331346"/>
    <w:rsid w:val="0033591C"/>
    <w:rsid w:val="00337698"/>
    <w:rsid w:val="00337FA4"/>
    <w:rsid w:val="0034133F"/>
    <w:rsid w:val="00344CCB"/>
    <w:rsid w:val="00346F45"/>
    <w:rsid w:val="00347160"/>
    <w:rsid w:val="00347F77"/>
    <w:rsid w:val="00352AD4"/>
    <w:rsid w:val="003551A2"/>
    <w:rsid w:val="0035650C"/>
    <w:rsid w:val="00356839"/>
    <w:rsid w:val="00362853"/>
    <w:rsid w:val="00363BFC"/>
    <w:rsid w:val="0036621D"/>
    <w:rsid w:val="00372AD5"/>
    <w:rsid w:val="003826D2"/>
    <w:rsid w:val="00386E89"/>
    <w:rsid w:val="003947E0"/>
    <w:rsid w:val="003A577F"/>
    <w:rsid w:val="003C0A4A"/>
    <w:rsid w:val="003C28AA"/>
    <w:rsid w:val="003D159C"/>
    <w:rsid w:val="003D19DD"/>
    <w:rsid w:val="003D7529"/>
    <w:rsid w:val="003E42E3"/>
    <w:rsid w:val="003E4E5B"/>
    <w:rsid w:val="003E74A6"/>
    <w:rsid w:val="003F33EC"/>
    <w:rsid w:val="003F3790"/>
    <w:rsid w:val="003F5A09"/>
    <w:rsid w:val="00400044"/>
    <w:rsid w:val="00404BF0"/>
    <w:rsid w:val="00404F77"/>
    <w:rsid w:val="00406913"/>
    <w:rsid w:val="00407303"/>
    <w:rsid w:val="00412E06"/>
    <w:rsid w:val="00416EF6"/>
    <w:rsid w:val="004177BD"/>
    <w:rsid w:val="004261BD"/>
    <w:rsid w:val="00430206"/>
    <w:rsid w:val="00431844"/>
    <w:rsid w:val="0043277C"/>
    <w:rsid w:val="00432ACE"/>
    <w:rsid w:val="004372A1"/>
    <w:rsid w:val="00440D8B"/>
    <w:rsid w:val="004434B9"/>
    <w:rsid w:val="0044528B"/>
    <w:rsid w:val="00453632"/>
    <w:rsid w:val="00455E25"/>
    <w:rsid w:val="00461C63"/>
    <w:rsid w:val="00465C8B"/>
    <w:rsid w:val="004668EE"/>
    <w:rsid w:val="004727EF"/>
    <w:rsid w:val="00475D5C"/>
    <w:rsid w:val="004812AF"/>
    <w:rsid w:val="0048428C"/>
    <w:rsid w:val="00491770"/>
    <w:rsid w:val="00493114"/>
    <w:rsid w:val="0049324A"/>
    <w:rsid w:val="00493517"/>
    <w:rsid w:val="0049575A"/>
    <w:rsid w:val="00496B4F"/>
    <w:rsid w:val="004A3C2F"/>
    <w:rsid w:val="004A406A"/>
    <w:rsid w:val="004A7738"/>
    <w:rsid w:val="004A7B15"/>
    <w:rsid w:val="004B3B42"/>
    <w:rsid w:val="004B7142"/>
    <w:rsid w:val="004C1DE3"/>
    <w:rsid w:val="004C3455"/>
    <w:rsid w:val="004C48F0"/>
    <w:rsid w:val="004D5B17"/>
    <w:rsid w:val="00502275"/>
    <w:rsid w:val="00503B2F"/>
    <w:rsid w:val="005116CE"/>
    <w:rsid w:val="00520F84"/>
    <w:rsid w:val="0052123B"/>
    <w:rsid w:val="00523634"/>
    <w:rsid w:val="00524988"/>
    <w:rsid w:val="00525073"/>
    <w:rsid w:val="0052515C"/>
    <w:rsid w:val="0053084F"/>
    <w:rsid w:val="005447C2"/>
    <w:rsid w:val="005502DA"/>
    <w:rsid w:val="005502E3"/>
    <w:rsid w:val="00552108"/>
    <w:rsid w:val="005536C1"/>
    <w:rsid w:val="00566F67"/>
    <w:rsid w:val="00567A11"/>
    <w:rsid w:val="005768D3"/>
    <w:rsid w:val="00582BDD"/>
    <w:rsid w:val="005861CC"/>
    <w:rsid w:val="00592B2A"/>
    <w:rsid w:val="00594BE5"/>
    <w:rsid w:val="005A4F17"/>
    <w:rsid w:val="005A6D70"/>
    <w:rsid w:val="005B3181"/>
    <w:rsid w:val="005B42BC"/>
    <w:rsid w:val="005B57F2"/>
    <w:rsid w:val="005C01E6"/>
    <w:rsid w:val="005C39B8"/>
    <w:rsid w:val="005D5764"/>
    <w:rsid w:val="005D7904"/>
    <w:rsid w:val="005E4BCE"/>
    <w:rsid w:val="005E5C6F"/>
    <w:rsid w:val="005F4D1F"/>
    <w:rsid w:val="005F5C27"/>
    <w:rsid w:val="0060788C"/>
    <w:rsid w:val="00612741"/>
    <w:rsid w:val="006138D4"/>
    <w:rsid w:val="00614574"/>
    <w:rsid w:val="00614C18"/>
    <w:rsid w:val="00614EE6"/>
    <w:rsid w:val="00615A94"/>
    <w:rsid w:val="00621731"/>
    <w:rsid w:val="0062267A"/>
    <w:rsid w:val="00624140"/>
    <w:rsid w:val="00624F61"/>
    <w:rsid w:val="00632C77"/>
    <w:rsid w:val="00634FA3"/>
    <w:rsid w:val="00635774"/>
    <w:rsid w:val="006465C4"/>
    <w:rsid w:val="00647934"/>
    <w:rsid w:val="006562DE"/>
    <w:rsid w:val="0066377E"/>
    <w:rsid w:val="00663E32"/>
    <w:rsid w:val="006675D0"/>
    <w:rsid w:val="00673C8C"/>
    <w:rsid w:val="006743F8"/>
    <w:rsid w:val="006754F1"/>
    <w:rsid w:val="00687BAC"/>
    <w:rsid w:val="00690B15"/>
    <w:rsid w:val="00696864"/>
    <w:rsid w:val="00697187"/>
    <w:rsid w:val="006A1295"/>
    <w:rsid w:val="006A2728"/>
    <w:rsid w:val="006A46D6"/>
    <w:rsid w:val="006B0EE3"/>
    <w:rsid w:val="006B3C6C"/>
    <w:rsid w:val="006B623D"/>
    <w:rsid w:val="006B7E21"/>
    <w:rsid w:val="006C0F7B"/>
    <w:rsid w:val="006C21B3"/>
    <w:rsid w:val="006C39A2"/>
    <w:rsid w:val="006C39BF"/>
    <w:rsid w:val="006C4BC3"/>
    <w:rsid w:val="006C74F7"/>
    <w:rsid w:val="006D3235"/>
    <w:rsid w:val="006E32C2"/>
    <w:rsid w:val="006E7977"/>
    <w:rsid w:val="006F23FB"/>
    <w:rsid w:val="006F3FF9"/>
    <w:rsid w:val="006F6FBD"/>
    <w:rsid w:val="00701C3D"/>
    <w:rsid w:val="007045C4"/>
    <w:rsid w:val="00724B75"/>
    <w:rsid w:val="0074150F"/>
    <w:rsid w:val="00743ED1"/>
    <w:rsid w:val="0076393B"/>
    <w:rsid w:val="00763E61"/>
    <w:rsid w:val="0077673F"/>
    <w:rsid w:val="00776BBA"/>
    <w:rsid w:val="00777DD1"/>
    <w:rsid w:val="0078074C"/>
    <w:rsid w:val="007808A6"/>
    <w:rsid w:val="00780EEA"/>
    <w:rsid w:val="00781699"/>
    <w:rsid w:val="0078235E"/>
    <w:rsid w:val="00784BB9"/>
    <w:rsid w:val="00791E9E"/>
    <w:rsid w:val="007A12BA"/>
    <w:rsid w:val="007A2511"/>
    <w:rsid w:val="007A4DB4"/>
    <w:rsid w:val="007A5F7F"/>
    <w:rsid w:val="007B3805"/>
    <w:rsid w:val="007C363A"/>
    <w:rsid w:val="007C6D2A"/>
    <w:rsid w:val="007D1FE2"/>
    <w:rsid w:val="007E0722"/>
    <w:rsid w:val="007E0C6C"/>
    <w:rsid w:val="007E4C88"/>
    <w:rsid w:val="007E7582"/>
    <w:rsid w:val="007F4A4D"/>
    <w:rsid w:val="00800E55"/>
    <w:rsid w:val="00802F55"/>
    <w:rsid w:val="008059D0"/>
    <w:rsid w:val="0081091F"/>
    <w:rsid w:val="00814150"/>
    <w:rsid w:val="00815311"/>
    <w:rsid w:val="008162DD"/>
    <w:rsid w:val="0082079F"/>
    <w:rsid w:val="00821DDD"/>
    <w:rsid w:val="00823727"/>
    <w:rsid w:val="00823CBF"/>
    <w:rsid w:val="00825898"/>
    <w:rsid w:val="00826922"/>
    <w:rsid w:val="008272B6"/>
    <w:rsid w:val="008275C3"/>
    <w:rsid w:val="0083294C"/>
    <w:rsid w:val="00833289"/>
    <w:rsid w:val="00834CE9"/>
    <w:rsid w:val="00841348"/>
    <w:rsid w:val="00853ACD"/>
    <w:rsid w:val="00856EFD"/>
    <w:rsid w:val="008649ED"/>
    <w:rsid w:val="008663A8"/>
    <w:rsid w:val="008727AB"/>
    <w:rsid w:val="00876B3A"/>
    <w:rsid w:val="00882516"/>
    <w:rsid w:val="008859E5"/>
    <w:rsid w:val="00885C28"/>
    <w:rsid w:val="008935F3"/>
    <w:rsid w:val="008963EE"/>
    <w:rsid w:val="008A41F0"/>
    <w:rsid w:val="008A65B7"/>
    <w:rsid w:val="008B022B"/>
    <w:rsid w:val="008B1C73"/>
    <w:rsid w:val="008B5627"/>
    <w:rsid w:val="008B57A5"/>
    <w:rsid w:val="008B7B77"/>
    <w:rsid w:val="008C3B81"/>
    <w:rsid w:val="008D2D86"/>
    <w:rsid w:val="008D3B8F"/>
    <w:rsid w:val="008D4844"/>
    <w:rsid w:val="008D5081"/>
    <w:rsid w:val="008E4E6A"/>
    <w:rsid w:val="008E4F71"/>
    <w:rsid w:val="008E6CCC"/>
    <w:rsid w:val="00910D1F"/>
    <w:rsid w:val="00910E60"/>
    <w:rsid w:val="0091415A"/>
    <w:rsid w:val="0091564F"/>
    <w:rsid w:val="00924B17"/>
    <w:rsid w:val="00926B58"/>
    <w:rsid w:val="00930BE3"/>
    <w:rsid w:val="009331B1"/>
    <w:rsid w:val="009344BE"/>
    <w:rsid w:val="00935418"/>
    <w:rsid w:val="009373BE"/>
    <w:rsid w:val="00943BEC"/>
    <w:rsid w:val="009452F6"/>
    <w:rsid w:val="009474B0"/>
    <w:rsid w:val="00951D59"/>
    <w:rsid w:val="00952A5B"/>
    <w:rsid w:val="00952F49"/>
    <w:rsid w:val="00956702"/>
    <w:rsid w:val="00960C3E"/>
    <w:rsid w:val="009610E2"/>
    <w:rsid w:val="00961C2C"/>
    <w:rsid w:val="00962798"/>
    <w:rsid w:val="0096286A"/>
    <w:rsid w:val="00966DC2"/>
    <w:rsid w:val="00973C4C"/>
    <w:rsid w:val="00973FC9"/>
    <w:rsid w:val="0098025C"/>
    <w:rsid w:val="00980D4B"/>
    <w:rsid w:val="00987F93"/>
    <w:rsid w:val="0099558D"/>
    <w:rsid w:val="009A3855"/>
    <w:rsid w:val="009A70CA"/>
    <w:rsid w:val="009B237F"/>
    <w:rsid w:val="009B3CF8"/>
    <w:rsid w:val="009B4936"/>
    <w:rsid w:val="009B5F7E"/>
    <w:rsid w:val="009C18FA"/>
    <w:rsid w:val="009C26F8"/>
    <w:rsid w:val="009C39FC"/>
    <w:rsid w:val="009C5E3A"/>
    <w:rsid w:val="009C62BA"/>
    <w:rsid w:val="009C6641"/>
    <w:rsid w:val="009D038B"/>
    <w:rsid w:val="009D057A"/>
    <w:rsid w:val="009E0A61"/>
    <w:rsid w:val="009E3FC2"/>
    <w:rsid w:val="009E54F5"/>
    <w:rsid w:val="009E649B"/>
    <w:rsid w:val="009F376F"/>
    <w:rsid w:val="009F39D8"/>
    <w:rsid w:val="009F45A4"/>
    <w:rsid w:val="009F4AA3"/>
    <w:rsid w:val="00A000BD"/>
    <w:rsid w:val="00A0082E"/>
    <w:rsid w:val="00A02092"/>
    <w:rsid w:val="00A02AC9"/>
    <w:rsid w:val="00A05B63"/>
    <w:rsid w:val="00A0616E"/>
    <w:rsid w:val="00A12B04"/>
    <w:rsid w:val="00A14080"/>
    <w:rsid w:val="00A14759"/>
    <w:rsid w:val="00A14ACA"/>
    <w:rsid w:val="00A23245"/>
    <w:rsid w:val="00A253C5"/>
    <w:rsid w:val="00A2683D"/>
    <w:rsid w:val="00A27385"/>
    <w:rsid w:val="00A321B9"/>
    <w:rsid w:val="00A35A5B"/>
    <w:rsid w:val="00A36227"/>
    <w:rsid w:val="00A4148C"/>
    <w:rsid w:val="00A47E9D"/>
    <w:rsid w:val="00A47EB7"/>
    <w:rsid w:val="00A57C89"/>
    <w:rsid w:val="00A60501"/>
    <w:rsid w:val="00A730A0"/>
    <w:rsid w:val="00A80AE6"/>
    <w:rsid w:val="00A93647"/>
    <w:rsid w:val="00A93860"/>
    <w:rsid w:val="00AA44D5"/>
    <w:rsid w:val="00AA5530"/>
    <w:rsid w:val="00AA76BD"/>
    <w:rsid w:val="00AB1FFD"/>
    <w:rsid w:val="00AC1B23"/>
    <w:rsid w:val="00AC42C3"/>
    <w:rsid w:val="00AC7C1F"/>
    <w:rsid w:val="00AD2965"/>
    <w:rsid w:val="00AD3F41"/>
    <w:rsid w:val="00AE3C23"/>
    <w:rsid w:val="00AE55A5"/>
    <w:rsid w:val="00AE6A21"/>
    <w:rsid w:val="00AF1CFD"/>
    <w:rsid w:val="00B020F0"/>
    <w:rsid w:val="00B05028"/>
    <w:rsid w:val="00B05248"/>
    <w:rsid w:val="00B05F83"/>
    <w:rsid w:val="00B06893"/>
    <w:rsid w:val="00B11EC5"/>
    <w:rsid w:val="00B12608"/>
    <w:rsid w:val="00B217AA"/>
    <w:rsid w:val="00B23EFF"/>
    <w:rsid w:val="00B26FA3"/>
    <w:rsid w:val="00B27D86"/>
    <w:rsid w:val="00B34EFD"/>
    <w:rsid w:val="00B364B2"/>
    <w:rsid w:val="00B379A4"/>
    <w:rsid w:val="00B43031"/>
    <w:rsid w:val="00B455FE"/>
    <w:rsid w:val="00B511E1"/>
    <w:rsid w:val="00B53671"/>
    <w:rsid w:val="00B562E8"/>
    <w:rsid w:val="00B620DF"/>
    <w:rsid w:val="00B736D2"/>
    <w:rsid w:val="00B73891"/>
    <w:rsid w:val="00B73D39"/>
    <w:rsid w:val="00B7619F"/>
    <w:rsid w:val="00B76C3E"/>
    <w:rsid w:val="00B77697"/>
    <w:rsid w:val="00B7785B"/>
    <w:rsid w:val="00B85385"/>
    <w:rsid w:val="00B9271A"/>
    <w:rsid w:val="00B94855"/>
    <w:rsid w:val="00B96FE1"/>
    <w:rsid w:val="00B97BF8"/>
    <w:rsid w:val="00BA2DA9"/>
    <w:rsid w:val="00BA30AE"/>
    <w:rsid w:val="00BA4C74"/>
    <w:rsid w:val="00BB1281"/>
    <w:rsid w:val="00BB37EA"/>
    <w:rsid w:val="00BC02A5"/>
    <w:rsid w:val="00BC3B64"/>
    <w:rsid w:val="00BD18FE"/>
    <w:rsid w:val="00BE764B"/>
    <w:rsid w:val="00BF51A8"/>
    <w:rsid w:val="00BF61E7"/>
    <w:rsid w:val="00BF739B"/>
    <w:rsid w:val="00C0137B"/>
    <w:rsid w:val="00C0344F"/>
    <w:rsid w:val="00C1121C"/>
    <w:rsid w:val="00C2123A"/>
    <w:rsid w:val="00C2264E"/>
    <w:rsid w:val="00C23953"/>
    <w:rsid w:val="00C23A9C"/>
    <w:rsid w:val="00C26DD8"/>
    <w:rsid w:val="00C27E28"/>
    <w:rsid w:val="00C335ED"/>
    <w:rsid w:val="00C36CD8"/>
    <w:rsid w:val="00C372BD"/>
    <w:rsid w:val="00C43D5A"/>
    <w:rsid w:val="00C56368"/>
    <w:rsid w:val="00C56429"/>
    <w:rsid w:val="00C60494"/>
    <w:rsid w:val="00C63E10"/>
    <w:rsid w:val="00C65459"/>
    <w:rsid w:val="00C71F40"/>
    <w:rsid w:val="00C75379"/>
    <w:rsid w:val="00C8462B"/>
    <w:rsid w:val="00C84990"/>
    <w:rsid w:val="00C86167"/>
    <w:rsid w:val="00C87FAA"/>
    <w:rsid w:val="00C93229"/>
    <w:rsid w:val="00C97BD1"/>
    <w:rsid w:val="00CA2670"/>
    <w:rsid w:val="00CA3829"/>
    <w:rsid w:val="00CA7DFB"/>
    <w:rsid w:val="00CB31DA"/>
    <w:rsid w:val="00CB6D24"/>
    <w:rsid w:val="00CC263A"/>
    <w:rsid w:val="00CC3BB6"/>
    <w:rsid w:val="00CC7DEB"/>
    <w:rsid w:val="00CD046B"/>
    <w:rsid w:val="00CD0FCC"/>
    <w:rsid w:val="00CD45A2"/>
    <w:rsid w:val="00CD7EAF"/>
    <w:rsid w:val="00CE29CB"/>
    <w:rsid w:val="00CE405E"/>
    <w:rsid w:val="00CE46F7"/>
    <w:rsid w:val="00CF2128"/>
    <w:rsid w:val="00CF2992"/>
    <w:rsid w:val="00CF7CAB"/>
    <w:rsid w:val="00D06DD4"/>
    <w:rsid w:val="00D138CC"/>
    <w:rsid w:val="00D160EE"/>
    <w:rsid w:val="00D16CFB"/>
    <w:rsid w:val="00D17754"/>
    <w:rsid w:val="00D223FB"/>
    <w:rsid w:val="00D31285"/>
    <w:rsid w:val="00D312EE"/>
    <w:rsid w:val="00D31CB5"/>
    <w:rsid w:val="00D41B82"/>
    <w:rsid w:val="00D450C0"/>
    <w:rsid w:val="00D51285"/>
    <w:rsid w:val="00D52019"/>
    <w:rsid w:val="00D53CF1"/>
    <w:rsid w:val="00D54B41"/>
    <w:rsid w:val="00D55B9A"/>
    <w:rsid w:val="00D55ED3"/>
    <w:rsid w:val="00D61A37"/>
    <w:rsid w:val="00D6755D"/>
    <w:rsid w:val="00D7159D"/>
    <w:rsid w:val="00D72223"/>
    <w:rsid w:val="00D72896"/>
    <w:rsid w:val="00D73A3D"/>
    <w:rsid w:val="00D77494"/>
    <w:rsid w:val="00D873CA"/>
    <w:rsid w:val="00D92686"/>
    <w:rsid w:val="00DB0D2B"/>
    <w:rsid w:val="00DB0F06"/>
    <w:rsid w:val="00DB3C37"/>
    <w:rsid w:val="00DB7921"/>
    <w:rsid w:val="00DC1AD9"/>
    <w:rsid w:val="00DC1B57"/>
    <w:rsid w:val="00DC234C"/>
    <w:rsid w:val="00DC3330"/>
    <w:rsid w:val="00DC7BD2"/>
    <w:rsid w:val="00DD2ABC"/>
    <w:rsid w:val="00DD3774"/>
    <w:rsid w:val="00DD37CF"/>
    <w:rsid w:val="00DD44CE"/>
    <w:rsid w:val="00DD4A58"/>
    <w:rsid w:val="00DE4864"/>
    <w:rsid w:val="00DE61CF"/>
    <w:rsid w:val="00DF7AA8"/>
    <w:rsid w:val="00E00723"/>
    <w:rsid w:val="00E015EA"/>
    <w:rsid w:val="00E01DEE"/>
    <w:rsid w:val="00E05AB8"/>
    <w:rsid w:val="00E05BA4"/>
    <w:rsid w:val="00E13D88"/>
    <w:rsid w:val="00E16D6F"/>
    <w:rsid w:val="00E22F7B"/>
    <w:rsid w:val="00E340E0"/>
    <w:rsid w:val="00E370BF"/>
    <w:rsid w:val="00E458ED"/>
    <w:rsid w:val="00E4594F"/>
    <w:rsid w:val="00E52E1E"/>
    <w:rsid w:val="00E56E4C"/>
    <w:rsid w:val="00E60490"/>
    <w:rsid w:val="00E60FCA"/>
    <w:rsid w:val="00E638B3"/>
    <w:rsid w:val="00E66415"/>
    <w:rsid w:val="00E668B6"/>
    <w:rsid w:val="00E761CA"/>
    <w:rsid w:val="00E82467"/>
    <w:rsid w:val="00E83E4B"/>
    <w:rsid w:val="00E9581F"/>
    <w:rsid w:val="00E95B18"/>
    <w:rsid w:val="00EA2D76"/>
    <w:rsid w:val="00EA524F"/>
    <w:rsid w:val="00EA61B2"/>
    <w:rsid w:val="00EA652E"/>
    <w:rsid w:val="00EB6681"/>
    <w:rsid w:val="00EC26A0"/>
    <w:rsid w:val="00EC2B00"/>
    <w:rsid w:val="00EC2EA4"/>
    <w:rsid w:val="00EC5271"/>
    <w:rsid w:val="00EC79DE"/>
    <w:rsid w:val="00ED5CB6"/>
    <w:rsid w:val="00ED6A31"/>
    <w:rsid w:val="00EE13A1"/>
    <w:rsid w:val="00EE39AF"/>
    <w:rsid w:val="00EE3CF7"/>
    <w:rsid w:val="00EE509A"/>
    <w:rsid w:val="00EE63C1"/>
    <w:rsid w:val="00EF069D"/>
    <w:rsid w:val="00EF0B62"/>
    <w:rsid w:val="00EF2C14"/>
    <w:rsid w:val="00EF4C2F"/>
    <w:rsid w:val="00EF518A"/>
    <w:rsid w:val="00EF5C74"/>
    <w:rsid w:val="00EF5F6A"/>
    <w:rsid w:val="00EF6638"/>
    <w:rsid w:val="00EF6CDC"/>
    <w:rsid w:val="00F033B0"/>
    <w:rsid w:val="00F126DC"/>
    <w:rsid w:val="00F15470"/>
    <w:rsid w:val="00F1719C"/>
    <w:rsid w:val="00F21107"/>
    <w:rsid w:val="00F23296"/>
    <w:rsid w:val="00F32F38"/>
    <w:rsid w:val="00F3740A"/>
    <w:rsid w:val="00F375BB"/>
    <w:rsid w:val="00F440D8"/>
    <w:rsid w:val="00F504B5"/>
    <w:rsid w:val="00F55FAA"/>
    <w:rsid w:val="00F61233"/>
    <w:rsid w:val="00F65293"/>
    <w:rsid w:val="00F67834"/>
    <w:rsid w:val="00F7287A"/>
    <w:rsid w:val="00F762EC"/>
    <w:rsid w:val="00F76FAF"/>
    <w:rsid w:val="00F828A7"/>
    <w:rsid w:val="00F82E39"/>
    <w:rsid w:val="00F8386D"/>
    <w:rsid w:val="00F855C6"/>
    <w:rsid w:val="00F86B65"/>
    <w:rsid w:val="00F96E8C"/>
    <w:rsid w:val="00FA1E5C"/>
    <w:rsid w:val="00FA2251"/>
    <w:rsid w:val="00FA22DB"/>
    <w:rsid w:val="00FA5732"/>
    <w:rsid w:val="00FA61A8"/>
    <w:rsid w:val="00FA7762"/>
    <w:rsid w:val="00FB054E"/>
    <w:rsid w:val="00FB07E4"/>
    <w:rsid w:val="00FB0856"/>
    <w:rsid w:val="00FB21DB"/>
    <w:rsid w:val="00FB2998"/>
    <w:rsid w:val="00FB3B0D"/>
    <w:rsid w:val="00FB4931"/>
    <w:rsid w:val="00FB6F41"/>
    <w:rsid w:val="00FC1F30"/>
    <w:rsid w:val="00FC3258"/>
    <w:rsid w:val="00FC724F"/>
    <w:rsid w:val="00FC7C4D"/>
    <w:rsid w:val="00FD2E03"/>
    <w:rsid w:val="00FE3017"/>
    <w:rsid w:val="00FE5100"/>
    <w:rsid w:val="00FE6EDD"/>
    <w:rsid w:val="00FF2DF1"/>
    <w:rsid w:val="00FF330C"/>
    <w:rsid w:val="00FF39D0"/>
    <w:rsid w:val="00FF3DD7"/>
    <w:rsid w:val="00FF3F66"/>
    <w:rsid w:val="00FF4F55"/>
    <w:rsid w:val="00FF7B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efaultImageDpi w14:val="32767"/>
  <w15:docId w15:val="{BEB06543-CD2C-0947-9E17-EC220B80A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CA"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Times New Roman" w:hAnsi="Times New Roman" w:cs="Times New Roman"/>
      <w:sz w:val="18"/>
      <w:szCs w:val="18"/>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unhideWhenUsed/>
    <w:rPr>
      <w:b/>
      <w:b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rPr>
      <w:sz w:val="16"/>
      <w:szCs w:val="16"/>
    </w:r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uiPriority w:val="99"/>
    <w:unhideWhenUsed/>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
    <w:name w:val="List Table 21"/>
    <w:basedOn w:val="TableNormal"/>
    <w:uiPriority w:val="47"/>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laceholderText1">
    <w:name w:val="Placeholder Text1"/>
    <w:basedOn w:val="DefaultParagraphFont"/>
    <w:uiPriority w:val="99"/>
    <w:semiHidden/>
    <w:rPr>
      <w:color w:val="808080"/>
    </w:rPr>
  </w:style>
  <w:style w:type="character" w:customStyle="1" w:styleId="CommentTextChar">
    <w:name w:val="Comment Text Char"/>
    <w:basedOn w:val="DefaultParagraphFont"/>
    <w:link w:val="CommentText"/>
    <w:uiPriority w:val="99"/>
    <w:semiHidden/>
    <w:rPr>
      <w:sz w:val="20"/>
      <w:szCs w:val="20"/>
      <w:lang w:val="en-CA"/>
    </w:rPr>
  </w:style>
  <w:style w:type="character" w:customStyle="1" w:styleId="CommentSubjectChar">
    <w:name w:val="Comment Subject Char"/>
    <w:basedOn w:val="CommentTextChar"/>
    <w:link w:val="CommentSubject"/>
    <w:uiPriority w:val="99"/>
    <w:semiHidden/>
    <w:qFormat/>
    <w:rPr>
      <w:b/>
      <w:bCs/>
      <w:sz w:val="20"/>
      <w:szCs w:val="20"/>
      <w:lang w:val="en-CA"/>
    </w:rPr>
  </w:style>
  <w:style w:type="character" w:customStyle="1" w:styleId="BalloonTextChar">
    <w:name w:val="Balloon Text Char"/>
    <w:basedOn w:val="DefaultParagraphFont"/>
    <w:link w:val="BalloonText"/>
    <w:uiPriority w:val="99"/>
    <w:semiHidden/>
    <w:qFormat/>
    <w:rPr>
      <w:rFonts w:ascii="Times New Roman" w:hAnsi="Times New Roman" w:cs="Times New Roman"/>
      <w:sz w:val="18"/>
      <w:szCs w:val="18"/>
      <w:lang w:val="en-CA"/>
    </w:rPr>
  </w:style>
  <w:style w:type="table" w:customStyle="1" w:styleId="ListTable1Light1">
    <w:name w:val="List Table 1 Light1"/>
    <w:basedOn w:val="TableNormal"/>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qFormat/>
    <w:pPr>
      <w:jc w:val="center"/>
    </w:pPr>
    <w:rPr>
      <w:rFonts w:ascii="Calibri" w:hAnsi="Calibri" w:cs="Calibri"/>
    </w:rPr>
  </w:style>
  <w:style w:type="character" w:customStyle="1" w:styleId="EndNoteBibliographyTitleChar">
    <w:name w:val="EndNote Bibliography Title Char"/>
    <w:basedOn w:val="DefaultParagraphFont"/>
    <w:link w:val="EndNoteBibliographyTitle"/>
    <w:rPr>
      <w:rFonts w:ascii="Calibri" w:hAnsi="Calibri" w:cs="Calibri"/>
      <w:lang w:val="en-CA"/>
    </w:rPr>
  </w:style>
  <w:style w:type="paragraph" w:customStyle="1" w:styleId="EndNoteBibliography">
    <w:name w:val="EndNote Bibliography"/>
    <w:basedOn w:val="Normal"/>
    <w:link w:val="EndNoteBibliographyChar"/>
    <w:qFormat/>
    <w:rPr>
      <w:rFonts w:ascii="Calibri" w:hAnsi="Calibri" w:cs="Calibri"/>
    </w:rPr>
  </w:style>
  <w:style w:type="character" w:customStyle="1" w:styleId="EndNoteBibliographyChar">
    <w:name w:val="EndNote Bibliography Char"/>
    <w:basedOn w:val="DefaultParagraphFont"/>
    <w:link w:val="EndNoteBibliography"/>
    <w:rPr>
      <w:rFonts w:ascii="Calibri" w:hAnsi="Calibri" w:cs="Calibri"/>
      <w:lang w:val="en-CA"/>
    </w:rPr>
  </w:style>
  <w:style w:type="paragraph" w:customStyle="1" w:styleId="Revision1">
    <w:name w:val="Revision1"/>
    <w:hidden/>
    <w:uiPriority w:val="99"/>
    <w:semiHidden/>
    <w:rPr>
      <w:sz w:val="24"/>
      <w:szCs w:val="24"/>
    </w:rPr>
  </w:style>
  <w:style w:type="character" w:customStyle="1" w:styleId="FooterChar">
    <w:name w:val="Footer Char"/>
    <w:basedOn w:val="DefaultParagraphFont"/>
    <w:link w:val="Footer"/>
    <w:uiPriority w:val="99"/>
    <w:qFormat/>
    <w:rPr>
      <w:lang w:val="en-CA"/>
    </w:rPr>
  </w:style>
  <w:style w:type="character" w:customStyle="1" w:styleId="UnresolvedMention1">
    <w:name w:val="Unresolved Mention1"/>
    <w:basedOn w:val="DefaultParagraphFont"/>
    <w:uiPriority w:val="99"/>
    <w:qFormat/>
    <w:rPr>
      <w:color w:val="605E5C"/>
      <w:shd w:val="clear" w:color="auto" w:fill="E1DFDD"/>
    </w:rPr>
  </w:style>
  <w:style w:type="character" w:customStyle="1" w:styleId="HeaderChar">
    <w:name w:val="Header Char"/>
    <w:basedOn w:val="DefaultParagraphFont"/>
    <w:link w:val="Header"/>
    <w:uiPriority w:val="99"/>
    <w:qFormat/>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hia.icap.columbia.edu"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2469</Words>
  <Characters>14076</Characters>
  <Application>Microsoft Office Word</Application>
  <DocSecurity>0</DocSecurity>
  <Lines>117</Lines>
  <Paragraphs>33</Paragraphs>
  <ScaleCrop>false</ScaleCrop>
  <Company/>
  <LinksUpToDate>false</LinksUpToDate>
  <CharactersWithSpaces>16512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Yiqing Xia</dc:creator>
  <cp:lastModifiedBy>Yiqing Xia</cp:lastModifiedBy>
  <cp:revision>71</cp:revision>
  <dcterms:created xsi:type="dcterms:W3CDTF">2020-10-21T10:47:00Z</dcterms:created>
  <dcterms:modified xsi:type="dcterms:W3CDTF">2020-11-02T18:13:00Z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0x0101009D24CF5D3989BD4DA4AACC9A3C2DA87B</vt:lpwstr>
  </property>
  <property fmtid="{D5CDD505-2E9C-101B-9397-08002B2CF9AE}" pid="3" name="KSOProductBuildVer">
    <vt:lpwstr>1033-2.7.0.4476</vt:lpwstr>
  </property>
</Properties>
</file>